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F7D" w:rsidRPr="00814F7D" w:rsidRDefault="00814F7D" w:rsidP="00814F7D">
      <w:pPr>
        <w:spacing w:after="0" w:line="260" w:lineRule="atLeast"/>
        <w:outlineLvl w:val="0"/>
        <w:rPr>
          <w:rFonts w:ascii="Arial" w:eastAsia="Times New Roman" w:hAnsi="Arial" w:cs="Arial"/>
          <w:b/>
          <w:bCs/>
          <w:color w:val="000000"/>
          <w:kern w:val="36"/>
          <w:sz w:val="20"/>
          <w:szCs w:val="20"/>
        </w:rPr>
      </w:pPr>
      <w:r w:rsidRPr="00814F7D">
        <w:rPr>
          <w:rFonts w:ascii="Arial" w:eastAsia="Times New Roman" w:hAnsi="Arial" w:cs="Arial"/>
          <w:b/>
          <w:bCs/>
          <w:color w:val="000000"/>
          <w:kern w:val="36"/>
          <w:sz w:val="20"/>
          <w:szCs w:val="20"/>
        </w:rPr>
        <w:t xml:space="preserve">Difference </w:t>
      </w:r>
      <w:proofErr w:type="gramStart"/>
      <w:r w:rsidRPr="00814F7D">
        <w:rPr>
          <w:rFonts w:ascii="Arial" w:eastAsia="Times New Roman" w:hAnsi="Arial" w:cs="Arial"/>
          <w:b/>
          <w:bCs/>
          <w:color w:val="000000"/>
          <w:kern w:val="36"/>
          <w:sz w:val="20"/>
          <w:szCs w:val="20"/>
        </w:rPr>
        <w:t>Between</w:t>
      </w:r>
      <w:proofErr w:type="gramEnd"/>
      <w:r w:rsidRPr="00814F7D">
        <w:rPr>
          <w:rFonts w:ascii="Arial" w:eastAsia="Times New Roman" w:hAnsi="Arial" w:cs="Arial"/>
          <w:b/>
          <w:bCs/>
          <w:color w:val="000000"/>
          <w:kern w:val="36"/>
          <w:sz w:val="20"/>
          <w:szCs w:val="20"/>
        </w:rPr>
        <w:t xml:space="preserve"> VAT And CST</w:t>
      </w:r>
    </w:p>
    <w:p w:rsidR="00814F7D" w:rsidRPr="00814F7D" w:rsidRDefault="00814F7D" w:rsidP="00814F7D">
      <w:pPr>
        <w:spacing w:before="100" w:beforeAutospacing="1" w:after="100" w:afterAutospacing="1" w:line="240" w:lineRule="auto"/>
        <w:rPr>
          <w:rFonts w:ascii="Arial" w:eastAsia="Times New Roman" w:hAnsi="Arial" w:cs="Arial"/>
          <w:color w:val="000000"/>
          <w:sz w:val="20"/>
          <w:szCs w:val="20"/>
        </w:rPr>
      </w:pPr>
      <w:r w:rsidRPr="00814F7D">
        <w:rPr>
          <w:rFonts w:ascii="Arial" w:eastAsia="Times New Roman" w:hAnsi="Arial" w:cs="Arial"/>
          <w:color w:val="000000"/>
          <w:sz w:val="20"/>
          <w:szCs w:val="20"/>
        </w:rPr>
        <w:t xml:space="preserve">Under the CST Act, </w:t>
      </w:r>
      <w:r w:rsidRPr="00814F7D">
        <w:rPr>
          <w:rFonts w:ascii="Arial" w:eastAsia="Times New Roman" w:hAnsi="Arial" w:cs="Arial"/>
          <w:color w:val="0000CC"/>
          <w:sz w:val="20"/>
        </w:rPr>
        <w:t>the tax</w:t>
      </w:r>
      <w:r w:rsidRPr="00814F7D">
        <w:rPr>
          <w:rFonts w:ascii="Arial" w:eastAsia="Times New Roman" w:hAnsi="Arial" w:cs="Arial"/>
          <w:color w:val="000000"/>
          <w:sz w:val="20"/>
          <w:szCs w:val="20"/>
        </w:rPr>
        <w:t xml:space="preserve"> is collected at one stage of purchase or sale of goods. Therefore, the burden of the full tax bond is borne by only one dealer, either the first or the last dealer. However, under the VAT system, the tax burden would be shared by all the dealers from first to last. Then, such tax would be passed upon the final consumers. </w:t>
      </w:r>
    </w:p>
    <w:p w:rsidR="00814F7D" w:rsidRPr="00814F7D" w:rsidRDefault="00814F7D" w:rsidP="00814F7D">
      <w:pPr>
        <w:spacing w:before="100" w:beforeAutospacing="1" w:after="100" w:afterAutospacing="1" w:line="240" w:lineRule="auto"/>
        <w:rPr>
          <w:rFonts w:ascii="Arial" w:eastAsia="Times New Roman" w:hAnsi="Arial" w:cs="Arial"/>
          <w:color w:val="000000"/>
          <w:sz w:val="20"/>
          <w:szCs w:val="20"/>
        </w:rPr>
      </w:pPr>
      <w:r w:rsidRPr="00814F7D">
        <w:rPr>
          <w:rFonts w:ascii="Arial" w:eastAsia="Times New Roman" w:hAnsi="Arial" w:cs="Arial"/>
          <w:color w:val="000000"/>
          <w:sz w:val="20"/>
          <w:szCs w:val="20"/>
        </w:rPr>
        <w:t xml:space="preserve">Under the CST Act, the tax is levied at a single point. Under the VAT system, the </w:t>
      </w:r>
      <w:r w:rsidRPr="00814F7D">
        <w:rPr>
          <w:rFonts w:ascii="Arial" w:eastAsia="Times New Roman" w:hAnsi="Arial" w:cs="Arial"/>
          <w:color w:val="0000CC"/>
          <w:sz w:val="20"/>
        </w:rPr>
        <w:t>retailers</w:t>
      </w:r>
      <w:r w:rsidRPr="00814F7D">
        <w:rPr>
          <w:rFonts w:ascii="Arial" w:eastAsia="Times New Roman" w:hAnsi="Arial" w:cs="Arial"/>
          <w:color w:val="000000"/>
          <w:sz w:val="20"/>
          <w:szCs w:val="20"/>
        </w:rPr>
        <w:t xml:space="preserve"> are not subject to tax except for the retail tax. </w:t>
      </w:r>
    </w:p>
    <w:p w:rsidR="00814F7D" w:rsidRPr="00814F7D" w:rsidRDefault="00814F7D" w:rsidP="00814F7D">
      <w:pPr>
        <w:spacing w:before="100" w:beforeAutospacing="1" w:after="100" w:afterAutospacing="1" w:line="240" w:lineRule="auto"/>
        <w:rPr>
          <w:rFonts w:ascii="Arial" w:eastAsia="Times New Roman" w:hAnsi="Arial" w:cs="Arial"/>
          <w:color w:val="000000"/>
          <w:sz w:val="20"/>
          <w:szCs w:val="20"/>
        </w:rPr>
      </w:pPr>
      <w:r w:rsidRPr="00814F7D">
        <w:rPr>
          <w:rFonts w:ascii="Arial" w:eastAsia="Times New Roman" w:hAnsi="Arial" w:cs="Arial"/>
          <w:color w:val="000000"/>
          <w:sz w:val="20"/>
          <w:szCs w:val="20"/>
        </w:rPr>
        <w:t xml:space="preserve">Under the CST Act, general and specific </w:t>
      </w:r>
      <w:r w:rsidRPr="00814F7D">
        <w:rPr>
          <w:rFonts w:ascii="Arial" w:eastAsia="Times New Roman" w:hAnsi="Arial" w:cs="Arial"/>
          <w:color w:val="0000CC"/>
          <w:sz w:val="20"/>
        </w:rPr>
        <w:t>exemptions</w:t>
      </w:r>
      <w:r w:rsidRPr="00814F7D">
        <w:rPr>
          <w:rFonts w:ascii="Arial" w:eastAsia="Times New Roman" w:hAnsi="Arial" w:cs="Arial"/>
          <w:color w:val="000000"/>
          <w:sz w:val="20"/>
          <w:szCs w:val="20"/>
        </w:rPr>
        <w:t xml:space="preserve"> are granted on certain goods while VAT does not permit such exemptions. Under the CST law, concessional rates are provided on certain taxes. The VAT regime will do away with such concessions as it would provide the full credit on the tax that has been paid earlier. </w:t>
      </w:r>
    </w:p>
    <w:p w:rsidR="00814F7D" w:rsidRPr="00814F7D" w:rsidRDefault="00814F7D" w:rsidP="00814F7D">
      <w:pPr>
        <w:spacing w:before="100" w:beforeAutospacing="1" w:after="100" w:afterAutospacing="1" w:line="240" w:lineRule="auto"/>
        <w:rPr>
          <w:rFonts w:ascii="Arial" w:eastAsia="Times New Roman" w:hAnsi="Arial" w:cs="Arial"/>
          <w:color w:val="000000"/>
          <w:sz w:val="20"/>
          <w:szCs w:val="20"/>
        </w:rPr>
      </w:pPr>
      <w:r w:rsidRPr="00814F7D">
        <w:rPr>
          <w:rFonts w:ascii="Arial" w:eastAsia="Times New Roman" w:hAnsi="Arial" w:cs="Arial"/>
          <w:color w:val="000000"/>
          <w:sz w:val="20"/>
          <w:szCs w:val="20"/>
        </w:rPr>
        <w:t xml:space="preserve">Under VAT law, first, the dealer pays tax on the sale or purchase of goods. The subsequent dealer pays tax on the portion of the </w:t>
      </w:r>
      <w:r w:rsidRPr="00814F7D">
        <w:rPr>
          <w:rFonts w:ascii="Arial" w:eastAsia="Times New Roman" w:hAnsi="Arial" w:cs="Arial"/>
          <w:color w:val="0000CC"/>
          <w:sz w:val="20"/>
        </w:rPr>
        <w:t>value added</w:t>
      </w:r>
      <w:r w:rsidRPr="00814F7D">
        <w:rPr>
          <w:rFonts w:ascii="Arial" w:eastAsia="Times New Roman" w:hAnsi="Arial" w:cs="Arial"/>
          <w:color w:val="000000"/>
          <w:sz w:val="20"/>
          <w:szCs w:val="20"/>
        </w:rPr>
        <w:t xml:space="preserve"> upon such goods. Thus, the tax burden is shared equally by the last dealer. To illustrate the whole procedure of VAT, we give you an example as follows: </w:t>
      </w:r>
    </w:p>
    <w:p w:rsidR="00814F7D" w:rsidRPr="00814F7D" w:rsidRDefault="00814F7D" w:rsidP="00814F7D">
      <w:pPr>
        <w:spacing w:before="100" w:beforeAutospacing="1" w:after="100" w:afterAutospacing="1" w:line="240" w:lineRule="auto"/>
        <w:rPr>
          <w:rFonts w:ascii="Arial" w:eastAsia="Times New Roman" w:hAnsi="Arial" w:cs="Arial"/>
          <w:color w:val="000000"/>
          <w:sz w:val="20"/>
          <w:szCs w:val="20"/>
        </w:rPr>
      </w:pPr>
      <w:r w:rsidRPr="00814F7D">
        <w:rPr>
          <w:rFonts w:ascii="Arial" w:eastAsia="Times New Roman" w:hAnsi="Arial" w:cs="Arial"/>
          <w:color w:val="000000"/>
          <w:sz w:val="20"/>
          <w:szCs w:val="20"/>
        </w:rPr>
        <w:t xml:space="preserve">At the first </w:t>
      </w:r>
      <w:r w:rsidRPr="00814F7D">
        <w:rPr>
          <w:rFonts w:ascii="Arial" w:eastAsia="Times New Roman" w:hAnsi="Arial" w:cs="Arial"/>
          <w:color w:val="0000CC"/>
          <w:sz w:val="20"/>
        </w:rPr>
        <w:t>point of</w:t>
      </w:r>
      <w:r w:rsidRPr="00814F7D">
        <w:rPr>
          <w:rFonts w:ascii="Arial" w:eastAsia="Times New Roman" w:hAnsi="Arial" w:cs="Arial"/>
          <w:color w:val="000000"/>
          <w:sz w:val="20"/>
          <w:szCs w:val="20"/>
        </w:rPr>
        <w:t xml:space="preserve"> sale, the value of goods is Rs.100. The tax on this is 12.5%. Therefore, the net VAT would be 12.5%. At the second change of sale, the sale value is Rs.120 and the tax thereon is 15%. The tax that is to be paid at every point is 15%. The input tax is 15%. You will get a credit for first change in sale of 2.5%-- i.e. 15% -12.5%. Therefore, 2.5% will be the net rate. At the third change of sale, the sale value is Rs.150 and the tax on this is 18.75%. At the last stage, the tax paid is 18.75%. The Input Tax is 18.75%. You get a credit for second change in </w:t>
      </w:r>
      <w:proofErr w:type="spellStart"/>
      <w:r w:rsidRPr="00814F7D">
        <w:rPr>
          <w:rFonts w:ascii="Arial" w:eastAsia="Times New Roman" w:hAnsi="Arial" w:cs="Arial"/>
          <w:color w:val="000000"/>
          <w:sz w:val="20"/>
          <w:szCs w:val="20"/>
        </w:rPr>
        <w:t>sale</w:t>
      </w:r>
      <w:proofErr w:type="gramStart"/>
      <w:r w:rsidRPr="00814F7D">
        <w:rPr>
          <w:rFonts w:ascii="Arial" w:eastAsia="Times New Roman" w:hAnsi="Arial" w:cs="Arial"/>
          <w:color w:val="000000"/>
          <w:sz w:val="20"/>
          <w:szCs w:val="20"/>
        </w:rPr>
        <w:t>?i.e</w:t>
      </w:r>
      <w:proofErr w:type="spellEnd"/>
      <w:proofErr w:type="gramEnd"/>
      <w:r w:rsidRPr="00814F7D">
        <w:rPr>
          <w:rFonts w:ascii="Arial" w:eastAsia="Times New Roman" w:hAnsi="Arial" w:cs="Arial"/>
          <w:color w:val="000000"/>
          <w:sz w:val="20"/>
          <w:szCs w:val="20"/>
        </w:rPr>
        <w:t xml:space="preserve">. 18.75% -15% = 3.75%. Therefore, 3.75% would be the net VAT. This means that VAT is paid in the last point tax under the </w:t>
      </w:r>
      <w:r w:rsidRPr="00814F7D">
        <w:rPr>
          <w:rFonts w:ascii="Arial" w:eastAsia="Times New Roman" w:hAnsi="Arial" w:cs="Arial"/>
          <w:color w:val="0000CC"/>
          <w:sz w:val="20"/>
        </w:rPr>
        <w:t>sale tax</w:t>
      </w:r>
      <w:r w:rsidRPr="00814F7D">
        <w:rPr>
          <w:rFonts w:ascii="Arial" w:eastAsia="Times New Roman" w:hAnsi="Arial" w:cs="Arial"/>
          <w:color w:val="000000"/>
          <w:sz w:val="20"/>
          <w:szCs w:val="20"/>
        </w:rPr>
        <w:t xml:space="preserve"> regime. </w:t>
      </w:r>
    </w:p>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b/>
          <w:bCs/>
          <w:color w:val="000080"/>
          <w:sz w:val="27"/>
        </w:rPr>
        <w:t xml:space="preserve">TAXATION in INDIA </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 xml:space="preserve">  India has a well developed tax structure with a three-tier federal structure, comprising the Union Government, the State Governments and the Urban/Rural Local Bodies. The power to levy taxes and duties is distributed among the three tiers of Governments, in accordance with the provisions of the Indian Constitution. The main taxes/duties that the Union Government is empowered to levy are Income Tax (except tax on agricultural income, which the State Governments can levy), Customs duties, Central Excise and Sales Tax and Service Tax. The principal taxes levied by the State Governments are Sales Tax (tax on intra-State sale of goods), Stamp Duty (duty on transfer of property), State Excise (duty on manufacture of alcohol), Land Revenue (levy on land used for agricultural/non-agricultural purposes), Duty on Entertainment and Tax on Professions &amp; Callings. The Local Bodies are empowered to levy tax on properties (buildings, etc.), </w:t>
      </w:r>
      <w:proofErr w:type="spellStart"/>
      <w:r w:rsidRPr="00814F7D">
        <w:rPr>
          <w:rFonts w:ascii="Book Antiqua" w:eastAsia="Times New Roman" w:hAnsi="Book Antiqua" w:cs="Times New Roman"/>
          <w:sz w:val="24"/>
          <w:szCs w:val="24"/>
        </w:rPr>
        <w:t>Octroi</w:t>
      </w:r>
      <w:proofErr w:type="spellEnd"/>
      <w:r w:rsidRPr="00814F7D">
        <w:rPr>
          <w:rFonts w:ascii="Book Antiqua" w:eastAsia="Times New Roman" w:hAnsi="Book Antiqua" w:cs="Times New Roman"/>
          <w:sz w:val="24"/>
          <w:szCs w:val="24"/>
        </w:rPr>
        <w:t xml:space="preserve"> (tax on entry of goods for use/consumption within areas of the Local Bodies), Tax on Markets and Tax/User Charges for utilities like water supply, drainage, etc.</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Since 1991 tax system in India has under gone a radical change, in line with liberal economic policy and WTO commitments of the country. Some of the changes are:</w:t>
      </w:r>
    </w:p>
    <w:p w:rsidR="00814F7D" w:rsidRPr="00814F7D" w:rsidRDefault="00814F7D" w:rsidP="00814F7D">
      <w:pPr>
        <w:numPr>
          <w:ilvl w:val="0"/>
          <w:numId w:val="1"/>
        </w:numPr>
        <w:spacing w:beforeAutospacing="1" w:after="100" w:afterAutospacing="1" w:line="240" w:lineRule="auto"/>
        <w:ind w:left="144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 xml:space="preserve">Reduction in customs and excise duties </w:t>
      </w:r>
    </w:p>
    <w:p w:rsidR="00814F7D" w:rsidRPr="00814F7D" w:rsidRDefault="00814F7D" w:rsidP="00814F7D">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Lowering corporate Tax</w:t>
      </w:r>
    </w:p>
    <w:p w:rsidR="00814F7D" w:rsidRPr="00814F7D" w:rsidRDefault="00814F7D" w:rsidP="00814F7D">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lastRenderedPageBreak/>
        <w:t>Widening of the tax base and toning up the tax administration</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u w:val="single"/>
        </w:rPr>
      </w:pPr>
      <w:r w:rsidRPr="00814F7D">
        <w:rPr>
          <w:rFonts w:ascii="Book Antiqua" w:eastAsia="Times New Roman" w:hAnsi="Book Antiqua" w:cs="Times New Roman"/>
          <w:b/>
          <w:bCs/>
          <w:color w:val="000080"/>
          <w:sz w:val="24"/>
          <w:szCs w:val="24"/>
          <w:u w:val="single"/>
        </w:rPr>
        <w:t>Direct Taxes</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15"/>
          <w:szCs w:val="15"/>
        </w:rPr>
      </w:pPr>
      <w:r w:rsidRPr="00814F7D">
        <w:rPr>
          <w:rFonts w:ascii="Book Antiqua" w:eastAsia="Times New Roman" w:hAnsi="Book Antiqua" w:cs="Times New Roman"/>
          <w:sz w:val="24"/>
          <w:szCs w:val="24"/>
          <w:u w:val="single"/>
        </w:rPr>
        <w:t>Personal Income Tax</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36"/>
          <w:szCs w:val="36"/>
          <w:u w:val="single"/>
        </w:rPr>
      </w:pPr>
      <w:r w:rsidRPr="00814F7D">
        <w:rPr>
          <w:rFonts w:ascii="Book Antiqua" w:eastAsia="Times New Roman" w:hAnsi="Book Antiqua" w:cs="Times New Roman"/>
          <w:sz w:val="24"/>
          <w:szCs w:val="24"/>
        </w:rPr>
        <w:t xml:space="preserve">Individual income slabs are 0%, 10%, 20%, 30% for annual incomes </w:t>
      </w:r>
      <w:proofErr w:type="spellStart"/>
      <w:r w:rsidRPr="00814F7D">
        <w:rPr>
          <w:rFonts w:ascii="Book Antiqua" w:eastAsia="Times New Roman" w:hAnsi="Book Antiqua" w:cs="Times New Roman"/>
          <w:sz w:val="24"/>
          <w:szCs w:val="24"/>
        </w:rPr>
        <w:t>upto</w:t>
      </w:r>
      <w:proofErr w:type="spellEnd"/>
      <w:r w:rsidRPr="00814F7D">
        <w:rPr>
          <w:rFonts w:ascii="Book Antiqua" w:eastAsia="Times New Roman" w:hAnsi="Book Antiqua" w:cs="Times New Roman"/>
          <w:sz w:val="24"/>
          <w:szCs w:val="24"/>
        </w:rPr>
        <w:t xml:space="preserve"> Rs 50,000, 50,000 - 60,000, 60,000 - 1</w:t>
      </w:r>
      <w:proofErr w:type="gramStart"/>
      <w:r w:rsidRPr="00814F7D">
        <w:rPr>
          <w:rFonts w:ascii="Book Antiqua" w:eastAsia="Times New Roman" w:hAnsi="Book Antiqua" w:cs="Times New Roman"/>
          <w:sz w:val="24"/>
          <w:szCs w:val="24"/>
        </w:rPr>
        <w:t>,50,000</w:t>
      </w:r>
      <w:proofErr w:type="gramEnd"/>
      <w:r w:rsidRPr="00814F7D">
        <w:rPr>
          <w:rFonts w:ascii="Book Antiqua" w:eastAsia="Times New Roman" w:hAnsi="Book Antiqua" w:cs="Times New Roman"/>
          <w:sz w:val="24"/>
          <w:szCs w:val="24"/>
        </w:rPr>
        <w:t xml:space="preserve"> and above 1,50,000 respectively.</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15"/>
          <w:szCs w:val="15"/>
        </w:rPr>
      </w:pPr>
      <w:r w:rsidRPr="00814F7D">
        <w:rPr>
          <w:rFonts w:ascii="Book Antiqua" w:eastAsia="Times New Roman" w:hAnsi="Book Antiqua" w:cs="Times New Roman"/>
          <w:sz w:val="24"/>
          <w:szCs w:val="24"/>
          <w:u w:val="single"/>
        </w:rPr>
        <w:t>Corporate Income Tax</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15"/>
          <w:szCs w:val="15"/>
        </w:rPr>
      </w:pPr>
      <w:r w:rsidRPr="00814F7D">
        <w:rPr>
          <w:rFonts w:ascii="Book Antiqua" w:eastAsia="Times New Roman" w:hAnsi="Book Antiqua" w:cs="Times New Roman"/>
          <w:sz w:val="24"/>
          <w:szCs w:val="24"/>
        </w:rPr>
        <w:t xml:space="preserve">For domestic companies, this is levied @ 35% plus surcharge of 5%, </w:t>
      </w:r>
      <w:proofErr w:type="spellStart"/>
      <w:r w:rsidRPr="00814F7D">
        <w:rPr>
          <w:rFonts w:ascii="Book Antiqua" w:eastAsia="Times New Roman" w:hAnsi="Book Antiqua" w:cs="Times New Roman"/>
          <w:sz w:val="24"/>
          <w:szCs w:val="24"/>
        </w:rPr>
        <w:t>where as</w:t>
      </w:r>
      <w:proofErr w:type="spellEnd"/>
      <w:r w:rsidRPr="00814F7D">
        <w:rPr>
          <w:rFonts w:ascii="Book Antiqua" w:eastAsia="Times New Roman" w:hAnsi="Book Antiqua" w:cs="Times New Roman"/>
          <w:sz w:val="24"/>
          <w:szCs w:val="24"/>
        </w:rPr>
        <w:t xml:space="preserve"> for a foreign company (including branch/project offices), it is @ 40% plus surcharge of 5%. An Indian registered company, which is a subsidiary of a foreign company, is also considered an Indian company for this purpose.</w:t>
      </w:r>
      <w:r w:rsidRPr="00814F7D">
        <w:rPr>
          <w:rFonts w:ascii="Book Antiqua" w:eastAsia="Times New Roman" w:hAnsi="Book Antiqua" w:cs="Times New Roman"/>
          <w:sz w:val="15"/>
          <w:szCs w:val="15"/>
        </w:rPr>
        <w:t> </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15"/>
          <w:szCs w:val="15"/>
          <w:u w:val="single"/>
        </w:rPr>
      </w:pPr>
      <w:r w:rsidRPr="00814F7D">
        <w:rPr>
          <w:rFonts w:ascii="Times New Roman" w:eastAsia="Times New Roman" w:hAnsi="Times New Roman" w:cs="Times New Roman"/>
          <w:sz w:val="15"/>
          <w:szCs w:val="15"/>
          <w:u w:val="single"/>
        </w:rPr>
        <w:t> </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u w:val="single"/>
        </w:rPr>
        <w:t>Depreciation and interest deductions:</w:t>
      </w:r>
    </w:p>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Depreciation rates</w:t>
      </w:r>
    </w:p>
    <w:tbl>
      <w:tblPr>
        <w:tblW w:w="8234" w:type="dxa"/>
        <w:tblCellSpacing w:w="7" w:type="dxa"/>
        <w:tblBorders>
          <w:top w:val="outset" w:sz="6" w:space="0" w:color="0FE200"/>
          <w:left w:val="outset" w:sz="6" w:space="0" w:color="0FE200"/>
          <w:bottom w:val="outset" w:sz="6" w:space="0" w:color="0FE200"/>
          <w:right w:val="outset" w:sz="6" w:space="0" w:color="0FE200"/>
        </w:tblBorders>
        <w:tblCellMar>
          <w:top w:w="105" w:type="dxa"/>
          <w:left w:w="105" w:type="dxa"/>
          <w:bottom w:w="105" w:type="dxa"/>
          <w:right w:w="105" w:type="dxa"/>
        </w:tblCellMar>
        <w:tblLook w:val="04A0"/>
      </w:tblPr>
      <w:tblGrid>
        <w:gridCol w:w="4776"/>
        <w:gridCol w:w="3458"/>
      </w:tblGrid>
      <w:tr w:rsidR="00814F7D" w:rsidRPr="00814F7D" w:rsidTr="000209E3">
        <w:trPr>
          <w:trHeight w:val="346"/>
          <w:tblCellSpacing w:w="7" w:type="dxa"/>
        </w:trPr>
        <w:tc>
          <w:tcPr>
            <w:tcW w:w="2887" w:type="pct"/>
            <w:tcBorders>
              <w:top w:val="outset" w:sz="6" w:space="0" w:color="0FE200"/>
              <w:left w:val="outset" w:sz="6" w:space="0" w:color="0FE200"/>
              <w:bottom w:val="outset" w:sz="6" w:space="0" w:color="0FE200"/>
              <w:right w:val="outset" w:sz="6" w:space="0" w:color="0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b/>
                <w:bCs/>
                <w:sz w:val="24"/>
                <w:szCs w:val="24"/>
              </w:rPr>
              <w:t>Assets</w:t>
            </w:r>
          </w:p>
        </w:tc>
        <w:tc>
          <w:tcPr>
            <w:tcW w:w="2088" w:type="pct"/>
            <w:tcBorders>
              <w:top w:val="outset" w:sz="6" w:space="0" w:color="0FE200"/>
              <w:left w:val="outset" w:sz="6" w:space="0" w:color="0FE200"/>
              <w:bottom w:val="outset" w:sz="6" w:space="0" w:color="0FE200"/>
              <w:right w:val="outset" w:sz="6" w:space="0" w:color="0FE200"/>
            </w:tcBorders>
            <w:hideMark/>
          </w:tcPr>
          <w:p w:rsidR="00814F7D" w:rsidRPr="00814F7D" w:rsidRDefault="00814F7D" w:rsidP="00814F7D">
            <w:pPr>
              <w:spacing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b/>
                <w:bCs/>
                <w:sz w:val="24"/>
                <w:szCs w:val="24"/>
              </w:rPr>
              <w:t>Rates (%)</w:t>
            </w:r>
          </w:p>
        </w:tc>
      </w:tr>
      <w:tr w:rsidR="00814F7D" w:rsidRPr="00814F7D" w:rsidTr="000209E3">
        <w:trPr>
          <w:tblCellSpacing w:w="7" w:type="dxa"/>
        </w:trPr>
        <w:tc>
          <w:tcPr>
            <w:tcW w:w="2887" w:type="pct"/>
            <w:tcBorders>
              <w:top w:val="outset" w:sz="6" w:space="0" w:color="0FE200"/>
              <w:left w:val="outset" w:sz="6" w:space="0" w:color="0FE200"/>
              <w:bottom w:val="outset" w:sz="6" w:space="0" w:color="0FE200"/>
              <w:right w:val="outset" w:sz="6" w:space="0" w:color="0FE200"/>
            </w:tcBorders>
            <w:hideMark/>
          </w:tcPr>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Buildings</w:t>
            </w:r>
          </w:p>
        </w:tc>
        <w:tc>
          <w:tcPr>
            <w:tcW w:w="2088" w:type="pct"/>
            <w:tcBorders>
              <w:top w:val="outset" w:sz="6" w:space="0" w:color="0FE200"/>
              <w:left w:val="outset" w:sz="6" w:space="0" w:color="0FE200"/>
              <w:bottom w:val="outset" w:sz="6" w:space="0" w:color="0FE200"/>
              <w:right w:val="outset" w:sz="6" w:space="0" w:color="0FE200"/>
            </w:tcBorders>
            <w:hideMark/>
          </w:tcPr>
          <w:p w:rsidR="00814F7D" w:rsidRPr="00814F7D" w:rsidRDefault="00814F7D" w:rsidP="00814F7D">
            <w:pPr>
              <w:spacing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5-100</w:t>
            </w:r>
          </w:p>
        </w:tc>
      </w:tr>
      <w:tr w:rsidR="00814F7D" w:rsidRPr="00814F7D" w:rsidTr="000209E3">
        <w:trPr>
          <w:tblCellSpacing w:w="7" w:type="dxa"/>
        </w:trPr>
        <w:tc>
          <w:tcPr>
            <w:tcW w:w="2887" w:type="pct"/>
            <w:tcBorders>
              <w:top w:val="outset" w:sz="6" w:space="0" w:color="0FE200"/>
              <w:left w:val="outset" w:sz="6" w:space="0" w:color="0FE200"/>
              <w:bottom w:val="outset" w:sz="6" w:space="0" w:color="0FE200"/>
              <w:right w:val="outset" w:sz="6" w:space="0" w:color="0FE200"/>
            </w:tcBorders>
            <w:hideMark/>
          </w:tcPr>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Plant and Machinery</w:t>
            </w:r>
          </w:p>
        </w:tc>
        <w:tc>
          <w:tcPr>
            <w:tcW w:w="2088" w:type="pct"/>
            <w:tcBorders>
              <w:top w:val="outset" w:sz="6" w:space="0" w:color="0FE200"/>
              <w:left w:val="outset" w:sz="6" w:space="0" w:color="0FE200"/>
              <w:bottom w:val="outset" w:sz="6" w:space="0" w:color="0FE200"/>
              <w:right w:val="outset" w:sz="6" w:space="0" w:color="0FE200"/>
            </w:tcBorders>
            <w:hideMark/>
          </w:tcPr>
          <w:p w:rsidR="00814F7D" w:rsidRPr="00814F7D" w:rsidRDefault="00814F7D" w:rsidP="00814F7D">
            <w:pPr>
              <w:spacing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25-100</w:t>
            </w:r>
          </w:p>
        </w:tc>
      </w:tr>
      <w:tr w:rsidR="00814F7D" w:rsidRPr="00814F7D" w:rsidTr="000209E3">
        <w:trPr>
          <w:tblCellSpacing w:w="7" w:type="dxa"/>
        </w:trPr>
        <w:tc>
          <w:tcPr>
            <w:tcW w:w="2887" w:type="pct"/>
            <w:tcBorders>
              <w:top w:val="outset" w:sz="6" w:space="0" w:color="0FE200"/>
              <w:left w:val="outset" w:sz="6" w:space="0" w:color="0FE200"/>
              <w:bottom w:val="outset" w:sz="6" w:space="0" w:color="0FE200"/>
              <w:right w:val="outset" w:sz="6" w:space="0" w:color="0FE200"/>
            </w:tcBorders>
            <w:hideMark/>
          </w:tcPr>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Furniture and Fittings</w:t>
            </w:r>
          </w:p>
        </w:tc>
        <w:tc>
          <w:tcPr>
            <w:tcW w:w="2088" w:type="pct"/>
            <w:tcBorders>
              <w:top w:val="outset" w:sz="6" w:space="0" w:color="0FE200"/>
              <w:left w:val="outset" w:sz="6" w:space="0" w:color="0FE200"/>
              <w:bottom w:val="outset" w:sz="6" w:space="0" w:color="0FE200"/>
              <w:right w:val="outset" w:sz="6" w:space="0" w:color="0FE200"/>
            </w:tcBorders>
            <w:hideMark/>
          </w:tcPr>
          <w:p w:rsidR="00814F7D" w:rsidRPr="00814F7D" w:rsidRDefault="00814F7D" w:rsidP="00814F7D">
            <w:pPr>
              <w:spacing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r>
      <w:tr w:rsidR="00814F7D" w:rsidRPr="00814F7D" w:rsidTr="000209E3">
        <w:trPr>
          <w:tblCellSpacing w:w="7" w:type="dxa"/>
        </w:trPr>
        <w:tc>
          <w:tcPr>
            <w:tcW w:w="2887" w:type="pct"/>
            <w:tcBorders>
              <w:top w:val="outset" w:sz="6" w:space="0" w:color="0FE200"/>
              <w:left w:val="outset" w:sz="6" w:space="0" w:color="0FE200"/>
              <w:bottom w:val="outset" w:sz="6" w:space="0" w:color="0FE200"/>
              <w:right w:val="outset" w:sz="6" w:space="0" w:color="0FE200"/>
            </w:tcBorders>
            <w:hideMark/>
          </w:tcPr>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Vehicles (Other than for commercial use)</w:t>
            </w:r>
          </w:p>
        </w:tc>
        <w:tc>
          <w:tcPr>
            <w:tcW w:w="2088" w:type="pct"/>
            <w:tcBorders>
              <w:top w:val="outset" w:sz="6" w:space="0" w:color="0FE200"/>
              <w:left w:val="outset" w:sz="6" w:space="0" w:color="0FE200"/>
              <w:bottom w:val="outset" w:sz="6" w:space="0" w:color="0FE200"/>
              <w:right w:val="outset" w:sz="6" w:space="0" w:color="0FE200"/>
            </w:tcBorders>
            <w:hideMark/>
          </w:tcPr>
          <w:p w:rsidR="00814F7D" w:rsidRPr="00814F7D" w:rsidRDefault="00814F7D" w:rsidP="00814F7D">
            <w:pPr>
              <w:spacing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r>
      <w:tr w:rsidR="00814F7D" w:rsidRPr="00814F7D" w:rsidTr="000209E3">
        <w:trPr>
          <w:tblCellSpacing w:w="7" w:type="dxa"/>
        </w:trPr>
        <w:tc>
          <w:tcPr>
            <w:tcW w:w="2887" w:type="pct"/>
            <w:tcBorders>
              <w:top w:val="outset" w:sz="6" w:space="0" w:color="0FE200"/>
              <w:left w:val="outset" w:sz="6" w:space="0" w:color="0FE200"/>
              <w:bottom w:val="outset" w:sz="6" w:space="0" w:color="0FE200"/>
              <w:right w:val="outset" w:sz="6" w:space="0" w:color="0FE200"/>
            </w:tcBorders>
            <w:hideMark/>
          </w:tcPr>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Pollution Control Equipment</w:t>
            </w:r>
          </w:p>
        </w:tc>
        <w:tc>
          <w:tcPr>
            <w:tcW w:w="2088" w:type="pct"/>
            <w:tcBorders>
              <w:top w:val="outset" w:sz="6" w:space="0" w:color="0FE200"/>
              <w:left w:val="outset" w:sz="6" w:space="0" w:color="0FE200"/>
              <w:bottom w:val="outset" w:sz="6" w:space="0" w:color="0FE200"/>
              <w:right w:val="outset" w:sz="6" w:space="0" w:color="0FE200"/>
            </w:tcBorders>
            <w:hideMark/>
          </w:tcPr>
          <w:p w:rsidR="00814F7D" w:rsidRPr="00814F7D" w:rsidRDefault="00814F7D" w:rsidP="00814F7D">
            <w:pPr>
              <w:spacing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80</w:t>
            </w:r>
          </w:p>
        </w:tc>
      </w:tr>
      <w:tr w:rsidR="00814F7D" w:rsidRPr="00814F7D" w:rsidTr="000209E3">
        <w:trPr>
          <w:tblCellSpacing w:w="7" w:type="dxa"/>
        </w:trPr>
        <w:tc>
          <w:tcPr>
            <w:tcW w:w="2887" w:type="pct"/>
            <w:tcBorders>
              <w:top w:val="outset" w:sz="6" w:space="0" w:color="0FE200"/>
              <w:left w:val="outset" w:sz="6" w:space="0" w:color="0FE200"/>
              <w:bottom w:val="outset" w:sz="6" w:space="0" w:color="0FE200"/>
              <w:right w:val="outset" w:sz="6" w:space="0" w:color="0FE200"/>
            </w:tcBorders>
            <w:hideMark/>
          </w:tcPr>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Energy Saving Devices</w:t>
            </w:r>
          </w:p>
        </w:tc>
        <w:tc>
          <w:tcPr>
            <w:tcW w:w="2088" w:type="pct"/>
            <w:tcBorders>
              <w:top w:val="outset" w:sz="6" w:space="0" w:color="0FE200"/>
              <w:left w:val="outset" w:sz="6" w:space="0" w:color="0FE200"/>
              <w:bottom w:val="outset" w:sz="6" w:space="0" w:color="0FE200"/>
              <w:right w:val="outset" w:sz="6" w:space="0" w:color="0FE200"/>
            </w:tcBorders>
            <w:hideMark/>
          </w:tcPr>
          <w:p w:rsidR="00814F7D" w:rsidRPr="00814F7D" w:rsidRDefault="00814F7D" w:rsidP="00814F7D">
            <w:pPr>
              <w:spacing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80</w:t>
            </w:r>
          </w:p>
        </w:tc>
      </w:tr>
      <w:tr w:rsidR="00814F7D" w:rsidRPr="00814F7D" w:rsidTr="000209E3">
        <w:trPr>
          <w:tblCellSpacing w:w="7" w:type="dxa"/>
        </w:trPr>
        <w:tc>
          <w:tcPr>
            <w:tcW w:w="2887" w:type="pct"/>
            <w:tcBorders>
              <w:top w:val="outset" w:sz="6" w:space="0" w:color="0FE200"/>
              <w:left w:val="outset" w:sz="6" w:space="0" w:color="0FE200"/>
              <w:bottom w:val="outset" w:sz="6" w:space="0" w:color="0FE200"/>
              <w:right w:val="outset" w:sz="6" w:space="0" w:color="0FE200"/>
            </w:tcBorders>
            <w:hideMark/>
          </w:tcPr>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Ships</w:t>
            </w:r>
          </w:p>
        </w:tc>
        <w:tc>
          <w:tcPr>
            <w:tcW w:w="2088" w:type="pct"/>
            <w:tcBorders>
              <w:top w:val="outset" w:sz="6" w:space="0" w:color="0FE200"/>
              <w:left w:val="outset" w:sz="6" w:space="0" w:color="0FE200"/>
              <w:bottom w:val="outset" w:sz="6" w:space="0" w:color="0FE200"/>
              <w:right w:val="outset" w:sz="6" w:space="0" w:color="0FE200"/>
            </w:tcBorders>
            <w:hideMark/>
          </w:tcPr>
          <w:p w:rsidR="00814F7D" w:rsidRPr="00814F7D" w:rsidRDefault="00814F7D" w:rsidP="00814F7D">
            <w:pPr>
              <w:spacing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25</w:t>
            </w:r>
          </w:p>
        </w:tc>
      </w:tr>
      <w:tr w:rsidR="00814F7D" w:rsidRPr="00814F7D" w:rsidTr="000209E3">
        <w:trPr>
          <w:tblCellSpacing w:w="7" w:type="dxa"/>
        </w:trPr>
        <w:tc>
          <w:tcPr>
            <w:tcW w:w="2887" w:type="pct"/>
            <w:tcBorders>
              <w:top w:val="outset" w:sz="6" w:space="0" w:color="0FE200"/>
              <w:left w:val="outset" w:sz="6" w:space="0" w:color="0FE200"/>
              <w:bottom w:val="outset" w:sz="6" w:space="0" w:color="0FE200"/>
              <w:right w:val="outset" w:sz="6" w:space="0" w:color="0FE200"/>
            </w:tcBorders>
            <w:hideMark/>
          </w:tcPr>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Intangible assets</w:t>
            </w:r>
          </w:p>
        </w:tc>
        <w:tc>
          <w:tcPr>
            <w:tcW w:w="2088" w:type="pct"/>
            <w:tcBorders>
              <w:top w:val="outset" w:sz="6" w:space="0" w:color="0FE200"/>
              <w:left w:val="outset" w:sz="6" w:space="0" w:color="0FE200"/>
              <w:bottom w:val="outset" w:sz="6" w:space="0" w:color="0FE200"/>
              <w:right w:val="outset" w:sz="6" w:space="0" w:color="0FE200"/>
            </w:tcBorders>
            <w:hideMark/>
          </w:tcPr>
          <w:p w:rsidR="00814F7D" w:rsidRPr="00814F7D" w:rsidRDefault="00814F7D" w:rsidP="00814F7D">
            <w:pPr>
              <w:spacing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25</w:t>
            </w:r>
          </w:p>
        </w:tc>
      </w:tr>
    </w:tbl>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rPr>
      </w:pPr>
      <w:r w:rsidRPr="00814F7D">
        <w:rPr>
          <w:rFonts w:ascii="Times New Roman" w:eastAsia="Times New Roman" w:hAnsi="Times New Roman" w:cs="Times New Roman"/>
          <w:sz w:val="24"/>
          <w:szCs w:val="24"/>
        </w:rPr>
        <w:t> </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u w:val="single"/>
        </w:rPr>
      </w:pPr>
      <w:r w:rsidRPr="00814F7D">
        <w:rPr>
          <w:rFonts w:ascii="Book Antiqua" w:eastAsia="Times New Roman" w:hAnsi="Book Antiqua" w:cs="Times New Roman"/>
          <w:sz w:val="24"/>
          <w:szCs w:val="24"/>
          <w:u w:val="single"/>
        </w:rPr>
        <w:t>Withholding Tax for NRIs and Foreign Companies:</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lastRenderedPageBreak/>
        <w:t>Withholding Tax Rates for payments made to Non-Residents are determined by the Finance Act passed by the Parliament for various years. The current rates are:</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 Interest - 20% of Gross Amount</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 Dividends - 10%</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3. Royalties - 20%</w:t>
      </w:r>
      <w:r w:rsidRPr="00814F7D">
        <w:rPr>
          <w:rFonts w:ascii="Book Antiqua" w:eastAsia="Times New Roman" w:hAnsi="Book Antiqua" w:cs="Times New Roman"/>
          <w:sz w:val="24"/>
          <w:szCs w:val="24"/>
        </w:rPr>
        <w:br/>
      </w:r>
      <w:r w:rsidRPr="00814F7D">
        <w:rPr>
          <w:rFonts w:ascii="Book Antiqua" w:eastAsia="Times New Roman" w:hAnsi="Book Antiqua" w:cs="Times New Roman"/>
          <w:sz w:val="24"/>
          <w:szCs w:val="24"/>
        </w:rPr>
        <w:br/>
        <w:t xml:space="preserve">4. </w:t>
      </w:r>
      <w:proofErr w:type="gramStart"/>
      <w:r w:rsidRPr="00814F7D">
        <w:rPr>
          <w:rFonts w:ascii="Book Antiqua" w:eastAsia="Times New Roman" w:hAnsi="Book Antiqua" w:cs="Times New Roman"/>
          <w:sz w:val="24"/>
          <w:szCs w:val="24"/>
        </w:rPr>
        <w:t>Technical Services - 20%</w:t>
      </w:r>
      <w:r w:rsidRPr="00814F7D">
        <w:rPr>
          <w:rFonts w:ascii="Book Antiqua" w:eastAsia="Times New Roman" w:hAnsi="Book Antiqua" w:cs="Times New Roman"/>
          <w:sz w:val="24"/>
          <w:szCs w:val="24"/>
        </w:rPr>
        <w:br/>
      </w:r>
      <w:r w:rsidRPr="00814F7D">
        <w:rPr>
          <w:rFonts w:ascii="Book Antiqua" w:eastAsia="Times New Roman" w:hAnsi="Book Antiqua" w:cs="Times New Roman"/>
          <w:sz w:val="24"/>
          <w:szCs w:val="24"/>
        </w:rPr>
        <w:br/>
        <w:t>5.</w:t>
      </w:r>
      <w:proofErr w:type="gramEnd"/>
      <w:r w:rsidRPr="00814F7D">
        <w:rPr>
          <w:rFonts w:ascii="Book Antiqua" w:eastAsia="Times New Roman" w:hAnsi="Book Antiqua" w:cs="Times New Roman"/>
          <w:sz w:val="24"/>
          <w:szCs w:val="24"/>
        </w:rPr>
        <w:t xml:space="preserve"> Any other Services - Individuals - 30% of net income</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                                        Companies/</w:t>
      </w:r>
      <w:proofErr w:type="spellStart"/>
      <w:r w:rsidRPr="00814F7D">
        <w:rPr>
          <w:rFonts w:ascii="Book Antiqua" w:eastAsia="Times New Roman" w:hAnsi="Book Antiqua" w:cs="Times New Roman"/>
          <w:sz w:val="24"/>
          <w:szCs w:val="24"/>
        </w:rPr>
        <w:t>Corporates</w:t>
      </w:r>
      <w:proofErr w:type="spellEnd"/>
      <w:r w:rsidRPr="00814F7D">
        <w:rPr>
          <w:rFonts w:ascii="Book Antiqua" w:eastAsia="Times New Roman" w:hAnsi="Book Antiqua" w:cs="Times New Roman"/>
          <w:sz w:val="24"/>
          <w:szCs w:val="24"/>
        </w:rPr>
        <w:t xml:space="preserve"> - 40% of net income</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36"/>
          <w:szCs w:val="36"/>
        </w:rPr>
      </w:pPr>
      <w:r w:rsidRPr="00814F7D">
        <w:rPr>
          <w:rFonts w:ascii="Book Antiqua" w:eastAsia="Times New Roman" w:hAnsi="Book Antiqua" w:cs="Times New Roman"/>
          <w:sz w:val="24"/>
          <w:szCs w:val="24"/>
        </w:rPr>
        <w:t xml:space="preserve">The above rates are general and in respect of the countries with which India does not have a Double Taxation Avoidance Agreement (DTAA). </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u w:val="single"/>
        </w:rPr>
        <w:t>Double Taxation Relief:</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 xml:space="preserve">India has entered into DTAA with 65 countries including countries like U.S.A., U.K., Japan, France, Germany, etc. These agreements provides for relief from the double taxation in respect of incomes by providing exemption and also by providing credits for taxes paid in one of the countries. These treaties are based on the general principles laid down in the model draft of the </w:t>
      </w:r>
      <w:proofErr w:type="spellStart"/>
      <w:r w:rsidRPr="00814F7D">
        <w:rPr>
          <w:rFonts w:ascii="Book Antiqua" w:eastAsia="Times New Roman" w:hAnsi="Book Antiqua" w:cs="Times New Roman"/>
          <w:sz w:val="24"/>
          <w:szCs w:val="24"/>
        </w:rPr>
        <w:t>Organisation</w:t>
      </w:r>
      <w:proofErr w:type="spellEnd"/>
      <w:r w:rsidRPr="00814F7D">
        <w:rPr>
          <w:rFonts w:ascii="Book Antiqua" w:eastAsia="Times New Roman" w:hAnsi="Book Antiqua" w:cs="Times New Roman"/>
          <w:sz w:val="24"/>
          <w:szCs w:val="24"/>
        </w:rPr>
        <w:t xml:space="preserve"> for Economic Cooperation and Development (OECD) with suitable modifications as agreed to by the other contracting countries. In case of countries with which India has double taxation avoidance agreements, the tax rates are determined by such agreements and are indicated for various countries as under:</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rPr>
      </w:pPr>
      <w:r w:rsidRPr="00814F7D">
        <w:rPr>
          <w:rFonts w:ascii="Times New Roman" w:eastAsia="Times New Roman" w:hAnsi="Times New Roman" w:cs="Times New Roman"/>
          <w:sz w:val="24"/>
          <w:szCs w:val="24"/>
        </w:rPr>
        <w:t> </w:t>
      </w:r>
    </w:p>
    <w:tbl>
      <w:tblPr>
        <w:tblW w:w="8850" w:type="dxa"/>
        <w:tblCellSpacing w:w="7" w:type="dxa"/>
        <w:tblBorders>
          <w:top w:val="outset" w:sz="6" w:space="0" w:color="1FE200"/>
          <w:left w:val="outset" w:sz="6" w:space="0" w:color="1FE200"/>
          <w:bottom w:val="outset" w:sz="6" w:space="0" w:color="1FE200"/>
          <w:right w:val="outset" w:sz="6" w:space="0" w:color="1FE200"/>
        </w:tblBorders>
        <w:tblCellMar>
          <w:top w:w="105" w:type="dxa"/>
          <w:left w:w="105" w:type="dxa"/>
          <w:bottom w:w="105" w:type="dxa"/>
          <w:right w:w="105" w:type="dxa"/>
        </w:tblCellMar>
        <w:tblLook w:val="04A0"/>
      </w:tblPr>
      <w:tblGrid>
        <w:gridCol w:w="2564"/>
        <w:gridCol w:w="1861"/>
        <w:gridCol w:w="2209"/>
        <w:gridCol w:w="2216"/>
      </w:tblGrid>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b/>
                <w:bCs/>
                <w:sz w:val="24"/>
                <w:szCs w:val="24"/>
              </w:rPr>
              <w:t>Country</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b/>
                <w:bCs/>
                <w:sz w:val="24"/>
                <w:szCs w:val="24"/>
              </w:rPr>
              <w:t>Dividends</w:t>
            </w:r>
          </w:p>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b/>
                <w:bCs/>
                <w:sz w:val="24"/>
                <w:szCs w:val="24"/>
              </w:rPr>
              <w:t>%</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b/>
                <w:bCs/>
                <w:sz w:val="24"/>
                <w:szCs w:val="24"/>
              </w:rPr>
              <w:t>Interest</w:t>
            </w:r>
          </w:p>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b/>
                <w:bCs/>
                <w:sz w:val="24"/>
                <w:szCs w:val="24"/>
              </w:rPr>
              <w:t xml:space="preserve">% </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b/>
                <w:bCs/>
                <w:sz w:val="24"/>
                <w:szCs w:val="24"/>
              </w:rPr>
              <w:t>Royalties</w:t>
            </w:r>
          </w:p>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b/>
                <w:bCs/>
                <w:sz w:val="24"/>
                <w:szCs w:val="24"/>
              </w:rPr>
              <w:t>%</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Australia</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Austria</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30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Bangladesh</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Belarus</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lastRenderedPageBreak/>
              <w:t>Belgium</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Brazil</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Bulgaria</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Canada</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China</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Cyprus</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 xml:space="preserve">Czechoslovakia </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30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Czech Republic</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Denmark</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Egypt</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30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Finland</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France</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10/20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Germany</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Greece</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30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Hungary</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30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Indonesia</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Israel</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Italy</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Japan</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Jordan</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Kazakhstan</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Kenya</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Korea</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lastRenderedPageBreak/>
              <w:t>Kyrgyzstan</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Libya</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30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Malaysia</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30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Malta</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Mauritius</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Mongolia</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Morocco</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Namibia</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Nepal</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Netherlands</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New Zealand</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Norway</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30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Oman</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12.5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Philippines</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Poland</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22.5</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Portugal</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Qatar</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Romania</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22.5</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Russian Federation</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Singapore</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 xml:space="preserve">South Africa </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Spain</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Sri Lanka</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lastRenderedPageBreak/>
              <w:t>Sweden</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 xml:space="preserve">Switzerland </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Syria</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7.5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Tanzania</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12.5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Thailand</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Trinidad and Tobago</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Turkey</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Turkmenistan</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United Arab Emirates</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12.5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United Kingdom</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United States</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Uzbekistan</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Vietnam</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Zambia</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15</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w:t>
            </w:r>
          </w:p>
        </w:tc>
      </w:tr>
      <w:tr w:rsidR="00814F7D" w:rsidRPr="00814F7D" w:rsidTr="00A10183">
        <w:trPr>
          <w:tblCellSpacing w:w="7" w:type="dxa"/>
        </w:trPr>
        <w:tc>
          <w:tcPr>
            <w:tcW w:w="1437"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after="0"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Non treaty countries</w:t>
            </w:r>
          </w:p>
        </w:tc>
        <w:tc>
          <w:tcPr>
            <w:tcW w:w="1044"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c>
          <w:tcPr>
            <w:tcW w:w="1240" w:type="pct"/>
            <w:tcBorders>
              <w:top w:val="outset" w:sz="6" w:space="0" w:color="1FE200"/>
              <w:left w:val="outset" w:sz="6" w:space="0" w:color="1FE200"/>
              <w:bottom w:val="outset" w:sz="6" w:space="0" w:color="1FE200"/>
              <w:right w:val="outset" w:sz="6" w:space="0" w:color="1FE200"/>
            </w:tcBorders>
            <w:hideMark/>
          </w:tcPr>
          <w:p w:rsidR="00814F7D" w:rsidRPr="00814F7D" w:rsidRDefault="00814F7D" w:rsidP="00814F7D">
            <w:pPr>
              <w:spacing w:before="100" w:beforeAutospacing="1" w:after="100" w:afterAutospacing="1" w:line="240" w:lineRule="auto"/>
              <w:jc w:val="center"/>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20</w:t>
            </w:r>
          </w:p>
        </w:tc>
      </w:tr>
    </w:tbl>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u w:val="single"/>
        </w:rPr>
      </w:pPr>
      <w:r w:rsidRPr="00814F7D">
        <w:rPr>
          <w:rFonts w:ascii="Book Antiqua" w:eastAsia="Times New Roman" w:hAnsi="Book Antiqua" w:cs="Times New Roman"/>
          <w:b/>
          <w:bCs/>
          <w:color w:val="000080"/>
          <w:sz w:val="24"/>
          <w:szCs w:val="24"/>
          <w:u w:val="single"/>
        </w:rPr>
        <w:t>General Tax Incentives for Industries:</w:t>
      </w:r>
    </w:p>
    <w:p w:rsidR="00814F7D" w:rsidRPr="00814F7D" w:rsidRDefault="00814F7D" w:rsidP="00814F7D">
      <w:pPr>
        <w:numPr>
          <w:ilvl w:val="0"/>
          <w:numId w:val="2"/>
        </w:numPr>
        <w:spacing w:beforeAutospacing="1" w:after="100" w:afterAutospacing="1" w:line="240" w:lineRule="auto"/>
        <w:ind w:left="144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100% deduction of profits and gains for ten years is available in respect of the following:</w:t>
      </w:r>
    </w:p>
    <w:p w:rsidR="00814F7D" w:rsidRPr="00814F7D" w:rsidRDefault="00814F7D" w:rsidP="00814F7D">
      <w:pPr>
        <w:numPr>
          <w:ilvl w:val="0"/>
          <w:numId w:val="3"/>
        </w:numPr>
        <w:spacing w:beforeAutospacing="1" w:after="100" w:afterAutospacing="1" w:line="240" w:lineRule="auto"/>
        <w:ind w:left="288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Any enterprise carrying on the business of developing, maintaining and operating infrastructure facilities viz., roads, highways, bridges, airports, ports, rail systems, industrial towns, inland waterways, water supply projects, water treatment systems, irrigation projects, sanitation and sewage projects, solid waste management systems.</w:t>
      </w:r>
    </w:p>
    <w:p w:rsidR="00814F7D" w:rsidRPr="00814F7D" w:rsidRDefault="00814F7D" w:rsidP="00814F7D">
      <w:pPr>
        <w:numPr>
          <w:ilvl w:val="0"/>
          <w:numId w:val="3"/>
        </w:numPr>
        <w:spacing w:before="100" w:beforeAutospacing="1" w:after="100" w:afterAutospacing="1" w:line="240" w:lineRule="auto"/>
        <w:ind w:left="288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lastRenderedPageBreak/>
        <w:t>Undertakings engaged in generation or generation and distribution, transmission or distribution of power, which commence these activities before 31.3.2006.</w:t>
      </w:r>
    </w:p>
    <w:p w:rsidR="00814F7D" w:rsidRPr="00814F7D" w:rsidRDefault="00814F7D" w:rsidP="00814F7D">
      <w:pPr>
        <w:numPr>
          <w:ilvl w:val="0"/>
          <w:numId w:val="3"/>
        </w:numPr>
        <w:spacing w:before="100" w:beforeAutospacing="1" w:after="100" w:afterAutospacing="1" w:line="240" w:lineRule="auto"/>
        <w:ind w:left="288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Any company engaged in scientific and industrial research and development activities, approved by the prescribed authority, before 31.3.2003.</w:t>
      </w:r>
    </w:p>
    <w:p w:rsidR="00814F7D" w:rsidRPr="00814F7D" w:rsidRDefault="00814F7D" w:rsidP="00814F7D">
      <w:pPr>
        <w:numPr>
          <w:ilvl w:val="0"/>
          <w:numId w:val="3"/>
        </w:numPr>
        <w:spacing w:before="100" w:beforeAutospacing="1" w:after="100" w:afterAutospacing="1" w:line="240" w:lineRule="auto"/>
        <w:ind w:left="288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Any undertaking which develops, operates, maintains an Industrial Park or Special Economic Zone before 31.3.2006.</w:t>
      </w:r>
    </w:p>
    <w:p w:rsidR="00814F7D" w:rsidRPr="00814F7D" w:rsidRDefault="00814F7D" w:rsidP="00814F7D">
      <w:pPr>
        <w:numPr>
          <w:ilvl w:val="0"/>
          <w:numId w:val="3"/>
        </w:numPr>
        <w:spacing w:before="100" w:beforeAutospacing="1" w:after="100" w:afterAutospacing="1" w:line="240" w:lineRule="auto"/>
        <w:ind w:left="288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Notified Industrial Undertakings set up in the North Eastern region including seven north-eastern states and the state of Sikkim.</w:t>
      </w:r>
    </w:p>
    <w:p w:rsidR="00814F7D" w:rsidRPr="00814F7D" w:rsidRDefault="00814F7D" w:rsidP="00814F7D">
      <w:pPr>
        <w:numPr>
          <w:ilvl w:val="0"/>
          <w:numId w:val="3"/>
        </w:numPr>
        <w:spacing w:before="100" w:beforeAutospacing="1" w:after="100" w:afterAutospacing="1" w:line="240" w:lineRule="auto"/>
        <w:ind w:left="288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Undertakings developing and building housing projects approved by the local authority before 31.3.2001and which are completed before 31.3.2003.</w:t>
      </w:r>
    </w:p>
    <w:p w:rsidR="00814F7D" w:rsidRPr="00814F7D" w:rsidRDefault="00814F7D" w:rsidP="00814F7D">
      <w:pPr>
        <w:numPr>
          <w:ilvl w:val="0"/>
          <w:numId w:val="4"/>
        </w:numPr>
        <w:spacing w:before="100" w:beforeAutospacing="1" w:after="100" w:afterAutospacing="1" w:line="240" w:lineRule="auto"/>
        <w:ind w:left="144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100% deduction for seven years for undertakings producing or refining mineral oil.</w:t>
      </w:r>
    </w:p>
    <w:p w:rsidR="00814F7D" w:rsidRPr="00814F7D" w:rsidRDefault="00814F7D" w:rsidP="00814F7D">
      <w:pPr>
        <w:numPr>
          <w:ilvl w:val="0"/>
          <w:numId w:val="4"/>
        </w:numPr>
        <w:spacing w:before="100" w:beforeAutospacing="1" w:after="100" w:afterAutospacing="1" w:line="240" w:lineRule="auto"/>
        <w:ind w:left="144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100% deduction from income for first five years and 30% (for persons other than companies: 25%) in subsequent five years is available in respect of the following:</w:t>
      </w:r>
    </w:p>
    <w:p w:rsidR="00814F7D" w:rsidRPr="00814F7D" w:rsidRDefault="00814F7D" w:rsidP="00814F7D">
      <w:pPr>
        <w:numPr>
          <w:ilvl w:val="0"/>
          <w:numId w:val="5"/>
        </w:numPr>
        <w:spacing w:beforeAutospacing="1" w:after="100" w:afterAutospacing="1" w:line="240" w:lineRule="auto"/>
        <w:ind w:left="288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 xml:space="preserve">Company which starts providing telecommunication services whether basic or cellular including radio paging, domestic satellite service, network or </w:t>
      </w:r>
      <w:proofErr w:type="spellStart"/>
      <w:r w:rsidRPr="00814F7D">
        <w:rPr>
          <w:rFonts w:ascii="Book Antiqua" w:eastAsia="Times New Roman" w:hAnsi="Book Antiqua" w:cs="Times New Roman"/>
          <w:sz w:val="24"/>
          <w:szCs w:val="24"/>
        </w:rPr>
        <w:t>trunking</w:t>
      </w:r>
      <w:proofErr w:type="spellEnd"/>
      <w:r w:rsidRPr="00814F7D">
        <w:rPr>
          <w:rFonts w:ascii="Book Antiqua" w:eastAsia="Times New Roman" w:hAnsi="Book Antiqua" w:cs="Times New Roman"/>
          <w:sz w:val="24"/>
          <w:szCs w:val="24"/>
        </w:rPr>
        <w:t>, broad band network and internet services before 31.3.2003.</w:t>
      </w:r>
    </w:p>
    <w:p w:rsidR="00814F7D" w:rsidRPr="00814F7D" w:rsidRDefault="00814F7D" w:rsidP="00814F7D">
      <w:pPr>
        <w:numPr>
          <w:ilvl w:val="0"/>
          <w:numId w:val="5"/>
        </w:numPr>
        <w:spacing w:before="100" w:beforeAutospacing="1" w:after="100" w:afterAutospacing="1" w:line="240" w:lineRule="auto"/>
        <w:ind w:left="288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Industrial undertakings located in certain specified industrially backward states and districts.</w:t>
      </w:r>
    </w:p>
    <w:p w:rsidR="00814F7D" w:rsidRPr="00814F7D" w:rsidRDefault="00814F7D" w:rsidP="00814F7D">
      <w:pPr>
        <w:numPr>
          <w:ilvl w:val="0"/>
          <w:numId w:val="5"/>
        </w:numPr>
        <w:spacing w:before="100" w:beforeAutospacing="1" w:after="100" w:afterAutospacing="1" w:line="240" w:lineRule="auto"/>
        <w:ind w:left="288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Undertakings which begin to operate cold chain facilities for agricultural produce before 31.3.2003.</w:t>
      </w:r>
    </w:p>
    <w:p w:rsidR="00814F7D" w:rsidRPr="00814F7D" w:rsidRDefault="00814F7D" w:rsidP="00814F7D">
      <w:pPr>
        <w:numPr>
          <w:ilvl w:val="0"/>
          <w:numId w:val="5"/>
        </w:numPr>
        <w:spacing w:before="100" w:beforeAutospacing="1" w:after="100" w:afterAutospacing="1" w:line="240" w:lineRule="auto"/>
        <w:ind w:left="288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Undertakings engaged in the business of handling, storage, transportation of food grains.</w:t>
      </w:r>
    </w:p>
    <w:p w:rsidR="00814F7D" w:rsidRPr="00814F7D" w:rsidRDefault="00814F7D" w:rsidP="00814F7D">
      <w:pPr>
        <w:numPr>
          <w:ilvl w:val="0"/>
          <w:numId w:val="6"/>
        </w:numPr>
        <w:spacing w:before="100" w:beforeAutospacing="1" w:after="100" w:afterAutospacing="1" w:line="240" w:lineRule="auto"/>
        <w:ind w:left="144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 xml:space="preserve">50% deduction for a period of five years is available to undertakings engaged in the business of building, owning and operating multiplex theatres or convention </w:t>
      </w:r>
      <w:proofErr w:type="spellStart"/>
      <w:r w:rsidRPr="00814F7D">
        <w:rPr>
          <w:rFonts w:ascii="Book Antiqua" w:eastAsia="Times New Roman" w:hAnsi="Book Antiqua" w:cs="Times New Roman"/>
          <w:sz w:val="24"/>
          <w:szCs w:val="24"/>
        </w:rPr>
        <w:t>centres</w:t>
      </w:r>
      <w:proofErr w:type="spellEnd"/>
      <w:r w:rsidRPr="00814F7D">
        <w:rPr>
          <w:rFonts w:ascii="Book Antiqua" w:eastAsia="Times New Roman" w:hAnsi="Book Antiqua" w:cs="Times New Roman"/>
          <w:sz w:val="24"/>
          <w:szCs w:val="24"/>
        </w:rPr>
        <w:t xml:space="preserve"> constructed before 31.3.2005.</w:t>
      </w:r>
    </w:p>
    <w:p w:rsidR="00814F7D" w:rsidRPr="00814F7D" w:rsidRDefault="00814F7D" w:rsidP="00814F7D">
      <w:pPr>
        <w:numPr>
          <w:ilvl w:val="0"/>
          <w:numId w:val="6"/>
        </w:numPr>
        <w:spacing w:before="100" w:beforeAutospacing="1" w:after="100" w:afterAutospacing="1" w:line="240" w:lineRule="auto"/>
        <w:ind w:left="144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 xml:space="preserve">Tax exemption of 100% on export profits for ten years </w:t>
      </w:r>
      <w:proofErr w:type="spellStart"/>
      <w:r w:rsidRPr="00814F7D">
        <w:rPr>
          <w:rFonts w:ascii="Book Antiqua" w:eastAsia="Times New Roman" w:hAnsi="Book Antiqua" w:cs="Times New Roman"/>
          <w:sz w:val="24"/>
          <w:szCs w:val="24"/>
        </w:rPr>
        <w:t>upto</w:t>
      </w:r>
      <w:proofErr w:type="spellEnd"/>
      <w:r w:rsidRPr="00814F7D">
        <w:rPr>
          <w:rFonts w:ascii="Book Antiqua" w:eastAsia="Times New Roman" w:hAnsi="Book Antiqua" w:cs="Times New Roman"/>
          <w:sz w:val="24"/>
          <w:szCs w:val="24"/>
        </w:rPr>
        <w:t xml:space="preserve"> F.Y. 2009-10, for new industries located in EHTPs and STPs and 100% Export Oriented Units. For units set up in Special Economic Zones (SEZs), 100% deduction of export income for first five years followed by 50% for next two years, even beyond 2009-10.</w:t>
      </w:r>
    </w:p>
    <w:p w:rsidR="00814F7D" w:rsidRPr="00814F7D" w:rsidRDefault="00814F7D" w:rsidP="00814F7D">
      <w:pPr>
        <w:numPr>
          <w:ilvl w:val="0"/>
          <w:numId w:val="6"/>
        </w:numPr>
        <w:spacing w:before="100" w:beforeAutospacing="1" w:after="100" w:afterAutospacing="1" w:line="240" w:lineRule="auto"/>
        <w:ind w:left="144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 xml:space="preserve">Tax exemption of 100% of Export profits for ten years for new industries located in Integrated Infrastructure Development </w:t>
      </w:r>
      <w:proofErr w:type="spellStart"/>
      <w:r w:rsidRPr="00814F7D">
        <w:rPr>
          <w:rFonts w:ascii="Book Antiqua" w:eastAsia="Times New Roman" w:hAnsi="Book Antiqua" w:cs="Times New Roman"/>
          <w:sz w:val="24"/>
          <w:szCs w:val="24"/>
        </w:rPr>
        <w:t>Centres</w:t>
      </w:r>
      <w:proofErr w:type="spellEnd"/>
      <w:r w:rsidRPr="00814F7D">
        <w:rPr>
          <w:rFonts w:ascii="Book Antiqua" w:eastAsia="Times New Roman" w:hAnsi="Book Antiqua" w:cs="Times New Roman"/>
          <w:sz w:val="24"/>
          <w:szCs w:val="24"/>
        </w:rPr>
        <w:t xml:space="preserve"> or Industrial Growth </w:t>
      </w:r>
      <w:proofErr w:type="spellStart"/>
      <w:r w:rsidRPr="00814F7D">
        <w:rPr>
          <w:rFonts w:ascii="Book Antiqua" w:eastAsia="Times New Roman" w:hAnsi="Book Antiqua" w:cs="Times New Roman"/>
          <w:sz w:val="24"/>
          <w:szCs w:val="24"/>
        </w:rPr>
        <w:t>Centres</w:t>
      </w:r>
      <w:proofErr w:type="spellEnd"/>
      <w:r w:rsidRPr="00814F7D">
        <w:rPr>
          <w:rFonts w:ascii="Book Antiqua" w:eastAsia="Times New Roman" w:hAnsi="Book Antiqua" w:cs="Times New Roman"/>
          <w:sz w:val="24"/>
          <w:szCs w:val="24"/>
        </w:rPr>
        <w:t xml:space="preserve"> of the North Eastern Region.</w:t>
      </w:r>
    </w:p>
    <w:p w:rsidR="00814F7D" w:rsidRPr="00814F7D" w:rsidRDefault="00814F7D" w:rsidP="00814F7D">
      <w:pPr>
        <w:numPr>
          <w:ilvl w:val="0"/>
          <w:numId w:val="6"/>
        </w:numPr>
        <w:spacing w:before="100" w:beforeAutospacing="1" w:after="100" w:afterAutospacing="1" w:line="240" w:lineRule="auto"/>
        <w:ind w:left="144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lastRenderedPageBreak/>
        <w:t>Deduction of 50% of export profits from the gross total income. The deduction would be restricted to 30% for financial year 2003-04 and no deduction is allowable subsequently.</w:t>
      </w:r>
    </w:p>
    <w:p w:rsidR="00814F7D" w:rsidRPr="00814F7D" w:rsidRDefault="00814F7D" w:rsidP="00814F7D">
      <w:pPr>
        <w:numPr>
          <w:ilvl w:val="0"/>
          <w:numId w:val="6"/>
        </w:numPr>
        <w:spacing w:before="100" w:beforeAutospacing="1" w:after="100" w:afterAutospacing="1" w:line="240" w:lineRule="auto"/>
        <w:ind w:left="144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Deduction from the gross total income of 50% of foreign exchange earnings by hotels and tour operators. The deduction would be restricted to 30% for financial year 2003-04 and no deduction is allowable subsequently.</w:t>
      </w:r>
    </w:p>
    <w:p w:rsidR="00814F7D" w:rsidRPr="00814F7D" w:rsidRDefault="00814F7D" w:rsidP="00814F7D">
      <w:pPr>
        <w:numPr>
          <w:ilvl w:val="0"/>
          <w:numId w:val="6"/>
        </w:numPr>
        <w:spacing w:before="100" w:beforeAutospacing="1" w:after="100" w:afterAutospacing="1" w:line="240" w:lineRule="auto"/>
        <w:ind w:left="144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50% deduction of export income due to export of computer software or film software, television software, music software, from the gross total income. The deduction would be restricted to 30% for financial year 2003-04 and no deduction is allowable subsequently.</w:t>
      </w:r>
    </w:p>
    <w:p w:rsidR="00814F7D" w:rsidRPr="00814F7D" w:rsidRDefault="00814F7D" w:rsidP="00814F7D">
      <w:pPr>
        <w:numPr>
          <w:ilvl w:val="0"/>
          <w:numId w:val="6"/>
        </w:numPr>
        <w:spacing w:before="100" w:beforeAutospacing="1" w:after="100" w:afterAutospacing="1" w:line="240" w:lineRule="auto"/>
        <w:ind w:left="144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Deduction in respect of certain inter-corporate dividends to the extent of dividend declared.</w:t>
      </w:r>
    </w:p>
    <w:p w:rsidR="00814F7D" w:rsidRPr="00814F7D" w:rsidRDefault="00814F7D" w:rsidP="00814F7D">
      <w:pPr>
        <w:numPr>
          <w:ilvl w:val="0"/>
          <w:numId w:val="6"/>
        </w:numPr>
        <w:spacing w:before="100" w:beforeAutospacing="1" w:after="100" w:afterAutospacing="1" w:line="240" w:lineRule="auto"/>
        <w:ind w:left="144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 xml:space="preserve">Exemption of any income by way of dividend, interest or long term capital gains of an infrastructure capital fund or an infrastructure capital company from investment made by way of shares or long term finance in any enterprises carrying on the business of developing, maintaining and operating infrastructure facility. </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u w:val="single"/>
        </w:rPr>
      </w:pPr>
      <w:r w:rsidRPr="00814F7D">
        <w:rPr>
          <w:rFonts w:ascii="Book Antiqua" w:eastAsia="Times New Roman" w:hAnsi="Book Antiqua" w:cs="Times New Roman"/>
          <w:b/>
          <w:bCs/>
          <w:color w:val="000080"/>
          <w:sz w:val="24"/>
          <w:szCs w:val="24"/>
          <w:u w:val="single"/>
        </w:rPr>
        <w:t>Sales Tax</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15"/>
          <w:szCs w:val="15"/>
        </w:rPr>
      </w:pPr>
      <w:r w:rsidRPr="00814F7D">
        <w:rPr>
          <w:rFonts w:ascii="Book Antiqua" w:eastAsia="Times New Roman" w:hAnsi="Book Antiqua" w:cs="Times New Roman"/>
          <w:sz w:val="24"/>
          <w:szCs w:val="24"/>
          <w:u w:val="single"/>
        </w:rPr>
        <w:t>Central Sales Tax (CST)</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u w:val="single"/>
        </w:rPr>
      </w:pPr>
      <w:r w:rsidRPr="00814F7D">
        <w:rPr>
          <w:rFonts w:ascii="Book Antiqua" w:eastAsia="Times New Roman" w:hAnsi="Book Antiqua" w:cs="Times New Roman"/>
          <w:sz w:val="24"/>
          <w:szCs w:val="24"/>
        </w:rPr>
        <w:t>CST is 4% on manufactured goods.</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15"/>
          <w:szCs w:val="15"/>
        </w:rPr>
      </w:pPr>
      <w:r w:rsidRPr="00814F7D">
        <w:rPr>
          <w:rFonts w:ascii="Book Antiqua" w:eastAsia="Times New Roman" w:hAnsi="Book Antiqua" w:cs="Times New Roman"/>
          <w:sz w:val="24"/>
          <w:szCs w:val="24"/>
          <w:u w:val="single"/>
        </w:rPr>
        <w:t>Local Sales Tax (LST)</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u w:val="single"/>
        </w:rPr>
      </w:pPr>
      <w:r w:rsidRPr="00814F7D">
        <w:rPr>
          <w:rFonts w:ascii="Book Antiqua" w:eastAsia="Times New Roman" w:hAnsi="Book Antiqua" w:cs="Times New Roman"/>
          <w:sz w:val="24"/>
          <w:szCs w:val="24"/>
        </w:rPr>
        <w:t>Where a sale takes place within a state, LST would be levied. Such a tax would be governed by the relevant state tax legislation. This is normally up to 15%.</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15"/>
          <w:szCs w:val="15"/>
        </w:rPr>
      </w:pPr>
      <w:r w:rsidRPr="00814F7D">
        <w:rPr>
          <w:rFonts w:ascii="Book Antiqua" w:eastAsia="Times New Roman" w:hAnsi="Book Antiqua" w:cs="Times New Roman"/>
          <w:b/>
          <w:bCs/>
          <w:color w:val="000080"/>
          <w:sz w:val="24"/>
          <w:szCs w:val="24"/>
          <w:u w:val="single"/>
        </w:rPr>
        <w:t>Excise Duty</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36"/>
          <w:szCs w:val="36"/>
        </w:rPr>
      </w:pPr>
      <w:r w:rsidRPr="00814F7D">
        <w:rPr>
          <w:rFonts w:ascii="Book Antiqua" w:eastAsia="Times New Roman" w:hAnsi="Book Antiqua" w:cs="Times New Roman"/>
          <w:sz w:val="24"/>
          <w:szCs w:val="24"/>
        </w:rPr>
        <w:t xml:space="preserve">Excise duty on most commodities ranges between 0 to 16%. Only on seven items duty is imposed at 32%, viz., motor cars, </w:t>
      </w:r>
      <w:proofErr w:type="spellStart"/>
      <w:r w:rsidRPr="00814F7D">
        <w:rPr>
          <w:rFonts w:ascii="Book Antiqua" w:eastAsia="Times New Roman" w:hAnsi="Book Antiqua" w:cs="Times New Roman"/>
          <w:sz w:val="24"/>
          <w:szCs w:val="24"/>
        </w:rPr>
        <w:t>tyres</w:t>
      </w:r>
      <w:proofErr w:type="spellEnd"/>
      <w:r w:rsidRPr="00814F7D">
        <w:rPr>
          <w:rFonts w:ascii="Book Antiqua" w:eastAsia="Times New Roman" w:hAnsi="Book Antiqua" w:cs="Times New Roman"/>
          <w:sz w:val="24"/>
          <w:szCs w:val="24"/>
        </w:rPr>
        <w:t xml:space="preserve">, aerated soft drinks, air conditioners, polyesters filament yarn, pan </w:t>
      </w:r>
      <w:proofErr w:type="spellStart"/>
      <w:r w:rsidRPr="00814F7D">
        <w:rPr>
          <w:rFonts w:ascii="Book Antiqua" w:eastAsia="Times New Roman" w:hAnsi="Book Antiqua" w:cs="Times New Roman"/>
          <w:sz w:val="24"/>
          <w:szCs w:val="24"/>
        </w:rPr>
        <w:t>masala</w:t>
      </w:r>
      <w:proofErr w:type="spellEnd"/>
      <w:r w:rsidRPr="00814F7D">
        <w:rPr>
          <w:rFonts w:ascii="Book Antiqua" w:eastAsia="Times New Roman" w:hAnsi="Book Antiqua" w:cs="Times New Roman"/>
          <w:sz w:val="24"/>
          <w:szCs w:val="24"/>
        </w:rPr>
        <w:t xml:space="preserve"> and chewing tobacco. Duty is charged at 30% on petrol with additional excise duty at Rs. 7 per </w:t>
      </w:r>
      <w:proofErr w:type="spellStart"/>
      <w:r w:rsidRPr="00814F7D">
        <w:rPr>
          <w:rFonts w:ascii="Book Antiqua" w:eastAsia="Times New Roman" w:hAnsi="Book Antiqua" w:cs="Times New Roman"/>
          <w:sz w:val="24"/>
          <w:szCs w:val="24"/>
        </w:rPr>
        <w:t>litre</w:t>
      </w:r>
      <w:proofErr w:type="spellEnd"/>
      <w:r w:rsidRPr="00814F7D">
        <w:rPr>
          <w:rFonts w:ascii="Book Antiqua" w:eastAsia="Times New Roman" w:hAnsi="Book Antiqua" w:cs="Times New Roman"/>
          <w:sz w:val="24"/>
          <w:szCs w:val="24"/>
        </w:rPr>
        <w:t>. The said rates are subject to exemptions and deductions thereon as may be notified from time to time. Central VAT (CENVAT) is applicable to practically all manufactured goods, so as to avoid cascading effect on duty.</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 xml:space="preserve">Small Scale Sector is exempted from payment of excise duty from annual production </w:t>
      </w:r>
      <w:proofErr w:type="spellStart"/>
      <w:r w:rsidRPr="00814F7D">
        <w:rPr>
          <w:rFonts w:ascii="Book Antiqua" w:eastAsia="Times New Roman" w:hAnsi="Book Antiqua" w:cs="Times New Roman"/>
          <w:sz w:val="24"/>
          <w:szCs w:val="24"/>
        </w:rPr>
        <w:t>upto</w:t>
      </w:r>
      <w:proofErr w:type="spellEnd"/>
      <w:r w:rsidRPr="00814F7D">
        <w:rPr>
          <w:rFonts w:ascii="Book Antiqua" w:eastAsia="Times New Roman" w:hAnsi="Book Antiqua" w:cs="Times New Roman"/>
          <w:sz w:val="24"/>
          <w:szCs w:val="24"/>
        </w:rPr>
        <w:t xml:space="preserve"> Rs.10 million.</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15"/>
          <w:szCs w:val="15"/>
        </w:rPr>
      </w:pPr>
      <w:r w:rsidRPr="00814F7D">
        <w:rPr>
          <w:rFonts w:ascii="Book Antiqua" w:eastAsia="Times New Roman" w:hAnsi="Book Antiqua" w:cs="Times New Roman"/>
          <w:b/>
          <w:bCs/>
          <w:color w:val="000080"/>
          <w:sz w:val="24"/>
          <w:szCs w:val="24"/>
          <w:u w:val="single"/>
        </w:rPr>
        <w:t>Customs Duty</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36"/>
          <w:szCs w:val="36"/>
        </w:rPr>
      </w:pPr>
      <w:r w:rsidRPr="00814F7D">
        <w:rPr>
          <w:rFonts w:ascii="Book Antiqua" w:eastAsia="Times New Roman" w:hAnsi="Book Antiqua" w:cs="Times New Roman"/>
          <w:sz w:val="24"/>
          <w:szCs w:val="24"/>
        </w:rPr>
        <w:lastRenderedPageBreak/>
        <w:t>The rates of basic duties vary from 0 to 30%.</w:t>
      </w:r>
    </w:p>
    <w:p w:rsidR="00814F7D" w:rsidRPr="00814F7D" w:rsidRDefault="00814F7D" w:rsidP="00814F7D">
      <w:pPr>
        <w:spacing w:before="100" w:beforeAutospacing="1" w:after="100" w:afterAutospacing="1" w:line="240" w:lineRule="auto"/>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Salient features are:</w:t>
      </w:r>
    </w:p>
    <w:p w:rsidR="00814F7D" w:rsidRPr="00814F7D" w:rsidRDefault="00814F7D" w:rsidP="00814F7D">
      <w:pPr>
        <w:numPr>
          <w:ilvl w:val="0"/>
          <w:numId w:val="7"/>
        </w:numPr>
        <w:spacing w:beforeAutospacing="1" w:after="100" w:afterAutospacing="1" w:line="240" w:lineRule="auto"/>
        <w:ind w:left="144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Peak customs duty reduced from 220% (in 1991) to 30% (in 2002).</w:t>
      </w:r>
      <w:r w:rsidRPr="00814F7D">
        <w:rPr>
          <w:rFonts w:ascii="Times New Roman" w:eastAsia="Times New Roman" w:hAnsi="Times New Roman" w:cs="Times New Roman"/>
          <w:sz w:val="24"/>
          <w:szCs w:val="24"/>
        </w:rPr>
        <w:t xml:space="preserve"> </w:t>
      </w:r>
    </w:p>
    <w:p w:rsidR="00814F7D" w:rsidRPr="00814F7D" w:rsidRDefault="00814F7D" w:rsidP="00814F7D">
      <w:pPr>
        <w:numPr>
          <w:ilvl w:val="0"/>
          <w:numId w:val="7"/>
        </w:numPr>
        <w:spacing w:before="100" w:beforeAutospacing="1" w:after="100" w:afterAutospacing="1" w:line="240" w:lineRule="auto"/>
        <w:ind w:left="144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The general project import duty (for new projects and substantial expansion of existing projects) reduced from 85% to 25%.</w:t>
      </w:r>
    </w:p>
    <w:p w:rsidR="00814F7D" w:rsidRPr="00814F7D" w:rsidRDefault="00814F7D" w:rsidP="00814F7D">
      <w:pPr>
        <w:numPr>
          <w:ilvl w:val="0"/>
          <w:numId w:val="7"/>
        </w:numPr>
        <w:spacing w:before="100" w:beforeAutospacing="1" w:after="100" w:afterAutospacing="1" w:line="240" w:lineRule="auto"/>
        <w:ind w:left="144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Import duty under EPCG Scheme is 5%.</w:t>
      </w:r>
    </w:p>
    <w:p w:rsidR="00814F7D" w:rsidRPr="00814F7D" w:rsidRDefault="00814F7D" w:rsidP="00814F7D">
      <w:pPr>
        <w:numPr>
          <w:ilvl w:val="0"/>
          <w:numId w:val="7"/>
        </w:numPr>
        <w:spacing w:before="100" w:beforeAutospacing="1" w:after="100" w:afterAutospacing="1" w:line="240" w:lineRule="auto"/>
        <w:ind w:left="144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R&amp;D imports - 5% customs duty.</w:t>
      </w:r>
    </w:p>
    <w:p w:rsidR="00814F7D" w:rsidRPr="00814F7D" w:rsidRDefault="00814F7D" w:rsidP="00814F7D">
      <w:pPr>
        <w:numPr>
          <w:ilvl w:val="0"/>
          <w:numId w:val="7"/>
        </w:numPr>
        <w:spacing w:before="100" w:beforeAutospacing="1" w:after="100" w:afterAutospacing="1" w:line="240" w:lineRule="auto"/>
        <w:ind w:left="144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 xml:space="preserve">Export made with imported inputs get concessions in form of duty drawback, duty entitlement pass book scheme and advance </w:t>
      </w:r>
      <w:proofErr w:type="spellStart"/>
      <w:r w:rsidRPr="00814F7D">
        <w:rPr>
          <w:rFonts w:ascii="Book Antiqua" w:eastAsia="Times New Roman" w:hAnsi="Book Antiqua" w:cs="Times New Roman"/>
          <w:sz w:val="24"/>
          <w:szCs w:val="24"/>
        </w:rPr>
        <w:t>licence</w:t>
      </w:r>
      <w:proofErr w:type="spellEnd"/>
      <w:r w:rsidRPr="00814F7D">
        <w:rPr>
          <w:rFonts w:ascii="Book Antiqua" w:eastAsia="Times New Roman" w:hAnsi="Book Antiqua" w:cs="Times New Roman"/>
          <w:sz w:val="24"/>
          <w:szCs w:val="24"/>
        </w:rPr>
        <w:t>.</w:t>
      </w:r>
      <w:r w:rsidRPr="00814F7D">
        <w:rPr>
          <w:rFonts w:ascii="Times New Roman" w:eastAsia="Times New Roman" w:hAnsi="Times New Roman" w:cs="Times New Roman"/>
          <w:sz w:val="24"/>
          <w:szCs w:val="24"/>
        </w:rPr>
        <w:t xml:space="preserve"> </w:t>
      </w:r>
    </w:p>
    <w:p w:rsidR="00814F7D" w:rsidRPr="00814F7D" w:rsidRDefault="00814F7D" w:rsidP="00814F7D">
      <w:pPr>
        <w:numPr>
          <w:ilvl w:val="0"/>
          <w:numId w:val="7"/>
        </w:numPr>
        <w:spacing w:before="100" w:beforeAutospacing="1" w:after="100" w:afterAutospacing="1" w:line="240" w:lineRule="auto"/>
        <w:ind w:left="144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Many type of industries such as 100% EOU and units in free trade zone get facility of zero import duty.</w:t>
      </w:r>
      <w:r w:rsidRPr="00814F7D">
        <w:rPr>
          <w:rFonts w:ascii="Times New Roman" w:eastAsia="Times New Roman" w:hAnsi="Times New Roman" w:cs="Times New Roman"/>
          <w:sz w:val="24"/>
          <w:szCs w:val="24"/>
        </w:rPr>
        <w:t xml:space="preserve"> </w:t>
      </w:r>
    </w:p>
    <w:p w:rsidR="00814F7D" w:rsidRPr="00814F7D" w:rsidRDefault="00814F7D" w:rsidP="00814F7D">
      <w:pPr>
        <w:numPr>
          <w:ilvl w:val="0"/>
          <w:numId w:val="7"/>
        </w:numPr>
        <w:spacing w:before="100" w:beforeAutospacing="1" w:after="100" w:afterAutospacing="1" w:line="240" w:lineRule="auto"/>
        <w:ind w:left="1440"/>
        <w:rPr>
          <w:rFonts w:ascii="Times New Roman" w:eastAsia="Times New Roman" w:hAnsi="Times New Roman" w:cs="Times New Roman"/>
          <w:sz w:val="24"/>
          <w:szCs w:val="24"/>
        </w:rPr>
      </w:pPr>
      <w:r w:rsidRPr="00814F7D">
        <w:rPr>
          <w:rFonts w:ascii="Book Antiqua" w:eastAsia="Times New Roman" w:hAnsi="Book Antiqua" w:cs="Times New Roman"/>
          <w:sz w:val="24"/>
          <w:szCs w:val="24"/>
        </w:rPr>
        <w:t>An Authority for Advance Ruling for foreign investor</w:t>
      </w:r>
      <w:r w:rsidRPr="00814F7D">
        <w:rPr>
          <w:rFonts w:ascii="Times New Roman" w:eastAsia="Times New Roman" w:hAnsi="Times New Roman" w:cs="Times New Roman"/>
          <w:sz w:val="24"/>
          <w:szCs w:val="24"/>
        </w:rPr>
        <w:t xml:space="preserve"> </w:t>
      </w:r>
    </w:p>
    <w:p w:rsidR="00CE1487" w:rsidRDefault="00CE1487"/>
    <w:sectPr w:rsidR="00CE1487" w:rsidSect="00CE14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B4E60"/>
    <w:multiLevelType w:val="multilevel"/>
    <w:tmpl w:val="EE62D3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2D901E0C"/>
    <w:multiLevelType w:val="multilevel"/>
    <w:tmpl w:val="CA4AF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2A5416"/>
    <w:multiLevelType w:val="multilevel"/>
    <w:tmpl w:val="212CF1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529D2685"/>
    <w:multiLevelType w:val="multilevel"/>
    <w:tmpl w:val="CD90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167E20"/>
    <w:multiLevelType w:val="multilevel"/>
    <w:tmpl w:val="DB4E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46328B"/>
    <w:multiLevelType w:val="multilevel"/>
    <w:tmpl w:val="51F0D4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7B9267A5"/>
    <w:multiLevelType w:val="multilevel"/>
    <w:tmpl w:val="7E46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2"/>
  </w:num>
  <w:num w:numId="4">
    <w:abstractNumId w:val="4"/>
  </w:num>
  <w:num w:numId="5">
    <w:abstractNumId w:val="0"/>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4F7D"/>
    <w:rsid w:val="000209E3"/>
    <w:rsid w:val="001421DF"/>
    <w:rsid w:val="00781104"/>
    <w:rsid w:val="00814F7D"/>
    <w:rsid w:val="00A10183"/>
    <w:rsid w:val="00C03548"/>
    <w:rsid w:val="00CE14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487"/>
  </w:style>
  <w:style w:type="paragraph" w:styleId="Heading1">
    <w:name w:val="heading 1"/>
    <w:basedOn w:val="Normal"/>
    <w:link w:val="Heading1Char"/>
    <w:uiPriority w:val="9"/>
    <w:qFormat/>
    <w:rsid w:val="00814F7D"/>
    <w:pPr>
      <w:spacing w:after="0" w:line="260" w:lineRule="atLeast"/>
      <w:outlineLvl w:val="0"/>
    </w:pPr>
    <w:rPr>
      <w:rFonts w:ascii="Times New Roman" w:eastAsia="Times New Roman" w:hAnsi="Times New Roman" w:cs="Times New Roman"/>
      <w:b/>
      <w:bCs/>
      <w:kern w:val="3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4F7D"/>
    <w:rPr>
      <w:rFonts w:ascii="Times New Roman" w:eastAsia="Times New Roman" w:hAnsi="Times New Roman" w:cs="Times New Roman"/>
      <w:b/>
      <w:bCs/>
      <w:kern w:val="36"/>
      <w:sz w:val="20"/>
      <w:szCs w:val="20"/>
    </w:rPr>
  </w:style>
  <w:style w:type="paragraph" w:styleId="NormalWeb">
    <w:name w:val="Normal (Web)"/>
    <w:basedOn w:val="Normal"/>
    <w:uiPriority w:val="99"/>
    <w:unhideWhenUsed/>
    <w:rsid w:val="00814F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1">
    <w:name w:val="il_ad1"/>
    <w:basedOn w:val="DefaultParagraphFont"/>
    <w:rsid w:val="00814F7D"/>
    <w:rPr>
      <w:vanish w:val="0"/>
      <w:webHidden w:val="0"/>
      <w:color w:val="0000CC"/>
      <w:specVanish w:val="0"/>
    </w:rPr>
  </w:style>
  <w:style w:type="character" w:styleId="Strong">
    <w:name w:val="Strong"/>
    <w:basedOn w:val="DefaultParagraphFont"/>
    <w:uiPriority w:val="22"/>
    <w:qFormat/>
    <w:rsid w:val="00814F7D"/>
    <w:rPr>
      <w:b/>
      <w:bCs/>
    </w:rPr>
  </w:style>
</w:styles>
</file>

<file path=word/webSettings.xml><?xml version="1.0" encoding="utf-8"?>
<w:webSettings xmlns:r="http://schemas.openxmlformats.org/officeDocument/2006/relationships" xmlns:w="http://schemas.openxmlformats.org/wordprocessingml/2006/main">
  <w:divs>
    <w:div w:id="1647054003">
      <w:bodyDiv w:val="1"/>
      <w:marLeft w:val="0"/>
      <w:marRight w:val="0"/>
      <w:marTop w:val="0"/>
      <w:marBottom w:val="0"/>
      <w:divBdr>
        <w:top w:val="none" w:sz="0" w:space="0" w:color="auto"/>
        <w:left w:val="none" w:sz="0" w:space="0" w:color="auto"/>
        <w:bottom w:val="none" w:sz="0" w:space="0" w:color="auto"/>
        <w:right w:val="none" w:sz="0" w:space="0" w:color="auto"/>
      </w:divBdr>
      <w:divsChild>
        <w:div w:id="1051997182">
          <w:blockQuote w:val="1"/>
          <w:marLeft w:val="720"/>
          <w:marRight w:val="720"/>
          <w:marTop w:val="100"/>
          <w:marBottom w:val="100"/>
          <w:divBdr>
            <w:top w:val="none" w:sz="0" w:space="0" w:color="auto"/>
            <w:left w:val="none" w:sz="0" w:space="0" w:color="auto"/>
            <w:bottom w:val="none" w:sz="0" w:space="0" w:color="auto"/>
            <w:right w:val="none" w:sz="0" w:space="0" w:color="auto"/>
          </w:divBdr>
        </w:div>
        <w:div w:id="943464520">
          <w:blockQuote w:val="1"/>
          <w:marLeft w:val="720"/>
          <w:marRight w:val="720"/>
          <w:marTop w:val="100"/>
          <w:marBottom w:val="100"/>
          <w:divBdr>
            <w:top w:val="none" w:sz="0" w:space="0" w:color="auto"/>
            <w:left w:val="none" w:sz="0" w:space="0" w:color="auto"/>
            <w:bottom w:val="none" w:sz="0" w:space="0" w:color="auto"/>
            <w:right w:val="none" w:sz="0" w:space="0" w:color="auto"/>
          </w:divBdr>
        </w:div>
        <w:div w:id="21047204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0101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3291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2847154">
          <w:blockQuote w:val="1"/>
          <w:marLeft w:val="720"/>
          <w:marRight w:val="720"/>
          <w:marTop w:val="100"/>
          <w:marBottom w:val="100"/>
          <w:divBdr>
            <w:top w:val="none" w:sz="0" w:space="0" w:color="auto"/>
            <w:left w:val="none" w:sz="0" w:space="0" w:color="auto"/>
            <w:bottom w:val="none" w:sz="0" w:space="0" w:color="auto"/>
            <w:right w:val="none" w:sz="0" w:space="0" w:color="auto"/>
          </w:divBdr>
        </w:div>
        <w:div w:id="2103795152">
          <w:blockQuote w:val="1"/>
          <w:marLeft w:val="720"/>
          <w:marRight w:val="720"/>
          <w:marTop w:val="100"/>
          <w:marBottom w:val="100"/>
          <w:divBdr>
            <w:top w:val="none" w:sz="0" w:space="0" w:color="auto"/>
            <w:left w:val="none" w:sz="0" w:space="0" w:color="auto"/>
            <w:bottom w:val="none" w:sz="0" w:space="0" w:color="auto"/>
            <w:right w:val="none" w:sz="0" w:space="0" w:color="auto"/>
          </w:divBdr>
        </w:div>
        <w:div w:id="611009834">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544177">
          <w:blockQuote w:val="1"/>
          <w:marLeft w:val="720"/>
          <w:marRight w:val="720"/>
          <w:marTop w:val="100"/>
          <w:marBottom w:val="100"/>
          <w:divBdr>
            <w:top w:val="none" w:sz="0" w:space="0" w:color="auto"/>
            <w:left w:val="none" w:sz="0" w:space="0" w:color="auto"/>
            <w:bottom w:val="none" w:sz="0" w:space="0" w:color="auto"/>
            <w:right w:val="none" w:sz="0" w:space="0" w:color="auto"/>
          </w:divBdr>
        </w:div>
        <w:div w:id="978846048">
          <w:blockQuote w:val="1"/>
          <w:marLeft w:val="720"/>
          <w:marRight w:val="720"/>
          <w:marTop w:val="100"/>
          <w:marBottom w:val="100"/>
          <w:divBdr>
            <w:top w:val="none" w:sz="0" w:space="0" w:color="auto"/>
            <w:left w:val="none" w:sz="0" w:space="0" w:color="auto"/>
            <w:bottom w:val="none" w:sz="0" w:space="0" w:color="auto"/>
            <w:right w:val="none" w:sz="0" w:space="0" w:color="auto"/>
          </w:divBdr>
        </w:div>
        <w:div w:id="16716370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6470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5909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6531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82667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68665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9</Pages>
  <Words>1772</Words>
  <Characters>10106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OFFICE</Company>
  <LinksUpToDate>false</LinksUpToDate>
  <CharactersWithSpaces>11855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dc:creator>
  <cp:keywords/>
  <dc:description/>
  <cp:lastModifiedBy>alka</cp:lastModifiedBy>
  <cp:revision>2</cp:revision>
  <dcterms:created xsi:type="dcterms:W3CDTF">2011-08-25T06:41:00Z</dcterms:created>
  <dcterms:modified xsi:type="dcterms:W3CDTF">2011-08-26T07:33:00Z</dcterms:modified>
</cp:coreProperties>
</file>