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CCB1" w14:textId="77777777" w:rsidR="008968AF" w:rsidRPr="008C33A8" w:rsidRDefault="008968AF" w:rsidP="008C33A8">
      <w:pPr>
        <w:jc w:val="both"/>
        <w:rPr>
          <w:rFonts w:ascii="Cambria" w:hAnsi="Cambria"/>
          <w:shd w:val="clear" w:color="auto" w:fill="FFFFFF"/>
        </w:rPr>
      </w:pPr>
    </w:p>
    <w:p w14:paraId="0753698B" w14:textId="2906E6AB" w:rsidR="008968AF" w:rsidRPr="00D47F3C" w:rsidRDefault="008968AF" w:rsidP="00D47F3C">
      <w:pPr>
        <w:jc w:val="center"/>
        <w:rPr>
          <w:rFonts w:ascii="Cambria" w:hAnsi="Cambria"/>
          <w:b/>
          <w:bCs/>
          <w:sz w:val="26"/>
          <w:szCs w:val="26"/>
          <w:shd w:val="clear" w:color="auto" w:fill="FFFFFF"/>
        </w:rPr>
      </w:pPr>
      <w:r w:rsidRPr="00D47F3C">
        <w:rPr>
          <w:rFonts w:ascii="Cambria" w:hAnsi="Cambria"/>
          <w:b/>
          <w:bCs/>
          <w:sz w:val="26"/>
          <w:szCs w:val="26"/>
          <w:shd w:val="clear" w:color="auto" w:fill="FFFFFF"/>
        </w:rPr>
        <w:t>WORKPLACE UNDER POSH ACT</w:t>
      </w:r>
    </w:p>
    <w:p w14:paraId="51D82810" w14:textId="14CDC8A4" w:rsidR="00780AD6" w:rsidRPr="00780AD6" w:rsidRDefault="00780AD6" w:rsidP="008C33A8">
      <w:pPr>
        <w:jc w:val="both"/>
        <w:rPr>
          <w:rFonts w:ascii="Cambria" w:hAnsi="Cambria"/>
          <w:shd w:val="clear" w:color="auto" w:fill="FFFFFF"/>
        </w:rPr>
      </w:pPr>
      <w:r w:rsidRPr="00780AD6">
        <w:rPr>
          <w:rFonts w:ascii="Cambria" w:hAnsi="Cambria"/>
        </w:rPr>
        <w:t>While the Vishaka Guidelines were confined to the traditional office set-up, recognizing the fact that sexual harassment may not necessarily be limited to the primary place of employment, the POSH Act has introduced the concept of an ‘extended workplace’</w:t>
      </w:r>
    </w:p>
    <w:p w14:paraId="043811DA" w14:textId="7B359669" w:rsidR="008C33A8" w:rsidRPr="008C33A8" w:rsidRDefault="00427BD1" w:rsidP="008C33A8">
      <w:pPr>
        <w:jc w:val="both"/>
        <w:rPr>
          <w:rFonts w:ascii="Cambria" w:hAnsi="Cambria"/>
          <w:shd w:val="clear" w:color="auto" w:fill="FFFFFF"/>
        </w:rPr>
      </w:pPr>
      <w:r w:rsidRPr="008C33A8">
        <w:rPr>
          <w:rFonts w:ascii="Cambria" w:hAnsi="Cambria"/>
          <w:shd w:val="clear" w:color="auto" w:fill="FFFFFF"/>
        </w:rPr>
        <w:t>In accordance with Section 2(o) of the Act, a ‘workplace’ refers to</w:t>
      </w:r>
      <w:r w:rsidR="008C33A8" w:rsidRPr="008C33A8">
        <w:rPr>
          <w:rFonts w:ascii="Cambria" w:hAnsi="Cambria"/>
          <w:shd w:val="clear" w:color="auto" w:fill="FFFFFF"/>
        </w:rPr>
        <w:t>:</w:t>
      </w:r>
    </w:p>
    <w:p w14:paraId="7C6B70F8" w14:textId="2C243929" w:rsidR="008C33A8" w:rsidRPr="008C33A8" w:rsidRDefault="008C33A8" w:rsidP="008C33A8">
      <w:pPr>
        <w:pStyle w:val="ListParagraph"/>
        <w:numPr>
          <w:ilvl w:val="0"/>
          <w:numId w:val="5"/>
        </w:numPr>
        <w:ind w:left="0"/>
        <w:jc w:val="both"/>
        <w:rPr>
          <w:rFonts w:ascii="Cambria" w:hAnsi="Cambria"/>
          <w:shd w:val="clear" w:color="auto" w:fill="FFFFFF"/>
        </w:rPr>
      </w:pPr>
      <w:r w:rsidRPr="008C33A8">
        <w:rPr>
          <w:rFonts w:ascii="Cambria" w:hAnsi="Cambria"/>
          <w:shd w:val="clear" w:color="auto" w:fill="FFFFFF"/>
          <w:lang w:val="en-US"/>
        </w:rPr>
        <w:t xml:space="preserve">Any place visited by the employee arising out of or </w:t>
      </w:r>
      <w:proofErr w:type="gramStart"/>
      <w:r w:rsidRPr="008C33A8">
        <w:rPr>
          <w:rFonts w:ascii="Cambria" w:hAnsi="Cambria"/>
          <w:shd w:val="clear" w:color="auto" w:fill="FFFFFF"/>
          <w:lang w:val="en-US"/>
        </w:rPr>
        <w:t>during the course of</w:t>
      </w:r>
      <w:proofErr w:type="gramEnd"/>
      <w:r w:rsidRPr="008C33A8">
        <w:rPr>
          <w:rFonts w:ascii="Cambria" w:hAnsi="Cambria"/>
          <w:shd w:val="clear" w:color="auto" w:fill="FFFFFF"/>
          <w:lang w:val="en-US"/>
        </w:rPr>
        <w:t xml:space="preserve"> employment, including transportation provided by the employer for undertaking such a journey.</w:t>
      </w:r>
    </w:p>
    <w:p w14:paraId="04B19F22" w14:textId="77777777" w:rsidR="008C33A8" w:rsidRPr="008C33A8" w:rsidRDefault="008C33A8" w:rsidP="008C33A8">
      <w:pPr>
        <w:pStyle w:val="ListParagraph"/>
        <w:ind w:left="0"/>
        <w:jc w:val="both"/>
        <w:rPr>
          <w:rFonts w:ascii="Cambria" w:hAnsi="Cambria"/>
          <w:shd w:val="clear" w:color="auto" w:fill="FFFFFF"/>
        </w:rPr>
      </w:pPr>
    </w:p>
    <w:p w14:paraId="2E60CC80" w14:textId="2D328889" w:rsidR="008C33A8" w:rsidRPr="008C33A8" w:rsidRDefault="008C33A8" w:rsidP="008C33A8">
      <w:pPr>
        <w:pStyle w:val="ListParagraph"/>
        <w:numPr>
          <w:ilvl w:val="0"/>
          <w:numId w:val="5"/>
        </w:numPr>
        <w:ind w:left="0"/>
        <w:jc w:val="both"/>
        <w:rPr>
          <w:rFonts w:ascii="Cambria" w:hAnsi="Cambria"/>
          <w:shd w:val="clear" w:color="auto" w:fill="FFFFFF"/>
        </w:rPr>
      </w:pPr>
      <w:r w:rsidRPr="008C33A8">
        <w:rPr>
          <w:rFonts w:ascii="Cambria" w:hAnsi="Cambria"/>
          <w:shd w:val="clear" w:color="auto" w:fill="FFFFFF"/>
          <w:lang w:val="en-US"/>
        </w:rPr>
        <w:t>A workplace covers both the organized and unorganized sectors.</w:t>
      </w:r>
    </w:p>
    <w:p w14:paraId="2B0A7683" w14:textId="77777777" w:rsidR="008C33A8" w:rsidRPr="008C33A8" w:rsidRDefault="008C33A8" w:rsidP="008C33A8">
      <w:pPr>
        <w:pStyle w:val="ListParagraph"/>
        <w:ind w:left="0"/>
        <w:rPr>
          <w:rFonts w:ascii="Cambria" w:hAnsi="Cambria"/>
          <w:shd w:val="clear" w:color="auto" w:fill="FFFFFF"/>
        </w:rPr>
      </w:pPr>
    </w:p>
    <w:p w14:paraId="64E22404" w14:textId="0CEA24DF" w:rsidR="008C33A8" w:rsidRDefault="008C33A8" w:rsidP="001E3B97">
      <w:pPr>
        <w:pStyle w:val="ListParagraph"/>
        <w:numPr>
          <w:ilvl w:val="0"/>
          <w:numId w:val="5"/>
        </w:numPr>
        <w:ind w:left="0"/>
        <w:jc w:val="both"/>
        <w:rPr>
          <w:rFonts w:ascii="Cambria" w:hAnsi="Cambria"/>
          <w:shd w:val="clear" w:color="auto" w:fill="FFFFFF"/>
        </w:rPr>
      </w:pPr>
      <w:r w:rsidRPr="00180763">
        <w:rPr>
          <w:rFonts w:ascii="Cambria" w:hAnsi="Cambria"/>
          <w:shd w:val="clear" w:color="auto" w:fill="FFFFFF"/>
          <w:lang w:val="en-US"/>
        </w:rPr>
        <w:t xml:space="preserve">Includes all workplaces whether owned by Indian or foreign companies having a place of work in India. </w:t>
      </w:r>
      <w:r w:rsidR="00180763" w:rsidRPr="00180763">
        <w:rPr>
          <w:rFonts w:ascii="Cambria" w:hAnsi="Cambria"/>
          <w:shd w:val="clear" w:color="auto" w:fill="FFFFFF"/>
          <w:lang w:val="en-US"/>
        </w:rPr>
        <w:br/>
      </w:r>
    </w:p>
    <w:p w14:paraId="0D95448C" w14:textId="6269C00E" w:rsidR="00180763" w:rsidRDefault="00180763" w:rsidP="001E3B97">
      <w:pPr>
        <w:pStyle w:val="ListParagraph"/>
        <w:numPr>
          <w:ilvl w:val="0"/>
          <w:numId w:val="5"/>
        </w:numPr>
        <w:ind w:left="0"/>
        <w:jc w:val="both"/>
        <w:rPr>
          <w:rFonts w:ascii="Cambria" w:hAnsi="Cambria"/>
          <w:shd w:val="clear" w:color="auto" w:fill="FFFFFF"/>
        </w:rPr>
      </w:pPr>
      <w:r>
        <w:rPr>
          <w:rFonts w:ascii="Cambria" w:hAnsi="Cambria"/>
          <w:shd w:val="clear" w:color="auto" w:fill="FFFFFF"/>
        </w:rPr>
        <w:t>Wider interpretation covering Office provided accommodation, office meetups, off sites, canteen, parking area</w:t>
      </w:r>
    </w:p>
    <w:p w14:paraId="0DF9CB5B" w14:textId="77777777" w:rsidR="00180763" w:rsidRPr="00180763" w:rsidRDefault="00180763" w:rsidP="00180763">
      <w:pPr>
        <w:pStyle w:val="ListParagraph"/>
        <w:ind w:left="0"/>
        <w:jc w:val="both"/>
        <w:rPr>
          <w:rFonts w:ascii="Cambria" w:hAnsi="Cambria"/>
          <w:shd w:val="clear" w:color="auto" w:fill="FFFFFF"/>
        </w:rPr>
      </w:pPr>
    </w:p>
    <w:p w14:paraId="6345CA24" w14:textId="4D78CA47" w:rsidR="008C33A8" w:rsidRPr="008C33A8" w:rsidRDefault="00BA049A" w:rsidP="008C33A8">
      <w:pPr>
        <w:pStyle w:val="ListParagraph"/>
        <w:numPr>
          <w:ilvl w:val="0"/>
          <w:numId w:val="5"/>
        </w:numPr>
        <w:ind w:left="0"/>
        <w:jc w:val="both"/>
        <w:rPr>
          <w:rFonts w:ascii="Cambria" w:hAnsi="Cambria"/>
          <w:shd w:val="clear" w:color="auto" w:fill="FFFFFF"/>
        </w:rPr>
      </w:pPr>
      <w:r w:rsidRPr="008C33A8">
        <w:rPr>
          <w:rFonts w:ascii="Cambria" w:hAnsi="Cambria" w:cs="Open Sans"/>
          <w:shd w:val="clear" w:color="auto" w:fill="FFFFFF"/>
        </w:rPr>
        <w:t>The COVID-19 pandemic brought us the new normal of working from home and introduced workplaces. The magnitude of the virtual platform has increased over the past two years due to the COVID-19 pandemic.</w:t>
      </w:r>
    </w:p>
    <w:p w14:paraId="24D56B4E" w14:textId="77777777" w:rsidR="008C33A8" w:rsidRPr="008C33A8" w:rsidRDefault="008C33A8" w:rsidP="008C33A8">
      <w:pPr>
        <w:pStyle w:val="ListParagraph"/>
        <w:rPr>
          <w:rFonts w:ascii="Cambria" w:hAnsi="Cambria"/>
          <w:shd w:val="clear" w:color="auto" w:fill="FFFFFF"/>
        </w:rPr>
      </w:pPr>
    </w:p>
    <w:p w14:paraId="7C044CDE" w14:textId="019E0B7F" w:rsidR="00BA049A" w:rsidRPr="008C33A8" w:rsidRDefault="00BA049A" w:rsidP="00D47F3C">
      <w:pPr>
        <w:pStyle w:val="ListParagraph"/>
        <w:numPr>
          <w:ilvl w:val="0"/>
          <w:numId w:val="6"/>
        </w:numPr>
        <w:ind w:left="426"/>
        <w:jc w:val="both"/>
        <w:rPr>
          <w:rFonts w:ascii="Cambria" w:hAnsi="Cambria"/>
          <w:shd w:val="clear" w:color="auto" w:fill="FFFFFF"/>
        </w:rPr>
      </w:pPr>
      <w:r w:rsidRPr="008C33A8">
        <w:rPr>
          <w:rFonts w:ascii="Cambria" w:hAnsi="Cambria" w:cs="Open Sans"/>
          <w:shd w:val="clear" w:color="auto" w:fill="FFFFFF"/>
        </w:rPr>
        <w:t>While virtual workplaces are not exclusively mentioned in the Act, reliance must be placed on a broad interpretation of the definition and judicial precedents.</w:t>
      </w:r>
    </w:p>
    <w:p w14:paraId="272BB837" w14:textId="77777777" w:rsidR="008C33A8" w:rsidRPr="008C33A8" w:rsidRDefault="008C33A8" w:rsidP="00D47F3C">
      <w:pPr>
        <w:pStyle w:val="ListParagraph"/>
        <w:ind w:left="426"/>
        <w:jc w:val="both"/>
        <w:rPr>
          <w:rFonts w:ascii="Cambria" w:hAnsi="Cambria"/>
          <w:shd w:val="clear" w:color="auto" w:fill="FFFFFF"/>
        </w:rPr>
      </w:pPr>
    </w:p>
    <w:p w14:paraId="5D3627B4" w14:textId="62F54210" w:rsidR="008C33A8" w:rsidRDefault="008968AF" w:rsidP="00D47F3C">
      <w:pPr>
        <w:pStyle w:val="ListParagraph"/>
        <w:numPr>
          <w:ilvl w:val="0"/>
          <w:numId w:val="8"/>
        </w:numPr>
        <w:ind w:left="426"/>
        <w:jc w:val="both"/>
        <w:rPr>
          <w:rFonts w:ascii="Cambria" w:hAnsi="Cambria" w:cs="Open Sans"/>
          <w:shd w:val="clear" w:color="auto" w:fill="FFFFFF"/>
        </w:rPr>
      </w:pPr>
      <w:r w:rsidRPr="008C33A8">
        <w:rPr>
          <w:rFonts w:ascii="Cambria" w:hAnsi="Cambria" w:cs="Open Sans"/>
          <w:shd w:val="clear" w:color="auto" w:fill="FFFFFF"/>
        </w:rPr>
        <w:t>In </w:t>
      </w:r>
      <w:r w:rsidRPr="008C33A8">
        <w:rPr>
          <w:rStyle w:val="Emphasis"/>
          <w:rFonts w:ascii="Cambria" w:hAnsi="Cambria" w:cs="Open Sans"/>
          <w:color w:val="000000" w:themeColor="text1"/>
          <w:bdr w:val="none" w:sz="0" w:space="0" w:color="auto" w:frame="1"/>
          <w:shd w:val="clear" w:color="auto" w:fill="FFFFFF"/>
        </w:rPr>
        <w:t>Saurabh Kumar Mallick v. Comptroller &amp; Auditor General of India</w:t>
      </w:r>
      <w:r w:rsidRPr="008C33A8">
        <w:rPr>
          <w:rFonts w:ascii="Cambria" w:hAnsi="Cambria" w:cs="Open Sans"/>
          <w:shd w:val="clear" w:color="auto" w:fill="FFFFFF"/>
        </w:rPr>
        <w:t>, the Delhi High Court observed that the workplace, as defined in the Vishakha Guidelines, cannot be interpreted in literal terms. With the scope of internet and technology rapidly increasing, it is significant to interpret the term workplace widely to prevent sexual harassment in unusual</w:t>
      </w:r>
      <w:r w:rsidR="008C33A8" w:rsidRPr="008C33A8">
        <w:rPr>
          <w:rFonts w:ascii="Cambria" w:hAnsi="Cambria" w:cs="Open Sans"/>
          <w:shd w:val="clear" w:color="auto" w:fill="FFFFFF"/>
        </w:rPr>
        <w:t xml:space="preserve"> </w:t>
      </w:r>
      <w:r w:rsidRPr="008C33A8">
        <w:rPr>
          <w:rFonts w:ascii="Cambria" w:hAnsi="Cambria" w:cs="Open Sans"/>
          <w:shd w:val="clear" w:color="auto" w:fill="FFFFFF"/>
        </w:rPr>
        <w:t>workplaces.</w:t>
      </w:r>
    </w:p>
    <w:p w14:paraId="75F45466" w14:textId="77777777" w:rsidR="00780AD6" w:rsidRPr="008C33A8" w:rsidRDefault="00780AD6" w:rsidP="00D47F3C">
      <w:pPr>
        <w:pStyle w:val="ListParagraph"/>
        <w:ind w:left="426"/>
        <w:jc w:val="both"/>
        <w:rPr>
          <w:rFonts w:ascii="Cambria" w:hAnsi="Cambria" w:cs="Open Sans"/>
          <w:shd w:val="clear" w:color="auto" w:fill="FFFFFF"/>
        </w:rPr>
      </w:pPr>
    </w:p>
    <w:p w14:paraId="6EAF4CE5" w14:textId="58D7787D" w:rsidR="00BA049A" w:rsidRPr="008C33A8" w:rsidRDefault="008968AF" w:rsidP="00D47F3C">
      <w:pPr>
        <w:pStyle w:val="ListParagraph"/>
        <w:numPr>
          <w:ilvl w:val="0"/>
          <w:numId w:val="8"/>
        </w:numPr>
        <w:ind w:left="426"/>
        <w:jc w:val="both"/>
        <w:rPr>
          <w:rFonts w:ascii="Cambria" w:hAnsi="Cambria" w:cs="Open Sans"/>
          <w:shd w:val="clear" w:color="auto" w:fill="FFFFFF"/>
        </w:rPr>
      </w:pPr>
      <w:r w:rsidRPr="008C33A8">
        <w:rPr>
          <w:rFonts w:ascii="Cambria" w:hAnsi="Cambria" w:cs="Open Sans"/>
          <w:shd w:val="clear" w:color="auto" w:fill="FFFFFF"/>
        </w:rPr>
        <w:t>In </w:t>
      </w:r>
      <w:r w:rsidRPr="008C33A8">
        <w:rPr>
          <w:rStyle w:val="Emphasis"/>
          <w:rFonts w:ascii="Cambria" w:hAnsi="Cambria" w:cs="Open Sans"/>
          <w:color w:val="000000" w:themeColor="text1"/>
          <w:bdr w:val="none" w:sz="0" w:space="0" w:color="auto" w:frame="1"/>
          <w:shd w:val="clear" w:color="auto" w:fill="FFFFFF"/>
        </w:rPr>
        <w:t xml:space="preserve">Sanjeev Mishra v. Disciplinary Authority and General Manager, Bank </w:t>
      </w:r>
      <w:proofErr w:type="gramStart"/>
      <w:r w:rsidRPr="008C33A8">
        <w:rPr>
          <w:rStyle w:val="Emphasis"/>
          <w:rFonts w:ascii="Cambria" w:hAnsi="Cambria" w:cs="Open Sans"/>
          <w:color w:val="000000" w:themeColor="text1"/>
          <w:bdr w:val="none" w:sz="0" w:space="0" w:color="auto" w:frame="1"/>
          <w:shd w:val="clear" w:color="auto" w:fill="FFFFFF"/>
        </w:rPr>
        <w:t>Of</w:t>
      </w:r>
      <w:proofErr w:type="gramEnd"/>
      <w:r w:rsidRPr="008C33A8">
        <w:rPr>
          <w:rStyle w:val="Emphasis"/>
          <w:rFonts w:ascii="Cambria" w:hAnsi="Cambria" w:cs="Open Sans"/>
          <w:color w:val="000000" w:themeColor="text1"/>
          <w:bdr w:val="none" w:sz="0" w:space="0" w:color="auto" w:frame="1"/>
          <w:shd w:val="clear" w:color="auto" w:fill="FFFFFF"/>
        </w:rPr>
        <w:t xml:space="preserve"> Baroda &amp; </w:t>
      </w:r>
      <w:proofErr w:type="spellStart"/>
      <w:r w:rsidRPr="008C33A8">
        <w:rPr>
          <w:rStyle w:val="Emphasis"/>
          <w:rFonts w:ascii="Cambria" w:hAnsi="Cambria" w:cs="Open Sans"/>
          <w:color w:val="000000" w:themeColor="text1"/>
          <w:bdr w:val="none" w:sz="0" w:space="0" w:color="auto" w:frame="1"/>
          <w:shd w:val="clear" w:color="auto" w:fill="FFFFFF"/>
        </w:rPr>
        <w:t>Ors</w:t>
      </w:r>
      <w:proofErr w:type="spellEnd"/>
      <w:r w:rsidRPr="008C33A8">
        <w:rPr>
          <w:rStyle w:val="Emphasis"/>
          <w:rFonts w:ascii="Cambria" w:hAnsi="Cambria" w:cs="Open Sans"/>
          <w:color w:val="000000" w:themeColor="text1"/>
          <w:bdr w:val="none" w:sz="0" w:space="0" w:color="auto" w:frame="1"/>
          <w:shd w:val="clear" w:color="auto" w:fill="FFFFFF"/>
        </w:rPr>
        <w:t>.</w:t>
      </w:r>
      <w:r w:rsidRPr="008C33A8">
        <w:rPr>
          <w:rFonts w:ascii="Cambria" w:hAnsi="Cambria" w:cs="Open Sans"/>
          <w:shd w:val="clear" w:color="auto" w:fill="FFFFFF"/>
        </w:rPr>
        <w:t>, the Rajasthan High Court held that in a workplace setting on a digital platform, two employees cannot be said to be working from separate workplaces even if they are in separate geographical locations.</w:t>
      </w:r>
    </w:p>
    <w:p w14:paraId="438AFF17" w14:textId="77777777" w:rsidR="008968AF" w:rsidRPr="008C33A8" w:rsidRDefault="008968AF" w:rsidP="008C33A8">
      <w:pPr>
        <w:jc w:val="both"/>
        <w:rPr>
          <w:rFonts w:ascii="Cambria" w:hAnsi="Cambria"/>
          <w:shd w:val="clear" w:color="auto" w:fill="FFFFFF"/>
        </w:rPr>
      </w:pPr>
    </w:p>
    <w:p w14:paraId="7627F578" w14:textId="77777777" w:rsidR="00BA049A" w:rsidRPr="008C33A8" w:rsidRDefault="00BA049A" w:rsidP="008C33A8">
      <w:pPr>
        <w:jc w:val="both"/>
        <w:rPr>
          <w:rFonts w:ascii="Cambria" w:eastAsia="Times New Roman" w:hAnsi="Cambria" w:cs="Times New Roman"/>
          <w:lang w:eastAsia="en-IN"/>
        </w:rPr>
      </w:pPr>
    </w:p>
    <w:p w14:paraId="3D1C6720" w14:textId="77777777" w:rsidR="00BA049A" w:rsidRPr="008C33A8" w:rsidRDefault="00BA049A" w:rsidP="008C33A8">
      <w:pPr>
        <w:jc w:val="both"/>
        <w:rPr>
          <w:rFonts w:ascii="Cambria" w:hAnsi="Cambria"/>
        </w:rPr>
      </w:pPr>
    </w:p>
    <w:sectPr w:rsidR="00BA049A" w:rsidRPr="008C3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E1AA0"/>
    <w:multiLevelType w:val="hybridMultilevel"/>
    <w:tmpl w:val="2772A9B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EBE6748"/>
    <w:multiLevelType w:val="hybridMultilevel"/>
    <w:tmpl w:val="44EEDA2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8F54852"/>
    <w:multiLevelType w:val="hybridMultilevel"/>
    <w:tmpl w:val="8112F38C"/>
    <w:lvl w:ilvl="0" w:tplc="E21004BE">
      <w:start w:val="1"/>
      <w:numFmt w:val="bullet"/>
      <w:lvlText w:val="•"/>
      <w:lvlJc w:val="left"/>
      <w:pPr>
        <w:tabs>
          <w:tab w:val="num" w:pos="720"/>
        </w:tabs>
        <w:ind w:left="720" w:hanging="360"/>
      </w:pPr>
      <w:rPr>
        <w:rFonts w:ascii="Arial" w:hAnsi="Arial" w:hint="default"/>
      </w:rPr>
    </w:lvl>
    <w:lvl w:ilvl="1" w:tplc="47587E36">
      <w:start w:val="1"/>
      <w:numFmt w:val="bullet"/>
      <w:lvlText w:val="•"/>
      <w:lvlJc w:val="left"/>
      <w:pPr>
        <w:tabs>
          <w:tab w:val="num" w:pos="1440"/>
        </w:tabs>
        <w:ind w:left="1440" w:hanging="360"/>
      </w:pPr>
      <w:rPr>
        <w:rFonts w:ascii="Arial" w:hAnsi="Arial" w:hint="default"/>
      </w:rPr>
    </w:lvl>
    <w:lvl w:ilvl="2" w:tplc="6CF44360" w:tentative="1">
      <w:start w:val="1"/>
      <w:numFmt w:val="bullet"/>
      <w:lvlText w:val="•"/>
      <w:lvlJc w:val="left"/>
      <w:pPr>
        <w:tabs>
          <w:tab w:val="num" w:pos="2160"/>
        </w:tabs>
        <w:ind w:left="2160" w:hanging="360"/>
      </w:pPr>
      <w:rPr>
        <w:rFonts w:ascii="Arial" w:hAnsi="Arial" w:hint="default"/>
      </w:rPr>
    </w:lvl>
    <w:lvl w:ilvl="3" w:tplc="4D368866" w:tentative="1">
      <w:start w:val="1"/>
      <w:numFmt w:val="bullet"/>
      <w:lvlText w:val="•"/>
      <w:lvlJc w:val="left"/>
      <w:pPr>
        <w:tabs>
          <w:tab w:val="num" w:pos="2880"/>
        </w:tabs>
        <w:ind w:left="2880" w:hanging="360"/>
      </w:pPr>
      <w:rPr>
        <w:rFonts w:ascii="Arial" w:hAnsi="Arial" w:hint="default"/>
      </w:rPr>
    </w:lvl>
    <w:lvl w:ilvl="4" w:tplc="45B0BD90" w:tentative="1">
      <w:start w:val="1"/>
      <w:numFmt w:val="bullet"/>
      <w:lvlText w:val="•"/>
      <w:lvlJc w:val="left"/>
      <w:pPr>
        <w:tabs>
          <w:tab w:val="num" w:pos="3600"/>
        </w:tabs>
        <w:ind w:left="3600" w:hanging="360"/>
      </w:pPr>
      <w:rPr>
        <w:rFonts w:ascii="Arial" w:hAnsi="Arial" w:hint="default"/>
      </w:rPr>
    </w:lvl>
    <w:lvl w:ilvl="5" w:tplc="E1B68C9E" w:tentative="1">
      <w:start w:val="1"/>
      <w:numFmt w:val="bullet"/>
      <w:lvlText w:val="•"/>
      <w:lvlJc w:val="left"/>
      <w:pPr>
        <w:tabs>
          <w:tab w:val="num" w:pos="4320"/>
        </w:tabs>
        <w:ind w:left="4320" w:hanging="360"/>
      </w:pPr>
      <w:rPr>
        <w:rFonts w:ascii="Arial" w:hAnsi="Arial" w:hint="default"/>
      </w:rPr>
    </w:lvl>
    <w:lvl w:ilvl="6" w:tplc="F9CA412E" w:tentative="1">
      <w:start w:val="1"/>
      <w:numFmt w:val="bullet"/>
      <w:lvlText w:val="•"/>
      <w:lvlJc w:val="left"/>
      <w:pPr>
        <w:tabs>
          <w:tab w:val="num" w:pos="5040"/>
        </w:tabs>
        <w:ind w:left="5040" w:hanging="360"/>
      </w:pPr>
      <w:rPr>
        <w:rFonts w:ascii="Arial" w:hAnsi="Arial" w:hint="default"/>
      </w:rPr>
    </w:lvl>
    <w:lvl w:ilvl="7" w:tplc="D63AF1BA" w:tentative="1">
      <w:start w:val="1"/>
      <w:numFmt w:val="bullet"/>
      <w:lvlText w:val="•"/>
      <w:lvlJc w:val="left"/>
      <w:pPr>
        <w:tabs>
          <w:tab w:val="num" w:pos="5760"/>
        </w:tabs>
        <w:ind w:left="5760" w:hanging="360"/>
      </w:pPr>
      <w:rPr>
        <w:rFonts w:ascii="Arial" w:hAnsi="Arial" w:hint="default"/>
      </w:rPr>
    </w:lvl>
    <w:lvl w:ilvl="8" w:tplc="1CB8189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9441D07"/>
    <w:multiLevelType w:val="hybridMultilevel"/>
    <w:tmpl w:val="A3F43B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A5469A2"/>
    <w:multiLevelType w:val="hybridMultilevel"/>
    <w:tmpl w:val="65AE2B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F85231F"/>
    <w:multiLevelType w:val="hybridMultilevel"/>
    <w:tmpl w:val="EE76B79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7AA17C9"/>
    <w:multiLevelType w:val="hybridMultilevel"/>
    <w:tmpl w:val="502046F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E955E68"/>
    <w:multiLevelType w:val="hybridMultilevel"/>
    <w:tmpl w:val="2CB6AFE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D1"/>
    <w:rsid w:val="00180763"/>
    <w:rsid w:val="00207DDC"/>
    <w:rsid w:val="00427BD1"/>
    <w:rsid w:val="00526C2A"/>
    <w:rsid w:val="00780AD6"/>
    <w:rsid w:val="008968AF"/>
    <w:rsid w:val="008C33A8"/>
    <w:rsid w:val="00BA049A"/>
    <w:rsid w:val="00D47F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18E8A"/>
  <w15:chartTrackingRefBased/>
  <w15:docId w15:val="{75FB9740-DD84-483B-867F-95B5CFDE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A049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9A"/>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BA049A"/>
    <w:rPr>
      <w:b/>
      <w:bCs/>
    </w:rPr>
  </w:style>
  <w:style w:type="character" w:styleId="Emphasis">
    <w:name w:val="Emphasis"/>
    <w:basedOn w:val="DefaultParagraphFont"/>
    <w:uiPriority w:val="20"/>
    <w:qFormat/>
    <w:rsid w:val="008968AF"/>
    <w:rPr>
      <w:i/>
      <w:iCs/>
    </w:rPr>
  </w:style>
  <w:style w:type="paragraph" w:styleId="ListParagraph">
    <w:name w:val="List Paragraph"/>
    <w:basedOn w:val="Normal"/>
    <w:uiPriority w:val="34"/>
    <w:qFormat/>
    <w:rsid w:val="008C3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10766">
      <w:bodyDiv w:val="1"/>
      <w:marLeft w:val="0"/>
      <w:marRight w:val="0"/>
      <w:marTop w:val="0"/>
      <w:marBottom w:val="0"/>
      <w:divBdr>
        <w:top w:val="none" w:sz="0" w:space="0" w:color="auto"/>
        <w:left w:val="none" w:sz="0" w:space="0" w:color="auto"/>
        <w:bottom w:val="none" w:sz="0" w:space="0" w:color="auto"/>
        <w:right w:val="none" w:sz="0" w:space="0" w:color="auto"/>
      </w:divBdr>
    </w:div>
    <w:div w:id="1376740051">
      <w:bodyDiv w:val="1"/>
      <w:marLeft w:val="0"/>
      <w:marRight w:val="0"/>
      <w:marTop w:val="0"/>
      <w:marBottom w:val="0"/>
      <w:divBdr>
        <w:top w:val="none" w:sz="0" w:space="0" w:color="auto"/>
        <w:left w:val="none" w:sz="0" w:space="0" w:color="auto"/>
        <w:bottom w:val="none" w:sz="0" w:space="0" w:color="auto"/>
        <w:right w:val="none" w:sz="0" w:space="0" w:color="auto"/>
      </w:divBdr>
    </w:div>
    <w:div w:id="1660306381">
      <w:bodyDiv w:val="1"/>
      <w:marLeft w:val="0"/>
      <w:marRight w:val="0"/>
      <w:marTop w:val="0"/>
      <w:marBottom w:val="0"/>
      <w:divBdr>
        <w:top w:val="none" w:sz="0" w:space="0" w:color="auto"/>
        <w:left w:val="none" w:sz="0" w:space="0" w:color="auto"/>
        <w:bottom w:val="none" w:sz="0" w:space="0" w:color="auto"/>
        <w:right w:val="none" w:sz="0" w:space="0" w:color="auto"/>
      </w:divBdr>
      <w:divsChild>
        <w:div w:id="629439802">
          <w:marLeft w:val="547"/>
          <w:marRight w:val="0"/>
          <w:marTop w:val="0"/>
          <w:marBottom w:val="0"/>
          <w:divBdr>
            <w:top w:val="none" w:sz="0" w:space="0" w:color="auto"/>
            <w:left w:val="none" w:sz="0" w:space="0" w:color="auto"/>
            <w:bottom w:val="none" w:sz="0" w:space="0" w:color="auto"/>
            <w:right w:val="none" w:sz="0" w:space="0" w:color="auto"/>
          </w:divBdr>
        </w:div>
        <w:div w:id="1308516285">
          <w:marLeft w:val="547"/>
          <w:marRight w:val="0"/>
          <w:marTop w:val="0"/>
          <w:marBottom w:val="0"/>
          <w:divBdr>
            <w:top w:val="none" w:sz="0" w:space="0" w:color="auto"/>
            <w:left w:val="none" w:sz="0" w:space="0" w:color="auto"/>
            <w:bottom w:val="none" w:sz="0" w:space="0" w:color="auto"/>
            <w:right w:val="none" w:sz="0" w:space="0" w:color="auto"/>
          </w:divBdr>
        </w:div>
        <w:div w:id="494539551">
          <w:marLeft w:val="547"/>
          <w:marRight w:val="0"/>
          <w:marTop w:val="0"/>
          <w:marBottom w:val="0"/>
          <w:divBdr>
            <w:top w:val="none" w:sz="0" w:space="0" w:color="auto"/>
            <w:left w:val="none" w:sz="0" w:space="0" w:color="auto"/>
            <w:bottom w:val="none" w:sz="0" w:space="0" w:color="auto"/>
            <w:right w:val="none" w:sz="0" w:space="0" w:color="auto"/>
          </w:divBdr>
        </w:div>
        <w:div w:id="15265966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235</dc:creator>
  <cp:keywords/>
  <dc:description/>
  <cp:lastModifiedBy>235</cp:lastModifiedBy>
  <cp:revision>2</cp:revision>
  <dcterms:created xsi:type="dcterms:W3CDTF">2022-11-21T07:25:00Z</dcterms:created>
  <dcterms:modified xsi:type="dcterms:W3CDTF">2022-11-21T07:25:00Z</dcterms:modified>
</cp:coreProperties>
</file>