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0F7C" w:rsidRDefault="00FB352A" w:rsidP="00840F7C">
      <w:pPr>
        <w:shd w:val="clear" w:color="auto" w:fill="EEECE1" w:themeFill="background2"/>
        <w:spacing w:after="0"/>
        <w:jc w:val="center"/>
        <w:rPr>
          <w:rStyle w:val="A0"/>
          <w:rFonts w:ascii="Century" w:hAnsi="Century" w:cs="Times New Roman"/>
          <w:sz w:val="24"/>
          <w:szCs w:val="24"/>
          <w:u w:val="single"/>
        </w:rPr>
      </w:pPr>
      <w:r>
        <w:rPr>
          <w:rFonts w:ascii="Century" w:hAnsi="Century" w:cs="Times New Roman"/>
          <w:b/>
          <w:bCs/>
          <w:noProof/>
          <w:color w:val="000000"/>
          <w:sz w:val="24"/>
          <w:szCs w:val="24"/>
          <w:u w:val="single"/>
        </w:rPr>
        <w:drawing>
          <wp:anchor distT="0" distB="0" distL="114300" distR="114300" simplePos="0" relativeHeight="251661312" behindDoc="0" locked="0" layoutInCell="1" allowOverlap="1">
            <wp:simplePos x="0" y="0"/>
            <wp:positionH relativeFrom="column">
              <wp:posOffset>3759835</wp:posOffset>
            </wp:positionH>
            <wp:positionV relativeFrom="paragraph">
              <wp:posOffset>-13970</wp:posOffset>
            </wp:positionV>
            <wp:extent cx="2237105" cy="1118870"/>
            <wp:effectExtent l="19050" t="0" r="0" b="0"/>
            <wp:wrapThrough wrapText="bothSides">
              <wp:wrapPolygon edited="0">
                <wp:start x="-184" y="0"/>
                <wp:lineTo x="-184" y="21330"/>
                <wp:lineTo x="21520" y="21330"/>
                <wp:lineTo x="21520" y="0"/>
                <wp:lineTo x="-184" y="0"/>
              </wp:wrapPolygon>
            </wp:wrapThrough>
            <wp:docPr id="7" name="Picture 6" descr="C:\Users\Sumat Singhal\Desktop\SERFEASI IM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Sumat Singhal\Desktop\SERFEASI IMAGE.jpg"/>
                    <pic:cNvPicPr>
                      <a:picLocks noChangeAspect="1" noChangeArrowheads="1"/>
                    </pic:cNvPicPr>
                  </pic:nvPicPr>
                  <pic:blipFill>
                    <a:blip r:embed="rId8"/>
                    <a:srcRect t="6063" b="11076"/>
                    <a:stretch>
                      <a:fillRect/>
                    </a:stretch>
                  </pic:blipFill>
                  <pic:spPr bwMode="auto">
                    <a:xfrm>
                      <a:off x="0" y="0"/>
                      <a:ext cx="2237105" cy="1118870"/>
                    </a:xfrm>
                    <a:prstGeom prst="rect">
                      <a:avLst/>
                    </a:prstGeom>
                    <a:noFill/>
                    <a:ln w="9525">
                      <a:noFill/>
                      <a:miter lim="800000"/>
                      <a:headEnd/>
                      <a:tailEnd/>
                    </a:ln>
                  </pic:spPr>
                </pic:pic>
              </a:graphicData>
            </a:graphic>
          </wp:anchor>
        </w:drawing>
      </w:r>
      <w:r w:rsidR="00A81592" w:rsidRPr="00FB352A">
        <w:rPr>
          <w:rStyle w:val="A0"/>
          <w:rFonts w:ascii="Century" w:hAnsi="Century" w:cs="Times New Roman"/>
          <w:sz w:val="24"/>
          <w:szCs w:val="24"/>
          <w:u w:val="single"/>
        </w:rPr>
        <w:t>AMENDMENTS TO SARFAESI ACT, 2002</w:t>
      </w:r>
      <w:r w:rsidRPr="00FB352A">
        <w:rPr>
          <w:rStyle w:val="A0"/>
          <w:rFonts w:ascii="Century" w:hAnsi="Century" w:cs="Times New Roman"/>
          <w:sz w:val="24"/>
          <w:szCs w:val="24"/>
          <w:u w:val="single"/>
        </w:rPr>
        <w:t xml:space="preserve"> </w:t>
      </w:r>
      <w:r w:rsidR="000F3598" w:rsidRPr="00FB352A">
        <w:rPr>
          <w:rStyle w:val="A0"/>
          <w:rFonts w:ascii="Century" w:hAnsi="Century" w:cs="Times New Roman"/>
          <w:sz w:val="24"/>
          <w:szCs w:val="24"/>
          <w:u w:val="single"/>
        </w:rPr>
        <w:t>: EVERY BANKER WORKING IN CREDIT MUST KNOW</w:t>
      </w:r>
      <w:r w:rsidR="00840F7C">
        <w:rPr>
          <w:rStyle w:val="A0"/>
          <w:rFonts w:ascii="Century" w:hAnsi="Century" w:cs="Times New Roman"/>
          <w:sz w:val="24"/>
          <w:szCs w:val="24"/>
          <w:u w:val="single"/>
        </w:rPr>
        <w:t xml:space="preserve">  </w:t>
      </w:r>
    </w:p>
    <w:p w:rsidR="0019588E" w:rsidRPr="00840F7C" w:rsidRDefault="00840F7C" w:rsidP="00840F7C">
      <w:pPr>
        <w:shd w:val="clear" w:color="auto" w:fill="EEECE1" w:themeFill="background2"/>
        <w:spacing w:after="0"/>
        <w:jc w:val="center"/>
        <w:rPr>
          <w:rStyle w:val="A0"/>
          <w:rFonts w:ascii="Century" w:hAnsi="Century" w:cs="Times New Roman"/>
          <w:b w:val="0"/>
          <w:i/>
          <w:sz w:val="22"/>
          <w:szCs w:val="24"/>
        </w:rPr>
      </w:pPr>
      <w:r>
        <w:rPr>
          <w:rStyle w:val="A0"/>
          <w:rFonts w:ascii="Century" w:hAnsi="Century" w:cs="Times New Roman"/>
          <w:i/>
          <w:sz w:val="22"/>
          <w:szCs w:val="24"/>
        </w:rPr>
        <w:t xml:space="preserve">                                               </w:t>
      </w:r>
      <w:r w:rsidRPr="00840F7C">
        <w:rPr>
          <w:rStyle w:val="A0"/>
          <w:rFonts w:ascii="Century" w:hAnsi="Century" w:cs="Times New Roman"/>
          <w:b w:val="0"/>
          <w:i/>
          <w:sz w:val="22"/>
          <w:szCs w:val="24"/>
        </w:rPr>
        <w:t>~ Sumat Singhal</w:t>
      </w:r>
    </w:p>
    <w:p w:rsidR="00F91E38" w:rsidRPr="00F91E38" w:rsidRDefault="00F91E38" w:rsidP="00840F7C">
      <w:pPr>
        <w:autoSpaceDE w:val="0"/>
        <w:autoSpaceDN w:val="0"/>
        <w:adjustRightInd w:val="0"/>
        <w:spacing w:after="0" w:line="240" w:lineRule="auto"/>
        <w:jc w:val="both"/>
        <w:rPr>
          <w:rFonts w:ascii="Century" w:hAnsi="Century" w:cs="Times New Roman"/>
          <w:color w:val="000000"/>
          <w:sz w:val="23"/>
          <w:szCs w:val="23"/>
        </w:rPr>
      </w:pPr>
    </w:p>
    <w:p w:rsidR="000F3598" w:rsidRDefault="00F91E38" w:rsidP="00FB352A">
      <w:pPr>
        <w:pStyle w:val="Pa3"/>
        <w:jc w:val="both"/>
        <w:rPr>
          <w:rFonts w:ascii="Century" w:hAnsi="Century" w:cs="Times New Roman"/>
          <w:color w:val="000000"/>
          <w:sz w:val="23"/>
          <w:szCs w:val="23"/>
        </w:rPr>
      </w:pPr>
      <w:r w:rsidRPr="00FB352A">
        <w:rPr>
          <w:rFonts w:ascii="Century" w:hAnsi="Century" w:cs="Times New Roman"/>
          <w:color w:val="000000"/>
          <w:sz w:val="23"/>
          <w:szCs w:val="23"/>
        </w:rPr>
        <w:t>The Central Government has notified the provisions of Chapter IVA of Sarfaesi Act, 2020 w.e.f. 24</w:t>
      </w:r>
      <w:r w:rsidRPr="00FB352A">
        <w:rPr>
          <w:rStyle w:val="A5"/>
          <w:rFonts w:ascii="Century" w:hAnsi="Century" w:cs="Times New Roman"/>
          <w:sz w:val="23"/>
          <w:szCs w:val="23"/>
        </w:rPr>
        <w:t xml:space="preserve">th </w:t>
      </w:r>
      <w:r w:rsidRPr="00FB352A">
        <w:rPr>
          <w:rFonts w:ascii="Century" w:hAnsi="Century" w:cs="Times New Roman"/>
          <w:color w:val="000000"/>
          <w:sz w:val="23"/>
          <w:szCs w:val="23"/>
        </w:rPr>
        <w:t>January 2020 co</w:t>
      </w:r>
      <w:r w:rsidR="000F3598" w:rsidRPr="00FB352A">
        <w:rPr>
          <w:rFonts w:ascii="Century" w:hAnsi="Century" w:cs="Times New Roman"/>
          <w:color w:val="000000"/>
          <w:sz w:val="23"/>
          <w:szCs w:val="23"/>
        </w:rPr>
        <w:t xml:space="preserve">nsisting of sections 26B to 26E.  This amendment would have major impact on Indian bank’s right over secured creditor. </w:t>
      </w:r>
    </w:p>
    <w:p w:rsidR="00FB352A" w:rsidRPr="00FB352A" w:rsidRDefault="00FB352A" w:rsidP="00FB352A">
      <w:pPr>
        <w:pStyle w:val="Default"/>
      </w:pPr>
    </w:p>
    <w:p w:rsidR="00F91E38" w:rsidRPr="00FB352A" w:rsidRDefault="000F3598" w:rsidP="00FB352A">
      <w:pPr>
        <w:pStyle w:val="Pa3"/>
        <w:shd w:val="clear" w:color="auto" w:fill="FFFFFF" w:themeFill="background1"/>
        <w:jc w:val="both"/>
        <w:rPr>
          <w:rFonts w:ascii="Century" w:hAnsi="Century" w:cs="Times New Roman"/>
          <w:color w:val="000000"/>
          <w:sz w:val="23"/>
          <w:szCs w:val="23"/>
        </w:rPr>
      </w:pPr>
      <w:r w:rsidRPr="00FB352A">
        <w:rPr>
          <w:rFonts w:ascii="Century" w:hAnsi="Century" w:cs="Times New Roman"/>
          <w:color w:val="000000"/>
          <w:sz w:val="23"/>
          <w:szCs w:val="23"/>
        </w:rPr>
        <w:t>I</w:t>
      </w:r>
      <w:r w:rsidR="00F91E38" w:rsidRPr="00FB352A">
        <w:rPr>
          <w:rFonts w:ascii="Century" w:hAnsi="Century" w:cs="Times New Roman"/>
          <w:color w:val="000000"/>
          <w:sz w:val="23"/>
          <w:szCs w:val="23"/>
        </w:rPr>
        <w:t xml:space="preserve">mplication of such </w:t>
      </w:r>
      <w:r w:rsidRPr="00FB352A">
        <w:rPr>
          <w:rFonts w:ascii="Century" w:hAnsi="Century" w:cs="Times New Roman"/>
          <w:color w:val="000000"/>
          <w:sz w:val="23"/>
          <w:szCs w:val="23"/>
        </w:rPr>
        <w:t>amendment has been explained through this write up as below</w:t>
      </w:r>
      <w:r w:rsidR="00F91E38" w:rsidRPr="00FB352A">
        <w:rPr>
          <w:rFonts w:ascii="Century" w:hAnsi="Century" w:cs="Times New Roman"/>
          <w:color w:val="000000"/>
          <w:sz w:val="23"/>
          <w:szCs w:val="23"/>
        </w:rPr>
        <w:t xml:space="preserve"> :</w:t>
      </w:r>
    </w:p>
    <w:p w:rsidR="00F91E38" w:rsidRPr="00FB352A" w:rsidRDefault="00F91E38" w:rsidP="00FB352A">
      <w:pPr>
        <w:pStyle w:val="Default"/>
        <w:jc w:val="both"/>
        <w:rPr>
          <w:rFonts w:ascii="Century" w:hAnsi="Century" w:cs="Times New Roman"/>
          <w:sz w:val="23"/>
          <w:szCs w:val="23"/>
        </w:rPr>
      </w:pPr>
    </w:p>
    <w:p w:rsidR="00F91E38" w:rsidRPr="00FB352A" w:rsidRDefault="000F3598" w:rsidP="00FB352A">
      <w:pPr>
        <w:autoSpaceDE w:val="0"/>
        <w:autoSpaceDN w:val="0"/>
        <w:adjustRightInd w:val="0"/>
        <w:spacing w:after="0" w:line="241" w:lineRule="atLeast"/>
        <w:jc w:val="both"/>
        <w:rPr>
          <w:rFonts w:ascii="Century" w:hAnsi="Century" w:cs="Times New Roman"/>
          <w:color w:val="000000"/>
          <w:sz w:val="23"/>
          <w:szCs w:val="23"/>
        </w:rPr>
      </w:pPr>
      <w:r w:rsidRPr="00840F7C">
        <w:rPr>
          <w:rFonts w:ascii="Century" w:hAnsi="Century" w:cs="Times New Roman"/>
          <w:b/>
          <w:color w:val="000000"/>
          <w:sz w:val="23"/>
          <w:szCs w:val="23"/>
        </w:rPr>
        <w:t>A.</w:t>
      </w:r>
      <w:r w:rsidR="00F91E38" w:rsidRPr="00F91E38">
        <w:rPr>
          <w:rFonts w:ascii="Century" w:hAnsi="Century" w:cs="Times New Roman"/>
          <w:color w:val="000000"/>
          <w:sz w:val="23"/>
          <w:szCs w:val="23"/>
        </w:rPr>
        <w:t xml:space="preserve"> The filing of transactions can be done now by </w:t>
      </w:r>
      <w:r w:rsidR="00F91E38" w:rsidRPr="00F91E38">
        <w:rPr>
          <w:rFonts w:ascii="Century" w:hAnsi="Century" w:cs="Times New Roman"/>
          <w:b/>
          <w:color w:val="000000"/>
          <w:sz w:val="23"/>
          <w:szCs w:val="23"/>
          <w:u w:val="single"/>
        </w:rPr>
        <w:t>all creditors</w:t>
      </w:r>
      <w:r w:rsidR="00F91E38" w:rsidRPr="00F91E38">
        <w:rPr>
          <w:rFonts w:ascii="Century" w:hAnsi="Century" w:cs="Times New Roman"/>
          <w:color w:val="000000"/>
          <w:sz w:val="23"/>
          <w:szCs w:val="23"/>
        </w:rPr>
        <w:t xml:space="preserve"> for the purpose of securing</w:t>
      </w:r>
      <w:r w:rsidRPr="00FB352A">
        <w:rPr>
          <w:rFonts w:ascii="Century" w:hAnsi="Century" w:cs="Times New Roman"/>
          <w:color w:val="000000"/>
          <w:sz w:val="23"/>
          <w:szCs w:val="23"/>
        </w:rPr>
        <w:t xml:space="preserve"> </w:t>
      </w:r>
      <w:r w:rsidR="00F91E38" w:rsidRPr="00F91E38">
        <w:rPr>
          <w:rFonts w:ascii="Century" w:hAnsi="Century" w:cs="Times New Roman"/>
          <w:color w:val="000000"/>
          <w:sz w:val="23"/>
          <w:szCs w:val="23"/>
        </w:rPr>
        <w:t>due repayment of any financial assistance granted by such creditor to the borrower.</w:t>
      </w:r>
    </w:p>
    <w:p w:rsidR="00F91E38" w:rsidRPr="00FB352A" w:rsidRDefault="00F91E38" w:rsidP="00FB352A">
      <w:pPr>
        <w:autoSpaceDE w:val="0"/>
        <w:autoSpaceDN w:val="0"/>
        <w:adjustRightInd w:val="0"/>
        <w:spacing w:after="0" w:line="241" w:lineRule="atLeast"/>
        <w:jc w:val="both"/>
        <w:rPr>
          <w:rFonts w:ascii="Century" w:hAnsi="Century" w:cs="Times New Roman"/>
          <w:sz w:val="23"/>
          <w:szCs w:val="23"/>
        </w:rPr>
      </w:pPr>
      <w:r w:rsidRPr="00F91E38">
        <w:rPr>
          <w:rFonts w:ascii="Century" w:hAnsi="Century" w:cs="Times New Roman"/>
          <w:color w:val="000000"/>
          <w:sz w:val="23"/>
          <w:szCs w:val="23"/>
        </w:rPr>
        <w:t>This facility was earlier open only to banks, FIs, Specified NBFCs, ARCs, debenture</w:t>
      </w:r>
      <w:r w:rsidR="000F3598" w:rsidRPr="00FB352A">
        <w:rPr>
          <w:rFonts w:ascii="Century" w:hAnsi="Century" w:cs="Times New Roman"/>
          <w:color w:val="000000"/>
          <w:sz w:val="23"/>
          <w:szCs w:val="23"/>
        </w:rPr>
        <w:t xml:space="preserve"> </w:t>
      </w:r>
      <w:r w:rsidRPr="00F91E38">
        <w:rPr>
          <w:rFonts w:ascii="Century" w:hAnsi="Century" w:cs="Times New Roman"/>
          <w:color w:val="000000"/>
          <w:sz w:val="23"/>
          <w:szCs w:val="23"/>
        </w:rPr>
        <w:t xml:space="preserve">trustees or any other trustee holding </w:t>
      </w:r>
      <w:r w:rsidR="000F3598" w:rsidRPr="00FB352A">
        <w:rPr>
          <w:rFonts w:ascii="Century" w:hAnsi="Century" w:cs="Times New Roman"/>
          <w:color w:val="000000"/>
          <w:sz w:val="23"/>
          <w:szCs w:val="23"/>
        </w:rPr>
        <w:t xml:space="preserve"> </w:t>
      </w:r>
      <w:r w:rsidRPr="00FB352A">
        <w:rPr>
          <w:rFonts w:ascii="Century" w:hAnsi="Century" w:cs="Times New Roman"/>
          <w:sz w:val="23"/>
          <w:szCs w:val="23"/>
        </w:rPr>
        <w:t xml:space="preserve">securities on half of banks or FIs – </w:t>
      </w:r>
      <w:r w:rsidRPr="00FB352A">
        <w:rPr>
          <w:rFonts w:ascii="Century" w:hAnsi="Century" w:cs="Times New Roman"/>
          <w:b/>
          <w:sz w:val="23"/>
          <w:szCs w:val="23"/>
        </w:rPr>
        <w:t>Sec 26B</w:t>
      </w:r>
    </w:p>
    <w:p w:rsidR="000F3598" w:rsidRPr="000F3598" w:rsidRDefault="000F3598" w:rsidP="00FB352A">
      <w:pPr>
        <w:autoSpaceDE w:val="0"/>
        <w:autoSpaceDN w:val="0"/>
        <w:adjustRightInd w:val="0"/>
        <w:spacing w:after="0" w:line="240" w:lineRule="auto"/>
        <w:jc w:val="both"/>
        <w:rPr>
          <w:rFonts w:ascii="Century" w:hAnsi="Century" w:cs="Times New Roman"/>
          <w:color w:val="000000"/>
          <w:sz w:val="23"/>
          <w:szCs w:val="23"/>
        </w:rPr>
      </w:pPr>
    </w:p>
    <w:p w:rsidR="000F3598" w:rsidRPr="00FB352A" w:rsidRDefault="000F3598" w:rsidP="00FB352A">
      <w:pPr>
        <w:autoSpaceDE w:val="0"/>
        <w:autoSpaceDN w:val="0"/>
        <w:adjustRightInd w:val="0"/>
        <w:spacing w:after="0" w:line="241" w:lineRule="atLeast"/>
        <w:jc w:val="both"/>
        <w:rPr>
          <w:rFonts w:ascii="Century" w:hAnsi="Century" w:cs="Times New Roman"/>
          <w:color w:val="000000"/>
          <w:sz w:val="23"/>
          <w:szCs w:val="23"/>
        </w:rPr>
      </w:pPr>
      <w:r w:rsidRPr="00FB352A">
        <w:rPr>
          <w:rFonts w:ascii="Century" w:hAnsi="Century" w:cs="Times New Roman"/>
          <w:color w:val="000000"/>
          <w:sz w:val="23"/>
          <w:szCs w:val="23"/>
        </w:rPr>
        <w:t xml:space="preserve"> The effect of amendment is as follows:</w:t>
      </w:r>
    </w:p>
    <w:p w:rsidR="000F3598" w:rsidRPr="00FB352A" w:rsidRDefault="000F3598" w:rsidP="00FB352A">
      <w:pPr>
        <w:autoSpaceDE w:val="0"/>
        <w:autoSpaceDN w:val="0"/>
        <w:adjustRightInd w:val="0"/>
        <w:spacing w:after="0" w:line="241" w:lineRule="atLeast"/>
        <w:jc w:val="both"/>
        <w:rPr>
          <w:rFonts w:ascii="Century" w:hAnsi="Century" w:cs="Times New Roman"/>
          <w:sz w:val="23"/>
          <w:szCs w:val="23"/>
        </w:rPr>
      </w:pPr>
    </w:p>
    <w:p w:rsidR="000F3598" w:rsidRPr="00FB352A" w:rsidRDefault="00FB352A" w:rsidP="00FB352A">
      <w:pPr>
        <w:jc w:val="both"/>
        <w:rPr>
          <w:rFonts w:ascii="Century" w:hAnsi="Century" w:cs="Times New Roman"/>
          <w:sz w:val="23"/>
          <w:szCs w:val="23"/>
        </w:rPr>
      </w:pPr>
      <w:r>
        <w:rPr>
          <w:rFonts w:ascii="Century" w:hAnsi="Century" w:cs="Times New Roman"/>
          <w:noProof/>
          <w:sz w:val="23"/>
          <w:szCs w:val="23"/>
        </w:rPr>
        <w:drawing>
          <wp:anchor distT="0" distB="0" distL="114300" distR="114300" simplePos="0" relativeHeight="251660288" behindDoc="0" locked="0" layoutInCell="1" allowOverlap="1">
            <wp:simplePos x="0" y="0"/>
            <wp:positionH relativeFrom="column">
              <wp:posOffset>4761230</wp:posOffset>
            </wp:positionH>
            <wp:positionV relativeFrom="paragraph">
              <wp:posOffset>375285</wp:posOffset>
            </wp:positionV>
            <wp:extent cx="1541145" cy="1521460"/>
            <wp:effectExtent l="19050" t="0" r="1905" b="0"/>
            <wp:wrapThrough wrapText="bothSides">
              <wp:wrapPolygon edited="0">
                <wp:start x="-267" y="0"/>
                <wp:lineTo x="-267" y="21366"/>
                <wp:lineTo x="21627" y="21366"/>
                <wp:lineTo x="21627" y="0"/>
                <wp:lineTo x="-267" y="0"/>
              </wp:wrapPolygon>
            </wp:wrapThrough>
            <wp:docPr id="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srcRect/>
                    <a:stretch>
                      <a:fillRect/>
                    </a:stretch>
                  </pic:blipFill>
                  <pic:spPr bwMode="auto">
                    <a:xfrm>
                      <a:off x="0" y="0"/>
                      <a:ext cx="1541145" cy="1521460"/>
                    </a:xfrm>
                    <a:prstGeom prst="rect">
                      <a:avLst/>
                    </a:prstGeom>
                    <a:noFill/>
                    <a:ln w="9525">
                      <a:noFill/>
                      <a:miter lim="800000"/>
                      <a:headEnd/>
                      <a:tailEnd/>
                    </a:ln>
                  </pic:spPr>
                </pic:pic>
              </a:graphicData>
            </a:graphic>
          </wp:anchor>
        </w:drawing>
      </w:r>
      <w:r w:rsidR="000F3598" w:rsidRPr="00FB352A">
        <w:rPr>
          <w:rFonts w:ascii="Century" w:hAnsi="Century" w:cs="Times New Roman"/>
          <w:sz w:val="23"/>
          <w:szCs w:val="23"/>
        </w:rPr>
        <w:drawing>
          <wp:inline distT="0" distB="0" distL="0" distR="0">
            <wp:extent cx="4729234" cy="2463364"/>
            <wp:effectExtent l="95250" t="76200" r="90416" b="70286"/>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srcRect l="14591" t="17108" r="13033" b="9184"/>
                    <a:stretch>
                      <a:fillRect/>
                    </a:stretch>
                  </pic:blipFill>
                  <pic:spPr bwMode="auto">
                    <a:xfrm>
                      <a:off x="0" y="0"/>
                      <a:ext cx="4733855" cy="2465771"/>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0F3598" w:rsidRPr="00FB352A" w:rsidRDefault="000F3598" w:rsidP="00FB352A">
      <w:pPr>
        <w:rPr>
          <w:rFonts w:ascii="Century" w:hAnsi="Century" w:cs="Times New Roman"/>
          <w:b/>
          <w:bCs/>
          <w:sz w:val="23"/>
          <w:szCs w:val="23"/>
        </w:rPr>
      </w:pPr>
      <w:r w:rsidRPr="00FB352A">
        <w:rPr>
          <w:rFonts w:ascii="Century" w:hAnsi="Century" w:cs="Times New Roman"/>
          <w:b/>
          <w:bCs/>
          <w:sz w:val="23"/>
          <w:szCs w:val="23"/>
        </w:rPr>
        <w:t>What is the impact of filing or non- filing of Security Interest?</w:t>
      </w:r>
    </w:p>
    <w:p w:rsidR="000F3598" w:rsidRPr="00FB352A" w:rsidRDefault="000F3598" w:rsidP="00FB352A">
      <w:pPr>
        <w:jc w:val="both"/>
        <w:rPr>
          <w:rFonts w:ascii="Century" w:hAnsi="Century" w:cs="Times New Roman"/>
          <w:sz w:val="23"/>
          <w:szCs w:val="23"/>
        </w:rPr>
      </w:pPr>
      <w:r w:rsidRPr="00FB352A">
        <w:rPr>
          <w:rFonts w:ascii="Century" w:hAnsi="Century" w:cs="Times New Roman"/>
          <w:b/>
          <w:sz w:val="23"/>
          <w:szCs w:val="23"/>
        </w:rPr>
        <w:t>Section 26C(1)</w:t>
      </w:r>
      <w:r w:rsidRPr="00FB352A">
        <w:rPr>
          <w:rFonts w:ascii="Century" w:hAnsi="Century" w:cs="Times New Roman"/>
          <w:sz w:val="23"/>
          <w:szCs w:val="23"/>
        </w:rPr>
        <w:t xml:space="preserve"> of SARAESI Act  stipulates that registration of interests, including attachment orders, will serve as a public notification, so that anyone dealing with the property cannot claim to be ignorant about the existence of such interests. </w:t>
      </w:r>
    </w:p>
    <w:p w:rsidR="000F3598" w:rsidRPr="000F3598" w:rsidRDefault="000F3598" w:rsidP="00FB352A">
      <w:pPr>
        <w:jc w:val="both"/>
        <w:rPr>
          <w:rFonts w:ascii="Century" w:hAnsi="Century" w:cs="Times New Roman"/>
          <w:color w:val="000000"/>
          <w:sz w:val="23"/>
          <w:szCs w:val="23"/>
        </w:rPr>
      </w:pPr>
      <w:r w:rsidRPr="00FB352A">
        <w:rPr>
          <w:rFonts w:ascii="Century" w:hAnsi="Century" w:cs="Times New Roman"/>
          <w:sz w:val="23"/>
          <w:szCs w:val="23"/>
        </w:rPr>
        <w:t>Further, Section 26C</w:t>
      </w:r>
      <w:r w:rsidR="00FB352A">
        <w:rPr>
          <w:rFonts w:ascii="Century" w:hAnsi="Century" w:cs="Times New Roman"/>
          <w:sz w:val="23"/>
          <w:szCs w:val="23"/>
        </w:rPr>
        <w:t xml:space="preserve"> </w:t>
      </w:r>
      <w:r w:rsidRPr="00FB352A">
        <w:rPr>
          <w:rFonts w:ascii="Century" w:hAnsi="Century" w:cs="Times New Roman"/>
          <w:sz w:val="23"/>
          <w:szCs w:val="23"/>
        </w:rPr>
        <w:t>(2) provides priority to registered charges, i.e. where there is a registered security interest, any subsequent security interest on the property will be subordinated to a pre-registered interest. In this regard</w:t>
      </w:r>
      <w:r w:rsidR="00FB352A">
        <w:rPr>
          <w:rFonts w:ascii="Century" w:hAnsi="Century" w:cs="Times New Roman"/>
          <w:sz w:val="23"/>
          <w:szCs w:val="23"/>
        </w:rPr>
        <w:t xml:space="preserve">, let us consider the following </w:t>
      </w:r>
      <w:r w:rsidRPr="00FB352A">
        <w:rPr>
          <w:rFonts w:ascii="Century" w:hAnsi="Century" w:cs="Times New Roman"/>
          <w:sz w:val="23"/>
          <w:szCs w:val="23"/>
        </w:rPr>
        <w:t>illustrations:</w:t>
      </w:r>
      <w:r w:rsidR="00FB352A">
        <w:rPr>
          <w:rFonts w:ascii="Century" w:hAnsi="Century" w:cs="Times New Roman"/>
          <w:sz w:val="23"/>
          <w:szCs w:val="23"/>
        </w:rPr>
        <w:t xml:space="preserve">    </w:t>
      </w:r>
      <w:r w:rsidRPr="000F3598">
        <w:rPr>
          <w:rFonts w:ascii="Century" w:hAnsi="Century" w:cs="Times New Roman"/>
          <w:color w:val="000000"/>
          <w:sz w:val="23"/>
          <w:szCs w:val="23"/>
        </w:rPr>
        <w:t>A</w:t>
      </w:r>
      <w:r w:rsidRPr="00FB352A">
        <w:rPr>
          <w:rFonts w:ascii="Century" w:hAnsi="Century" w:cs="Times New Roman"/>
          <w:color w:val="000000"/>
          <w:sz w:val="23"/>
          <w:szCs w:val="23"/>
        </w:rPr>
        <w:t>BC Bank extends loan to P</w:t>
      </w:r>
      <w:r w:rsidRPr="000F3598">
        <w:rPr>
          <w:rFonts w:ascii="Century" w:hAnsi="Century" w:cs="Times New Roman"/>
          <w:color w:val="000000"/>
          <w:sz w:val="23"/>
          <w:szCs w:val="23"/>
        </w:rPr>
        <w:t>, by creating a s</w:t>
      </w:r>
      <w:r w:rsidRPr="00FB352A">
        <w:rPr>
          <w:rFonts w:ascii="Century" w:hAnsi="Century" w:cs="Times New Roman"/>
          <w:color w:val="000000"/>
          <w:sz w:val="23"/>
          <w:szCs w:val="23"/>
        </w:rPr>
        <w:t xml:space="preserve">ecurity interest on a </w:t>
      </w:r>
      <w:r w:rsidRPr="00FB352A">
        <w:rPr>
          <w:rFonts w:ascii="Century" w:hAnsi="Century" w:cs="Times New Roman"/>
          <w:color w:val="000000"/>
          <w:sz w:val="23"/>
          <w:szCs w:val="23"/>
        </w:rPr>
        <w:lastRenderedPageBreak/>
        <w:t xml:space="preserve">Property X, </w:t>
      </w:r>
      <w:r w:rsidRPr="000F3598">
        <w:rPr>
          <w:rFonts w:ascii="Century" w:hAnsi="Century" w:cs="Times New Roman"/>
          <w:color w:val="000000"/>
          <w:sz w:val="23"/>
          <w:szCs w:val="23"/>
        </w:rPr>
        <w:t xml:space="preserve">Subsequently, B, who is unaware of the loan extended by A, extends loan to </w:t>
      </w:r>
      <w:r w:rsidRPr="00FB352A">
        <w:rPr>
          <w:rFonts w:ascii="Century" w:hAnsi="Century" w:cs="Times New Roman"/>
          <w:color w:val="000000"/>
          <w:sz w:val="23"/>
          <w:szCs w:val="23"/>
        </w:rPr>
        <w:t>P</w:t>
      </w:r>
      <w:r w:rsidRPr="000F3598">
        <w:rPr>
          <w:rFonts w:ascii="Century" w:hAnsi="Century" w:cs="Times New Roman"/>
          <w:color w:val="000000"/>
          <w:sz w:val="23"/>
          <w:szCs w:val="23"/>
        </w:rPr>
        <w:t xml:space="preserve">, by creating a security interest in Property X. B then registers its security interest with CERSAI. </w:t>
      </w:r>
      <w:r w:rsidR="00FB352A">
        <w:rPr>
          <w:rFonts w:ascii="Century" w:hAnsi="Century" w:cs="Times New Roman"/>
          <w:color w:val="000000"/>
          <w:sz w:val="23"/>
          <w:szCs w:val="23"/>
        </w:rPr>
        <w:t xml:space="preserve">  </w:t>
      </w:r>
      <w:r w:rsidRPr="000F3598">
        <w:rPr>
          <w:rFonts w:ascii="Century" w:hAnsi="Century" w:cs="Times New Roman"/>
          <w:color w:val="000000"/>
          <w:sz w:val="23"/>
          <w:szCs w:val="23"/>
        </w:rPr>
        <w:t xml:space="preserve">In this case, who will have priority? </w:t>
      </w:r>
    </w:p>
    <w:p w:rsidR="000F3598" w:rsidRPr="00FB352A" w:rsidRDefault="000F3598" w:rsidP="00FB352A">
      <w:pPr>
        <w:jc w:val="both"/>
        <w:rPr>
          <w:rFonts w:ascii="Century" w:hAnsi="Century" w:cs="Times New Roman"/>
          <w:color w:val="000000"/>
          <w:sz w:val="23"/>
          <w:szCs w:val="23"/>
        </w:rPr>
      </w:pPr>
      <w:r w:rsidRPr="00FB352A">
        <w:rPr>
          <w:rFonts w:ascii="Century" w:hAnsi="Century" w:cs="Times New Roman"/>
          <w:color w:val="000000"/>
          <w:sz w:val="23"/>
          <w:szCs w:val="23"/>
        </w:rPr>
        <w:t>Since security interest of A was not registered, B will have priority.</w:t>
      </w:r>
    </w:p>
    <w:p w:rsidR="000F3598" w:rsidRPr="00FB352A" w:rsidRDefault="000F3598" w:rsidP="00FB352A">
      <w:pPr>
        <w:autoSpaceDE w:val="0"/>
        <w:autoSpaceDN w:val="0"/>
        <w:adjustRightInd w:val="0"/>
        <w:spacing w:after="0" w:line="240" w:lineRule="auto"/>
        <w:jc w:val="both"/>
        <w:rPr>
          <w:rFonts w:ascii="Century" w:hAnsi="Century" w:cs="Times New Roman"/>
          <w:b/>
          <w:color w:val="000000"/>
          <w:sz w:val="23"/>
          <w:szCs w:val="23"/>
        </w:rPr>
      </w:pPr>
      <w:r w:rsidRPr="00FB352A">
        <w:rPr>
          <w:rFonts w:ascii="Century" w:hAnsi="Century" w:cs="Times New Roman"/>
          <w:b/>
          <w:color w:val="000000"/>
          <w:sz w:val="23"/>
          <w:szCs w:val="23"/>
        </w:rPr>
        <w:t xml:space="preserve">B. </w:t>
      </w:r>
      <w:r w:rsidRPr="000F3598">
        <w:rPr>
          <w:rFonts w:ascii="Century" w:hAnsi="Century" w:cs="Times New Roman"/>
          <w:b/>
          <w:color w:val="000000"/>
          <w:sz w:val="23"/>
          <w:szCs w:val="23"/>
        </w:rPr>
        <w:t xml:space="preserve">Bar on exercise of SARFAESI powers in case of unregistered security interests: </w:t>
      </w:r>
    </w:p>
    <w:p w:rsidR="000F3598" w:rsidRPr="00FB352A" w:rsidRDefault="000F3598" w:rsidP="00FB352A">
      <w:pPr>
        <w:autoSpaceDE w:val="0"/>
        <w:autoSpaceDN w:val="0"/>
        <w:adjustRightInd w:val="0"/>
        <w:spacing w:after="0" w:line="240" w:lineRule="auto"/>
        <w:jc w:val="both"/>
        <w:rPr>
          <w:rFonts w:ascii="Century" w:hAnsi="Century" w:cs="Times New Roman"/>
          <w:b/>
          <w:color w:val="000000"/>
          <w:sz w:val="23"/>
          <w:szCs w:val="23"/>
        </w:rPr>
      </w:pPr>
    </w:p>
    <w:p w:rsidR="000F3598" w:rsidRPr="000F3598" w:rsidRDefault="000F3598" w:rsidP="00FB352A">
      <w:pPr>
        <w:autoSpaceDE w:val="0"/>
        <w:autoSpaceDN w:val="0"/>
        <w:adjustRightInd w:val="0"/>
        <w:spacing w:after="0" w:line="240" w:lineRule="auto"/>
        <w:jc w:val="both"/>
        <w:rPr>
          <w:rFonts w:ascii="Century" w:hAnsi="Century" w:cs="Times New Roman"/>
          <w:b/>
          <w:color w:val="000000"/>
          <w:sz w:val="23"/>
          <w:szCs w:val="23"/>
        </w:rPr>
      </w:pPr>
      <w:r w:rsidRPr="00FB352A">
        <w:rPr>
          <w:rFonts w:ascii="Century" w:hAnsi="Century" w:cs="Times New Roman"/>
          <w:b/>
          <w:sz w:val="23"/>
          <w:szCs w:val="23"/>
        </w:rPr>
        <w:t>Section 26D</w:t>
      </w:r>
      <w:r w:rsidRPr="00FB352A">
        <w:rPr>
          <w:rFonts w:ascii="Century" w:hAnsi="Century" w:cs="Times New Roman"/>
          <w:sz w:val="23"/>
          <w:szCs w:val="23"/>
        </w:rPr>
        <w:t xml:space="preserve"> provides that no secured creditor shall be entitled to exercise the rights of enforcement of securities under SARFAESI Act unless the security interest has been registered with CERSAI.</w:t>
      </w:r>
    </w:p>
    <w:p w:rsidR="000F3598" w:rsidRPr="000F3598" w:rsidRDefault="00FB352A" w:rsidP="00FB352A">
      <w:pPr>
        <w:jc w:val="both"/>
        <w:rPr>
          <w:rFonts w:ascii="Century" w:hAnsi="Century" w:cs="Times New Roman"/>
          <w:color w:val="000000"/>
          <w:sz w:val="23"/>
          <w:szCs w:val="23"/>
        </w:rPr>
      </w:pPr>
      <w:r w:rsidRPr="00FB352A">
        <w:rPr>
          <w:rFonts w:ascii="Century" w:hAnsi="Century" w:cs="Times New Roman"/>
          <w:sz w:val="23"/>
          <w:szCs w:val="23"/>
        </w:rPr>
        <w:t>Thus effect of non- registration has been made even more severe. So credit officer fails to create charge at CERSAI, it may adversely impact enforcement of security interest under SERFAESI ACT.</w:t>
      </w:r>
    </w:p>
    <w:p w:rsidR="000F3598" w:rsidRPr="00FB352A" w:rsidRDefault="00840F7C" w:rsidP="00FB352A">
      <w:pPr>
        <w:autoSpaceDE w:val="0"/>
        <w:autoSpaceDN w:val="0"/>
        <w:adjustRightInd w:val="0"/>
        <w:spacing w:after="0" w:line="240" w:lineRule="auto"/>
        <w:jc w:val="both"/>
        <w:rPr>
          <w:rFonts w:ascii="Century" w:hAnsi="Century" w:cs="Times New Roman"/>
          <w:b/>
          <w:color w:val="000000"/>
          <w:sz w:val="23"/>
          <w:szCs w:val="23"/>
        </w:rPr>
      </w:pPr>
      <w:r>
        <w:rPr>
          <w:rFonts w:ascii="Century" w:hAnsi="Century" w:cs="Times New Roman"/>
          <w:b/>
          <w:color w:val="000000"/>
          <w:sz w:val="23"/>
          <w:szCs w:val="23"/>
        </w:rPr>
        <w:t xml:space="preserve">C. </w:t>
      </w:r>
      <w:r w:rsidR="000F3598" w:rsidRPr="000F3598">
        <w:rPr>
          <w:rFonts w:ascii="Century" w:hAnsi="Century" w:cs="Times New Roman"/>
          <w:b/>
          <w:color w:val="000000"/>
          <w:sz w:val="23"/>
          <w:szCs w:val="23"/>
        </w:rPr>
        <w:t xml:space="preserve">Priority to registered security interests over statutory dues: </w:t>
      </w:r>
    </w:p>
    <w:p w:rsidR="009B1027" w:rsidRPr="000F3598" w:rsidRDefault="009B1027" w:rsidP="00FB352A">
      <w:pPr>
        <w:autoSpaceDE w:val="0"/>
        <w:autoSpaceDN w:val="0"/>
        <w:adjustRightInd w:val="0"/>
        <w:spacing w:after="0" w:line="240" w:lineRule="auto"/>
        <w:jc w:val="both"/>
        <w:rPr>
          <w:rFonts w:ascii="Century" w:hAnsi="Century" w:cs="Times New Roman"/>
          <w:color w:val="000000"/>
          <w:sz w:val="23"/>
          <w:szCs w:val="23"/>
        </w:rPr>
      </w:pPr>
    </w:p>
    <w:p w:rsidR="000F3598" w:rsidRPr="00FB352A" w:rsidRDefault="000F3598" w:rsidP="00FB352A">
      <w:pPr>
        <w:jc w:val="both"/>
        <w:rPr>
          <w:rFonts w:ascii="Century" w:hAnsi="Century" w:cs="Times New Roman"/>
          <w:color w:val="000000"/>
          <w:sz w:val="23"/>
          <w:szCs w:val="23"/>
        </w:rPr>
      </w:pPr>
      <w:r w:rsidRPr="00FB352A">
        <w:rPr>
          <w:rFonts w:ascii="Century" w:hAnsi="Century" w:cs="Times New Roman"/>
          <w:b/>
          <w:color w:val="000000"/>
          <w:sz w:val="23"/>
          <w:szCs w:val="23"/>
        </w:rPr>
        <w:t>Section 26E</w:t>
      </w:r>
      <w:r w:rsidRPr="00FB352A">
        <w:rPr>
          <w:rFonts w:ascii="Century" w:hAnsi="Century" w:cs="Times New Roman"/>
          <w:color w:val="000000"/>
          <w:sz w:val="23"/>
          <w:szCs w:val="23"/>
        </w:rPr>
        <w:t xml:space="preserve"> provides that after the registration of security interest, the debts due to any secured creditor shall be paid in priority over all other debts and all revenues, taxes, cesses and other rates payable to the Central Government or State Government or local authority. </w:t>
      </w:r>
    </w:p>
    <w:p w:rsidR="00FB352A" w:rsidRPr="00FB352A" w:rsidRDefault="00FB352A" w:rsidP="00FB352A">
      <w:pPr>
        <w:pStyle w:val="Pa3"/>
        <w:jc w:val="both"/>
        <w:rPr>
          <w:rFonts w:ascii="Century" w:hAnsi="Century" w:cs="Times New Roman"/>
          <w:color w:val="000000"/>
          <w:sz w:val="23"/>
          <w:szCs w:val="23"/>
        </w:rPr>
      </w:pPr>
      <w:r w:rsidRPr="00FB352A">
        <w:rPr>
          <w:rFonts w:ascii="Century" w:hAnsi="Century" w:cs="Times New Roman"/>
          <w:color w:val="000000"/>
          <w:sz w:val="23"/>
          <w:szCs w:val="23"/>
        </w:rPr>
        <w:t>This notification also provides a platform where the security interest can be registered by any creditor or  government authority who have any security interest or attachment order against any  credit given or against any tax dues. This will provide a public notice to all before any subsequent charge is created on the property fraudulently by the borrower or the creditor.</w:t>
      </w:r>
    </w:p>
    <w:p w:rsidR="00FB352A" w:rsidRDefault="00FB352A" w:rsidP="00FB352A">
      <w:pPr>
        <w:pStyle w:val="Pa1"/>
        <w:jc w:val="both"/>
        <w:rPr>
          <w:rFonts w:ascii="Century" w:hAnsi="Century" w:cs="Times New Roman"/>
          <w:b/>
          <w:bCs/>
          <w:color w:val="000000"/>
          <w:sz w:val="23"/>
          <w:szCs w:val="23"/>
        </w:rPr>
      </w:pPr>
    </w:p>
    <w:p w:rsidR="00FB352A" w:rsidRPr="00FB352A" w:rsidRDefault="00FB352A" w:rsidP="00AD4E34">
      <w:pPr>
        <w:pStyle w:val="Pa1"/>
        <w:shd w:val="clear" w:color="auto" w:fill="EEECE1" w:themeFill="background2"/>
        <w:jc w:val="both"/>
        <w:rPr>
          <w:rFonts w:ascii="Century" w:hAnsi="Century" w:cs="Times New Roman"/>
          <w:b/>
          <w:bCs/>
          <w:color w:val="000000"/>
          <w:sz w:val="23"/>
          <w:szCs w:val="23"/>
        </w:rPr>
      </w:pPr>
      <w:r w:rsidRPr="00FB352A">
        <w:rPr>
          <w:rFonts w:ascii="Century" w:hAnsi="Century" w:cs="Times New Roman"/>
          <w:b/>
          <w:bCs/>
          <w:color w:val="000000"/>
          <w:sz w:val="23"/>
          <w:szCs w:val="23"/>
        </w:rPr>
        <w:t>Conclusion:</w:t>
      </w:r>
    </w:p>
    <w:p w:rsidR="00FB352A" w:rsidRPr="00FB352A" w:rsidRDefault="00FB352A" w:rsidP="00FB352A">
      <w:pPr>
        <w:pStyle w:val="Default"/>
        <w:jc w:val="both"/>
        <w:rPr>
          <w:rFonts w:ascii="Century" w:hAnsi="Century" w:cs="Times New Roman"/>
          <w:sz w:val="23"/>
          <w:szCs w:val="23"/>
        </w:rPr>
      </w:pPr>
    </w:p>
    <w:p w:rsidR="00FB352A" w:rsidRPr="00FB352A" w:rsidRDefault="00840F7C" w:rsidP="00840F7C">
      <w:pPr>
        <w:pStyle w:val="Pa0"/>
        <w:numPr>
          <w:ilvl w:val="0"/>
          <w:numId w:val="1"/>
        </w:numPr>
        <w:jc w:val="both"/>
        <w:rPr>
          <w:rFonts w:ascii="Century" w:hAnsi="Century" w:cs="Times New Roman"/>
          <w:color w:val="000000"/>
          <w:sz w:val="23"/>
          <w:szCs w:val="23"/>
        </w:rPr>
      </w:pPr>
      <w:r>
        <w:rPr>
          <w:rFonts w:ascii="Century" w:hAnsi="Century" w:cs="Times New Roman"/>
          <w:noProof/>
          <w:color w:val="000000"/>
          <w:sz w:val="23"/>
          <w:szCs w:val="23"/>
        </w:rPr>
        <w:drawing>
          <wp:anchor distT="0" distB="0" distL="114300" distR="114300" simplePos="0" relativeHeight="251662336" behindDoc="0" locked="0" layoutInCell="1" allowOverlap="1">
            <wp:simplePos x="0" y="0"/>
            <wp:positionH relativeFrom="column">
              <wp:posOffset>3246120</wp:posOffset>
            </wp:positionH>
            <wp:positionV relativeFrom="paragraph">
              <wp:posOffset>25400</wp:posOffset>
            </wp:positionV>
            <wp:extent cx="2715895" cy="1685290"/>
            <wp:effectExtent l="38100" t="0" r="27305" b="486410"/>
            <wp:wrapThrough wrapText="bothSides">
              <wp:wrapPolygon edited="0">
                <wp:start x="303" y="0"/>
                <wp:lineTo x="-303" y="2197"/>
                <wp:lineTo x="-303" y="27834"/>
                <wp:lineTo x="21817" y="27834"/>
                <wp:lineTo x="21817" y="2197"/>
                <wp:lineTo x="21666" y="732"/>
                <wp:lineTo x="21211" y="0"/>
                <wp:lineTo x="303" y="0"/>
              </wp:wrapPolygon>
            </wp:wrapThrough>
            <wp:docPr id="9" name="Picture 7" descr="C:\Users\Sumat Singhal\Desktop\downlo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Sumat Singhal\Desktop\download.jpg"/>
                    <pic:cNvPicPr>
                      <a:picLocks noChangeAspect="1" noChangeArrowheads="1"/>
                    </pic:cNvPicPr>
                  </pic:nvPicPr>
                  <pic:blipFill>
                    <a:blip r:embed="rId11"/>
                    <a:srcRect/>
                    <a:stretch>
                      <a:fillRect/>
                    </a:stretch>
                  </pic:blipFill>
                  <pic:spPr bwMode="auto">
                    <a:xfrm>
                      <a:off x="0" y="0"/>
                      <a:ext cx="2715895" cy="168529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anchor>
        </w:drawing>
      </w:r>
      <w:r>
        <w:rPr>
          <w:rFonts w:ascii="Century" w:hAnsi="Century" w:cs="Times New Roman"/>
          <w:color w:val="000000"/>
          <w:sz w:val="23"/>
          <w:szCs w:val="23"/>
        </w:rPr>
        <w:t>Above notification</w:t>
      </w:r>
      <w:r w:rsidR="00FB352A" w:rsidRPr="00FB352A">
        <w:rPr>
          <w:rFonts w:ascii="Century" w:hAnsi="Century" w:cs="Times New Roman"/>
          <w:color w:val="000000"/>
          <w:sz w:val="23"/>
          <w:szCs w:val="23"/>
        </w:rPr>
        <w:t xml:space="preserve"> effective from 24</w:t>
      </w:r>
      <w:r w:rsidR="00FB352A" w:rsidRPr="00FB352A">
        <w:rPr>
          <w:rStyle w:val="A5"/>
          <w:rFonts w:ascii="Century" w:hAnsi="Century" w:cs="Times New Roman"/>
          <w:sz w:val="23"/>
          <w:szCs w:val="23"/>
        </w:rPr>
        <w:t xml:space="preserve">th </w:t>
      </w:r>
      <w:r w:rsidR="00FB352A" w:rsidRPr="00FB352A">
        <w:rPr>
          <w:rFonts w:ascii="Century" w:hAnsi="Century" w:cs="Times New Roman"/>
          <w:color w:val="000000"/>
          <w:sz w:val="23"/>
          <w:szCs w:val="23"/>
        </w:rPr>
        <w:t>January 2020 is very significant in terms of effect of registration with CERSAI and priority to secured creditors against government and tax dues.</w:t>
      </w:r>
    </w:p>
    <w:p w:rsidR="00FB352A" w:rsidRPr="00FB352A" w:rsidRDefault="00FB352A" w:rsidP="00FB352A">
      <w:pPr>
        <w:pStyle w:val="Default"/>
        <w:rPr>
          <w:rFonts w:ascii="Century" w:hAnsi="Century" w:cs="Times New Roman"/>
          <w:sz w:val="23"/>
          <w:szCs w:val="23"/>
        </w:rPr>
      </w:pPr>
    </w:p>
    <w:p w:rsidR="00FB352A" w:rsidRDefault="00FB352A" w:rsidP="00840F7C">
      <w:pPr>
        <w:pStyle w:val="ListParagraph"/>
        <w:numPr>
          <w:ilvl w:val="0"/>
          <w:numId w:val="1"/>
        </w:numPr>
        <w:jc w:val="both"/>
        <w:rPr>
          <w:rFonts w:ascii="Century" w:hAnsi="Century" w:cs="Times New Roman"/>
          <w:color w:val="000000"/>
          <w:sz w:val="23"/>
          <w:szCs w:val="23"/>
        </w:rPr>
      </w:pPr>
      <w:r w:rsidRPr="00840F7C">
        <w:rPr>
          <w:rFonts w:ascii="Century" w:hAnsi="Century" w:cs="Times New Roman"/>
          <w:color w:val="000000"/>
          <w:sz w:val="23"/>
          <w:szCs w:val="23"/>
        </w:rPr>
        <w:t>Main plus point for Banker here is that the registration of security interest with CERSAI would also assure the payment to secured creditors (like Bank) and tax dues or any other government dues would not have any priority over the dues of creditor who have registered his security interest with CERSAI.</w:t>
      </w:r>
    </w:p>
    <w:p w:rsidR="00AD4E34" w:rsidRPr="00840F7C" w:rsidRDefault="00AD4E34" w:rsidP="00AD4E34">
      <w:pPr>
        <w:pStyle w:val="ListParagraph"/>
        <w:jc w:val="both"/>
        <w:rPr>
          <w:rFonts w:ascii="Century" w:hAnsi="Century" w:cs="Times New Roman"/>
          <w:color w:val="000000"/>
          <w:sz w:val="23"/>
          <w:szCs w:val="23"/>
        </w:rPr>
      </w:pPr>
      <w:r>
        <w:rPr>
          <w:rFonts w:ascii="Century" w:hAnsi="Century" w:cs="Times New Roman"/>
          <w:color w:val="000000"/>
          <w:sz w:val="23"/>
          <w:szCs w:val="23"/>
        </w:rPr>
        <w:t>**********************************************************************</w:t>
      </w:r>
    </w:p>
    <w:sectPr w:rsidR="00AD4E34" w:rsidRPr="00840F7C" w:rsidSect="00840F7C">
      <w:footerReference w:type="default" r:id="rId12"/>
      <w:pgSz w:w="12240" w:h="15840"/>
      <w:pgMar w:top="1440" w:right="1440" w:bottom="1440" w:left="1440" w:header="720" w:footer="720" w:gutter="0"/>
      <w:pgBorders w:offsetFrom="page">
        <w:top w:val="triple" w:sz="4" w:space="24" w:color="auto"/>
        <w:left w:val="triple" w:sz="4" w:space="24" w:color="auto"/>
        <w:bottom w:val="triple" w:sz="4" w:space="24" w:color="auto"/>
        <w:right w:val="triple" w:sz="4" w:space="24" w:color="auto"/>
      </w:pgBorders>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129" w:rsidRDefault="00A07129" w:rsidP="00840F7C">
      <w:pPr>
        <w:spacing w:after="0" w:line="240" w:lineRule="auto"/>
      </w:pPr>
      <w:r>
        <w:separator/>
      </w:r>
    </w:p>
  </w:endnote>
  <w:endnote w:type="continuationSeparator" w:id="1">
    <w:p w:rsidR="00A07129" w:rsidRDefault="00A07129" w:rsidP="00840F7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inion Pro Cond">
    <w:altName w:val="Minion Pro Cond"/>
    <w:panose1 w:val="00000000000000000000"/>
    <w:charset w:val="00"/>
    <w:family w:val="roman"/>
    <w:notTrueType/>
    <w:pitch w:val="default"/>
    <w:sig w:usb0="00000003" w:usb1="00000000" w:usb2="00000000" w:usb3="00000000" w:csb0="00000001" w:csb1="00000000"/>
  </w:font>
  <w:font w:name="Minion Pro">
    <w:altName w:val="Minion Pro"/>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entury">
    <w:panose1 w:val="0204060405050502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7221112"/>
      <w:docPartObj>
        <w:docPartGallery w:val="Page Numbers (Bottom of Page)"/>
        <w:docPartUnique/>
      </w:docPartObj>
    </w:sdtPr>
    <w:sdtContent>
      <w:sdt>
        <w:sdtPr>
          <w:id w:val="565050523"/>
          <w:docPartObj>
            <w:docPartGallery w:val="Page Numbers (Top of Page)"/>
            <w:docPartUnique/>
          </w:docPartObj>
        </w:sdtPr>
        <w:sdtContent>
          <w:p w:rsidR="00840F7C" w:rsidRDefault="00840F7C">
            <w:pPr>
              <w:pStyle w:val="Footer"/>
              <w:jc w:val="right"/>
            </w:pPr>
            <w:r>
              <w:t xml:space="preserve">Page </w:t>
            </w:r>
            <w:r>
              <w:rPr>
                <w:b/>
                <w:sz w:val="24"/>
                <w:szCs w:val="24"/>
              </w:rPr>
              <w:fldChar w:fldCharType="begin"/>
            </w:r>
            <w:r>
              <w:rPr>
                <w:b/>
              </w:rPr>
              <w:instrText xml:space="preserve"> PAGE </w:instrText>
            </w:r>
            <w:r>
              <w:rPr>
                <w:b/>
                <w:sz w:val="24"/>
                <w:szCs w:val="24"/>
              </w:rPr>
              <w:fldChar w:fldCharType="separate"/>
            </w:r>
            <w:r w:rsidR="00AD4E34">
              <w:rPr>
                <w:b/>
                <w:noProof/>
              </w:rPr>
              <w:t>2</w:t>
            </w:r>
            <w:r>
              <w:rPr>
                <w:b/>
                <w:sz w:val="24"/>
                <w:szCs w:val="24"/>
              </w:rPr>
              <w:fldChar w:fldCharType="end"/>
            </w:r>
            <w:r>
              <w:t xml:space="preserve"> of </w:t>
            </w:r>
            <w:r>
              <w:rPr>
                <w:b/>
                <w:sz w:val="24"/>
                <w:szCs w:val="24"/>
              </w:rPr>
              <w:fldChar w:fldCharType="begin"/>
            </w:r>
            <w:r>
              <w:rPr>
                <w:b/>
              </w:rPr>
              <w:instrText xml:space="preserve"> NUMPAGES  </w:instrText>
            </w:r>
            <w:r>
              <w:rPr>
                <w:b/>
                <w:sz w:val="24"/>
                <w:szCs w:val="24"/>
              </w:rPr>
              <w:fldChar w:fldCharType="separate"/>
            </w:r>
            <w:r w:rsidR="00AD4E34">
              <w:rPr>
                <w:b/>
                <w:noProof/>
              </w:rPr>
              <w:t>2</w:t>
            </w:r>
            <w:r>
              <w:rPr>
                <w:b/>
                <w:sz w:val="24"/>
                <w:szCs w:val="24"/>
              </w:rPr>
              <w:fldChar w:fldCharType="end"/>
            </w:r>
          </w:p>
        </w:sdtContent>
      </w:sdt>
    </w:sdtContent>
  </w:sdt>
  <w:p w:rsidR="00840F7C" w:rsidRDefault="00840F7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129" w:rsidRDefault="00A07129" w:rsidP="00840F7C">
      <w:pPr>
        <w:spacing w:after="0" w:line="240" w:lineRule="auto"/>
      </w:pPr>
      <w:r>
        <w:separator/>
      </w:r>
    </w:p>
  </w:footnote>
  <w:footnote w:type="continuationSeparator" w:id="1">
    <w:p w:rsidR="00A07129" w:rsidRDefault="00A07129" w:rsidP="00840F7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E4C768F"/>
    <w:multiLevelType w:val="hybridMultilevel"/>
    <w:tmpl w:val="451A6B6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20"/>
  <w:characterSpacingControl w:val="doNotCompress"/>
  <w:hdrShapeDefaults>
    <o:shapedefaults v:ext="edit" spidmax="3074"/>
  </w:hdrShapeDefaults>
  <w:footnotePr>
    <w:footnote w:id="0"/>
    <w:footnote w:id="1"/>
  </w:footnotePr>
  <w:endnotePr>
    <w:endnote w:id="0"/>
    <w:endnote w:id="1"/>
  </w:endnotePr>
  <w:compat/>
  <w:rsids>
    <w:rsidRoot w:val="00A81592"/>
    <w:rsid w:val="000F3598"/>
    <w:rsid w:val="0019588E"/>
    <w:rsid w:val="007C286F"/>
    <w:rsid w:val="007E3980"/>
    <w:rsid w:val="00840F7C"/>
    <w:rsid w:val="009B1027"/>
    <w:rsid w:val="00A07129"/>
    <w:rsid w:val="00A81592"/>
    <w:rsid w:val="00AD4E34"/>
    <w:rsid w:val="00F91E38"/>
    <w:rsid w:val="00FB352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588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A81592"/>
    <w:pPr>
      <w:autoSpaceDE w:val="0"/>
      <w:autoSpaceDN w:val="0"/>
      <w:adjustRightInd w:val="0"/>
      <w:spacing w:after="0" w:line="240" w:lineRule="auto"/>
    </w:pPr>
    <w:rPr>
      <w:rFonts w:ascii="Minion Pro Cond" w:hAnsi="Minion Pro Cond" w:cs="Minion Pro Cond"/>
      <w:color w:val="000000"/>
      <w:sz w:val="24"/>
      <w:szCs w:val="24"/>
    </w:rPr>
  </w:style>
  <w:style w:type="character" w:customStyle="1" w:styleId="A0">
    <w:name w:val="A0"/>
    <w:uiPriority w:val="99"/>
    <w:rsid w:val="00A81592"/>
    <w:rPr>
      <w:rFonts w:cs="Minion Pro Cond"/>
      <w:b/>
      <w:bCs/>
      <w:color w:val="000000"/>
      <w:sz w:val="60"/>
      <w:szCs w:val="60"/>
    </w:rPr>
  </w:style>
  <w:style w:type="character" w:customStyle="1" w:styleId="A5">
    <w:name w:val="A5"/>
    <w:uiPriority w:val="99"/>
    <w:rsid w:val="00F91E38"/>
    <w:rPr>
      <w:rFonts w:cs="Minion Pro"/>
      <w:color w:val="000000"/>
      <w:sz w:val="14"/>
      <w:szCs w:val="14"/>
    </w:rPr>
  </w:style>
  <w:style w:type="paragraph" w:customStyle="1" w:styleId="Pa3">
    <w:name w:val="Pa3"/>
    <w:basedOn w:val="Default"/>
    <w:next w:val="Default"/>
    <w:uiPriority w:val="99"/>
    <w:rsid w:val="00F91E38"/>
    <w:pPr>
      <w:spacing w:line="241" w:lineRule="atLeast"/>
    </w:pPr>
    <w:rPr>
      <w:rFonts w:ascii="Minion Pro" w:hAnsi="Minion Pro" w:cstheme="minorBidi"/>
      <w:color w:val="auto"/>
    </w:rPr>
  </w:style>
  <w:style w:type="paragraph" w:styleId="ListParagraph">
    <w:name w:val="List Paragraph"/>
    <w:basedOn w:val="Normal"/>
    <w:uiPriority w:val="34"/>
    <w:qFormat/>
    <w:rsid w:val="000F3598"/>
    <w:pPr>
      <w:ind w:left="720"/>
      <w:contextualSpacing/>
    </w:pPr>
  </w:style>
  <w:style w:type="paragraph" w:styleId="BalloonText">
    <w:name w:val="Balloon Text"/>
    <w:basedOn w:val="Normal"/>
    <w:link w:val="BalloonTextChar"/>
    <w:uiPriority w:val="99"/>
    <w:semiHidden/>
    <w:unhideWhenUsed/>
    <w:rsid w:val="000F359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F3598"/>
    <w:rPr>
      <w:rFonts w:ascii="Tahoma" w:hAnsi="Tahoma" w:cs="Tahoma"/>
      <w:sz w:val="16"/>
      <w:szCs w:val="16"/>
    </w:rPr>
  </w:style>
  <w:style w:type="paragraph" w:customStyle="1" w:styleId="Pa1">
    <w:name w:val="Pa1"/>
    <w:basedOn w:val="Default"/>
    <w:next w:val="Default"/>
    <w:uiPriority w:val="99"/>
    <w:rsid w:val="00FB352A"/>
    <w:pPr>
      <w:spacing w:line="241" w:lineRule="atLeast"/>
    </w:pPr>
    <w:rPr>
      <w:rFonts w:ascii="Minion Pro" w:hAnsi="Minion Pro" w:cstheme="minorBidi"/>
      <w:color w:val="auto"/>
    </w:rPr>
  </w:style>
  <w:style w:type="paragraph" w:customStyle="1" w:styleId="Pa0">
    <w:name w:val="Pa0"/>
    <w:basedOn w:val="Default"/>
    <w:next w:val="Default"/>
    <w:uiPriority w:val="99"/>
    <w:rsid w:val="00FB352A"/>
    <w:pPr>
      <w:spacing w:line="241" w:lineRule="atLeast"/>
    </w:pPr>
    <w:rPr>
      <w:rFonts w:ascii="Minion Pro" w:hAnsi="Minion Pro" w:cstheme="minorBidi"/>
      <w:color w:val="auto"/>
    </w:rPr>
  </w:style>
  <w:style w:type="paragraph" w:styleId="Header">
    <w:name w:val="header"/>
    <w:basedOn w:val="Normal"/>
    <w:link w:val="HeaderChar"/>
    <w:uiPriority w:val="99"/>
    <w:semiHidden/>
    <w:unhideWhenUsed/>
    <w:rsid w:val="00840F7C"/>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840F7C"/>
  </w:style>
  <w:style w:type="paragraph" w:styleId="Footer">
    <w:name w:val="footer"/>
    <w:basedOn w:val="Normal"/>
    <w:link w:val="FooterChar"/>
    <w:uiPriority w:val="99"/>
    <w:unhideWhenUsed/>
    <w:rsid w:val="00840F7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40F7C"/>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BC0A15-AFD0-413F-9D47-3B52473505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2</Pages>
  <Words>535</Words>
  <Characters>3052</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Sumat Singhal</dc:creator>
  <cp:lastModifiedBy>Sumat Singhal</cp:lastModifiedBy>
  <cp:revision>5</cp:revision>
  <dcterms:created xsi:type="dcterms:W3CDTF">2020-06-14T16:25:00Z</dcterms:created>
  <dcterms:modified xsi:type="dcterms:W3CDTF">2020-06-14T17:06:00Z</dcterms:modified>
</cp:coreProperties>
</file>