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2AC" w:rsidRPr="00924403" w:rsidRDefault="002542AC" w:rsidP="002542AC">
      <w:pPr>
        <w:ind w:left="2160" w:firstLine="720"/>
        <w:rPr>
          <w:rFonts w:ascii="Arial" w:hAnsi="Arial" w:cs="Arial"/>
          <w:b/>
          <w:u w:val="single"/>
        </w:rPr>
      </w:pPr>
      <w:r w:rsidRPr="00924403">
        <w:rPr>
          <w:rFonts w:ascii="Arial" w:hAnsi="Arial" w:cs="Arial"/>
          <w:b/>
          <w:u w:val="single"/>
        </w:rPr>
        <w:t>Condonation of Delay: An Overview</w:t>
      </w:r>
    </w:p>
    <w:p w:rsidR="002542AC" w:rsidRPr="00924403" w:rsidRDefault="002542AC" w:rsidP="002542AC">
      <w:pPr>
        <w:rPr>
          <w:rFonts w:ascii="Arial" w:hAnsi="Arial" w:cs="Arial"/>
          <w:b/>
        </w:rPr>
      </w:pPr>
      <w:r w:rsidRPr="00924403">
        <w:rPr>
          <w:rFonts w:ascii="Arial" w:hAnsi="Arial" w:cs="Arial"/>
          <w:b/>
        </w:rPr>
        <w:t>The law of Limitation is founded on public policy. The Limitation Act, 1963 has not been enacted with the object of destroying the rights of parties but to ensure that they approach the court for vindication of their rights without unreasonable delay.</w:t>
      </w:r>
    </w:p>
    <w:p w:rsidR="002542AC" w:rsidRPr="00924403" w:rsidRDefault="002542AC" w:rsidP="002542AC">
      <w:pPr>
        <w:rPr>
          <w:rFonts w:ascii="Arial" w:hAnsi="Arial" w:cs="Arial"/>
          <w:b/>
        </w:rPr>
      </w:pPr>
      <w:r w:rsidRPr="00924403">
        <w:rPr>
          <w:rFonts w:ascii="Arial" w:hAnsi="Arial" w:cs="Arial"/>
          <w:b/>
        </w:rPr>
        <w:t>The legislature has conferred power to condone delay by enacting section 5 of Limitation Act. The object is to enable courts to do substantial justice by deciding cases on merits. Ordinarily, a litigant does not stand to benefit by seeking relief late. Refusing to condone delay can result in a meritorious matter being thrown out at the very threshold and cause of justice being defeated. On the contrary, when delay is condoned, the maximum that can happen is that a cause would be decided on merits after hearing the parties.</w:t>
      </w:r>
    </w:p>
    <w:p w:rsidR="003D2E9B" w:rsidRDefault="002542AC" w:rsidP="002542AC">
      <w:pPr>
        <w:rPr>
          <w:rFonts w:ascii="Arial" w:hAnsi="Arial" w:cs="Arial"/>
          <w:b/>
        </w:rPr>
      </w:pPr>
      <w:r w:rsidRPr="00924403">
        <w:rPr>
          <w:rFonts w:ascii="Arial" w:hAnsi="Arial" w:cs="Arial"/>
          <w:b/>
        </w:rPr>
        <w:t xml:space="preserve">* </w:t>
      </w:r>
      <w:r w:rsidRPr="00924403">
        <w:rPr>
          <w:rFonts w:ascii="Arial" w:hAnsi="Arial" w:cs="Arial"/>
          <w:b/>
          <w:u w:val="single"/>
        </w:rPr>
        <w:t xml:space="preserve">SECTION 5 OF LIMITATION </w:t>
      </w:r>
      <w:r w:rsidR="00322E1E" w:rsidRPr="00924403">
        <w:rPr>
          <w:rFonts w:ascii="Arial" w:hAnsi="Arial" w:cs="Arial"/>
          <w:b/>
          <w:u w:val="single"/>
        </w:rPr>
        <w:t>ACT</w:t>
      </w:r>
      <w:r w:rsidR="00322E1E">
        <w:rPr>
          <w:rFonts w:ascii="Arial" w:hAnsi="Arial" w:cs="Arial"/>
          <w:b/>
        </w:rPr>
        <w:t>,</w:t>
      </w:r>
      <w:r w:rsidR="003D2E9B">
        <w:rPr>
          <w:rFonts w:ascii="Arial" w:hAnsi="Arial" w:cs="Arial"/>
          <w:b/>
        </w:rPr>
        <w:t xml:space="preserve"> states that -</w:t>
      </w:r>
    </w:p>
    <w:p w:rsidR="002542AC" w:rsidRPr="00924403" w:rsidRDefault="002542AC" w:rsidP="002542AC">
      <w:pPr>
        <w:rPr>
          <w:rFonts w:ascii="Arial" w:hAnsi="Arial" w:cs="Arial"/>
          <w:b/>
        </w:rPr>
      </w:pPr>
      <w:r w:rsidRPr="00924403">
        <w:rPr>
          <w:rFonts w:ascii="Arial" w:hAnsi="Arial" w:cs="Arial"/>
          <w:b/>
        </w:rPr>
        <w:t>Extension of prescribed period in certain cases – Any appeal or any applications, other than an application under any of the provisions of Order XXI of the Code of Civil Procedure, 1908, may be admitted after the prescribed period, if the appellant or the applicant satisfies the court that he had sufficient cause for not preferring the appeal or making the application within such period.</w:t>
      </w:r>
    </w:p>
    <w:p w:rsidR="002542AC" w:rsidRPr="00924403" w:rsidRDefault="002542AC" w:rsidP="002542AC">
      <w:pPr>
        <w:rPr>
          <w:rFonts w:ascii="Arial" w:hAnsi="Arial" w:cs="Arial"/>
          <w:b/>
          <w:color w:val="FF0000"/>
        </w:rPr>
      </w:pPr>
      <w:r w:rsidRPr="00924403">
        <w:rPr>
          <w:rFonts w:ascii="Arial" w:hAnsi="Arial" w:cs="Arial"/>
          <w:b/>
        </w:rPr>
        <w:t>Explanation – The fact that the appellant or the applicant was misled by any order, practice or judgement of the High Court in ascertaining or computing the prescribed period may be sufficient cause within the meaning of this section.</w:t>
      </w:r>
    </w:p>
    <w:p w:rsidR="002542AC" w:rsidRPr="00924403" w:rsidRDefault="002542AC" w:rsidP="002542AC">
      <w:pPr>
        <w:rPr>
          <w:rFonts w:ascii="Arial" w:hAnsi="Arial" w:cs="Arial"/>
          <w:b/>
        </w:rPr>
      </w:pPr>
      <w:r w:rsidRPr="00924403">
        <w:rPr>
          <w:rFonts w:ascii="Arial" w:hAnsi="Arial" w:cs="Arial"/>
          <w:b/>
        </w:rPr>
        <w:t>*</w:t>
      </w:r>
      <w:r w:rsidRPr="00924403">
        <w:rPr>
          <w:rFonts w:ascii="Arial" w:hAnsi="Arial" w:cs="Arial"/>
        </w:rPr>
        <w:t xml:space="preserve"> </w:t>
      </w:r>
      <w:r w:rsidRPr="00924403">
        <w:rPr>
          <w:rFonts w:ascii="Arial" w:hAnsi="Arial" w:cs="Arial"/>
          <w:b/>
          <w:u w:val="single"/>
        </w:rPr>
        <w:t>Sufficient Cause</w:t>
      </w:r>
      <w:r w:rsidRPr="00924403">
        <w:rPr>
          <w:rFonts w:ascii="Arial" w:hAnsi="Arial" w:cs="Arial"/>
          <w:b/>
        </w:rPr>
        <w:t xml:space="preserve"> – </w:t>
      </w:r>
    </w:p>
    <w:p w:rsidR="002542AC" w:rsidRPr="00924403" w:rsidRDefault="002542AC" w:rsidP="002542AC">
      <w:pPr>
        <w:rPr>
          <w:rFonts w:ascii="Arial" w:hAnsi="Arial" w:cs="Arial"/>
          <w:b/>
        </w:rPr>
      </w:pPr>
      <w:r w:rsidRPr="00924403">
        <w:rPr>
          <w:rFonts w:ascii="Arial" w:hAnsi="Arial" w:cs="Arial"/>
          <w:b/>
        </w:rPr>
        <w:t>A. Seyed Hakim vs K.S Maideen, 2012 (1) CTC 801 (Mad).</w:t>
      </w:r>
    </w:p>
    <w:p w:rsidR="002542AC" w:rsidRPr="00924403" w:rsidRDefault="002542AC" w:rsidP="002542AC">
      <w:pPr>
        <w:rPr>
          <w:rFonts w:ascii="Arial" w:hAnsi="Arial" w:cs="Arial"/>
          <w:b/>
        </w:rPr>
      </w:pPr>
      <w:r w:rsidRPr="00924403">
        <w:rPr>
          <w:rFonts w:ascii="Arial" w:hAnsi="Arial" w:cs="Arial"/>
          <w:b/>
        </w:rPr>
        <w:t xml:space="preserve">Judicial power and discretion should be exercised to advance substantial justice. “Sufficient Cause” to be applied in reasonable, pragmatic, practical and liberal manner if delay is not on account of dilatory tactics, deliberate in action or negligence. </w:t>
      </w:r>
    </w:p>
    <w:p w:rsidR="002542AC" w:rsidRPr="00924403" w:rsidRDefault="002542AC" w:rsidP="002542AC">
      <w:pPr>
        <w:rPr>
          <w:rFonts w:ascii="Arial" w:hAnsi="Arial" w:cs="Arial"/>
          <w:b/>
          <w:u w:val="single"/>
        </w:rPr>
      </w:pPr>
      <w:r w:rsidRPr="00924403">
        <w:rPr>
          <w:rFonts w:ascii="Arial" w:hAnsi="Arial" w:cs="Arial"/>
          <w:b/>
        </w:rPr>
        <w:t>*</w:t>
      </w:r>
      <w:r w:rsidRPr="00924403">
        <w:rPr>
          <w:rFonts w:ascii="Arial" w:hAnsi="Arial" w:cs="Arial"/>
          <w:b/>
          <w:u w:val="single"/>
        </w:rPr>
        <w:t>Applicability of CONDONATION OF DELAY</w:t>
      </w:r>
      <w:r w:rsidRPr="00924403">
        <w:rPr>
          <w:rFonts w:ascii="Arial" w:hAnsi="Arial" w:cs="Arial"/>
          <w:b/>
        </w:rPr>
        <w:t xml:space="preserve"> -</w:t>
      </w:r>
    </w:p>
    <w:p w:rsidR="002542AC" w:rsidRPr="00924403" w:rsidRDefault="002542AC" w:rsidP="002542AC">
      <w:pPr>
        <w:rPr>
          <w:rFonts w:ascii="Arial" w:hAnsi="Arial" w:cs="Arial"/>
          <w:b/>
          <w:u w:val="single"/>
        </w:rPr>
      </w:pPr>
      <w:r w:rsidRPr="00924403">
        <w:rPr>
          <w:rFonts w:ascii="Arial" w:hAnsi="Arial" w:cs="Arial"/>
          <w:b/>
          <w:u w:val="single"/>
        </w:rPr>
        <w:t>SCOPE OF Condonation of delay</w:t>
      </w:r>
      <w:r w:rsidRPr="00924403">
        <w:rPr>
          <w:rFonts w:ascii="Arial" w:hAnsi="Arial" w:cs="Arial"/>
          <w:b/>
        </w:rPr>
        <w:t xml:space="preserve"> - </w:t>
      </w:r>
      <w:r w:rsidRPr="00924403">
        <w:rPr>
          <w:rFonts w:ascii="Arial" w:hAnsi="Arial" w:cs="Arial"/>
          <w:b/>
          <w:u w:val="single"/>
        </w:rPr>
        <w:t xml:space="preserve">is restricted to “Appeals” and “Applications” other than those applications under ORDER 21 OF C.P.C.  </w:t>
      </w:r>
    </w:p>
    <w:p w:rsidR="002542AC" w:rsidRPr="00924403" w:rsidRDefault="002542AC" w:rsidP="002542AC">
      <w:pPr>
        <w:rPr>
          <w:rFonts w:ascii="Arial" w:hAnsi="Arial" w:cs="Arial"/>
          <w:b/>
        </w:rPr>
      </w:pPr>
      <w:r w:rsidRPr="00924403">
        <w:rPr>
          <w:rFonts w:ascii="Arial" w:hAnsi="Arial" w:cs="Arial"/>
          <w:b/>
        </w:rPr>
        <w:t xml:space="preserve">In the case of  </w:t>
      </w:r>
    </w:p>
    <w:p w:rsidR="002542AC" w:rsidRPr="00924403" w:rsidRDefault="002542AC" w:rsidP="002542AC">
      <w:pPr>
        <w:pStyle w:val="ListParagraph"/>
        <w:numPr>
          <w:ilvl w:val="0"/>
          <w:numId w:val="2"/>
        </w:numPr>
        <w:rPr>
          <w:rFonts w:ascii="Arial" w:hAnsi="Arial" w:cs="Arial"/>
          <w:b/>
        </w:rPr>
      </w:pPr>
      <w:r w:rsidRPr="00924403">
        <w:rPr>
          <w:rFonts w:ascii="Arial" w:hAnsi="Arial" w:cs="Arial"/>
          <w:b/>
        </w:rPr>
        <w:t xml:space="preserve">Ram Nath Sao alias Ram Nath sahu vs Govardhan Sao, AIR 2002 SC 1201, </w:t>
      </w:r>
    </w:p>
    <w:p w:rsidR="002542AC" w:rsidRPr="00924403" w:rsidRDefault="002542AC" w:rsidP="002542AC">
      <w:pPr>
        <w:ind w:left="90"/>
        <w:rPr>
          <w:rFonts w:ascii="Arial" w:hAnsi="Arial" w:cs="Arial"/>
          <w:b/>
        </w:rPr>
      </w:pPr>
      <w:r w:rsidRPr="00924403">
        <w:rPr>
          <w:rFonts w:ascii="Arial" w:hAnsi="Arial" w:cs="Arial"/>
          <w:b/>
        </w:rPr>
        <w:t xml:space="preserve">The Apex court contended delay of 130 days in filing an application for substitution of one of the legal heirs, delay of about five years in the case of the other heir and delay of about three years in the case of yet another legal heir, reversing the order of the high Court of Jharkhand and directed to dispose of the appeals on merits in accordance with the law. The Supreme Court in the above case interpreted what is sufficient cause and </w:t>
      </w:r>
      <w:r w:rsidRPr="00924403">
        <w:rPr>
          <w:rFonts w:ascii="Arial" w:hAnsi="Arial" w:cs="Arial"/>
          <w:b/>
        </w:rPr>
        <w:lastRenderedPageBreak/>
        <w:t>made far reaching observations in determining when the Court should condoned the delay in filing appeals etc., before various appellate bodies under various laws.</w:t>
      </w:r>
    </w:p>
    <w:p w:rsidR="002542AC" w:rsidRPr="00924403" w:rsidRDefault="002542AC" w:rsidP="002542AC">
      <w:pPr>
        <w:pStyle w:val="ListParagraph"/>
        <w:numPr>
          <w:ilvl w:val="0"/>
          <w:numId w:val="2"/>
        </w:numPr>
        <w:rPr>
          <w:rFonts w:ascii="Arial" w:hAnsi="Arial" w:cs="Arial"/>
          <w:b/>
        </w:rPr>
      </w:pPr>
      <w:r w:rsidRPr="00924403">
        <w:rPr>
          <w:rFonts w:ascii="Arial" w:hAnsi="Arial" w:cs="Arial"/>
          <w:b/>
        </w:rPr>
        <w:t>Habib Ahmad Khan vs. U.P. Sunni central Board of Waqf, 2011 (3) CCC 484 (All).</w:t>
      </w:r>
    </w:p>
    <w:p w:rsidR="002542AC" w:rsidRPr="00924403" w:rsidRDefault="002542AC" w:rsidP="002542AC">
      <w:pPr>
        <w:rPr>
          <w:rFonts w:ascii="Arial" w:hAnsi="Arial" w:cs="Arial"/>
          <w:b/>
        </w:rPr>
      </w:pPr>
      <w:r w:rsidRPr="00924403">
        <w:rPr>
          <w:rFonts w:ascii="Arial" w:hAnsi="Arial" w:cs="Arial"/>
          <w:b/>
        </w:rPr>
        <w:t xml:space="preserve">Liberal consideration shall be given in order to advance the substantial justice. If technical and substantial justice were pitted together, the way should be given to the substantial justice and there was no need to explain day to day delay in filing application for condonation of delay. </w:t>
      </w:r>
    </w:p>
    <w:p w:rsidR="002542AC" w:rsidRPr="00924403" w:rsidRDefault="002542AC" w:rsidP="002542AC">
      <w:pPr>
        <w:pStyle w:val="ListParagraph"/>
        <w:numPr>
          <w:ilvl w:val="0"/>
          <w:numId w:val="1"/>
        </w:numPr>
        <w:rPr>
          <w:rFonts w:ascii="Arial" w:hAnsi="Arial" w:cs="Arial"/>
          <w:b/>
        </w:rPr>
      </w:pPr>
      <w:r w:rsidRPr="00924403">
        <w:rPr>
          <w:rFonts w:ascii="Arial" w:hAnsi="Arial" w:cs="Arial"/>
          <w:b/>
        </w:rPr>
        <w:t>Mohatta Brothers, Ahmedabad vs Sheth Chaturbhaidas Chimanlal, AIR 1982 Guj 96 at 102.</w:t>
      </w:r>
    </w:p>
    <w:p w:rsidR="002542AC" w:rsidRPr="00924403" w:rsidRDefault="002542AC" w:rsidP="002542AC">
      <w:pPr>
        <w:rPr>
          <w:rFonts w:ascii="Arial" w:hAnsi="Arial" w:cs="Arial"/>
          <w:b/>
        </w:rPr>
      </w:pPr>
      <w:r w:rsidRPr="00924403">
        <w:rPr>
          <w:rFonts w:ascii="Arial" w:hAnsi="Arial" w:cs="Arial"/>
          <w:b/>
        </w:rPr>
        <w:t xml:space="preserve">When the courts speak about every day’s delay being explained, they do not canvass that a hyper technical, pedantic and unpragmatic view should be adopted in dealing with application for condonation of delay. Rules of procedure have been engrafted in the code and elsewhere in law to advance the cause of justice and not throttle its course. </w:t>
      </w:r>
    </w:p>
    <w:p w:rsidR="002542AC" w:rsidRPr="00924403" w:rsidRDefault="002542AC" w:rsidP="002542AC">
      <w:pPr>
        <w:pStyle w:val="ListParagraph"/>
        <w:numPr>
          <w:ilvl w:val="0"/>
          <w:numId w:val="1"/>
        </w:numPr>
        <w:rPr>
          <w:rFonts w:ascii="Arial" w:hAnsi="Arial" w:cs="Arial"/>
          <w:b/>
        </w:rPr>
      </w:pPr>
      <w:r w:rsidRPr="00924403">
        <w:rPr>
          <w:rFonts w:ascii="Arial" w:hAnsi="Arial" w:cs="Arial"/>
          <w:b/>
        </w:rPr>
        <w:t>Maniben Devraj Shah vs. Municipal Corporation of Brihan Mumbai, AIR 2012 SC 1629, (2012) 5 SCC 157.</w:t>
      </w:r>
    </w:p>
    <w:p w:rsidR="002542AC" w:rsidRPr="00924403" w:rsidRDefault="002542AC" w:rsidP="002542AC">
      <w:pPr>
        <w:rPr>
          <w:rFonts w:ascii="Arial" w:hAnsi="Arial" w:cs="Arial"/>
          <w:b/>
        </w:rPr>
      </w:pPr>
      <w:r w:rsidRPr="00924403">
        <w:rPr>
          <w:rFonts w:ascii="Arial" w:hAnsi="Arial" w:cs="Arial"/>
          <w:b/>
        </w:rPr>
        <w:t>No hard and fast rule has been or can be laid down for deciding the applications for Condonation of delay but over the years this court has advocated that a liberal approach approach should be adopted in such a manners so that substantive rights of the parties are not defeated merely because of delay.</w:t>
      </w:r>
    </w:p>
    <w:p w:rsidR="002542AC" w:rsidRPr="00924403" w:rsidRDefault="002542AC" w:rsidP="002542AC">
      <w:pPr>
        <w:pStyle w:val="ListParagraph"/>
        <w:numPr>
          <w:ilvl w:val="0"/>
          <w:numId w:val="1"/>
        </w:numPr>
        <w:rPr>
          <w:rFonts w:ascii="Arial" w:hAnsi="Arial" w:cs="Arial"/>
          <w:b/>
        </w:rPr>
      </w:pPr>
      <w:r w:rsidRPr="00924403">
        <w:rPr>
          <w:rFonts w:ascii="Arial" w:hAnsi="Arial" w:cs="Arial"/>
          <w:b/>
        </w:rPr>
        <w:t>Raman Agnihotri vs Arun kumar Tiwari, IV (2010) ACC 621 (All) (DB).</w:t>
      </w:r>
    </w:p>
    <w:p w:rsidR="002542AC" w:rsidRPr="00924403" w:rsidRDefault="002542AC" w:rsidP="002542AC">
      <w:pPr>
        <w:rPr>
          <w:rFonts w:ascii="Arial" w:hAnsi="Arial" w:cs="Arial"/>
          <w:b/>
        </w:rPr>
      </w:pPr>
      <w:r w:rsidRPr="00924403">
        <w:rPr>
          <w:rFonts w:ascii="Arial" w:hAnsi="Arial" w:cs="Arial"/>
          <w:b/>
        </w:rPr>
        <w:t xml:space="preserve">Condonation of delay is not allowed- there was delay of 336 days in filing review petition. Condonation of delay was sought alleging award was ex parte. No sufficient ground disclosed for delay. Condonation was refused and costs of Rs. 5100 were imposed. </w:t>
      </w:r>
    </w:p>
    <w:p w:rsidR="002542AC" w:rsidRPr="00924403" w:rsidRDefault="002542AC" w:rsidP="002542AC">
      <w:pPr>
        <w:pStyle w:val="ListParagraph"/>
        <w:numPr>
          <w:ilvl w:val="0"/>
          <w:numId w:val="1"/>
        </w:numPr>
        <w:rPr>
          <w:rFonts w:ascii="Arial" w:hAnsi="Arial" w:cs="Arial"/>
          <w:b/>
        </w:rPr>
      </w:pPr>
      <w:r w:rsidRPr="00924403">
        <w:rPr>
          <w:rFonts w:ascii="Arial" w:hAnsi="Arial" w:cs="Arial"/>
          <w:b/>
        </w:rPr>
        <w:t xml:space="preserve"> Lalitaben Iswarlal Naik vs. Natvarlal Thakorbhai Desai, 2011 CCC 572 (Guj).</w:t>
      </w:r>
    </w:p>
    <w:p w:rsidR="002542AC" w:rsidRPr="00924403" w:rsidRDefault="002542AC" w:rsidP="002542AC">
      <w:pPr>
        <w:rPr>
          <w:rFonts w:ascii="Arial" w:hAnsi="Arial" w:cs="Arial"/>
          <w:b/>
        </w:rPr>
      </w:pPr>
      <w:r w:rsidRPr="00924403">
        <w:rPr>
          <w:rFonts w:ascii="Arial" w:hAnsi="Arial" w:cs="Arial"/>
          <w:b/>
        </w:rPr>
        <w:t xml:space="preserve"> The length of delay was not relevant, material and important. Question was whether delay had been specifically explained by applicant to consider his application for condonation of delay. Intentional delay could not be encouraged by Court. Liberal approach in such cases necessarily not the strict rules is to apply but practical approach is necessary. Discretionary power could be exercised by Courts for doing substantial justice between parties.</w:t>
      </w:r>
    </w:p>
    <w:p w:rsidR="002542AC" w:rsidRPr="00924403" w:rsidRDefault="002542AC" w:rsidP="002542AC">
      <w:pPr>
        <w:rPr>
          <w:rFonts w:ascii="Arial" w:hAnsi="Arial" w:cs="Arial"/>
          <w:b/>
        </w:rPr>
      </w:pPr>
      <w:r w:rsidRPr="00924403">
        <w:rPr>
          <w:rFonts w:ascii="Arial" w:hAnsi="Arial" w:cs="Arial"/>
          <w:b/>
        </w:rPr>
        <w:t>*</w:t>
      </w:r>
      <w:r w:rsidRPr="00924403">
        <w:rPr>
          <w:rFonts w:ascii="Arial" w:hAnsi="Arial" w:cs="Arial"/>
          <w:b/>
          <w:u w:val="single"/>
        </w:rPr>
        <w:t xml:space="preserve">Applicability of Sections 5 and 14 of Limitation Act </w:t>
      </w:r>
      <w:r w:rsidRPr="00924403">
        <w:rPr>
          <w:rFonts w:ascii="Arial" w:hAnsi="Arial" w:cs="Arial"/>
          <w:b/>
        </w:rPr>
        <w:t>–</w:t>
      </w:r>
    </w:p>
    <w:p w:rsidR="002542AC" w:rsidRPr="00924403" w:rsidRDefault="002542AC" w:rsidP="002542AC">
      <w:pPr>
        <w:rPr>
          <w:rFonts w:ascii="Arial" w:hAnsi="Arial" w:cs="Arial"/>
          <w:b/>
        </w:rPr>
      </w:pPr>
      <w:r w:rsidRPr="00924403">
        <w:rPr>
          <w:rFonts w:ascii="Arial" w:hAnsi="Arial" w:cs="Arial"/>
          <w:b/>
          <w:u w:val="single"/>
        </w:rPr>
        <w:t xml:space="preserve">SECTION 14 States that </w:t>
      </w:r>
      <w:r w:rsidRPr="00924403">
        <w:rPr>
          <w:rFonts w:ascii="Arial" w:hAnsi="Arial" w:cs="Arial"/>
          <w:b/>
        </w:rPr>
        <w:t>-</w:t>
      </w:r>
    </w:p>
    <w:p w:rsidR="00FD2154" w:rsidRPr="00FD2154" w:rsidRDefault="00FD2154" w:rsidP="00FD2154">
      <w:pPr>
        <w:spacing w:after="0" w:line="351" w:lineRule="atLeast"/>
        <w:rPr>
          <w:rFonts w:ascii="Arial" w:eastAsia="Times New Roman" w:hAnsi="Arial" w:cs="Arial"/>
          <w:b/>
          <w:color w:val="000000"/>
        </w:rPr>
      </w:pPr>
      <w:r w:rsidRPr="00FD2154">
        <w:rPr>
          <w:rFonts w:ascii="Arial" w:eastAsia="Times New Roman" w:hAnsi="Arial" w:cs="Arial"/>
          <w:b/>
          <w:color w:val="000000"/>
        </w:rPr>
        <w:t>Exclusion of time of proceeding bona fide in court without jurisdiction. —</w:t>
      </w:r>
    </w:p>
    <w:p w:rsidR="00FD2154" w:rsidRPr="00FD2154" w:rsidRDefault="0014065A" w:rsidP="00FD2154">
      <w:pPr>
        <w:spacing w:after="0" w:line="351" w:lineRule="atLeast"/>
        <w:rPr>
          <w:rFonts w:ascii="Arial" w:eastAsia="Times New Roman" w:hAnsi="Arial" w:cs="Arial"/>
          <w:b/>
          <w:color w:val="000000"/>
        </w:rPr>
      </w:pPr>
      <w:hyperlink r:id="rId6" w:history="1">
        <w:r w:rsidR="00FD2154" w:rsidRPr="00FD2154">
          <w:rPr>
            <w:rFonts w:ascii="Arial" w:eastAsia="Times New Roman" w:hAnsi="Arial" w:cs="Arial"/>
            <w:b/>
            <w:color w:val="1100CC"/>
            <w:u w:val="single"/>
          </w:rPr>
          <w:t>(1)</w:t>
        </w:r>
      </w:hyperlink>
      <w:r w:rsidR="00FD2154" w:rsidRPr="00FD2154">
        <w:rPr>
          <w:rFonts w:ascii="Arial" w:eastAsia="Times New Roman" w:hAnsi="Arial" w:cs="Arial"/>
          <w:b/>
          <w:color w:val="000000"/>
        </w:rPr>
        <w:t> In computing the period of limitation for any suit the time during which the plaintiff has been prosecuting with due diligence another civil proceeding, whether in a court of first instance or of appeal or revision, against the defendant shall be excluded, where the proceeding relates to the same matter in issue and is prosecuted in good faith in a court which, from defect of jurisdiction or other cause of a like nature, is unable to entertain it.</w:t>
      </w:r>
    </w:p>
    <w:p w:rsidR="00FD2154" w:rsidRPr="00FD2154" w:rsidRDefault="0014065A" w:rsidP="00FD2154">
      <w:pPr>
        <w:spacing w:after="0" w:line="351" w:lineRule="atLeast"/>
        <w:rPr>
          <w:rFonts w:ascii="Arial" w:eastAsia="Times New Roman" w:hAnsi="Arial" w:cs="Arial"/>
          <w:b/>
          <w:color w:val="000000"/>
        </w:rPr>
      </w:pPr>
      <w:hyperlink r:id="rId7" w:history="1">
        <w:r w:rsidR="00FD2154" w:rsidRPr="00FD2154">
          <w:rPr>
            <w:rFonts w:ascii="Arial" w:eastAsia="Times New Roman" w:hAnsi="Arial" w:cs="Arial"/>
            <w:b/>
            <w:color w:val="1100CC"/>
            <w:u w:val="single"/>
          </w:rPr>
          <w:t>(2)</w:t>
        </w:r>
      </w:hyperlink>
      <w:r w:rsidR="00FD2154" w:rsidRPr="00FD2154">
        <w:rPr>
          <w:rFonts w:ascii="Arial" w:eastAsia="Times New Roman" w:hAnsi="Arial" w:cs="Arial"/>
          <w:b/>
          <w:color w:val="000000"/>
        </w:rPr>
        <w:t> In computing the period of limitation for any application, the time during which the applicant has been prosecuting with due diligence another civil proceeding, whether in a court of first instance or of appeal or revision, against the same party for the same relief shall be excluded, where such proceeding is prosecuted in good faith in a court which, from defect of jurisdiction or other cause of a like nature, is unable to entertain it.</w:t>
      </w:r>
    </w:p>
    <w:p w:rsidR="00FD2154" w:rsidRPr="00FD2154" w:rsidRDefault="0014065A" w:rsidP="00FD2154">
      <w:pPr>
        <w:spacing w:after="0" w:line="351" w:lineRule="atLeast"/>
        <w:rPr>
          <w:rFonts w:ascii="Arial" w:eastAsia="Times New Roman" w:hAnsi="Arial" w:cs="Arial"/>
          <w:b/>
          <w:color w:val="000000"/>
        </w:rPr>
      </w:pPr>
      <w:hyperlink r:id="rId8" w:history="1">
        <w:r w:rsidR="00FD2154" w:rsidRPr="00FD2154">
          <w:rPr>
            <w:rFonts w:ascii="Arial" w:eastAsia="Times New Roman" w:hAnsi="Arial" w:cs="Arial"/>
            <w:b/>
            <w:color w:val="1100CC"/>
            <w:u w:val="single"/>
          </w:rPr>
          <w:t>(3)</w:t>
        </w:r>
      </w:hyperlink>
      <w:r w:rsidR="00FD2154" w:rsidRPr="00FD2154">
        <w:rPr>
          <w:rFonts w:ascii="Arial" w:eastAsia="Times New Roman" w:hAnsi="Arial" w:cs="Arial"/>
          <w:b/>
          <w:color w:val="000000"/>
        </w:rPr>
        <w:t> Notwithstanding anything contained in rule 2 of Order XXIII of the Code of Civil Procedure, 1908 (5 of 1908), the provisions of sub-section (1) shall apply in relation to a fresh suit instituted on permission granted by the court under rule 1 of that Order where such permission is granted on the ground that the first suit must fail by reason of a defect in the jurisdiction of the court or other cause of a like nature. Explanation.— For the purposes of this section,—</w:t>
      </w:r>
    </w:p>
    <w:p w:rsidR="00FD2154" w:rsidRPr="00FD2154" w:rsidRDefault="0014065A" w:rsidP="00FD2154">
      <w:pPr>
        <w:spacing w:after="0" w:line="351" w:lineRule="atLeast"/>
        <w:rPr>
          <w:rFonts w:ascii="Arial" w:eastAsia="Times New Roman" w:hAnsi="Arial" w:cs="Arial"/>
          <w:b/>
          <w:color w:val="000000"/>
        </w:rPr>
      </w:pPr>
      <w:hyperlink r:id="rId9" w:history="1">
        <w:r w:rsidR="00FD2154" w:rsidRPr="00FD2154">
          <w:rPr>
            <w:rFonts w:ascii="Arial" w:eastAsia="Times New Roman" w:hAnsi="Arial" w:cs="Arial"/>
            <w:b/>
            <w:color w:val="1100CC"/>
            <w:u w:val="single"/>
          </w:rPr>
          <w:t>(a)</w:t>
        </w:r>
      </w:hyperlink>
      <w:r w:rsidR="00FD2154" w:rsidRPr="00FD2154">
        <w:rPr>
          <w:rFonts w:ascii="Arial" w:eastAsia="Times New Roman" w:hAnsi="Arial" w:cs="Arial"/>
          <w:b/>
          <w:color w:val="000000"/>
        </w:rPr>
        <w:t> in excluding the time during which a former civil proceeding was pending, the day on which that proceeding was instituted and the day on which it ended shall both be counted;</w:t>
      </w:r>
    </w:p>
    <w:p w:rsidR="00FD2154" w:rsidRPr="00FD2154" w:rsidRDefault="0014065A" w:rsidP="00FD2154">
      <w:pPr>
        <w:spacing w:after="0" w:line="351" w:lineRule="atLeast"/>
        <w:rPr>
          <w:rFonts w:ascii="Arial" w:eastAsia="Times New Roman" w:hAnsi="Arial" w:cs="Arial"/>
          <w:b/>
          <w:color w:val="000000"/>
        </w:rPr>
      </w:pPr>
      <w:hyperlink r:id="rId10" w:history="1">
        <w:r w:rsidR="00FD2154" w:rsidRPr="00FD2154">
          <w:rPr>
            <w:rFonts w:ascii="Arial" w:eastAsia="Times New Roman" w:hAnsi="Arial" w:cs="Arial"/>
            <w:b/>
            <w:color w:val="1100CC"/>
            <w:u w:val="single"/>
          </w:rPr>
          <w:t>(b)</w:t>
        </w:r>
      </w:hyperlink>
      <w:r w:rsidR="00FD2154" w:rsidRPr="00FD2154">
        <w:rPr>
          <w:rFonts w:ascii="Arial" w:eastAsia="Times New Roman" w:hAnsi="Arial" w:cs="Arial"/>
          <w:b/>
          <w:color w:val="000000"/>
        </w:rPr>
        <w:t> a plaintiff or an applicant resisting an appeal shall be deemed to be prosecuting a proceeding;</w:t>
      </w:r>
    </w:p>
    <w:p w:rsidR="00FD2154" w:rsidRPr="00FD2154" w:rsidRDefault="0014065A" w:rsidP="00FD2154">
      <w:pPr>
        <w:spacing w:after="0" w:line="351" w:lineRule="atLeast"/>
        <w:rPr>
          <w:rFonts w:ascii="Arial" w:eastAsia="Times New Roman" w:hAnsi="Arial" w:cs="Arial"/>
          <w:b/>
          <w:color w:val="000000"/>
        </w:rPr>
      </w:pPr>
      <w:hyperlink r:id="rId11" w:history="1">
        <w:r w:rsidR="00FD2154" w:rsidRPr="00FD2154">
          <w:rPr>
            <w:rFonts w:ascii="Arial" w:eastAsia="Times New Roman" w:hAnsi="Arial" w:cs="Arial"/>
            <w:b/>
            <w:color w:val="1100CC"/>
            <w:u w:val="single"/>
          </w:rPr>
          <w:t>(c)</w:t>
        </w:r>
      </w:hyperlink>
      <w:r w:rsidR="00FD2154" w:rsidRPr="00FD2154">
        <w:rPr>
          <w:rFonts w:ascii="Arial" w:eastAsia="Times New Roman" w:hAnsi="Arial" w:cs="Arial"/>
          <w:b/>
          <w:color w:val="000000"/>
        </w:rPr>
        <w:t> misjoinder of parties or of causes of action shall be deemed to be a cause of a like nature with defect of jurisdiction.</w:t>
      </w:r>
    </w:p>
    <w:p w:rsidR="00C1770A" w:rsidRDefault="00C1770A" w:rsidP="002542AC">
      <w:pPr>
        <w:rPr>
          <w:rFonts w:ascii="Arial" w:hAnsi="Arial" w:cs="Arial"/>
          <w:b/>
        </w:rPr>
      </w:pPr>
    </w:p>
    <w:p w:rsidR="002542AC" w:rsidRPr="00924403" w:rsidRDefault="002542AC" w:rsidP="002542AC">
      <w:pPr>
        <w:rPr>
          <w:rFonts w:ascii="Arial" w:hAnsi="Arial" w:cs="Arial"/>
          <w:b/>
        </w:rPr>
      </w:pPr>
      <w:r w:rsidRPr="00924403">
        <w:rPr>
          <w:rFonts w:ascii="Arial" w:hAnsi="Arial" w:cs="Arial"/>
          <w:b/>
        </w:rPr>
        <w:t xml:space="preserve">Law is well settled that there is remarkable difference between the scope and ambit of sec 5 and sec 14 of the limitation act. </w:t>
      </w:r>
    </w:p>
    <w:p w:rsidR="002542AC" w:rsidRPr="00924403" w:rsidRDefault="002542AC" w:rsidP="002542AC">
      <w:pPr>
        <w:rPr>
          <w:rFonts w:ascii="Arial" w:hAnsi="Arial" w:cs="Arial"/>
          <w:b/>
        </w:rPr>
      </w:pPr>
      <w:r w:rsidRPr="00924403">
        <w:rPr>
          <w:rFonts w:ascii="Arial" w:hAnsi="Arial" w:cs="Arial"/>
          <w:b/>
        </w:rPr>
        <w:t xml:space="preserve">Section 14 of Limitation Act, provides for </w:t>
      </w:r>
      <w:r w:rsidRPr="00924403">
        <w:rPr>
          <w:rFonts w:ascii="Arial" w:hAnsi="Arial" w:cs="Arial"/>
          <w:b/>
          <w:u w:val="single"/>
        </w:rPr>
        <w:t>exclusion of time spent in proceeding bonafide</w:t>
      </w:r>
      <w:r w:rsidRPr="00924403">
        <w:rPr>
          <w:rFonts w:ascii="Arial" w:hAnsi="Arial" w:cs="Arial"/>
          <w:b/>
        </w:rPr>
        <w:t xml:space="preserve">, in a court which lacked jurisdiction. The aims and objectives of the sec 14 are to afford protection against the bar of limitation to a litigant who was honestly prosecuting the lis before a court which had no jurisdiction the relief prayed for. Section 14 contains a general principle based on justice, equity and good conscience and the said principle should be applied without strict regard to the period of limitation prescribed. A Person prosecuting under a mistake of law is entitled to the benefit of sec 14. On the other hand, while dealing with a </w:t>
      </w:r>
      <w:r w:rsidRPr="00924403">
        <w:rPr>
          <w:rFonts w:ascii="Arial" w:hAnsi="Arial" w:cs="Arial"/>
          <w:b/>
          <w:u w:val="single"/>
        </w:rPr>
        <w:t>petition filed u/s 5 of the limitation act</w:t>
      </w:r>
      <w:r w:rsidRPr="00924403">
        <w:rPr>
          <w:rFonts w:ascii="Arial" w:hAnsi="Arial" w:cs="Arial"/>
          <w:b/>
        </w:rPr>
        <w:t>, a Court has to be satisfied that there was reasonable ground for approaching the court late and that each day of delay is more or less explained.</w:t>
      </w:r>
    </w:p>
    <w:p w:rsidR="002542AC" w:rsidRPr="00924403" w:rsidRDefault="002542AC" w:rsidP="002542AC">
      <w:pPr>
        <w:rPr>
          <w:rFonts w:ascii="Arial" w:hAnsi="Arial" w:cs="Arial"/>
          <w:b/>
        </w:rPr>
      </w:pPr>
      <w:r w:rsidRPr="00924403">
        <w:rPr>
          <w:rFonts w:ascii="Arial" w:hAnsi="Arial" w:cs="Arial"/>
          <w:b/>
        </w:rPr>
        <w:lastRenderedPageBreak/>
        <w:t xml:space="preserve">Therefore, exclusion of time u/s 14 of Limitation Act </w:t>
      </w:r>
      <w:r w:rsidR="00924403">
        <w:rPr>
          <w:rFonts w:ascii="Arial" w:hAnsi="Arial" w:cs="Arial"/>
          <w:b/>
        </w:rPr>
        <w:t>is Mandatory</w:t>
      </w:r>
      <w:r w:rsidRPr="00924403">
        <w:rPr>
          <w:rFonts w:ascii="Arial" w:hAnsi="Arial" w:cs="Arial"/>
          <w:b/>
        </w:rPr>
        <w:t>, whereas power of Court u/s 5 of L</w:t>
      </w:r>
      <w:r w:rsidR="00924403">
        <w:rPr>
          <w:rFonts w:ascii="Arial" w:hAnsi="Arial" w:cs="Arial"/>
          <w:b/>
        </w:rPr>
        <w:t>imitation Act is Discretionary</w:t>
      </w:r>
      <w:r w:rsidRPr="00924403">
        <w:rPr>
          <w:rFonts w:ascii="Arial" w:hAnsi="Arial" w:cs="Arial"/>
          <w:b/>
        </w:rPr>
        <w:t>.</w:t>
      </w:r>
    </w:p>
    <w:p w:rsidR="002542AC" w:rsidRPr="00924403" w:rsidRDefault="002542AC" w:rsidP="002542AC">
      <w:pPr>
        <w:rPr>
          <w:rFonts w:ascii="Arial" w:hAnsi="Arial" w:cs="Arial"/>
          <w:b/>
        </w:rPr>
      </w:pPr>
      <w:r w:rsidRPr="00924403">
        <w:rPr>
          <w:rFonts w:ascii="Arial" w:hAnsi="Arial" w:cs="Arial"/>
          <w:b/>
        </w:rPr>
        <w:t xml:space="preserve">On the subject of </w:t>
      </w:r>
      <w:r w:rsidRPr="00924403">
        <w:rPr>
          <w:rFonts w:ascii="Arial" w:hAnsi="Arial" w:cs="Arial"/>
          <w:b/>
          <w:u w:val="single"/>
        </w:rPr>
        <w:t>Condonation of delay, the Hon’ble Supreme court decision in the case of</w:t>
      </w:r>
      <w:r w:rsidRPr="00924403">
        <w:rPr>
          <w:rFonts w:ascii="Arial" w:hAnsi="Arial" w:cs="Arial"/>
          <w:b/>
        </w:rPr>
        <w:t xml:space="preserve"> </w:t>
      </w:r>
    </w:p>
    <w:p w:rsidR="002542AC" w:rsidRPr="00924403" w:rsidRDefault="002542AC" w:rsidP="002542AC">
      <w:pPr>
        <w:rPr>
          <w:rFonts w:ascii="Arial" w:hAnsi="Arial" w:cs="Arial"/>
          <w:b/>
        </w:rPr>
      </w:pPr>
      <w:r w:rsidRPr="00924403">
        <w:rPr>
          <w:rFonts w:ascii="Arial" w:hAnsi="Arial" w:cs="Arial"/>
          <w:b/>
          <w:u w:val="single"/>
        </w:rPr>
        <w:t xml:space="preserve">Collector, Land Acquisition vs. Mst. Katiji, AIR 1987 SC </w:t>
      </w:r>
      <w:r w:rsidRPr="00B575EC">
        <w:rPr>
          <w:rFonts w:ascii="Arial" w:hAnsi="Arial" w:cs="Arial"/>
          <w:b/>
          <w:u w:val="single"/>
        </w:rPr>
        <w:t>1353</w:t>
      </w:r>
      <w:r w:rsidRPr="00B575EC">
        <w:rPr>
          <w:rFonts w:ascii="Arial" w:hAnsi="Arial" w:cs="Arial"/>
          <w:b/>
        </w:rPr>
        <w:t xml:space="preserve"> is</w:t>
      </w:r>
      <w:r w:rsidRPr="00924403">
        <w:rPr>
          <w:rFonts w:ascii="Arial" w:hAnsi="Arial" w:cs="Arial"/>
          <w:b/>
        </w:rPr>
        <w:t xml:space="preserve"> also very relevant and noteworthy.</w:t>
      </w:r>
    </w:p>
    <w:p w:rsidR="002542AC" w:rsidRPr="00924403" w:rsidRDefault="0014065A" w:rsidP="002542AC">
      <w:pPr>
        <w:rPr>
          <w:rFonts w:ascii="Arial" w:hAnsi="Arial" w:cs="Arial"/>
          <w:b/>
        </w:rPr>
      </w:pPr>
      <w:r>
        <w:rPr>
          <w:rFonts w:ascii="Arial" w:hAnsi="Arial" w:cs="Arial"/>
          <w:b/>
          <w:u w:val="single"/>
        </w:rPr>
        <w:t>Hon’ble Justice M. Thakka</w:t>
      </w:r>
      <w:bookmarkStart w:id="0" w:name="_GoBack"/>
      <w:bookmarkEnd w:id="0"/>
      <w:r w:rsidR="002542AC" w:rsidRPr="00924403">
        <w:rPr>
          <w:rFonts w:ascii="Arial" w:hAnsi="Arial" w:cs="Arial"/>
          <w:b/>
          <w:u w:val="single"/>
        </w:rPr>
        <w:t>r,</w:t>
      </w:r>
      <w:r w:rsidR="0042468B">
        <w:rPr>
          <w:rFonts w:ascii="Arial" w:hAnsi="Arial" w:cs="Arial"/>
          <w:b/>
          <w:u w:val="single"/>
        </w:rPr>
        <w:t xml:space="preserve"> </w:t>
      </w:r>
      <w:r w:rsidR="002542AC" w:rsidRPr="00924403">
        <w:rPr>
          <w:rFonts w:ascii="Arial" w:hAnsi="Arial" w:cs="Arial"/>
          <w:b/>
          <w:u w:val="single"/>
        </w:rPr>
        <w:t>observed as follows</w:t>
      </w:r>
      <w:r w:rsidR="002542AC" w:rsidRPr="00924403">
        <w:rPr>
          <w:rFonts w:ascii="Arial" w:hAnsi="Arial" w:cs="Arial"/>
          <w:b/>
        </w:rPr>
        <w:t xml:space="preserve"> –</w:t>
      </w:r>
    </w:p>
    <w:p w:rsidR="002542AC" w:rsidRPr="00924403" w:rsidRDefault="002542AC" w:rsidP="002542AC">
      <w:pPr>
        <w:pStyle w:val="ListParagraph"/>
        <w:numPr>
          <w:ilvl w:val="0"/>
          <w:numId w:val="3"/>
        </w:numPr>
        <w:rPr>
          <w:rFonts w:ascii="Arial" w:hAnsi="Arial" w:cs="Arial"/>
          <w:b/>
        </w:rPr>
      </w:pPr>
      <w:r w:rsidRPr="00924403">
        <w:rPr>
          <w:rFonts w:ascii="Arial" w:hAnsi="Arial" w:cs="Arial"/>
          <w:b/>
        </w:rPr>
        <w:t xml:space="preserve">“Ordinarily, a litigant does not stand to a benefit by lodging an appeal late.  </w:t>
      </w:r>
    </w:p>
    <w:p w:rsidR="002542AC" w:rsidRPr="00924403" w:rsidRDefault="002542AC" w:rsidP="002542AC">
      <w:pPr>
        <w:pStyle w:val="ListParagraph"/>
        <w:rPr>
          <w:rFonts w:ascii="Arial" w:hAnsi="Arial" w:cs="Arial"/>
          <w:b/>
        </w:rPr>
      </w:pPr>
      <w:r w:rsidRPr="00924403">
        <w:rPr>
          <w:rFonts w:ascii="Arial" w:hAnsi="Arial" w:cs="Arial"/>
          <w:b/>
        </w:rPr>
        <w:t xml:space="preserve"> </w:t>
      </w:r>
    </w:p>
    <w:p w:rsidR="002542AC" w:rsidRPr="00924403" w:rsidRDefault="002542AC" w:rsidP="002542AC">
      <w:pPr>
        <w:pStyle w:val="ListParagraph"/>
        <w:numPr>
          <w:ilvl w:val="0"/>
          <w:numId w:val="3"/>
        </w:numPr>
        <w:rPr>
          <w:rFonts w:ascii="Arial" w:hAnsi="Arial" w:cs="Arial"/>
          <w:b/>
        </w:rPr>
      </w:pPr>
      <w:r w:rsidRPr="00924403">
        <w:rPr>
          <w:rFonts w:ascii="Arial" w:hAnsi="Arial" w:cs="Arial"/>
          <w:b/>
        </w:rPr>
        <w:t>Refusing to condone delay can result in the meritorious matte</w:t>
      </w:r>
      <w:r w:rsidR="00924403">
        <w:rPr>
          <w:rFonts w:ascii="Arial" w:hAnsi="Arial" w:cs="Arial"/>
          <w:b/>
        </w:rPr>
        <w:t xml:space="preserve">rs being thrown out at the very </w:t>
      </w:r>
      <w:r w:rsidRPr="00924403">
        <w:rPr>
          <w:rFonts w:ascii="Arial" w:hAnsi="Arial" w:cs="Arial"/>
          <w:b/>
        </w:rPr>
        <w:t>threshold and cause of justice being defeated. As against this, when delay is condoned, highest that can happen is that, a cause would be decided on merits after hearing the parties.</w:t>
      </w:r>
    </w:p>
    <w:p w:rsidR="002542AC" w:rsidRPr="00924403" w:rsidRDefault="002542AC" w:rsidP="002542AC">
      <w:pPr>
        <w:pStyle w:val="ListParagraph"/>
        <w:rPr>
          <w:rFonts w:ascii="Arial" w:hAnsi="Arial" w:cs="Arial"/>
          <w:b/>
        </w:rPr>
      </w:pPr>
    </w:p>
    <w:p w:rsidR="002542AC" w:rsidRPr="00924403" w:rsidRDefault="002542AC" w:rsidP="002542AC">
      <w:pPr>
        <w:pStyle w:val="ListParagraph"/>
        <w:numPr>
          <w:ilvl w:val="0"/>
          <w:numId w:val="3"/>
        </w:numPr>
        <w:rPr>
          <w:rFonts w:ascii="Arial" w:hAnsi="Arial" w:cs="Arial"/>
          <w:b/>
        </w:rPr>
      </w:pPr>
      <w:r w:rsidRPr="00924403">
        <w:rPr>
          <w:rFonts w:ascii="Arial" w:hAnsi="Arial" w:cs="Arial"/>
          <w:b/>
        </w:rPr>
        <w:t>“Every day’s delay must be explained” does not mean that a pedantic approach should be made. Why not every hour’s delay, even second’s delay? The doctrine must be applied in a rational, common sense, and pragmatic manner.</w:t>
      </w:r>
    </w:p>
    <w:p w:rsidR="002542AC" w:rsidRPr="00924403" w:rsidRDefault="002542AC" w:rsidP="002542AC">
      <w:pPr>
        <w:pStyle w:val="ListParagraph"/>
        <w:rPr>
          <w:rFonts w:ascii="Arial" w:hAnsi="Arial" w:cs="Arial"/>
          <w:b/>
        </w:rPr>
      </w:pPr>
    </w:p>
    <w:p w:rsidR="002542AC" w:rsidRPr="00924403" w:rsidRDefault="002542AC" w:rsidP="002542AC">
      <w:pPr>
        <w:pStyle w:val="ListParagraph"/>
        <w:numPr>
          <w:ilvl w:val="0"/>
          <w:numId w:val="3"/>
        </w:numPr>
        <w:rPr>
          <w:rFonts w:ascii="Arial" w:hAnsi="Arial" w:cs="Arial"/>
          <w:b/>
        </w:rPr>
      </w:pPr>
      <w:r w:rsidRPr="00924403">
        <w:rPr>
          <w:rFonts w:ascii="Arial" w:hAnsi="Arial" w:cs="Arial"/>
          <w:b/>
        </w:rPr>
        <w:t xml:space="preserve"> When substantial justice and technical considerations are pitted against each other, the cause of substantial justice deserves to be preferred, for the other side cannot claim to have vested right in justice being done because of non- deliberate delay. </w:t>
      </w:r>
    </w:p>
    <w:p w:rsidR="002542AC" w:rsidRPr="00924403" w:rsidRDefault="002542AC" w:rsidP="002542AC">
      <w:pPr>
        <w:pStyle w:val="ListParagraph"/>
        <w:rPr>
          <w:rFonts w:ascii="Arial" w:hAnsi="Arial" w:cs="Arial"/>
          <w:b/>
        </w:rPr>
      </w:pPr>
    </w:p>
    <w:p w:rsidR="002542AC" w:rsidRPr="00924403" w:rsidRDefault="002542AC" w:rsidP="002542AC">
      <w:pPr>
        <w:pStyle w:val="ListParagraph"/>
        <w:numPr>
          <w:ilvl w:val="0"/>
          <w:numId w:val="3"/>
        </w:numPr>
        <w:rPr>
          <w:rFonts w:ascii="Arial" w:hAnsi="Arial" w:cs="Arial"/>
          <w:b/>
        </w:rPr>
      </w:pPr>
      <w:r w:rsidRPr="00924403">
        <w:rPr>
          <w:rFonts w:ascii="Arial" w:hAnsi="Arial" w:cs="Arial"/>
          <w:b/>
        </w:rPr>
        <w:t>There is no presumption that delay is occasioned deliberately, or on account of culpable negligence or on account of mala fides. A litigant does not stand to benefit resorting to delay. In fact, he runs a serious risk.</w:t>
      </w:r>
    </w:p>
    <w:p w:rsidR="002542AC" w:rsidRPr="00924403" w:rsidRDefault="002542AC" w:rsidP="002542AC">
      <w:pPr>
        <w:pStyle w:val="ListParagraph"/>
        <w:rPr>
          <w:rFonts w:ascii="Arial" w:hAnsi="Arial" w:cs="Arial"/>
          <w:b/>
        </w:rPr>
      </w:pPr>
    </w:p>
    <w:p w:rsidR="002542AC" w:rsidRPr="00924403" w:rsidRDefault="002542AC" w:rsidP="002542AC">
      <w:pPr>
        <w:pStyle w:val="ListParagraph"/>
        <w:numPr>
          <w:ilvl w:val="0"/>
          <w:numId w:val="3"/>
        </w:numPr>
        <w:rPr>
          <w:rFonts w:ascii="Arial" w:hAnsi="Arial" w:cs="Arial"/>
          <w:b/>
        </w:rPr>
      </w:pPr>
      <w:r w:rsidRPr="00924403">
        <w:rPr>
          <w:rFonts w:ascii="Arial" w:hAnsi="Arial" w:cs="Arial"/>
          <w:b/>
        </w:rPr>
        <w:t>It must be grasped that the judiciary is respected not on account of its power to legalise injustice on technical grounds but because it is capable of removing injustice and is expected to do so.”</w:t>
      </w:r>
    </w:p>
    <w:p w:rsidR="002542AC" w:rsidRPr="00924403" w:rsidRDefault="00060619" w:rsidP="002542AC">
      <w:pPr>
        <w:rPr>
          <w:rFonts w:ascii="Arial" w:hAnsi="Arial" w:cs="Arial"/>
          <w:b/>
        </w:rPr>
      </w:pPr>
      <w:r>
        <w:rPr>
          <w:rFonts w:ascii="Arial" w:hAnsi="Arial" w:cs="Arial"/>
          <w:b/>
        </w:rPr>
        <w:t>To sum up</w:t>
      </w:r>
      <w:r w:rsidR="002542AC" w:rsidRPr="00924403">
        <w:rPr>
          <w:rFonts w:ascii="Arial" w:hAnsi="Arial" w:cs="Arial"/>
          <w:b/>
        </w:rPr>
        <w:t>, analysis of the Supreme Court cases on condonation of delay suggests that the Supreme court has consistently adopted a liberal view in condoning the delay and has emphasised that length of the delay is not relevant and that if the delay is not on account of negligence, deliberate or on malafide grounds, the same should be condoned to get justice on merits of matter.</w:t>
      </w:r>
    </w:p>
    <w:p w:rsidR="002542AC" w:rsidRPr="00924403" w:rsidRDefault="002542AC" w:rsidP="002542AC">
      <w:pPr>
        <w:rPr>
          <w:rFonts w:ascii="Arial" w:hAnsi="Arial" w:cs="Arial"/>
          <w:b/>
        </w:rPr>
      </w:pPr>
    </w:p>
    <w:p w:rsidR="002542AC" w:rsidRPr="00924403" w:rsidRDefault="002542AC" w:rsidP="002542AC">
      <w:pPr>
        <w:rPr>
          <w:rFonts w:ascii="Arial" w:hAnsi="Arial" w:cs="Arial"/>
          <w:b/>
        </w:rPr>
      </w:pPr>
      <w:r w:rsidRPr="00924403">
        <w:rPr>
          <w:rFonts w:ascii="Arial" w:hAnsi="Arial" w:cs="Arial"/>
          <w:b/>
        </w:rPr>
        <w:t xml:space="preserve"> Advocate Suvarna H. Shriram – B.Com. LL.M.</w:t>
      </w:r>
    </w:p>
    <w:p w:rsidR="002542AC" w:rsidRPr="00924403" w:rsidRDefault="002542AC" w:rsidP="002542AC">
      <w:pPr>
        <w:rPr>
          <w:rFonts w:ascii="Arial" w:hAnsi="Arial" w:cs="Arial"/>
          <w:b/>
        </w:rPr>
      </w:pPr>
      <w:r w:rsidRPr="00924403">
        <w:rPr>
          <w:rFonts w:ascii="Arial" w:hAnsi="Arial" w:cs="Arial"/>
          <w:b/>
        </w:rPr>
        <w:t xml:space="preserve">CS Santosh H. Shriram - Practicing Company Secretary – M.COM, LL.B., ACS </w:t>
      </w:r>
    </w:p>
    <w:tbl>
      <w:tblPr>
        <w:tblStyle w:val="TableGrid"/>
        <w:tblW w:w="0" w:type="auto"/>
        <w:tblLook w:val="04A0" w:firstRow="1" w:lastRow="0" w:firstColumn="1" w:lastColumn="0" w:noHBand="0" w:noVBand="1"/>
      </w:tblPr>
      <w:tblGrid>
        <w:gridCol w:w="2118"/>
      </w:tblGrid>
      <w:tr w:rsidR="002542AC" w:rsidRPr="00924403" w:rsidTr="00AA7382">
        <w:trPr>
          <w:trHeight w:val="1376"/>
        </w:trPr>
        <w:tc>
          <w:tcPr>
            <w:tcW w:w="1278" w:type="dxa"/>
          </w:tcPr>
          <w:p w:rsidR="002542AC" w:rsidRPr="00924403" w:rsidRDefault="002542AC" w:rsidP="00AA7382">
            <w:pPr>
              <w:rPr>
                <w:rFonts w:ascii="Arial" w:hAnsi="Arial" w:cs="Arial"/>
                <w:b/>
              </w:rPr>
            </w:pPr>
            <w:r w:rsidRPr="00924403">
              <w:rPr>
                <w:rFonts w:ascii="Arial" w:hAnsi="Arial" w:cs="Arial"/>
                <w:b/>
                <w:noProof/>
              </w:rPr>
              <w:lastRenderedPageBreak/>
              <w:drawing>
                <wp:inline distT="0" distB="0" distL="0" distR="0" wp14:anchorId="12448763" wp14:editId="6A0AAB84">
                  <wp:extent cx="1207770" cy="1664970"/>
                  <wp:effectExtent l="0" t="0" r="0" b="0"/>
                  <wp:docPr id="1" name="Picture 1" descr="C:\Users\samadhan\Desktop\Santosh Photo 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dhan\Desktop\Santosh Photo 12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7770" cy="1664970"/>
                          </a:xfrm>
                          <a:prstGeom prst="rect">
                            <a:avLst/>
                          </a:prstGeom>
                          <a:noFill/>
                          <a:ln>
                            <a:noFill/>
                          </a:ln>
                        </pic:spPr>
                      </pic:pic>
                    </a:graphicData>
                  </a:graphic>
                </wp:inline>
              </w:drawing>
            </w:r>
          </w:p>
        </w:tc>
      </w:tr>
    </w:tbl>
    <w:p w:rsidR="002542AC" w:rsidRPr="00924403" w:rsidRDefault="002542AC" w:rsidP="002542AC">
      <w:pPr>
        <w:rPr>
          <w:rFonts w:ascii="Arial" w:hAnsi="Arial" w:cs="Arial"/>
          <w:b/>
        </w:rPr>
      </w:pPr>
    </w:p>
    <w:p w:rsidR="002542AC" w:rsidRPr="00924403" w:rsidRDefault="002542AC" w:rsidP="002542AC">
      <w:pPr>
        <w:rPr>
          <w:rFonts w:ascii="Arial" w:hAnsi="Arial" w:cs="Arial"/>
          <w:b/>
        </w:rPr>
      </w:pPr>
      <w:r w:rsidRPr="00924403">
        <w:rPr>
          <w:rFonts w:ascii="Arial" w:hAnsi="Arial" w:cs="Arial"/>
          <w:b/>
        </w:rPr>
        <w:t>CS Samadhan H. Shriram – M.COM, ACS, ICWA</w:t>
      </w:r>
    </w:p>
    <w:p w:rsidR="002542AC" w:rsidRPr="00924403" w:rsidRDefault="002542AC" w:rsidP="002542AC">
      <w:pPr>
        <w:rPr>
          <w:rFonts w:ascii="Arial" w:hAnsi="Arial" w:cs="Arial"/>
          <w:b/>
        </w:rPr>
      </w:pPr>
    </w:p>
    <w:tbl>
      <w:tblPr>
        <w:tblStyle w:val="TableGrid"/>
        <w:tblW w:w="1980" w:type="dxa"/>
        <w:tblInd w:w="198" w:type="dxa"/>
        <w:tblLayout w:type="fixed"/>
        <w:tblLook w:val="04A0" w:firstRow="1" w:lastRow="0" w:firstColumn="1" w:lastColumn="0" w:noHBand="0" w:noVBand="1"/>
      </w:tblPr>
      <w:tblGrid>
        <w:gridCol w:w="1980"/>
      </w:tblGrid>
      <w:tr w:rsidR="00137AE5" w:rsidTr="00B7502A">
        <w:trPr>
          <w:trHeight w:val="2123"/>
        </w:trPr>
        <w:tc>
          <w:tcPr>
            <w:tcW w:w="1980" w:type="dxa"/>
          </w:tcPr>
          <w:p w:rsidR="00137AE5" w:rsidRDefault="00B7502A">
            <w:r>
              <w:rPr>
                <w:noProof/>
              </w:rPr>
              <w:drawing>
                <wp:inline distT="0" distB="0" distL="0" distR="0" wp14:anchorId="6D8410C9" wp14:editId="7E84D9A4">
                  <wp:extent cx="1390650" cy="1682888"/>
                  <wp:effectExtent l="0" t="0" r="0" b="0"/>
                  <wp:docPr id="5" name="Picture 5" descr="C:\Users\samadhan\Desktop\s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adhan\Desktop\sam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8978" cy="1692967"/>
                          </a:xfrm>
                          <a:prstGeom prst="rect">
                            <a:avLst/>
                          </a:prstGeom>
                          <a:noFill/>
                          <a:ln>
                            <a:noFill/>
                          </a:ln>
                        </pic:spPr>
                      </pic:pic>
                    </a:graphicData>
                  </a:graphic>
                </wp:inline>
              </w:drawing>
            </w:r>
          </w:p>
        </w:tc>
      </w:tr>
    </w:tbl>
    <w:p w:rsidR="002542AC" w:rsidRPr="00924403" w:rsidRDefault="002542AC" w:rsidP="002542AC">
      <w:pPr>
        <w:rPr>
          <w:rFonts w:ascii="Arial" w:hAnsi="Arial" w:cs="Arial"/>
          <w:b/>
        </w:rPr>
      </w:pPr>
    </w:p>
    <w:p w:rsidR="00744325" w:rsidRPr="00924403" w:rsidRDefault="00744325">
      <w:pPr>
        <w:rPr>
          <w:rFonts w:ascii="Arial" w:hAnsi="Arial" w:cs="Arial"/>
        </w:rPr>
      </w:pPr>
    </w:p>
    <w:sectPr w:rsidR="00744325" w:rsidRPr="009244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E18FA"/>
    <w:multiLevelType w:val="hybridMultilevel"/>
    <w:tmpl w:val="A8C89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971B49"/>
    <w:multiLevelType w:val="hybridMultilevel"/>
    <w:tmpl w:val="CA0A60B6"/>
    <w:lvl w:ilvl="0" w:tplc="CD56D6B0">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712FEF"/>
    <w:multiLevelType w:val="hybridMultilevel"/>
    <w:tmpl w:val="154A0994"/>
    <w:lvl w:ilvl="0" w:tplc="93EA1CBE">
      <w:start w:val="5"/>
      <w:numFmt w:val="bullet"/>
      <w:lvlText w:val=""/>
      <w:lvlJc w:val="left"/>
      <w:pPr>
        <w:ind w:left="450" w:hanging="360"/>
      </w:pPr>
      <w:rPr>
        <w:rFonts w:ascii="Symbol" w:eastAsiaTheme="minorHAnsi" w:hAnsi="Symbol" w:cstheme="minorBid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9F0"/>
    <w:rsid w:val="00012EBE"/>
    <w:rsid w:val="00060619"/>
    <w:rsid w:val="00137AE5"/>
    <w:rsid w:val="0014065A"/>
    <w:rsid w:val="001F110B"/>
    <w:rsid w:val="002542AC"/>
    <w:rsid w:val="00322E1E"/>
    <w:rsid w:val="003D2E9B"/>
    <w:rsid w:val="0042468B"/>
    <w:rsid w:val="004F327D"/>
    <w:rsid w:val="00744325"/>
    <w:rsid w:val="007730B2"/>
    <w:rsid w:val="008A5785"/>
    <w:rsid w:val="00924403"/>
    <w:rsid w:val="00B575EC"/>
    <w:rsid w:val="00B7502A"/>
    <w:rsid w:val="00C1770A"/>
    <w:rsid w:val="00EB29F0"/>
    <w:rsid w:val="00FD2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2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2AC"/>
    <w:pPr>
      <w:ind w:left="720"/>
      <w:contextualSpacing/>
    </w:pPr>
  </w:style>
  <w:style w:type="table" w:styleId="TableGrid">
    <w:name w:val="Table Grid"/>
    <w:basedOn w:val="TableNormal"/>
    <w:uiPriority w:val="59"/>
    <w:rsid w:val="00254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42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2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2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2AC"/>
    <w:pPr>
      <w:ind w:left="720"/>
      <w:contextualSpacing/>
    </w:pPr>
  </w:style>
  <w:style w:type="table" w:styleId="TableGrid">
    <w:name w:val="Table Grid"/>
    <w:basedOn w:val="TableNormal"/>
    <w:uiPriority w:val="59"/>
    <w:rsid w:val="00254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42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2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iankanoon.org/doc/502173/" TargetMode="Externa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indiankanoon.org/doc/642645/"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diankanoon.org/doc/39597/" TargetMode="External"/><Relationship Id="rId11" Type="http://schemas.openxmlformats.org/officeDocument/2006/relationships/hyperlink" Target="https://indiankanoon.org/doc/109399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diankanoon.org/doc/202548/" TargetMode="External"/><Relationship Id="rId4" Type="http://schemas.openxmlformats.org/officeDocument/2006/relationships/settings" Target="settings.xml"/><Relationship Id="rId9" Type="http://schemas.openxmlformats.org/officeDocument/2006/relationships/hyperlink" Target="https://indiankanoon.org/doc/115284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1513</Words>
  <Characters>8630</Characters>
  <Application>Microsoft Office Word</Application>
  <DocSecurity>0</DocSecurity>
  <Lines>71</Lines>
  <Paragraphs>20</Paragraphs>
  <ScaleCrop>false</ScaleCrop>
  <Company/>
  <LinksUpToDate>false</LinksUpToDate>
  <CharactersWithSpaces>10123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19</cp:revision>
  <dcterms:created xsi:type="dcterms:W3CDTF">2016-09-06T20:34:00Z</dcterms:created>
  <dcterms:modified xsi:type="dcterms:W3CDTF">2016-09-11T03:06:00Z</dcterms:modified>
</cp:coreProperties>
</file>