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8A6" w:rsidRPr="007418A6" w:rsidRDefault="007418A6" w:rsidP="00E8451A">
      <w:pPr>
        <w:shd w:val="clear" w:color="auto" w:fill="FFFFFF"/>
        <w:spacing w:after="0" w:line="240" w:lineRule="auto"/>
        <w:jc w:val="both"/>
        <w:rPr>
          <w:rFonts w:eastAsia="Times New Roman" w:cs="Arial"/>
          <w:color w:val="222222"/>
        </w:rPr>
      </w:pPr>
      <w:r w:rsidRPr="007418A6">
        <w:rPr>
          <w:rFonts w:eastAsia="Times New Roman" w:cs="Arial"/>
          <w:color w:val="222222"/>
        </w:rPr>
        <w:t>There is a concept called "Wholly owned Subsidiary" (WOS) in the Income Tax Act, 1961.</w:t>
      </w:r>
    </w:p>
    <w:p w:rsidR="007418A6" w:rsidRPr="007418A6" w:rsidRDefault="007418A6" w:rsidP="00E8451A">
      <w:pPr>
        <w:shd w:val="clear" w:color="auto" w:fill="FFFFFF"/>
        <w:spacing w:after="0" w:line="240" w:lineRule="auto"/>
        <w:jc w:val="both"/>
        <w:rPr>
          <w:rFonts w:eastAsia="Times New Roman" w:cs="Arial"/>
          <w:color w:val="222222"/>
        </w:rPr>
      </w:pPr>
      <w:r w:rsidRPr="007418A6">
        <w:rPr>
          <w:rFonts w:eastAsia="Times New Roman" w:cs="Arial"/>
          <w:color w:val="222222"/>
        </w:rPr>
        <w:t> </w:t>
      </w:r>
    </w:p>
    <w:p w:rsidR="007418A6" w:rsidRPr="007418A6" w:rsidRDefault="007418A6" w:rsidP="00E8451A">
      <w:pPr>
        <w:shd w:val="clear" w:color="auto" w:fill="FFFFFF"/>
        <w:spacing w:after="0" w:line="240" w:lineRule="auto"/>
        <w:jc w:val="both"/>
        <w:rPr>
          <w:rFonts w:eastAsia="Times New Roman" w:cs="Arial"/>
          <w:color w:val="222222"/>
        </w:rPr>
      </w:pPr>
      <w:r w:rsidRPr="007418A6">
        <w:rPr>
          <w:rFonts w:eastAsia="Times New Roman" w:cs="Arial"/>
          <w:color w:val="222222"/>
        </w:rPr>
        <w:t>But the term is not defined under any of the statutes viz., Income Tax Act, Companies Act, 1956 and 2013 and the Income Tax Rules (Rule 10TA to Rule 10TG read with Section 92CB dealing with Safe Harbour Rules.)</w:t>
      </w:r>
    </w:p>
    <w:p w:rsidR="007418A6" w:rsidRPr="007418A6" w:rsidRDefault="007418A6" w:rsidP="00E8451A">
      <w:pPr>
        <w:shd w:val="clear" w:color="auto" w:fill="FFFFFF"/>
        <w:spacing w:after="0" w:line="240" w:lineRule="auto"/>
        <w:jc w:val="both"/>
        <w:rPr>
          <w:rFonts w:eastAsia="Times New Roman" w:cs="Arial"/>
          <w:color w:val="222222"/>
        </w:rPr>
      </w:pPr>
      <w:r w:rsidRPr="007418A6">
        <w:rPr>
          <w:rFonts w:eastAsia="Times New Roman" w:cs="Arial"/>
          <w:color w:val="222222"/>
        </w:rPr>
        <w:t> </w:t>
      </w:r>
    </w:p>
    <w:p w:rsidR="007418A6" w:rsidRPr="007418A6" w:rsidRDefault="007418A6" w:rsidP="00E8451A">
      <w:pPr>
        <w:shd w:val="clear" w:color="auto" w:fill="FFFFFF"/>
        <w:spacing w:after="0" w:line="240" w:lineRule="auto"/>
        <w:jc w:val="both"/>
        <w:rPr>
          <w:rFonts w:eastAsia="Times New Roman" w:cs="Arial"/>
          <w:color w:val="222222"/>
        </w:rPr>
      </w:pPr>
      <w:r w:rsidRPr="007418A6">
        <w:rPr>
          <w:rFonts w:eastAsia="Times New Roman" w:cs="Arial"/>
          <w:color w:val="222222"/>
        </w:rPr>
        <w:t>But, in the case of Vodafone International Holdings B.V. vs Union of India &amp; Another [2012] 17 Taxmann.com 202, the Supreme Court has defined Wholly owned subsidiary as under:</w:t>
      </w:r>
    </w:p>
    <w:p w:rsidR="007418A6" w:rsidRPr="007418A6" w:rsidRDefault="007418A6" w:rsidP="00E8451A">
      <w:pPr>
        <w:shd w:val="clear" w:color="auto" w:fill="FFFFFF"/>
        <w:spacing w:after="0" w:line="240" w:lineRule="auto"/>
        <w:jc w:val="both"/>
        <w:rPr>
          <w:rFonts w:eastAsia="Times New Roman" w:cs="Arial"/>
          <w:color w:val="222222"/>
        </w:rPr>
      </w:pPr>
      <w:r w:rsidRPr="007418A6">
        <w:rPr>
          <w:rFonts w:eastAsia="Times New Roman" w:cs="Arial"/>
          <w:color w:val="222222"/>
        </w:rPr>
        <w:t> </w:t>
      </w:r>
    </w:p>
    <w:p w:rsidR="007418A6" w:rsidRPr="007418A6" w:rsidRDefault="007418A6" w:rsidP="00E8451A">
      <w:pPr>
        <w:shd w:val="clear" w:color="auto" w:fill="FFFFFF"/>
        <w:spacing w:after="0" w:line="240" w:lineRule="auto"/>
        <w:jc w:val="both"/>
        <w:rPr>
          <w:rFonts w:eastAsia="Times New Roman" w:cs="Arial"/>
          <w:i/>
          <w:color w:val="222222"/>
        </w:rPr>
      </w:pPr>
      <w:r w:rsidRPr="007418A6">
        <w:rPr>
          <w:rFonts w:eastAsia="Times New Roman" w:cs="Arial"/>
          <w:i/>
          <w:color w:val="222222"/>
        </w:rPr>
        <w:t xml:space="preserve">"When a holding company owns </w:t>
      </w:r>
      <w:r w:rsidRPr="007418A6">
        <w:rPr>
          <w:rFonts w:eastAsia="Times New Roman" w:cs="Arial"/>
          <w:b/>
          <w:i/>
          <w:color w:val="222222"/>
        </w:rPr>
        <w:t>all of the voting stock</w:t>
      </w:r>
      <w:r w:rsidRPr="007418A6">
        <w:rPr>
          <w:rFonts w:eastAsia="Times New Roman" w:cs="Arial"/>
          <w:i/>
          <w:color w:val="222222"/>
        </w:rPr>
        <w:t xml:space="preserve"> of the another company, the company is said to be WOS of the parent company".</w:t>
      </w:r>
    </w:p>
    <w:p w:rsidR="007418A6" w:rsidRPr="007418A6" w:rsidRDefault="007418A6" w:rsidP="00E8451A">
      <w:pPr>
        <w:shd w:val="clear" w:color="auto" w:fill="FFFFFF"/>
        <w:spacing w:after="0" w:line="240" w:lineRule="auto"/>
        <w:jc w:val="both"/>
        <w:rPr>
          <w:rFonts w:eastAsia="Times New Roman" w:cs="Arial"/>
          <w:color w:val="222222"/>
        </w:rPr>
      </w:pPr>
      <w:r w:rsidRPr="007418A6">
        <w:rPr>
          <w:rFonts w:eastAsia="Times New Roman" w:cs="Arial"/>
          <w:color w:val="222222"/>
        </w:rPr>
        <w:t> </w:t>
      </w:r>
    </w:p>
    <w:p w:rsidR="007418A6" w:rsidRPr="007418A6" w:rsidRDefault="007418A6" w:rsidP="00E8451A">
      <w:pPr>
        <w:shd w:val="clear" w:color="auto" w:fill="FFFFFF"/>
        <w:spacing w:after="0" w:line="240" w:lineRule="auto"/>
        <w:jc w:val="both"/>
        <w:rPr>
          <w:rFonts w:eastAsia="Times New Roman" w:cs="Arial"/>
          <w:color w:val="222222"/>
        </w:rPr>
      </w:pPr>
      <w:r w:rsidRPr="007418A6">
        <w:rPr>
          <w:rFonts w:eastAsia="Times New Roman" w:cs="Arial"/>
          <w:color w:val="222222"/>
        </w:rPr>
        <w:t>The word used by the Apex Court is "all of the voting stock".  In other words, no other</w:t>
      </w:r>
      <w:r w:rsidRPr="00E8451A">
        <w:rPr>
          <w:rFonts w:eastAsia="Times New Roman" w:cs="Arial"/>
          <w:color w:val="222222"/>
        </w:rPr>
        <w:t xml:space="preserve"> person holds any of the shares upon which voting rights are conferred, </w:t>
      </w:r>
      <w:r w:rsidRPr="007418A6">
        <w:rPr>
          <w:rFonts w:eastAsia="Times New Roman" w:cs="Arial"/>
          <w:color w:val="222222"/>
        </w:rPr>
        <w:t xml:space="preserve">in the subsidiary company. The Apex Court did not used the words “voting power” or “voting rights”.  It has used the words “voting stock”.  </w:t>
      </w:r>
      <w:r w:rsidRPr="00E8451A">
        <w:rPr>
          <w:rFonts w:eastAsia="Times New Roman" w:cs="Arial"/>
          <w:color w:val="222222"/>
        </w:rPr>
        <w:t>As per section 47(1)(a) and 47(1)(b)</w:t>
      </w:r>
      <w:r w:rsidRPr="007418A6">
        <w:rPr>
          <w:rFonts w:eastAsia="Times New Roman" w:cs="Arial"/>
          <w:color w:val="222222"/>
        </w:rPr>
        <w:t>, voting rights are associated with the share capital. The intention of the Apex Court is thus the entire shareholding shall be held by the holding company only.</w:t>
      </w:r>
    </w:p>
    <w:p w:rsidR="007418A6" w:rsidRPr="007418A6" w:rsidRDefault="007418A6" w:rsidP="00E8451A">
      <w:pPr>
        <w:shd w:val="clear" w:color="auto" w:fill="FFFFFF"/>
        <w:spacing w:after="0" w:line="240" w:lineRule="auto"/>
        <w:jc w:val="both"/>
        <w:rPr>
          <w:rFonts w:eastAsia="Times New Roman" w:cs="Arial"/>
          <w:color w:val="222222"/>
        </w:rPr>
      </w:pPr>
      <w:r w:rsidRPr="007418A6">
        <w:rPr>
          <w:rFonts w:eastAsia="Times New Roman" w:cs="Arial"/>
          <w:color w:val="222222"/>
        </w:rPr>
        <w:t> </w:t>
      </w:r>
    </w:p>
    <w:p w:rsidR="007418A6" w:rsidRPr="00E8451A" w:rsidRDefault="007418A6" w:rsidP="00E8451A">
      <w:pPr>
        <w:shd w:val="clear" w:color="auto" w:fill="FFFFFF"/>
        <w:spacing w:after="0" w:line="240" w:lineRule="auto"/>
        <w:jc w:val="both"/>
        <w:rPr>
          <w:rFonts w:eastAsia="Times New Roman" w:cs="Arial"/>
          <w:color w:val="222222"/>
        </w:rPr>
      </w:pPr>
      <w:r w:rsidRPr="00E8451A">
        <w:rPr>
          <w:rFonts w:eastAsia="Times New Roman" w:cs="Arial"/>
          <w:color w:val="222222"/>
        </w:rPr>
        <w:t>Can we interpret the words “</w:t>
      </w:r>
      <w:r w:rsidRPr="00E8451A">
        <w:rPr>
          <w:rFonts w:eastAsia="Times New Roman" w:cs="Arial"/>
          <w:i/>
          <w:color w:val="222222"/>
        </w:rPr>
        <w:t xml:space="preserve">voting stock” </w:t>
      </w:r>
      <w:r w:rsidRPr="00E8451A">
        <w:rPr>
          <w:rFonts w:eastAsia="Times New Roman" w:cs="Arial"/>
          <w:color w:val="222222"/>
        </w:rPr>
        <w:t>as it means to “</w:t>
      </w:r>
      <w:r w:rsidRPr="00E8451A">
        <w:rPr>
          <w:rFonts w:eastAsia="Times New Roman" w:cs="Arial"/>
          <w:i/>
          <w:color w:val="222222"/>
        </w:rPr>
        <w:t>voting power</w:t>
      </w:r>
      <w:r w:rsidRPr="00E8451A">
        <w:rPr>
          <w:rFonts w:eastAsia="Times New Roman" w:cs="Arial"/>
          <w:color w:val="222222"/>
        </w:rPr>
        <w:t>” or “</w:t>
      </w:r>
      <w:r w:rsidRPr="00E8451A">
        <w:rPr>
          <w:rFonts w:eastAsia="Times New Roman" w:cs="Arial"/>
          <w:i/>
          <w:color w:val="222222"/>
        </w:rPr>
        <w:t>voting rights</w:t>
      </w:r>
      <w:r w:rsidRPr="00E8451A">
        <w:rPr>
          <w:rFonts w:eastAsia="Times New Roman" w:cs="Arial"/>
          <w:color w:val="222222"/>
        </w:rPr>
        <w:t>” ?</w:t>
      </w:r>
    </w:p>
    <w:p w:rsidR="007418A6" w:rsidRPr="00E8451A" w:rsidRDefault="007418A6" w:rsidP="00E8451A">
      <w:pPr>
        <w:shd w:val="clear" w:color="auto" w:fill="FFFFFF"/>
        <w:spacing w:after="0" w:line="240" w:lineRule="auto"/>
        <w:jc w:val="both"/>
        <w:rPr>
          <w:rFonts w:eastAsia="Times New Roman" w:cs="Arial"/>
          <w:color w:val="222222"/>
        </w:rPr>
      </w:pPr>
    </w:p>
    <w:p w:rsidR="007418A6" w:rsidRPr="007418A6" w:rsidRDefault="007418A6" w:rsidP="00E8451A">
      <w:pPr>
        <w:shd w:val="clear" w:color="auto" w:fill="FFFFFF"/>
        <w:spacing w:after="0" w:line="240" w:lineRule="auto"/>
        <w:jc w:val="both"/>
        <w:rPr>
          <w:rFonts w:eastAsia="Times New Roman" w:cs="Arial"/>
          <w:color w:val="222222"/>
        </w:rPr>
      </w:pPr>
      <w:r w:rsidRPr="007418A6">
        <w:rPr>
          <w:rFonts w:eastAsia="Times New Roman" w:cs="Arial"/>
          <w:color w:val="222222"/>
        </w:rPr>
        <w:t>Even, if we interpret the definition of “voting stock” as “voting power”, the following issues arise:</w:t>
      </w:r>
    </w:p>
    <w:p w:rsidR="007418A6" w:rsidRPr="00E8451A" w:rsidRDefault="007418A6" w:rsidP="00E8451A">
      <w:pPr>
        <w:pStyle w:val="NoSpacing"/>
        <w:jc w:val="both"/>
      </w:pPr>
      <w:r w:rsidRPr="00E8451A">
        <w:t> </w:t>
      </w:r>
    </w:p>
    <w:p w:rsidR="007418A6" w:rsidRPr="00E8451A" w:rsidRDefault="007418A6" w:rsidP="00E8451A">
      <w:pPr>
        <w:pStyle w:val="NoSpacing"/>
        <w:ind w:left="720" w:hanging="720"/>
        <w:jc w:val="both"/>
      </w:pPr>
      <w:r w:rsidRPr="00E8451A">
        <w:t>1</w:t>
      </w:r>
      <w:r w:rsidRPr="00E8451A">
        <w:tab/>
        <w:t>Section 43(a) prescribes two kinds of equity capital viz., with voting rights and with with differential rights as to dividend, voting or otherwise in accordance with such rules as may be prescribed; The words used are “with differential rights”.  Thus the rights can be differentiated or varied.  It cannot be seized altogether.</w:t>
      </w:r>
    </w:p>
    <w:p w:rsidR="007418A6" w:rsidRPr="00E8451A" w:rsidRDefault="007418A6" w:rsidP="00E8451A">
      <w:pPr>
        <w:pStyle w:val="NoSpacing"/>
        <w:jc w:val="both"/>
      </w:pPr>
    </w:p>
    <w:p w:rsidR="007418A6" w:rsidRPr="00E8451A" w:rsidRDefault="007418A6" w:rsidP="00E8451A">
      <w:pPr>
        <w:pStyle w:val="NoSpacing"/>
        <w:ind w:left="720" w:hanging="720"/>
        <w:jc w:val="both"/>
      </w:pPr>
      <w:r w:rsidRPr="00E8451A">
        <w:t>2)</w:t>
      </w:r>
      <w:r w:rsidR="00E8451A">
        <w:rPr>
          <w:rFonts w:cs="Times New Roman"/>
        </w:rPr>
        <w:t>            </w:t>
      </w:r>
      <w:r w:rsidRPr="00E8451A">
        <w:t>Again Section 47(1)(a) mandates that every member of company limited by shares and holding an equity capital shall have a right to vote on every resolution placed before the company;</w:t>
      </w:r>
    </w:p>
    <w:p w:rsidR="007418A6" w:rsidRPr="00E8451A" w:rsidRDefault="007418A6" w:rsidP="00E8451A">
      <w:pPr>
        <w:pStyle w:val="NoSpacing"/>
        <w:jc w:val="both"/>
      </w:pPr>
      <w:r w:rsidRPr="00E8451A">
        <w:tab/>
      </w:r>
      <w:r w:rsidRPr="00E8451A">
        <w:tab/>
        <w:t> </w:t>
      </w:r>
    </w:p>
    <w:p w:rsidR="007418A6" w:rsidRPr="00E8451A" w:rsidRDefault="007418A6" w:rsidP="00E8451A">
      <w:pPr>
        <w:pStyle w:val="NoSpacing"/>
        <w:ind w:left="720" w:hanging="720"/>
        <w:jc w:val="both"/>
      </w:pPr>
      <w:r w:rsidRPr="00E8451A">
        <w:t>3)</w:t>
      </w:r>
      <w:r w:rsidRPr="00E8451A">
        <w:rPr>
          <w:rFonts w:cs="Times New Roman"/>
        </w:rPr>
        <w:t>            </w:t>
      </w:r>
      <w:r w:rsidRPr="00E8451A">
        <w:t>Section 47(1)(b) prescribes that his voting right on a poll shall be in proportion to his share in the paid-up equity share capital of the company.</w:t>
      </w:r>
    </w:p>
    <w:p w:rsidR="007418A6" w:rsidRPr="00E8451A" w:rsidRDefault="007418A6" w:rsidP="00E8451A">
      <w:pPr>
        <w:pStyle w:val="NoSpacing"/>
        <w:jc w:val="both"/>
      </w:pPr>
    </w:p>
    <w:p w:rsidR="007418A6" w:rsidRPr="00E8451A" w:rsidRDefault="007418A6" w:rsidP="00E8451A">
      <w:pPr>
        <w:pStyle w:val="NoSpacing"/>
        <w:jc w:val="both"/>
      </w:pPr>
      <w:r w:rsidRPr="00E8451A">
        <w:t>Hence, public companies cannot be a 100% subsidiary of any company.</w:t>
      </w:r>
    </w:p>
    <w:p w:rsidR="007418A6" w:rsidRPr="00E8451A" w:rsidRDefault="007418A6" w:rsidP="00E8451A">
      <w:pPr>
        <w:pStyle w:val="NoSpacing"/>
        <w:jc w:val="both"/>
      </w:pPr>
    </w:p>
    <w:p w:rsidR="007418A6" w:rsidRPr="00E8451A" w:rsidRDefault="007418A6" w:rsidP="00E8451A">
      <w:pPr>
        <w:pStyle w:val="NoSpacing"/>
        <w:jc w:val="both"/>
        <w:rPr>
          <w:b/>
          <w:u w:val="single"/>
        </w:rPr>
      </w:pPr>
      <w:r w:rsidRPr="00E8451A">
        <w:rPr>
          <w:b/>
          <w:u w:val="single"/>
        </w:rPr>
        <w:t>What about Private Company ?</w:t>
      </w:r>
    </w:p>
    <w:p w:rsidR="007418A6" w:rsidRPr="00E8451A" w:rsidRDefault="007418A6" w:rsidP="00E8451A">
      <w:pPr>
        <w:pStyle w:val="NoSpacing"/>
        <w:jc w:val="both"/>
      </w:pPr>
    </w:p>
    <w:p w:rsidR="007418A6" w:rsidRPr="00E8451A" w:rsidRDefault="007418A6" w:rsidP="00E8451A">
      <w:pPr>
        <w:pStyle w:val="NoSpacing"/>
        <w:jc w:val="both"/>
      </w:pPr>
      <w:r w:rsidRPr="00E8451A">
        <w:t>As per Notification dated June 15, 2015 Section 43 and Section 47 are not applicable to a private limited company.</w:t>
      </w:r>
    </w:p>
    <w:p w:rsidR="007418A6" w:rsidRPr="00E8451A" w:rsidRDefault="007418A6" w:rsidP="00E8451A">
      <w:pPr>
        <w:pStyle w:val="NoSpacing"/>
        <w:jc w:val="both"/>
      </w:pPr>
    </w:p>
    <w:p w:rsidR="007418A6" w:rsidRPr="00E8451A" w:rsidRDefault="007418A6" w:rsidP="00E8451A">
      <w:pPr>
        <w:pStyle w:val="NoSpacing"/>
        <w:jc w:val="both"/>
        <w:rPr>
          <w:rFonts w:eastAsia="Times New Roman" w:cs="Arial"/>
          <w:color w:val="222222"/>
        </w:rPr>
      </w:pPr>
      <w:r w:rsidRPr="00E8451A">
        <w:rPr>
          <w:rFonts w:eastAsia="Times New Roman" w:cs="Arial"/>
          <w:color w:val="222222"/>
        </w:rPr>
        <w:t>But proviso to Section 2(71) read as under:</w:t>
      </w:r>
    </w:p>
    <w:p w:rsidR="007418A6" w:rsidRPr="00E8451A" w:rsidRDefault="007418A6" w:rsidP="00E8451A">
      <w:pPr>
        <w:pStyle w:val="NoSpacing"/>
        <w:jc w:val="both"/>
        <w:rPr>
          <w:rFonts w:eastAsia="Times New Roman" w:cs="Arial"/>
          <w:color w:val="222222"/>
        </w:rPr>
      </w:pPr>
      <w:r w:rsidRPr="00E8451A">
        <w:rPr>
          <w:rFonts w:eastAsia="Times New Roman" w:cs="Arial"/>
          <w:color w:val="222222"/>
        </w:rPr>
        <w:t> </w:t>
      </w:r>
    </w:p>
    <w:p w:rsidR="007418A6" w:rsidRPr="00E8451A" w:rsidRDefault="007418A6" w:rsidP="00E8451A">
      <w:pPr>
        <w:pStyle w:val="NoSpacing"/>
        <w:jc w:val="both"/>
        <w:rPr>
          <w:rFonts w:eastAsia="Times New Roman" w:cs="Arial"/>
          <w:color w:val="222222"/>
        </w:rPr>
      </w:pPr>
      <w:r w:rsidRPr="00E8451A">
        <w:rPr>
          <w:rFonts w:eastAsia="Times New Roman" w:cs="Arial"/>
          <w:color w:val="222222"/>
        </w:rPr>
        <w:t>“Provided that a company which is a subsidiary of a company, not being a private company, shall be deemed to be public company for the purposes of this Act even where such subsidiary company continues to be a private company in its articles.”</w:t>
      </w:r>
    </w:p>
    <w:p w:rsidR="007418A6" w:rsidRPr="00E8451A" w:rsidRDefault="007418A6" w:rsidP="00E8451A">
      <w:pPr>
        <w:pStyle w:val="NoSpacing"/>
        <w:jc w:val="both"/>
        <w:rPr>
          <w:rFonts w:eastAsia="Times New Roman" w:cs="Arial"/>
          <w:color w:val="222222"/>
        </w:rPr>
      </w:pPr>
    </w:p>
    <w:p w:rsidR="007418A6" w:rsidRPr="00E8451A" w:rsidRDefault="007418A6" w:rsidP="00E8451A">
      <w:pPr>
        <w:pStyle w:val="NoSpacing"/>
        <w:jc w:val="both"/>
        <w:rPr>
          <w:rFonts w:eastAsia="Times New Roman" w:cs="Arial"/>
          <w:color w:val="222222"/>
        </w:rPr>
      </w:pPr>
      <w:r w:rsidRPr="00E8451A">
        <w:rPr>
          <w:rFonts w:eastAsia="Times New Roman" w:cs="Arial"/>
          <w:color w:val="222222"/>
        </w:rPr>
        <w:t xml:space="preserve">By virtue of the above proviso, a private company loses its status of a private company as and when it becomes a subsidiary of a public company.  In the eyes of Act, it is a public company though it may </w:t>
      </w:r>
      <w:r w:rsidRPr="00E8451A">
        <w:rPr>
          <w:rFonts w:eastAsia="Times New Roman" w:cs="Arial"/>
          <w:color w:val="222222"/>
        </w:rPr>
        <w:lastRenderedPageBreak/>
        <w:t xml:space="preserve">retain the words “private” in its name and Memorandum and Articles of Association.  This is akin to Section 43A companies under the erstwhile Companies Act, 1956. </w:t>
      </w:r>
    </w:p>
    <w:p w:rsidR="007418A6" w:rsidRPr="00E8451A" w:rsidRDefault="007418A6" w:rsidP="00E8451A">
      <w:pPr>
        <w:pStyle w:val="NoSpacing"/>
        <w:jc w:val="both"/>
        <w:rPr>
          <w:rFonts w:eastAsia="Times New Roman" w:cs="Arial"/>
          <w:color w:val="222222"/>
        </w:rPr>
      </w:pPr>
      <w:r w:rsidRPr="00E8451A">
        <w:rPr>
          <w:rFonts w:eastAsia="Times New Roman" w:cs="Arial"/>
          <w:color w:val="222222"/>
        </w:rPr>
        <w:t> </w:t>
      </w:r>
    </w:p>
    <w:p w:rsidR="007418A6" w:rsidRPr="00E8451A" w:rsidRDefault="007418A6" w:rsidP="00E8451A">
      <w:pPr>
        <w:pStyle w:val="NoSpacing"/>
        <w:jc w:val="both"/>
        <w:rPr>
          <w:rFonts w:eastAsia="Times New Roman" w:cs="Arial"/>
          <w:color w:val="222222"/>
        </w:rPr>
      </w:pPr>
      <w:r w:rsidRPr="00E8451A">
        <w:rPr>
          <w:rFonts w:eastAsia="Times New Roman" w:cs="Arial"/>
          <w:color w:val="222222"/>
        </w:rPr>
        <w:t>In other words, exemption notification dated June 15, 2015 is not applicable to a private limited company if it is a subsidiary of a public company and hence the Section 47 becomes operational.</w:t>
      </w:r>
    </w:p>
    <w:p w:rsidR="007418A6" w:rsidRPr="00E8451A" w:rsidRDefault="007418A6" w:rsidP="00E8451A">
      <w:pPr>
        <w:pStyle w:val="NoSpacing"/>
        <w:jc w:val="both"/>
        <w:rPr>
          <w:rFonts w:eastAsia="Times New Roman" w:cs="Arial"/>
          <w:color w:val="222222"/>
        </w:rPr>
      </w:pPr>
      <w:r w:rsidRPr="00E8451A">
        <w:rPr>
          <w:rFonts w:eastAsia="Times New Roman" w:cs="Arial"/>
          <w:color w:val="222222"/>
        </w:rPr>
        <w:t> </w:t>
      </w:r>
    </w:p>
    <w:p w:rsidR="00E8451A" w:rsidRDefault="00E8451A" w:rsidP="00E8451A">
      <w:pPr>
        <w:pStyle w:val="NoSpacing"/>
        <w:jc w:val="both"/>
        <w:rPr>
          <w:rFonts w:eastAsia="Times New Roman" w:cs="Arial"/>
          <w:color w:val="222222"/>
        </w:rPr>
      </w:pPr>
      <w:r w:rsidRPr="00E8451A">
        <w:rPr>
          <w:rFonts w:eastAsia="Times New Roman" w:cs="Arial"/>
          <w:color w:val="222222"/>
        </w:rPr>
        <w:t>I</w:t>
      </w:r>
      <w:r w:rsidR="007418A6" w:rsidRPr="00E8451A">
        <w:rPr>
          <w:rFonts w:eastAsia="Times New Roman" w:cs="Arial"/>
          <w:color w:val="222222"/>
        </w:rPr>
        <w:t xml:space="preserve">n a nut shell, it </w:t>
      </w:r>
      <w:r w:rsidRPr="00E8451A">
        <w:rPr>
          <w:rFonts w:eastAsia="Times New Roman" w:cs="Arial"/>
          <w:color w:val="222222"/>
        </w:rPr>
        <w:t>is inferred</w:t>
      </w:r>
      <w:r w:rsidR="007418A6" w:rsidRPr="00E8451A">
        <w:rPr>
          <w:rFonts w:eastAsia="Times New Roman" w:cs="Arial"/>
          <w:color w:val="222222"/>
        </w:rPr>
        <w:t xml:space="preserve"> that the “Wholly owned subsidiary” concept seems practical and legally sustainable, if and only if both the parent company and the subsidiary company are private companies</w:t>
      </w:r>
      <w:r w:rsidRPr="00E8451A">
        <w:rPr>
          <w:rFonts w:eastAsia="Times New Roman" w:cs="Arial"/>
          <w:color w:val="222222"/>
        </w:rPr>
        <w:t>.</w:t>
      </w:r>
      <w:r w:rsidR="007418A6" w:rsidRPr="00E8451A">
        <w:rPr>
          <w:rFonts w:eastAsia="Times New Roman" w:cs="Arial"/>
          <w:color w:val="222222"/>
        </w:rPr>
        <w:t xml:space="preserve"> </w:t>
      </w:r>
    </w:p>
    <w:p w:rsidR="001D465D" w:rsidRPr="00E8451A" w:rsidRDefault="00E8451A" w:rsidP="00E8451A">
      <w:pPr>
        <w:pStyle w:val="NoSpacing"/>
        <w:jc w:val="both"/>
      </w:pPr>
      <w:r>
        <w:rPr>
          <w:rFonts w:eastAsia="Times New Roman" w:cs="Arial"/>
          <w:color w:val="222222"/>
        </w:rPr>
        <w:t xml:space="preserve">If such a case, the subsidiary company can then issue shares with voting rights to the parent company and shares without voting rights in a smaller value to other shareholder, just to ensure compliance of the provisions regarding the minimum number of members in a private company. </w:t>
      </w:r>
      <w:r w:rsidRPr="00E8451A">
        <w:rPr>
          <w:rFonts w:eastAsia="Times New Roman" w:cs="Arial"/>
          <w:color w:val="222222"/>
        </w:rPr>
        <w:t>Additionally, both the parent company and the subsidiary company</w:t>
      </w:r>
      <w:r w:rsidR="007418A6" w:rsidRPr="00E8451A">
        <w:rPr>
          <w:rFonts w:eastAsia="Times New Roman" w:cs="Arial"/>
          <w:color w:val="222222"/>
        </w:rPr>
        <w:t xml:space="preserve"> </w:t>
      </w:r>
      <w:r w:rsidR="00B06351">
        <w:rPr>
          <w:rFonts w:eastAsia="Times New Roman" w:cs="Arial"/>
          <w:color w:val="222222"/>
        </w:rPr>
        <w:t>must</w:t>
      </w:r>
      <w:bookmarkStart w:id="0" w:name="_GoBack"/>
      <w:bookmarkEnd w:id="0"/>
      <w:r w:rsidR="007418A6" w:rsidRPr="00E8451A">
        <w:rPr>
          <w:rFonts w:eastAsia="Times New Roman" w:cs="Arial"/>
          <w:color w:val="222222"/>
        </w:rPr>
        <w:t xml:space="preserve"> not </w:t>
      </w:r>
      <w:r>
        <w:rPr>
          <w:rFonts w:eastAsia="Times New Roman" w:cs="Arial"/>
          <w:color w:val="222222"/>
        </w:rPr>
        <w:t>come within the purview</w:t>
      </w:r>
      <w:r w:rsidR="007418A6" w:rsidRPr="00E8451A">
        <w:rPr>
          <w:rFonts w:eastAsia="Times New Roman" w:cs="Arial"/>
          <w:color w:val="222222"/>
        </w:rPr>
        <w:t xml:space="preserve"> of proviso to Section 2(71).</w:t>
      </w:r>
    </w:p>
    <w:sectPr w:rsidR="001D465D" w:rsidRPr="00E8451A" w:rsidSect="00E8451A">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7A0689"/>
    <w:multiLevelType w:val="hybridMultilevel"/>
    <w:tmpl w:val="68945F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8A6"/>
    <w:rsid w:val="001D465D"/>
    <w:rsid w:val="007418A6"/>
    <w:rsid w:val="00B06351"/>
    <w:rsid w:val="00E84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18A6"/>
    <w:pPr>
      <w:spacing w:after="0" w:line="240" w:lineRule="auto"/>
    </w:pPr>
  </w:style>
  <w:style w:type="paragraph" w:styleId="NormalWeb">
    <w:name w:val="Normal (Web)"/>
    <w:basedOn w:val="Normal"/>
    <w:uiPriority w:val="99"/>
    <w:semiHidden/>
    <w:unhideWhenUsed/>
    <w:rsid w:val="007418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418A6"/>
  </w:style>
  <w:style w:type="paragraph" w:styleId="ListParagraph">
    <w:name w:val="List Paragraph"/>
    <w:basedOn w:val="Normal"/>
    <w:uiPriority w:val="34"/>
    <w:qFormat/>
    <w:rsid w:val="007418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18A6"/>
    <w:pPr>
      <w:spacing w:after="0" w:line="240" w:lineRule="auto"/>
    </w:pPr>
  </w:style>
  <w:style w:type="paragraph" w:styleId="NormalWeb">
    <w:name w:val="Normal (Web)"/>
    <w:basedOn w:val="Normal"/>
    <w:uiPriority w:val="99"/>
    <w:semiHidden/>
    <w:unhideWhenUsed/>
    <w:rsid w:val="007418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418A6"/>
  </w:style>
  <w:style w:type="paragraph" w:styleId="ListParagraph">
    <w:name w:val="List Paragraph"/>
    <w:basedOn w:val="Normal"/>
    <w:uiPriority w:val="34"/>
    <w:qFormat/>
    <w:rsid w:val="007418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60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Parthasarathy</dc:creator>
  <cp:lastModifiedBy>Parthasarathy</cp:lastModifiedBy>
  <cp:revision>2</cp:revision>
  <dcterms:created xsi:type="dcterms:W3CDTF">2016-05-26T04:32:00Z</dcterms:created>
  <dcterms:modified xsi:type="dcterms:W3CDTF">2016-05-26T11:36:00Z</dcterms:modified>
</cp:coreProperties>
</file>