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9E" w:rsidRDefault="008F4BEB">
      <w:pPr>
        <w:rPr>
          <w:rFonts w:ascii="Arial" w:hAnsi="Arial" w:cs="Arial"/>
          <w:b/>
          <w:sz w:val="24"/>
          <w:szCs w:val="24"/>
          <w:u w:val="single"/>
        </w:rPr>
      </w:pPr>
      <w:bookmarkStart w:id="0" w:name="_GoBack"/>
      <w:bookmarkEnd w:id="0"/>
      <w:r w:rsidRPr="00F47599">
        <w:rPr>
          <w:rFonts w:ascii="Arial" w:hAnsi="Arial" w:cs="Arial"/>
          <w:b/>
          <w:sz w:val="24"/>
          <w:szCs w:val="24"/>
          <w:u w:val="single"/>
        </w:rPr>
        <w:t xml:space="preserve">What </w:t>
      </w:r>
      <w:proofErr w:type="gramStart"/>
      <w:r w:rsidRPr="00F47599">
        <w:rPr>
          <w:rFonts w:ascii="Arial" w:hAnsi="Arial" w:cs="Arial"/>
          <w:b/>
          <w:sz w:val="24"/>
          <w:szCs w:val="24"/>
          <w:u w:val="single"/>
        </w:rPr>
        <w:t>is  Internal</w:t>
      </w:r>
      <w:proofErr w:type="gramEnd"/>
      <w:r w:rsidRPr="00F47599">
        <w:rPr>
          <w:rFonts w:ascii="Arial" w:hAnsi="Arial" w:cs="Arial"/>
          <w:b/>
          <w:sz w:val="24"/>
          <w:szCs w:val="24"/>
          <w:u w:val="single"/>
        </w:rPr>
        <w:t xml:space="preserve"> Control over Financial Reporting under the Companies Act,2013:-</w:t>
      </w:r>
    </w:p>
    <w:p w:rsidR="00F47599" w:rsidRDefault="00F47599">
      <w:pPr>
        <w:rPr>
          <w:rFonts w:ascii="Arial" w:hAnsi="Arial" w:cs="Arial"/>
          <w:b/>
          <w:sz w:val="24"/>
          <w:szCs w:val="24"/>
          <w:u w:val="single"/>
        </w:rPr>
      </w:pPr>
    </w:p>
    <w:p w:rsidR="00F47599" w:rsidRDefault="00F47599" w:rsidP="002734C9">
      <w:pPr>
        <w:pStyle w:val="ListParagraph"/>
        <w:numPr>
          <w:ilvl w:val="0"/>
          <w:numId w:val="1"/>
        </w:numPr>
        <w:rPr>
          <w:rFonts w:ascii="Arial" w:hAnsi="Arial" w:cs="Arial"/>
          <w:sz w:val="24"/>
          <w:szCs w:val="24"/>
        </w:rPr>
      </w:pPr>
      <w:r w:rsidRPr="002734C9">
        <w:rPr>
          <w:rFonts w:ascii="Arial" w:hAnsi="Arial" w:cs="Arial"/>
          <w:sz w:val="24"/>
          <w:szCs w:val="24"/>
        </w:rPr>
        <w:t>Under Sec143(3) (i)</w:t>
      </w:r>
      <w:r w:rsidR="009A0528">
        <w:rPr>
          <w:rFonts w:ascii="Arial" w:hAnsi="Arial" w:cs="Arial"/>
          <w:sz w:val="24"/>
          <w:szCs w:val="24"/>
        </w:rPr>
        <w:t xml:space="preserve"> of the Companies Act,2013 , the statutory </w:t>
      </w:r>
      <w:r w:rsidRPr="002734C9">
        <w:rPr>
          <w:rFonts w:ascii="Arial" w:hAnsi="Arial" w:cs="Arial"/>
          <w:sz w:val="24"/>
          <w:szCs w:val="24"/>
        </w:rPr>
        <w:t xml:space="preserve">auditor of  a company is required to report on whether the company has an adequate internal financial control ( IFC) system in place and the reporting operating effectiveness of such controls. </w:t>
      </w:r>
    </w:p>
    <w:p w:rsidR="002734C9" w:rsidRDefault="002734C9" w:rsidP="002734C9">
      <w:pPr>
        <w:pStyle w:val="ListParagraph"/>
        <w:numPr>
          <w:ilvl w:val="0"/>
          <w:numId w:val="1"/>
        </w:numPr>
        <w:rPr>
          <w:rFonts w:ascii="Arial" w:hAnsi="Arial" w:cs="Arial"/>
          <w:sz w:val="24"/>
          <w:szCs w:val="24"/>
        </w:rPr>
      </w:pPr>
      <w:r>
        <w:rPr>
          <w:rFonts w:ascii="Arial" w:hAnsi="Arial" w:cs="Arial"/>
          <w:sz w:val="24"/>
          <w:szCs w:val="24"/>
        </w:rPr>
        <w:t>An explanation to Sec 134(5) (e) of the Companies Act</w:t>
      </w:r>
      <w:proofErr w:type="gramStart"/>
      <w:r>
        <w:rPr>
          <w:rFonts w:ascii="Arial" w:hAnsi="Arial" w:cs="Arial"/>
          <w:sz w:val="24"/>
          <w:szCs w:val="24"/>
        </w:rPr>
        <w:t>,2013</w:t>
      </w:r>
      <w:proofErr w:type="gramEnd"/>
      <w:r>
        <w:rPr>
          <w:rFonts w:ascii="Arial" w:hAnsi="Arial" w:cs="Arial"/>
          <w:sz w:val="24"/>
          <w:szCs w:val="24"/>
        </w:rPr>
        <w:t xml:space="preserve"> defines IFC </w:t>
      </w:r>
      <w:r w:rsidR="009A0528">
        <w:rPr>
          <w:rFonts w:ascii="Arial" w:hAnsi="Arial" w:cs="Arial"/>
          <w:sz w:val="24"/>
          <w:szCs w:val="24"/>
        </w:rPr>
        <w:t>“Policies</w:t>
      </w:r>
      <w:r>
        <w:rPr>
          <w:rFonts w:ascii="Arial" w:hAnsi="Arial" w:cs="Arial"/>
          <w:sz w:val="24"/>
          <w:szCs w:val="24"/>
        </w:rPr>
        <w:t xml:space="preserve"> and procedures  adopted by the company for  ensuring  orderly and e</w:t>
      </w:r>
      <w:r w:rsidR="006F7617">
        <w:rPr>
          <w:rFonts w:ascii="Arial" w:hAnsi="Arial" w:cs="Arial"/>
          <w:sz w:val="24"/>
          <w:szCs w:val="24"/>
        </w:rPr>
        <w:t xml:space="preserve">fficient conduct </w:t>
      </w:r>
      <w:r>
        <w:rPr>
          <w:rFonts w:ascii="Arial" w:hAnsi="Arial" w:cs="Arial"/>
          <w:sz w:val="24"/>
          <w:szCs w:val="24"/>
        </w:rPr>
        <w:t xml:space="preserve"> of its business , accuracy and completeness of the accounting records , and timely preparation of reliable information.</w:t>
      </w:r>
    </w:p>
    <w:p w:rsidR="002734C9" w:rsidRPr="002734C9" w:rsidRDefault="002734C9" w:rsidP="002734C9">
      <w:pPr>
        <w:rPr>
          <w:rFonts w:ascii="Arial" w:hAnsi="Arial" w:cs="Arial"/>
          <w:b/>
          <w:sz w:val="24"/>
          <w:szCs w:val="24"/>
        </w:rPr>
      </w:pPr>
      <w:r w:rsidRPr="002734C9">
        <w:rPr>
          <w:rFonts w:ascii="Arial" w:hAnsi="Arial" w:cs="Arial"/>
          <w:b/>
          <w:sz w:val="24"/>
          <w:szCs w:val="24"/>
        </w:rPr>
        <w:t xml:space="preserve">Reporting requirements of Management under </w:t>
      </w:r>
      <w:proofErr w:type="gramStart"/>
      <w:r w:rsidRPr="002734C9">
        <w:rPr>
          <w:rFonts w:ascii="Arial" w:hAnsi="Arial" w:cs="Arial"/>
          <w:b/>
          <w:sz w:val="24"/>
          <w:szCs w:val="24"/>
        </w:rPr>
        <w:t>IFC :</w:t>
      </w:r>
      <w:proofErr w:type="gramEnd"/>
      <w:r w:rsidRPr="002734C9">
        <w:rPr>
          <w:rFonts w:ascii="Arial" w:hAnsi="Arial" w:cs="Arial"/>
          <w:b/>
          <w:sz w:val="24"/>
          <w:szCs w:val="24"/>
        </w:rPr>
        <w:t>-</w:t>
      </w:r>
    </w:p>
    <w:p w:rsidR="002734C9" w:rsidRDefault="002734C9" w:rsidP="002734C9">
      <w:pPr>
        <w:pStyle w:val="ListParagraph"/>
        <w:numPr>
          <w:ilvl w:val="0"/>
          <w:numId w:val="2"/>
        </w:numPr>
        <w:rPr>
          <w:rFonts w:ascii="Arial" w:hAnsi="Arial" w:cs="Arial"/>
          <w:sz w:val="24"/>
          <w:szCs w:val="24"/>
        </w:rPr>
      </w:pPr>
      <w:r>
        <w:rPr>
          <w:rFonts w:ascii="Arial" w:hAnsi="Arial" w:cs="Arial"/>
          <w:sz w:val="24"/>
          <w:szCs w:val="24"/>
        </w:rPr>
        <w:t>Sec134(5) (e)  of the 2013 Act ( which deals with the director’s responsibility statement) requires directors of listed companies to state whether they had laid down  IFC to be followed by the company and that such IFC are adequate and were operating effectively.</w:t>
      </w:r>
    </w:p>
    <w:p w:rsidR="002734C9" w:rsidRDefault="00AB7E8D" w:rsidP="002734C9">
      <w:pPr>
        <w:pStyle w:val="ListParagraph"/>
        <w:numPr>
          <w:ilvl w:val="0"/>
          <w:numId w:val="2"/>
        </w:numPr>
        <w:rPr>
          <w:rFonts w:ascii="Arial" w:hAnsi="Arial" w:cs="Arial"/>
          <w:sz w:val="24"/>
          <w:szCs w:val="24"/>
        </w:rPr>
      </w:pPr>
      <w:r w:rsidRPr="00AB7E8D">
        <w:rPr>
          <w:rFonts w:ascii="Arial" w:hAnsi="Arial" w:cs="Arial"/>
          <w:b/>
          <w:sz w:val="24"/>
          <w:szCs w:val="24"/>
        </w:rPr>
        <w:t xml:space="preserve">Rule 8(5) (viii) of the Companies </w:t>
      </w:r>
      <w:proofErr w:type="gramStart"/>
      <w:r w:rsidRPr="00AB7E8D">
        <w:rPr>
          <w:rFonts w:ascii="Arial" w:hAnsi="Arial" w:cs="Arial"/>
          <w:b/>
          <w:sz w:val="24"/>
          <w:szCs w:val="24"/>
        </w:rPr>
        <w:t>( Account</w:t>
      </w:r>
      <w:proofErr w:type="gramEnd"/>
      <w:r w:rsidRPr="00AB7E8D">
        <w:rPr>
          <w:rFonts w:ascii="Arial" w:hAnsi="Arial" w:cs="Arial"/>
          <w:b/>
          <w:sz w:val="24"/>
          <w:szCs w:val="24"/>
        </w:rPr>
        <w:t xml:space="preserve"> ) Rules, 2014 (Rules)</w:t>
      </w:r>
      <w:r>
        <w:rPr>
          <w:rFonts w:ascii="Arial" w:hAnsi="Arial" w:cs="Arial"/>
          <w:sz w:val="24"/>
          <w:szCs w:val="24"/>
        </w:rPr>
        <w:t xml:space="preserve"> requires Board ‘s report of every company in India to state the details in respect of adequacy of ICFR with  reference to the </w:t>
      </w:r>
      <w:r w:rsidR="002734C9">
        <w:rPr>
          <w:rFonts w:ascii="Arial" w:hAnsi="Arial" w:cs="Arial"/>
          <w:sz w:val="24"/>
          <w:szCs w:val="24"/>
        </w:rPr>
        <w:t xml:space="preserve"> </w:t>
      </w:r>
      <w:r w:rsidRPr="00AB7E8D">
        <w:rPr>
          <w:rFonts w:ascii="Arial" w:hAnsi="Arial" w:cs="Arial"/>
          <w:b/>
          <w:sz w:val="24"/>
          <w:szCs w:val="24"/>
        </w:rPr>
        <w:t>financial statement</w:t>
      </w:r>
      <w:r>
        <w:rPr>
          <w:rFonts w:ascii="Arial" w:hAnsi="Arial" w:cs="Arial"/>
          <w:sz w:val="24"/>
          <w:szCs w:val="24"/>
        </w:rPr>
        <w:t xml:space="preserve"> .</w:t>
      </w:r>
    </w:p>
    <w:p w:rsidR="000E49AC" w:rsidRDefault="000E49AC" w:rsidP="000E49AC">
      <w:pPr>
        <w:rPr>
          <w:rFonts w:ascii="Arial" w:hAnsi="Arial" w:cs="Arial"/>
          <w:sz w:val="24"/>
          <w:szCs w:val="24"/>
        </w:rPr>
      </w:pPr>
      <w:r>
        <w:rPr>
          <w:rFonts w:ascii="Arial" w:hAnsi="Arial" w:cs="Arial"/>
          <w:sz w:val="24"/>
          <w:szCs w:val="24"/>
        </w:rPr>
        <w:t>Gu</w:t>
      </w:r>
      <w:r w:rsidR="007E2068">
        <w:rPr>
          <w:rFonts w:ascii="Arial" w:hAnsi="Arial" w:cs="Arial"/>
          <w:sz w:val="24"/>
          <w:szCs w:val="24"/>
        </w:rPr>
        <w:t xml:space="preserve">idance Note issued by the </w:t>
      </w:r>
      <w:proofErr w:type="gramStart"/>
      <w:r w:rsidR="007E2068">
        <w:rPr>
          <w:rFonts w:ascii="Arial" w:hAnsi="Arial" w:cs="Arial"/>
          <w:sz w:val="24"/>
          <w:szCs w:val="24"/>
        </w:rPr>
        <w:t>ICAI  talks</w:t>
      </w:r>
      <w:proofErr w:type="gramEnd"/>
      <w:r w:rsidR="007E2068">
        <w:rPr>
          <w:rFonts w:ascii="Arial" w:hAnsi="Arial" w:cs="Arial"/>
          <w:sz w:val="24"/>
          <w:szCs w:val="24"/>
        </w:rPr>
        <w:t xml:space="preserve"> about report on ICFR </w:t>
      </w:r>
      <w:r w:rsidR="006F7617">
        <w:rPr>
          <w:rFonts w:ascii="Arial" w:hAnsi="Arial" w:cs="Arial"/>
          <w:sz w:val="24"/>
          <w:szCs w:val="24"/>
        </w:rPr>
        <w:t xml:space="preserve"> for </w:t>
      </w:r>
      <w:r w:rsidR="007E2068">
        <w:rPr>
          <w:rFonts w:ascii="Arial" w:hAnsi="Arial" w:cs="Arial"/>
          <w:sz w:val="24"/>
          <w:szCs w:val="24"/>
        </w:rPr>
        <w:t>all companies Board’s report to state adequacy of IFC with respect to financial statements .</w:t>
      </w:r>
    </w:p>
    <w:p w:rsidR="007E2068" w:rsidRDefault="007E2068" w:rsidP="000E49AC">
      <w:pPr>
        <w:rPr>
          <w:rFonts w:ascii="Arial" w:hAnsi="Arial" w:cs="Arial"/>
          <w:sz w:val="24"/>
          <w:szCs w:val="24"/>
        </w:rPr>
      </w:pPr>
      <w:r>
        <w:rPr>
          <w:rFonts w:ascii="Arial" w:hAnsi="Arial" w:cs="Arial"/>
          <w:sz w:val="24"/>
          <w:szCs w:val="24"/>
        </w:rPr>
        <w:t xml:space="preserve">For  the </w:t>
      </w:r>
      <w:r w:rsidR="00A74700">
        <w:rPr>
          <w:rFonts w:ascii="Arial" w:hAnsi="Arial" w:cs="Arial"/>
          <w:sz w:val="24"/>
          <w:szCs w:val="24"/>
        </w:rPr>
        <w:t xml:space="preserve">above purpose , the Guidance Note defines  IFC-FR to mean  a process designed by , or under the supervision of, the company’s principal executive and principal financial officers, or persons performing  similar functions , and effected by the company’s board of directors, management, and other </w:t>
      </w:r>
      <w:r w:rsidR="009E6965">
        <w:rPr>
          <w:rFonts w:ascii="Arial" w:hAnsi="Arial" w:cs="Arial"/>
          <w:sz w:val="24"/>
          <w:szCs w:val="24"/>
        </w:rPr>
        <w:t>personnel</w:t>
      </w:r>
      <w:r w:rsidR="00A74700">
        <w:rPr>
          <w:rFonts w:ascii="Arial" w:hAnsi="Arial" w:cs="Arial"/>
          <w:sz w:val="24"/>
          <w:szCs w:val="24"/>
        </w:rPr>
        <w:t xml:space="preserve"> , to provide </w:t>
      </w:r>
      <w:r w:rsidR="009E6965">
        <w:rPr>
          <w:rFonts w:ascii="Arial" w:hAnsi="Arial" w:cs="Arial"/>
          <w:sz w:val="24"/>
          <w:szCs w:val="24"/>
        </w:rPr>
        <w:t xml:space="preserve">reasonable assurance regarding  the reliability of financial reporting and the preparation of financial statements ( </w:t>
      </w:r>
      <w:proofErr w:type="spellStart"/>
      <w:r w:rsidR="009E6965">
        <w:rPr>
          <w:rFonts w:ascii="Arial" w:hAnsi="Arial" w:cs="Arial"/>
          <w:sz w:val="24"/>
          <w:szCs w:val="24"/>
        </w:rPr>
        <w:t>i.e</w:t>
      </w:r>
      <w:proofErr w:type="spellEnd"/>
      <w:r w:rsidR="009E6965">
        <w:rPr>
          <w:rFonts w:ascii="Arial" w:hAnsi="Arial" w:cs="Arial"/>
          <w:sz w:val="24"/>
          <w:szCs w:val="24"/>
        </w:rPr>
        <w:t xml:space="preserve"> Balance Sheet, Income and Expenditure A/c or Profit and Loss A/c, Cash Flow Statement, statement of change in equity </w:t>
      </w:r>
      <w:r w:rsidR="00F26DE4">
        <w:rPr>
          <w:rFonts w:ascii="Arial" w:hAnsi="Arial" w:cs="Arial"/>
          <w:sz w:val="24"/>
          <w:szCs w:val="24"/>
        </w:rPr>
        <w:t xml:space="preserve"> and notes to account in support of the F.S.</w:t>
      </w:r>
    </w:p>
    <w:p w:rsidR="00F26DE4" w:rsidRDefault="00387E63" w:rsidP="000E49AC">
      <w:pPr>
        <w:rPr>
          <w:rFonts w:ascii="Arial" w:hAnsi="Arial" w:cs="Arial"/>
          <w:sz w:val="24"/>
          <w:szCs w:val="24"/>
        </w:rPr>
      </w:pPr>
      <w:r>
        <w:rPr>
          <w:rFonts w:ascii="Arial" w:hAnsi="Arial" w:cs="Arial"/>
          <w:sz w:val="24"/>
          <w:szCs w:val="24"/>
        </w:rPr>
        <w:t xml:space="preserve">Guidance Note on ICFR talks about reporting by the management for all companies on </w:t>
      </w:r>
    </w:p>
    <w:p w:rsidR="002F7428" w:rsidRDefault="002F7428" w:rsidP="002C22CE">
      <w:pPr>
        <w:ind w:right="-448"/>
        <w:rPr>
          <w:rFonts w:ascii="Arial" w:hAnsi="Arial" w:cs="Arial"/>
          <w:sz w:val="24"/>
          <w:szCs w:val="24"/>
        </w:rPr>
      </w:pPr>
      <w:r>
        <w:rPr>
          <w:rFonts w:ascii="Arial" w:hAnsi="Arial" w:cs="Arial"/>
          <w:sz w:val="24"/>
          <w:szCs w:val="24"/>
        </w:rPr>
        <w:t xml:space="preserve">ICFR on financial statements. For all companies in India, the management has to report on integrated reporting which means internal control is adequate and operating effectively </w:t>
      </w:r>
    </w:p>
    <w:p w:rsidR="002F7428" w:rsidRDefault="002F7428" w:rsidP="000E49AC">
      <w:pPr>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relation to  (a) entity level controls (b) process level controls</w:t>
      </w:r>
      <w:r w:rsidR="0058424D">
        <w:rPr>
          <w:rFonts w:ascii="Arial" w:hAnsi="Arial" w:cs="Arial"/>
          <w:sz w:val="24"/>
          <w:szCs w:val="24"/>
        </w:rPr>
        <w:t xml:space="preserve">/transaction level controls </w:t>
      </w:r>
      <w:r w:rsidR="006F7617">
        <w:rPr>
          <w:rFonts w:ascii="Arial" w:hAnsi="Arial" w:cs="Arial"/>
          <w:sz w:val="24"/>
          <w:szCs w:val="24"/>
        </w:rPr>
        <w:t xml:space="preserve"> (c) general IT controls  which in addition to ICFR with reference to the financial statement.</w:t>
      </w:r>
    </w:p>
    <w:p w:rsidR="002F7428" w:rsidRDefault="002F7428" w:rsidP="000E49AC">
      <w:pPr>
        <w:rPr>
          <w:rFonts w:ascii="Arial" w:hAnsi="Arial" w:cs="Arial"/>
          <w:sz w:val="24"/>
          <w:szCs w:val="24"/>
        </w:rPr>
      </w:pPr>
    </w:p>
    <w:p w:rsidR="002F7428" w:rsidRDefault="002F7428" w:rsidP="000E49AC">
      <w:pPr>
        <w:rPr>
          <w:rFonts w:ascii="Arial" w:hAnsi="Arial" w:cs="Arial"/>
          <w:sz w:val="24"/>
          <w:szCs w:val="24"/>
        </w:rPr>
      </w:pPr>
      <w:r>
        <w:rPr>
          <w:rFonts w:ascii="Arial" w:hAnsi="Arial" w:cs="Arial"/>
          <w:sz w:val="24"/>
          <w:szCs w:val="24"/>
        </w:rPr>
        <w:t xml:space="preserve">An explanation to (a) includes the following controls are adequate and operating </w:t>
      </w:r>
      <w:r w:rsidR="005D6BC1">
        <w:rPr>
          <w:rFonts w:ascii="Arial" w:hAnsi="Arial" w:cs="Arial"/>
          <w:sz w:val="24"/>
          <w:szCs w:val="24"/>
        </w:rPr>
        <w:t>effectively:</w:t>
      </w:r>
      <w:r>
        <w:rPr>
          <w:rFonts w:ascii="Arial" w:hAnsi="Arial" w:cs="Arial"/>
          <w:sz w:val="24"/>
          <w:szCs w:val="24"/>
        </w:rPr>
        <w:t>-</w:t>
      </w:r>
    </w:p>
    <w:p w:rsidR="002F7428" w:rsidRDefault="00F56B72" w:rsidP="002F7428">
      <w:pPr>
        <w:pStyle w:val="ListParagraph"/>
        <w:numPr>
          <w:ilvl w:val="0"/>
          <w:numId w:val="3"/>
        </w:numPr>
        <w:rPr>
          <w:rFonts w:ascii="Arial" w:hAnsi="Arial" w:cs="Arial"/>
          <w:sz w:val="24"/>
          <w:szCs w:val="24"/>
        </w:rPr>
      </w:pPr>
      <w:r>
        <w:rPr>
          <w:rFonts w:ascii="Arial" w:hAnsi="Arial" w:cs="Arial"/>
          <w:sz w:val="24"/>
          <w:szCs w:val="24"/>
        </w:rPr>
        <w:t>Code of Conduct.</w:t>
      </w:r>
    </w:p>
    <w:p w:rsidR="00F56B72" w:rsidRDefault="00F56B72" w:rsidP="002F7428">
      <w:pPr>
        <w:pStyle w:val="ListParagraph"/>
        <w:numPr>
          <w:ilvl w:val="0"/>
          <w:numId w:val="3"/>
        </w:numPr>
        <w:rPr>
          <w:rFonts w:ascii="Arial" w:hAnsi="Arial" w:cs="Arial"/>
          <w:sz w:val="24"/>
          <w:szCs w:val="24"/>
        </w:rPr>
      </w:pPr>
      <w:r>
        <w:rPr>
          <w:rFonts w:ascii="Arial" w:hAnsi="Arial" w:cs="Arial"/>
          <w:sz w:val="24"/>
          <w:szCs w:val="24"/>
        </w:rPr>
        <w:t xml:space="preserve">ISO guidelines </w:t>
      </w:r>
    </w:p>
    <w:p w:rsidR="00F56B72" w:rsidRDefault="00FF569C" w:rsidP="002F7428">
      <w:pPr>
        <w:pStyle w:val="ListParagraph"/>
        <w:numPr>
          <w:ilvl w:val="0"/>
          <w:numId w:val="3"/>
        </w:numPr>
        <w:rPr>
          <w:rFonts w:ascii="Arial" w:hAnsi="Arial" w:cs="Arial"/>
          <w:sz w:val="24"/>
          <w:szCs w:val="24"/>
        </w:rPr>
      </w:pPr>
      <w:r>
        <w:rPr>
          <w:rFonts w:ascii="Arial" w:hAnsi="Arial" w:cs="Arial"/>
          <w:sz w:val="24"/>
          <w:szCs w:val="24"/>
        </w:rPr>
        <w:t>Risk Management Policy (ERM)</w:t>
      </w:r>
    </w:p>
    <w:p w:rsidR="00FF569C" w:rsidRDefault="00FF569C" w:rsidP="002F7428">
      <w:pPr>
        <w:pStyle w:val="ListParagraph"/>
        <w:numPr>
          <w:ilvl w:val="0"/>
          <w:numId w:val="3"/>
        </w:numPr>
        <w:rPr>
          <w:rFonts w:ascii="Arial" w:hAnsi="Arial" w:cs="Arial"/>
          <w:sz w:val="24"/>
          <w:szCs w:val="24"/>
        </w:rPr>
      </w:pPr>
      <w:r>
        <w:rPr>
          <w:rFonts w:ascii="Arial" w:hAnsi="Arial" w:cs="Arial"/>
          <w:sz w:val="24"/>
          <w:szCs w:val="24"/>
        </w:rPr>
        <w:lastRenderedPageBreak/>
        <w:t>HR Policy</w:t>
      </w:r>
    </w:p>
    <w:p w:rsidR="00FF569C" w:rsidRDefault="00FF569C" w:rsidP="002F7428">
      <w:pPr>
        <w:pStyle w:val="ListParagraph"/>
        <w:numPr>
          <w:ilvl w:val="0"/>
          <w:numId w:val="3"/>
        </w:numPr>
        <w:rPr>
          <w:rFonts w:ascii="Arial" w:hAnsi="Arial" w:cs="Arial"/>
          <w:sz w:val="24"/>
          <w:szCs w:val="24"/>
        </w:rPr>
      </w:pPr>
      <w:r>
        <w:rPr>
          <w:rFonts w:ascii="Arial" w:hAnsi="Arial" w:cs="Arial"/>
          <w:sz w:val="24"/>
          <w:szCs w:val="24"/>
        </w:rPr>
        <w:t xml:space="preserve">Policy in relation to related party transactions </w:t>
      </w:r>
    </w:p>
    <w:p w:rsidR="00FF569C" w:rsidRDefault="003442EB" w:rsidP="002F7428">
      <w:pPr>
        <w:pStyle w:val="ListParagraph"/>
        <w:numPr>
          <w:ilvl w:val="0"/>
          <w:numId w:val="3"/>
        </w:numPr>
        <w:rPr>
          <w:rFonts w:ascii="Arial" w:hAnsi="Arial" w:cs="Arial"/>
          <w:sz w:val="24"/>
          <w:szCs w:val="24"/>
        </w:rPr>
      </w:pPr>
      <w:r>
        <w:rPr>
          <w:rFonts w:ascii="Arial" w:hAnsi="Arial" w:cs="Arial"/>
          <w:sz w:val="24"/>
          <w:szCs w:val="24"/>
        </w:rPr>
        <w:t>Business Continuity Plan</w:t>
      </w:r>
    </w:p>
    <w:p w:rsidR="003442EB" w:rsidRDefault="002E7C43" w:rsidP="002F7428">
      <w:pPr>
        <w:pStyle w:val="ListParagraph"/>
        <w:numPr>
          <w:ilvl w:val="0"/>
          <w:numId w:val="3"/>
        </w:numPr>
        <w:rPr>
          <w:rFonts w:ascii="Arial" w:hAnsi="Arial" w:cs="Arial"/>
          <w:sz w:val="24"/>
          <w:szCs w:val="24"/>
        </w:rPr>
      </w:pPr>
      <w:r>
        <w:rPr>
          <w:rFonts w:ascii="Arial" w:hAnsi="Arial" w:cs="Arial"/>
          <w:sz w:val="24"/>
          <w:szCs w:val="24"/>
        </w:rPr>
        <w:t xml:space="preserve">Organization structure in present and proper division of work and responsibilities </w:t>
      </w:r>
    </w:p>
    <w:p w:rsidR="002E7C43" w:rsidRDefault="00C23496" w:rsidP="002F7428">
      <w:pPr>
        <w:pStyle w:val="ListParagraph"/>
        <w:numPr>
          <w:ilvl w:val="0"/>
          <w:numId w:val="3"/>
        </w:numPr>
        <w:rPr>
          <w:rFonts w:ascii="Arial" w:hAnsi="Arial" w:cs="Arial"/>
          <w:sz w:val="24"/>
          <w:szCs w:val="24"/>
        </w:rPr>
      </w:pPr>
      <w:r>
        <w:rPr>
          <w:rFonts w:ascii="Arial" w:hAnsi="Arial" w:cs="Arial"/>
          <w:sz w:val="24"/>
          <w:szCs w:val="24"/>
        </w:rPr>
        <w:t xml:space="preserve">Disaster Recovery Plan </w:t>
      </w:r>
    </w:p>
    <w:p w:rsidR="00C23496" w:rsidRDefault="00C23496" w:rsidP="002F7428">
      <w:pPr>
        <w:pStyle w:val="ListParagraph"/>
        <w:numPr>
          <w:ilvl w:val="0"/>
          <w:numId w:val="3"/>
        </w:numPr>
        <w:rPr>
          <w:rFonts w:ascii="Arial" w:hAnsi="Arial" w:cs="Arial"/>
          <w:sz w:val="24"/>
          <w:szCs w:val="24"/>
        </w:rPr>
      </w:pPr>
      <w:r>
        <w:rPr>
          <w:rFonts w:ascii="Arial" w:hAnsi="Arial" w:cs="Arial"/>
          <w:sz w:val="24"/>
          <w:szCs w:val="24"/>
        </w:rPr>
        <w:t>MIS &amp; Other Reporting.</w:t>
      </w:r>
    </w:p>
    <w:p w:rsidR="00C23496" w:rsidRDefault="00C23496" w:rsidP="00C23496">
      <w:pPr>
        <w:rPr>
          <w:rFonts w:ascii="Arial" w:hAnsi="Arial" w:cs="Arial"/>
          <w:sz w:val="24"/>
          <w:szCs w:val="24"/>
        </w:rPr>
      </w:pPr>
    </w:p>
    <w:p w:rsidR="00C23496" w:rsidRDefault="00C23496" w:rsidP="00C23496">
      <w:pPr>
        <w:rPr>
          <w:rFonts w:ascii="Arial" w:hAnsi="Arial" w:cs="Arial"/>
          <w:sz w:val="24"/>
          <w:szCs w:val="24"/>
        </w:rPr>
      </w:pPr>
      <w:r>
        <w:rPr>
          <w:rFonts w:ascii="Arial" w:hAnsi="Arial" w:cs="Arial"/>
          <w:sz w:val="24"/>
          <w:szCs w:val="24"/>
        </w:rPr>
        <w:t xml:space="preserve">An explanation to (b) includes the following </w:t>
      </w:r>
      <w:proofErr w:type="gramStart"/>
      <w:r>
        <w:rPr>
          <w:rFonts w:ascii="Arial" w:hAnsi="Arial" w:cs="Arial"/>
          <w:sz w:val="24"/>
          <w:szCs w:val="24"/>
        </w:rPr>
        <w:t>controls  are</w:t>
      </w:r>
      <w:proofErr w:type="gramEnd"/>
      <w:r>
        <w:rPr>
          <w:rFonts w:ascii="Arial" w:hAnsi="Arial" w:cs="Arial"/>
          <w:sz w:val="24"/>
          <w:szCs w:val="24"/>
        </w:rPr>
        <w:t xml:space="preserve"> adequate and operating effectively :-</w:t>
      </w:r>
    </w:p>
    <w:p w:rsidR="00C23496" w:rsidRDefault="002C22CE" w:rsidP="00C23496">
      <w:pPr>
        <w:pStyle w:val="ListParagraph"/>
        <w:numPr>
          <w:ilvl w:val="0"/>
          <w:numId w:val="4"/>
        </w:numPr>
        <w:rPr>
          <w:rFonts w:ascii="Arial" w:hAnsi="Arial" w:cs="Arial"/>
          <w:sz w:val="24"/>
          <w:szCs w:val="24"/>
        </w:rPr>
      </w:pPr>
      <w:r>
        <w:rPr>
          <w:rFonts w:ascii="Arial" w:hAnsi="Arial" w:cs="Arial"/>
          <w:sz w:val="24"/>
          <w:szCs w:val="24"/>
        </w:rPr>
        <w:t>Receivable</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Procure to Pay</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Payroll &amp; Hire to Retire</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Fixed Assets</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Inventory Management</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Treasury</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 xml:space="preserve">Record to Report </w:t>
      </w:r>
    </w:p>
    <w:p w:rsidR="002C22CE" w:rsidRDefault="002C22CE" w:rsidP="00C23496">
      <w:pPr>
        <w:pStyle w:val="ListParagraph"/>
        <w:numPr>
          <w:ilvl w:val="0"/>
          <w:numId w:val="4"/>
        </w:numPr>
        <w:rPr>
          <w:rFonts w:ascii="Arial" w:hAnsi="Arial" w:cs="Arial"/>
          <w:sz w:val="24"/>
          <w:szCs w:val="24"/>
        </w:rPr>
      </w:pPr>
      <w:r>
        <w:rPr>
          <w:rFonts w:ascii="Arial" w:hAnsi="Arial" w:cs="Arial"/>
          <w:sz w:val="24"/>
          <w:szCs w:val="24"/>
        </w:rPr>
        <w:t>Duties and Taxes.</w:t>
      </w:r>
    </w:p>
    <w:p w:rsidR="002C22CE" w:rsidRDefault="002C22CE" w:rsidP="002C22CE">
      <w:pPr>
        <w:rPr>
          <w:rFonts w:ascii="Arial" w:hAnsi="Arial" w:cs="Arial"/>
          <w:sz w:val="24"/>
          <w:szCs w:val="24"/>
        </w:rPr>
      </w:pPr>
      <w:r>
        <w:rPr>
          <w:rFonts w:ascii="Arial" w:hAnsi="Arial" w:cs="Arial"/>
          <w:sz w:val="24"/>
          <w:szCs w:val="24"/>
        </w:rPr>
        <w:t>An explanation to (</w:t>
      </w:r>
      <w:proofErr w:type="gramStart"/>
      <w:r>
        <w:rPr>
          <w:rFonts w:ascii="Arial" w:hAnsi="Arial" w:cs="Arial"/>
          <w:sz w:val="24"/>
          <w:szCs w:val="24"/>
        </w:rPr>
        <w:t>c )</w:t>
      </w:r>
      <w:proofErr w:type="gramEnd"/>
      <w:r>
        <w:rPr>
          <w:rFonts w:ascii="Arial" w:hAnsi="Arial" w:cs="Arial"/>
          <w:sz w:val="24"/>
          <w:szCs w:val="24"/>
        </w:rPr>
        <w:t xml:space="preserve"> includes the following controls are adequate and operating effectively:-</w:t>
      </w:r>
    </w:p>
    <w:p w:rsidR="002C22CE" w:rsidRDefault="002C22CE" w:rsidP="002C22CE">
      <w:pPr>
        <w:pStyle w:val="ListParagraph"/>
        <w:numPr>
          <w:ilvl w:val="0"/>
          <w:numId w:val="5"/>
        </w:numPr>
        <w:rPr>
          <w:rFonts w:ascii="Arial" w:hAnsi="Arial" w:cs="Arial"/>
          <w:sz w:val="24"/>
          <w:szCs w:val="24"/>
        </w:rPr>
      </w:pPr>
      <w:r>
        <w:rPr>
          <w:rFonts w:ascii="Arial" w:hAnsi="Arial" w:cs="Arial"/>
          <w:sz w:val="24"/>
          <w:szCs w:val="24"/>
        </w:rPr>
        <w:t xml:space="preserve">Billing System </w:t>
      </w:r>
    </w:p>
    <w:p w:rsidR="002C22CE" w:rsidRDefault="002C22CE" w:rsidP="002C22CE">
      <w:pPr>
        <w:pStyle w:val="ListParagraph"/>
        <w:numPr>
          <w:ilvl w:val="0"/>
          <w:numId w:val="5"/>
        </w:numPr>
        <w:rPr>
          <w:rFonts w:ascii="Arial" w:hAnsi="Arial" w:cs="Arial"/>
          <w:sz w:val="24"/>
          <w:szCs w:val="24"/>
        </w:rPr>
      </w:pPr>
      <w:r>
        <w:rPr>
          <w:rFonts w:ascii="Arial" w:hAnsi="Arial" w:cs="Arial"/>
          <w:sz w:val="24"/>
          <w:szCs w:val="24"/>
        </w:rPr>
        <w:t>User Access</w:t>
      </w:r>
    </w:p>
    <w:p w:rsidR="002C22CE" w:rsidRDefault="002C22CE" w:rsidP="002C22CE">
      <w:pPr>
        <w:pStyle w:val="ListParagraph"/>
        <w:numPr>
          <w:ilvl w:val="0"/>
          <w:numId w:val="5"/>
        </w:numPr>
        <w:rPr>
          <w:rFonts w:ascii="Arial" w:hAnsi="Arial" w:cs="Arial"/>
          <w:sz w:val="24"/>
          <w:szCs w:val="24"/>
        </w:rPr>
      </w:pPr>
      <w:r>
        <w:rPr>
          <w:rFonts w:ascii="Arial" w:hAnsi="Arial" w:cs="Arial"/>
          <w:sz w:val="24"/>
          <w:szCs w:val="24"/>
        </w:rPr>
        <w:t>Access Log</w:t>
      </w:r>
    </w:p>
    <w:p w:rsidR="002C22CE" w:rsidRDefault="002C22CE" w:rsidP="002C22CE">
      <w:pPr>
        <w:pStyle w:val="ListParagraph"/>
        <w:numPr>
          <w:ilvl w:val="0"/>
          <w:numId w:val="5"/>
        </w:numPr>
        <w:rPr>
          <w:rFonts w:ascii="Arial" w:hAnsi="Arial" w:cs="Arial"/>
          <w:sz w:val="24"/>
          <w:szCs w:val="24"/>
        </w:rPr>
      </w:pPr>
      <w:r>
        <w:rPr>
          <w:rFonts w:ascii="Arial" w:hAnsi="Arial" w:cs="Arial"/>
          <w:sz w:val="24"/>
          <w:szCs w:val="24"/>
        </w:rPr>
        <w:t>Password Policy</w:t>
      </w:r>
    </w:p>
    <w:p w:rsidR="00BF555D" w:rsidRDefault="00BF555D" w:rsidP="002C22CE">
      <w:pPr>
        <w:pStyle w:val="ListParagraph"/>
        <w:numPr>
          <w:ilvl w:val="0"/>
          <w:numId w:val="5"/>
        </w:numPr>
        <w:rPr>
          <w:rFonts w:ascii="Arial" w:hAnsi="Arial" w:cs="Arial"/>
          <w:sz w:val="24"/>
          <w:szCs w:val="24"/>
        </w:rPr>
      </w:pPr>
      <w:r>
        <w:rPr>
          <w:rFonts w:ascii="Arial" w:hAnsi="Arial" w:cs="Arial"/>
          <w:sz w:val="24"/>
          <w:szCs w:val="24"/>
        </w:rPr>
        <w:t>Backup and Restoration</w:t>
      </w:r>
    </w:p>
    <w:p w:rsidR="00BF555D" w:rsidRDefault="00BF555D" w:rsidP="002C22CE">
      <w:pPr>
        <w:pStyle w:val="ListParagraph"/>
        <w:numPr>
          <w:ilvl w:val="0"/>
          <w:numId w:val="5"/>
        </w:numPr>
        <w:rPr>
          <w:rFonts w:ascii="Arial" w:hAnsi="Arial" w:cs="Arial"/>
          <w:sz w:val="24"/>
          <w:szCs w:val="24"/>
        </w:rPr>
      </w:pPr>
      <w:r>
        <w:rPr>
          <w:rFonts w:ascii="Arial" w:hAnsi="Arial" w:cs="Arial"/>
          <w:sz w:val="24"/>
          <w:szCs w:val="24"/>
        </w:rPr>
        <w:t>Change Management</w:t>
      </w:r>
    </w:p>
    <w:p w:rsidR="00BF555D" w:rsidRDefault="00BF555D" w:rsidP="002C22CE">
      <w:pPr>
        <w:pStyle w:val="ListParagraph"/>
        <w:numPr>
          <w:ilvl w:val="0"/>
          <w:numId w:val="5"/>
        </w:numPr>
        <w:rPr>
          <w:rFonts w:ascii="Arial" w:hAnsi="Arial" w:cs="Arial"/>
          <w:sz w:val="24"/>
          <w:szCs w:val="24"/>
        </w:rPr>
      </w:pPr>
      <w:r>
        <w:rPr>
          <w:rFonts w:ascii="Arial" w:hAnsi="Arial" w:cs="Arial"/>
          <w:sz w:val="24"/>
          <w:szCs w:val="24"/>
        </w:rPr>
        <w:t>Data Centre- physical and environmental controls</w:t>
      </w:r>
    </w:p>
    <w:p w:rsidR="00BF555D" w:rsidRDefault="00BF555D" w:rsidP="00BF555D">
      <w:pPr>
        <w:pStyle w:val="ListParagraph"/>
        <w:ind w:hanging="720"/>
        <w:rPr>
          <w:rFonts w:ascii="Arial" w:hAnsi="Arial" w:cs="Arial"/>
          <w:sz w:val="24"/>
          <w:szCs w:val="24"/>
        </w:rPr>
      </w:pPr>
    </w:p>
    <w:p w:rsidR="000C6D03" w:rsidRDefault="000C6D03" w:rsidP="000C6D03">
      <w:pPr>
        <w:pStyle w:val="ListParagraph"/>
        <w:ind w:left="142"/>
        <w:rPr>
          <w:rFonts w:ascii="Arial" w:hAnsi="Arial" w:cs="Arial"/>
          <w:sz w:val="24"/>
          <w:szCs w:val="24"/>
        </w:rPr>
      </w:pPr>
      <w:r>
        <w:rPr>
          <w:rFonts w:ascii="Arial" w:hAnsi="Arial" w:cs="Arial"/>
          <w:sz w:val="24"/>
          <w:szCs w:val="24"/>
        </w:rPr>
        <w:t xml:space="preserve">Sankyu India Logistics &amp; Engineering Pvt Ltd  will have to report under Board Report   to state the details in respect of adequacy of ICFR with  reference to the  </w:t>
      </w:r>
      <w:r w:rsidRPr="00AB7E8D">
        <w:rPr>
          <w:rFonts w:ascii="Arial" w:hAnsi="Arial" w:cs="Arial"/>
          <w:b/>
          <w:sz w:val="24"/>
          <w:szCs w:val="24"/>
        </w:rPr>
        <w:t>financial statement</w:t>
      </w:r>
      <w:r>
        <w:rPr>
          <w:rFonts w:ascii="Arial" w:hAnsi="Arial" w:cs="Arial"/>
          <w:sz w:val="24"/>
          <w:szCs w:val="24"/>
        </w:rPr>
        <w:t xml:space="preserve">  and which includes also operating internal control </w:t>
      </w:r>
      <w:r w:rsidR="005D6BC1">
        <w:rPr>
          <w:rFonts w:ascii="Arial" w:hAnsi="Arial" w:cs="Arial"/>
          <w:sz w:val="24"/>
          <w:szCs w:val="24"/>
        </w:rPr>
        <w:t xml:space="preserve"> for </w:t>
      </w:r>
      <w:r>
        <w:rPr>
          <w:rFonts w:ascii="Arial" w:hAnsi="Arial" w:cs="Arial"/>
          <w:sz w:val="24"/>
          <w:szCs w:val="24"/>
        </w:rPr>
        <w:t>both IT and Non-IT and strategic controls.</w:t>
      </w:r>
    </w:p>
    <w:p w:rsidR="007E2068" w:rsidRPr="000E49AC" w:rsidRDefault="007E2068" w:rsidP="000E49AC">
      <w:pPr>
        <w:rPr>
          <w:rFonts w:ascii="Arial" w:hAnsi="Arial" w:cs="Arial"/>
          <w:sz w:val="24"/>
          <w:szCs w:val="24"/>
        </w:rPr>
      </w:pPr>
    </w:p>
    <w:p w:rsidR="00AB7E8D" w:rsidRDefault="00AB7E8D" w:rsidP="000E49AC">
      <w:pPr>
        <w:pStyle w:val="ListParagraph"/>
        <w:rPr>
          <w:rFonts w:ascii="Arial" w:hAnsi="Arial" w:cs="Arial"/>
          <w:b/>
          <w:sz w:val="24"/>
          <w:szCs w:val="24"/>
        </w:rPr>
      </w:pPr>
    </w:p>
    <w:p w:rsidR="000E49AC" w:rsidRPr="002734C9" w:rsidRDefault="000E49AC" w:rsidP="000E49AC">
      <w:pPr>
        <w:pStyle w:val="ListParagraph"/>
        <w:rPr>
          <w:rFonts w:ascii="Arial" w:hAnsi="Arial" w:cs="Arial"/>
          <w:sz w:val="24"/>
          <w:szCs w:val="24"/>
        </w:rPr>
      </w:pPr>
    </w:p>
    <w:sectPr w:rsidR="000E49AC" w:rsidRPr="002734C9" w:rsidSect="002C22C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F60"/>
    <w:multiLevelType w:val="hybridMultilevel"/>
    <w:tmpl w:val="DB3E5A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B1C1D32"/>
    <w:multiLevelType w:val="hybridMultilevel"/>
    <w:tmpl w:val="7FE4CE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A21419A"/>
    <w:multiLevelType w:val="hybridMultilevel"/>
    <w:tmpl w:val="04DA9C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66F04C0"/>
    <w:multiLevelType w:val="hybridMultilevel"/>
    <w:tmpl w:val="D02A93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F48350C"/>
    <w:multiLevelType w:val="hybridMultilevel"/>
    <w:tmpl w:val="BD0AA9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EB"/>
    <w:rsid w:val="000C6D03"/>
    <w:rsid w:val="000E49AC"/>
    <w:rsid w:val="00236909"/>
    <w:rsid w:val="002734C9"/>
    <w:rsid w:val="002C22CE"/>
    <w:rsid w:val="002E7C43"/>
    <w:rsid w:val="002F7428"/>
    <w:rsid w:val="003442EB"/>
    <w:rsid w:val="00387E63"/>
    <w:rsid w:val="0058424D"/>
    <w:rsid w:val="005D6BC1"/>
    <w:rsid w:val="005F229E"/>
    <w:rsid w:val="006F7617"/>
    <w:rsid w:val="007E2068"/>
    <w:rsid w:val="008F4BEB"/>
    <w:rsid w:val="0094414F"/>
    <w:rsid w:val="009A0528"/>
    <w:rsid w:val="009E6965"/>
    <w:rsid w:val="00A74700"/>
    <w:rsid w:val="00AB7E8D"/>
    <w:rsid w:val="00BF555D"/>
    <w:rsid w:val="00C23496"/>
    <w:rsid w:val="00F26DE4"/>
    <w:rsid w:val="00F47599"/>
    <w:rsid w:val="00F56B72"/>
    <w:rsid w:val="00FF56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somdeb bhattacharya</cp:lastModifiedBy>
  <cp:revision>2</cp:revision>
  <dcterms:created xsi:type="dcterms:W3CDTF">2016-06-10T18:45:00Z</dcterms:created>
  <dcterms:modified xsi:type="dcterms:W3CDTF">2016-06-10T18:45:00Z</dcterms:modified>
</cp:coreProperties>
</file>