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F39" w:rsidRPr="00161F39" w:rsidRDefault="00161F39" w:rsidP="00161F39">
      <w:pPr>
        <w:spacing w:after="0" w:line="240" w:lineRule="auto"/>
        <w:jc w:val="center"/>
        <w:rPr>
          <w:rFonts w:ascii="Bookman Old Style" w:eastAsia="Times New Roman" w:hAnsi="Bookman Old Style" w:cs="Times New Roman"/>
          <w:b/>
          <w:bCs/>
          <w:sz w:val="24"/>
          <w:szCs w:val="24"/>
        </w:rPr>
      </w:pPr>
      <w:r w:rsidRPr="00161F39">
        <w:rPr>
          <w:rFonts w:ascii="Bookman Old Style" w:eastAsia="Times New Roman" w:hAnsi="Bookman Old Style" w:cs="Times New Roman"/>
          <w:b/>
          <w:bCs/>
          <w:sz w:val="24"/>
          <w:szCs w:val="24"/>
        </w:rPr>
        <w:t>Important points in EPF &amp; EPS</w:t>
      </w:r>
    </w:p>
    <w:p w:rsidR="007C7DCF" w:rsidRDefault="007C7DCF" w:rsidP="007C7DCF">
      <w:pPr>
        <w:spacing w:after="0" w:line="240" w:lineRule="auto"/>
        <w:rPr>
          <w:rFonts w:ascii="Bookman Old Style" w:eastAsia="Times New Roman" w:hAnsi="Bookman Old Style" w:cs="Times New Roman"/>
          <w:sz w:val="24"/>
          <w:szCs w:val="24"/>
        </w:rPr>
      </w:pPr>
      <w:r w:rsidRPr="007C7DCF">
        <w:rPr>
          <w:rFonts w:ascii="Bookman Old Style" w:eastAsia="Times New Roman" w:hAnsi="Bookman Old Style" w:cs="Times New Roman"/>
          <w:sz w:val="24"/>
          <w:szCs w:val="24"/>
        </w:rPr>
        <w:t xml:space="preserve">Employees Provident Fund </w:t>
      </w:r>
      <w:r w:rsidRPr="00AA5DAB">
        <w:rPr>
          <w:rFonts w:ascii="Bookman Old Style" w:eastAsia="Times New Roman" w:hAnsi="Bookman Old Style" w:cs="Times New Roman"/>
          <w:sz w:val="24"/>
          <w:szCs w:val="24"/>
        </w:rPr>
        <w:t xml:space="preserve">commonly called PF—is a retirement benefit scheme that is available to all salaried employees. </w:t>
      </w:r>
      <w:r w:rsidRPr="00AA5DAB">
        <w:rPr>
          <w:rFonts w:ascii="Bookman Old Style" w:eastAsia="Times New Roman" w:hAnsi="Bookman Old Style" w:cs="Times New Roman"/>
          <w:color w:val="000000"/>
          <w:sz w:val="24"/>
          <w:szCs w:val="24"/>
        </w:rPr>
        <w:t xml:space="preserve">It is a very important tool of retirement planning. </w:t>
      </w:r>
      <w:r w:rsidRPr="00AA5DAB">
        <w:rPr>
          <w:rFonts w:ascii="Bookman Old Style" w:eastAsia="Times New Roman" w:hAnsi="Bookman Old Style" w:cs="Times New Roman"/>
          <w:color w:val="000000"/>
          <w:sz w:val="24"/>
          <w:szCs w:val="24"/>
          <w:shd w:val="clear" w:color="auto" w:fill="FFFFFF"/>
        </w:rPr>
        <w:t xml:space="preserve">The tax-free interest (compounding) and the maturity ensures a good growth of our money. </w:t>
      </w:r>
      <w:r>
        <w:rPr>
          <w:rFonts w:ascii="Bookman Old Style" w:eastAsia="Times New Roman" w:hAnsi="Bookman Old Style" w:cs="Times New Roman"/>
          <w:sz w:val="24"/>
          <w:szCs w:val="24"/>
        </w:rPr>
        <w:br/>
      </w:r>
    </w:p>
    <w:p w:rsidR="007C7DCF" w:rsidRDefault="007C7DCF" w:rsidP="007C7DCF">
      <w:pPr>
        <w:spacing w:after="0" w:line="240" w:lineRule="auto"/>
        <w:rPr>
          <w:rFonts w:ascii="Bookman Old Style" w:eastAsia="Times New Roman" w:hAnsi="Bookman Old Style" w:cs="Times New Roman"/>
          <w:b/>
          <w:bCs/>
          <w:sz w:val="24"/>
          <w:szCs w:val="24"/>
        </w:rPr>
      </w:pPr>
      <w:r w:rsidRPr="00AA5DAB">
        <w:rPr>
          <w:rFonts w:ascii="Bookman Old Style" w:eastAsia="Times New Roman" w:hAnsi="Bookman Old Style" w:cs="Times New Roman"/>
          <w:sz w:val="24"/>
          <w:szCs w:val="24"/>
        </w:rPr>
        <w:t>Both employees and the employer contribute to PF at the ‘rate of 12%’ of the basic wages and dearness allowance (if any) per month. Thus, the total contribution to PF is 24% per month. PF provides retirement benefit to us to secure a better standard of living at retirement.</w:t>
      </w:r>
      <w:r>
        <w:rPr>
          <w:rFonts w:ascii="Bookman Old Style" w:eastAsia="Times New Roman" w:hAnsi="Bookman Old Style" w:cs="Times New Roman"/>
          <w:sz w:val="24"/>
          <w:szCs w:val="24"/>
        </w:rPr>
        <w:br/>
      </w:r>
    </w:p>
    <w:p w:rsidR="007C7DCF" w:rsidRDefault="007C7DCF" w:rsidP="007C7DCF">
      <w:pPr>
        <w:spacing w:after="0" w:line="240" w:lineRule="auto"/>
        <w:rPr>
          <w:rFonts w:ascii="Bookman Old Style" w:eastAsia="Times New Roman" w:hAnsi="Bookman Old Style" w:cs="Times New Roman"/>
          <w:sz w:val="24"/>
          <w:szCs w:val="24"/>
        </w:rPr>
      </w:pPr>
      <w:r w:rsidRPr="007C7DCF">
        <w:rPr>
          <w:rFonts w:ascii="Bookman Old Style" w:eastAsia="Times New Roman" w:hAnsi="Bookman Old Style" w:cs="Times New Roman"/>
          <w:b/>
          <w:bCs/>
          <w:sz w:val="24"/>
          <w:szCs w:val="24"/>
        </w:rPr>
        <w:t>EPF &amp; EPS</w:t>
      </w:r>
      <w:r w:rsidRPr="00AA5DAB">
        <w:rPr>
          <w:rFonts w:ascii="Bookman Old Style" w:eastAsia="Times New Roman" w:hAnsi="Bookman Old Style" w:cs="Times New Roman"/>
          <w:sz w:val="24"/>
          <w:szCs w:val="24"/>
        </w:rPr>
        <w:br/>
        <w:t xml:space="preserve">Most </w:t>
      </w:r>
      <w:r w:rsidRPr="007C7DCF">
        <w:rPr>
          <w:rFonts w:ascii="Bookman Old Style" w:eastAsia="Times New Roman" w:hAnsi="Bookman Old Style" w:cs="Times New Roman"/>
          <w:sz w:val="24"/>
          <w:szCs w:val="24"/>
        </w:rPr>
        <w:t>organizations</w:t>
      </w:r>
      <w:r w:rsidRPr="00AA5DAB">
        <w:rPr>
          <w:rFonts w:ascii="Bookman Old Style" w:eastAsia="Times New Roman" w:hAnsi="Bookman Old Style" w:cs="Times New Roman"/>
          <w:sz w:val="24"/>
          <w:szCs w:val="24"/>
        </w:rPr>
        <w:t xml:space="preserve"> today offer the facility of PF. </w:t>
      </w:r>
      <w:r w:rsidRPr="007C7DCF">
        <w:rPr>
          <w:rFonts w:ascii="Bookman Old Style" w:eastAsia="Times New Roman" w:hAnsi="Bookman Old Style" w:cs="Times New Roman"/>
          <w:sz w:val="24"/>
          <w:szCs w:val="24"/>
        </w:rPr>
        <w:t xml:space="preserve">EPF </w:t>
      </w:r>
      <w:r w:rsidRPr="00AA5DAB">
        <w:rPr>
          <w:rFonts w:ascii="Bookman Old Style" w:eastAsia="Times New Roman" w:hAnsi="Bookman Old Style" w:cs="Times New Roman"/>
          <w:sz w:val="24"/>
          <w:szCs w:val="24"/>
        </w:rPr>
        <w:t>(Employees’ Provident Fund Scheme 1952) and EPS (Employees’ Pension Scheme 1995) are the two different retirement saving schemes under Employees’ Provident Funds and Miscellaneous Provisions Act, 1952, meant for salaried employees. It is mandatory for every employee drawing a basic pay of up to Rs. 6,500 per month to make contribution towards</w:t>
      </w:r>
      <w:r w:rsidRPr="007C7DCF">
        <w:rPr>
          <w:rFonts w:ascii="Bookman Old Style" w:eastAsia="Times New Roman" w:hAnsi="Bookman Old Style" w:cs="Times New Roman"/>
          <w:sz w:val="24"/>
          <w:szCs w:val="24"/>
        </w:rPr>
        <w:t xml:space="preserve"> EPF </w:t>
      </w:r>
      <w:r w:rsidRPr="00AA5DAB">
        <w:rPr>
          <w:rFonts w:ascii="Bookman Old Style" w:eastAsia="Times New Roman" w:hAnsi="Bookman Old Style" w:cs="Times New Roman"/>
          <w:sz w:val="24"/>
          <w:szCs w:val="24"/>
        </w:rPr>
        <w:t xml:space="preserve">&amp; EPS. However, </w:t>
      </w:r>
      <w:r w:rsidRPr="00AA5DAB">
        <w:rPr>
          <w:rFonts w:ascii="Bookman Old Style" w:eastAsia="Times New Roman" w:hAnsi="Bookman Old Style" w:cs="Times New Roman"/>
          <w:color w:val="000000"/>
          <w:sz w:val="24"/>
          <w:szCs w:val="24"/>
          <w:shd w:val="clear" w:color="auto" w:fill="FFFFFF"/>
        </w:rPr>
        <w:t>employees drawing basic salary over Rs. 6,501per month have an option to get PF deducted from their salary.</w:t>
      </w:r>
      <w:r w:rsidRPr="00AA5DAB">
        <w:rPr>
          <w:rFonts w:ascii="Bookman Old Style" w:eastAsia="Times New Roman" w:hAnsi="Bookman Old Style" w:cs="Times New Roman"/>
          <w:sz w:val="24"/>
          <w:szCs w:val="24"/>
        </w:rPr>
        <w:br/>
      </w:r>
      <w:r w:rsidRPr="00AA5DAB">
        <w:rPr>
          <w:rFonts w:ascii="Bookman Old Style" w:eastAsia="Times New Roman" w:hAnsi="Bookman Old Style" w:cs="Times New Roman"/>
          <w:sz w:val="24"/>
          <w:szCs w:val="24"/>
        </w:rPr>
        <w:br/>
        <w:t xml:space="preserve">Normally, both the employer and employee contribute 12% each of the ‘basic salary’ of the employee plus DA (if any). The entire 12% of employee’s contribution is added towards EPF, while 8.33% out of the total 12% of the employer’s contribution is diverted to the EPS or pension scheme and the balance 3.67% is invested in </w:t>
      </w:r>
      <w:r w:rsidRPr="007C7DCF">
        <w:rPr>
          <w:rFonts w:ascii="Bookman Old Style" w:eastAsia="Times New Roman" w:hAnsi="Bookman Old Style" w:cs="Times New Roman"/>
          <w:sz w:val="24"/>
          <w:szCs w:val="24"/>
        </w:rPr>
        <w:t>EPF.</w:t>
      </w:r>
      <w:r w:rsidRPr="00AA5DAB">
        <w:rPr>
          <w:rFonts w:ascii="Bookman Old Style" w:eastAsia="Times New Roman" w:hAnsi="Bookman Old Style" w:cs="Times New Roman"/>
          <w:sz w:val="24"/>
          <w:szCs w:val="24"/>
        </w:rPr>
        <w:br/>
      </w:r>
      <w:r w:rsidRPr="00AA5DAB">
        <w:rPr>
          <w:rFonts w:ascii="Bookman Old Style" w:eastAsia="Times New Roman" w:hAnsi="Bookman Old Style" w:cs="Times New Roman"/>
          <w:sz w:val="24"/>
          <w:szCs w:val="24"/>
        </w:rPr>
        <w:br/>
        <w:t xml:space="preserve">However, if the basic pay of an employee exceeds Rs. 6,500 per month, the contribution towards pension scheme is restricted to 8.33% of Rs. 6,500 (i.e. Rs. 541 per month) and the balance of employer’s contribution goes into </w:t>
      </w:r>
      <w:r w:rsidRPr="007C7DCF">
        <w:rPr>
          <w:rFonts w:ascii="Bookman Old Style" w:eastAsia="Times New Roman" w:hAnsi="Bookman Old Style" w:cs="Times New Roman"/>
          <w:sz w:val="24"/>
          <w:szCs w:val="24"/>
        </w:rPr>
        <w:t>EPF</w:t>
      </w:r>
      <w:r w:rsidRPr="00AA5DAB">
        <w:rPr>
          <w:rFonts w:ascii="Bookman Old Style" w:eastAsia="Times New Roman" w:hAnsi="Bookman Old Style" w:cs="Times New Roman"/>
          <w:sz w:val="24"/>
          <w:szCs w:val="24"/>
        </w:rPr>
        <w:t>.</w:t>
      </w:r>
      <w:r w:rsidRPr="00AA5DAB">
        <w:rPr>
          <w:rFonts w:ascii="Bookman Old Style" w:eastAsia="Times New Roman" w:hAnsi="Bookman Old Style" w:cs="Times New Roman"/>
          <w:sz w:val="24"/>
          <w:szCs w:val="24"/>
        </w:rPr>
        <w:br/>
      </w:r>
      <w:r w:rsidRPr="00AA5DAB">
        <w:rPr>
          <w:rFonts w:ascii="Bookman Old Style" w:eastAsia="Times New Roman" w:hAnsi="Bookman Old Style" w:cs="Times New Roman"/>
          <w:sz w:val="24"/>
          <w:szCs w:val="24"/>
        </w:rPr>
        <w:br/>
        <w:t>Thus, the employer contributes only up to Rs. 541 per month (8.33% of Rs. 6,500 in the employee’s pension scheme account.</w:t>
      </w:r>
      <w:r w:rsidRPr="00AA5DAB">
        <w:rPr>
          <w:rFonts w:ascii="Bookman Old Style" w:eastAsia="Times New Roman" w:hAnsi="Bookman Old Style" w:cs="Times New Roman"/>
          <w:sz w:val="24"/>
          <w:szCs w:val="24"/>
        </w:rPr>
        <w:br/>
      </w:r>
    </w:p>
    <w:p w:rsidR="007C7DCF" w:rsidRPr="00AA5DAB" w:rsidRDefault="007C7DCF" w:rsidP="007C7DCF">
      <w:pPr>
        <w:spacing w:after="0" w:line="240" w:lineRule="auto"/>
        <w:rPr>
          <w:rFonts w:ascii="Bookman Old Style" w:eastAsia="Times New Roman" w:hAnsi="Bookman Old Style" w:cs="Times New Roman"/>
          <w:sz w:val="24"/>
          <w:szCs w:val="24"/>
        </w:rPr>
      </w:pPr>
      <w:r w:rsidRPr="007C7DCF">
        <w:rPr>
          <w:rFonts w:ascii="Bookman Old Style" w:eastAsia="Times New Roman" w:hAnsi="Bookman Old Style" w:cs="Times New Roman"/>
          <w:b/>
          <w:bCs/>
          <w:sz w:val="24"/>
          <w:szCs w:val="24"/>
        </w:rPr>
        <w:t>Contribution to EPF &amp; EPS</w:t>
      </w:r>
    </w:p>
    <w:tbl>
      <w:tblPr>
        <w:tblW w:w="6765" w:type="dxa"/>
        <w:tblCellSpacing w:w="0" w:type="dxa"/>
        <w:tblBorders>
          <w:top w:val="single" w:sz="6" w:space="0" w:color="000000"/>
          <w:left w:val="single" w:sz="6" w:space="0" w:color="000000"/>
        </w:tblBorders>
        <w:tblCellMar>
          <w:left w:w="0" w:type="dxa"/>
          <w:right w:w="0" w:type="dxa"/>
        </w:tblCellMar>
        <w:tblLook w:val="04A0"/>
      </w:tblPr>
      <w:tblGrid>
        <w:gridCol w:w="2085"/>
        <w:gridCol w:w="2340"/>
        <w:gridCol w:w="2340"/>
      </w:tblGrid>
      <w:tr w:rsidR="007C7DCF" w:rsidRPr="00AA5DAB" w:rsidTr="00552491">
        <w:trPr>
          <w:tblCellSpacing w:w="0" w:type="dxa"/>
        </w:trPr>
        <w:tc>
          <w:tcPr>
            <w:tcW w:w="2085" w:type="dxa"/>
            <w:tcBorders>
              <w:bottom w:val="single" w:sz="6" w:space="0" w:color="000000"/>
              <w:right w:val="single" w:sz="6" w:space="0" w:color="000000"/>
            </w:tcBorders>
            <w:shd w:val="clear" w:color="auto" w:fill="666666"/>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7C7DCF">
              <w:rPr>
                <w:rFonts w:ascii="Bookman Old Style" w:eastAsia="Times New Roman" w:hAnsi="Bookman Old Style" w:cs="Times New Roman"/>
                <w:b/>
                <w:bCs/>
                <w:color w:val="FFFFFF"/>
                <w:sz w:val="24"/>
                <w:szCs w:val="24"/>
              </w:rPr>
              <w:t xml:space="preserve">Scheme </w:t>
            </w:r>
          </w:p>
        </w:tc>
        <w:tc>
          <w:tcPr>
            <w:tcW w:w="2340" w:type="dxa"/>
            <w:tcBorders>
              <w:bottom w:val="single" w:sz="6" w:space="0" w:color="000000"/>
              <w:right w:val="single" w:sz="6" w:space="0" w:color="000000"/>
            </w:tcBorders>
            <w:shd w:val="clear" w:color="auto" w:fill="666666"/>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7C7DCF">
              <w:rPr>
                <w:rFonts w:ascii="Bookman Old Style" w:eastAsia="Times New Roman" w:hAnsi="Bookman Old Style" w:cs="Times New Roman"/>
                <w:b/>
                <w:bCs/>
                <w:color w:val="FFFFFF"/>
                <w:sz w:val="24"/>
                <w:szCs w:val="24"/>
              </w:rPr>
              <w:t>Employee’s contribution of basic pay</w:t>
            </w:r>
          </w:p>
        </w:tc>
        <w:tc>
          <w:tcPr>
            <w:tcW w:w="2340" w:type="dxa"/>
            <w:tcBorders>
              <w:bottom w:val="single" w:sz="6" w:space="0" w:color="000000"/>
              <w:right w:val="single" w:sz="6" w:space="0" w:color="000000"/>
            </w:tcBorders>
            <w:shd w:val="clear" w:color="auto" w:fill="666666"/>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7C7DCF">
              <w:rPr>
                <w:rFonts w:ascii="Bookman Old Style" w:eastAsia="Times New Roman" w:hAnsi="Bookman Old Style" w:cs="Times New Roman"/>
                <w:b/>
                <w:bCs/>
                <w:color w:val="FFFFFF"/>
                <w:sz w:val="24"/>
                <w:szCs w:val="24"/>
              </w:rPr>
              <w:t xml:space="preserve">Employer’s contribution </w:t>
            </w:r>
          </w:p>
        </w:tc>
      </w:tr>
      <w:tr w:rsidR="007C7DCF" w:rsidRPr="00AA5DAB" w:rsidTr="00552491">
        <w:trPr>
          <w:tblCellSpacing w:w="0" w:type="dxa"/>
        </w:trPr>
        <w:tc>
          <w:tcPr>
            <w:tcW w:w="2085" w:type="dxa"/>
            <w:tcBorders>
              <w:bottom w:val="single" w:sz="6" w:space="0" w:color="000000"/>
              <w:right w:val="single" w:sz="6" w:space="0" w:color="000000"/>
            </w:tcBorders>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EPF</w:t>
            </w:r>
          </w:p>
        </w:tc>
        <w:tc>
          <w:tcPr>
            <w:tcW w:w="2340" w:type="dxa"/>
            <w:tcBorders>
              <w:bottom w:val="single" w:sz="6" w:space="0" w:color="000000"/>
              <w:right w:val="single" w:sz="6" w:space="0" w:color="000000"/>
            </w:tcBorders>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12%</w:t>
            </w:r>
          </w:p>
        </w:tc>
        <w:tc>
          <w:tcPr>
            <w:tcW w:w="2340" w:type="dxa"/>
            <w:tcBorders>
              <w:bottom w:val="single" w:sz="6" w:space="0" w:color="000000"/>
              <w:right w:val="single" w:sz="6" w:space="0" w:color="000000"/>
            </w:tcBorders>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3.67%</w:t>
            </w:r>
          </w:p>
        </w:tc>
      </w:tr>
      <w:tr w:rsidR="007C7DCF" w:rsidRPr="00AA5DAB" w:rsidTr="00552491">
        <w:trPr>
          <w:tblCellSpacing w:w="0" w:type="dxa"/>
        </w:trPr>
        <w:tc>
          <w:tcPr>
            <w:tcW w:w="2085" w:type="dxa"/>
            <w:tcBorders>
              <w:bottom w:val="single" w:sz="6" w:space="0" w:color="000000"/>
              <w:right w:val="single" w:sz="6" w:space="0" w:color="000000"/>
            </w:tcBorders>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EPS</w:t>
            </w:r>
          </w:p>
        </w:tc>
        <w:tc>
          <w:tcPr>
            <w:tcW w:w="2340" w:type="dxa"/>
            <w:tcBorders>
              <w:bottom w:val="single" w:sz="6" w:space="0" w:color="000000"/>
              <w:right w:val="single" w:sz="6" w:space="0" w:color="000000"/>
            </w:tcBorders>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w:t>
            </w:r>
          </w:p>
        </w:tc>
        <w:tc>
          <w:tcPr>
            <w:tcW w:w="2340" w:type="dxa"/>
            <w:tcBorders>
              <w:bottom w:val="single" w:sz="6" w:space="0" w:color="000000"/>
              <w:right w:val="single" w:sz="6" w:space="0" w:color="000000"/>
            </w:tcBorders>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8.33%</w:t>
            </w:r>
          </w:p>
        </w:tc>
      </w:tr>
    </w:tbl>
    <w:p w:rsidR="007C7DCF"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br/>
      </w:r>
      <w:r w:rsidRPr="007C7DCF">
        <w:rPr>
          <w:rFonts w:ascii="Bookman Old Style" w:eastAsia="Times New Roman" w:hAnsi="Bookman Old Style" w:cs="Times New Roman"/>
          <w:b/>
          <w:bCs/>
          <w:sz w:val="24"/>
          <w:szCs w:val="24"/>
        </w:rPr>
        <w:t>Interest on EPF</w:t>
      </w:r>
      <w:r w:rsidRPr="00AA5DAB">
        <w:rPr>
          <w:rFonts w:ascii="Bookman Old Style" w:eastAsia="Times New Roman" w:hAnsi="Bookman Old Style" w:cs="Times New Roman"/>
          <w:sz w:val="24"/>
          <w:szCs w:val="24"/>
        </w:rPr>
        <w:br/>
        <w:t xml:space="preserve">The </w:t>
      </w:r>
      <w:r w:rsidRPr="007C7DCF">
        <w:rPr>
          <w:rFonts w:ascii="Bookman Old Style" w:eastAsia="Times New Roman" w:hAnsi="Bookman Old Style" w:cs="Times New Roman"/>
          <w:sz w:val="24"/>
          <w:szCs w:val="24"/>
        </w:rPr>
        <w:t>EPF</w:t>
      </w:r>
      <w:r w:rsidRPr="00AA5DAB">
        <w:rPr>
          <w:rFonts w:ascii="Bookman Old Style" w:eastAsia="Times New Roman" w:hAnsi="Bookman Old Style" w:cs="Times New Roman"/>
          <w:sz w:val="24"/>
          <w:szCs w:val="24"/>
        </w:rPr>
        <w:t xml:space="preserve"> interest rate is decided by the central government with the consultation of Central Board of Trustees. The </w:t>
      </w:r>
      <w:r w:rsidRPr="007C7DCF">
        <w:rPr>
          <w:rFonts w:ascii="Bookman Old Style" w:eastAsia="Times New Roman" w:hAnsi="Bookman Old Style" w:cs="Times New Roman"/>
          <w:sz w:val="24"/>
          <w:szCs w:val="24"/>
        </w:rPr>
        <w:t>EPF</w:t>
      </w:r>
      <w:r w:rsidRPr="00AA5DAB">
        <w:rPr>
          <w:rFonts w:ascii="Bookman Old Style" w:eastAsia="Times New Roman" w:hAnsi="Bookman Old Style" w:cs="Times New Roman"/>
          <w:sz w:val="24"/>
          <w:szCs w:val="24"/>
        </w:rPr>
        <w:t xml:space="preserve"> interest rate notification is available on the official website </w:t>
      </w:r>
      <w:r w:rsidRPr="007C7DCF">
        <w:rPr>
          <w:rFonts w:ascii="Bookman Old Style" w:eastAsia="Times New Roman" w:hAnsi="Bookman Old Style" w:cs="Times New Roman"/>
          <w:sz w:val="24"/>
          <w:szCs w:val="24"/>
        </w:rPr>
        <w:t>of EPF India</w:t>
      </w:r>
      <w:r w:rsidRPr="00AA5DAB">
        <w:rPr>
          <w:rFonts w:ascii="Bookman Old Style" w:eastAsia="Times New Roman" w:hAnsi="Bookman Old Style" w:cs="Times New Roman"/>
          <w:sz w:val="24"/>
          <w:szCs w:val="24"/>
        </w:rPr>
        <w:t xml:space="preserve"> on an annual basis. For FY12-13, </w:t>
      </w:r>
      <w:r w:rsidRPr="00AA5DAB">
        <w:rPr>
          <w:rFonts w:ascii="Bookman Old Style" w:eastAsia="Times New Roman" w:hAnsi="Bookman Old Style" w:cs="Times New Roman"/>
          <w:sz w:val="24"/>
          <w:szCs w:val="24"/>
        </w:rPr>
        <w:lastRenderedPageBreak/>
        <w:t xml:space="preserve">the interest calculated on EPF is 8.6%. The contribution is made to EPF on monthly basis, while interest is calculated at </w:t>
      </w:r>
      <w:r>
        <w:rPr>
          <w:rFonts w:ascii="Bookman Old Style" w:eastAsia="Times New Roman" w:hAnsi="Bookman Old Style" w:cs="Times New Roman"/>
          <w:sz w:val="24"/>
          <w:szCs w:val="24"/>
        </w:rPr>
        <w:t>the end of the financial year.</w:t>
      </w:r>
      <w:r>
        <w:rPr>
          <w:rFonts w:ascii="Bookman Old Style" w:eastAsia="Times New Roman" w:hAnsi="Bookman Old Style" w:cs="Times New Roman"/>
          <w:sz w:val="24"/>
          <w:szCs w:val="24"/>
        </w:rPr>
        <w:br/>
      </w:r>
    </w:p>
    <w:p w:rsidR="007C7DCF"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At the beginning of the each fiscal, there would be an opening balance, the amount accumulated till then. Thus, for next fiscal the new opening balance would be: Old opening balance + monthly contribution throughout the year + interest (old opening balance + contribution).</w:t>
      </w:r>
      <w:r w:rsidRPr="00AA5DAB">
        <w:rPr>
          <w:rFonts w:ascii="Bookman Old Style" w:eastAsia="Times New Roman" w:hAnsi="Bookman Old Style" w:cs="Times New Roman"/>
          <w:sz w:val="24"/>
          <w:szCs w:val="24"/>
        </w:rPr>
        <w:br/>
      </w:r>
      <w:r w:rsidRPr="00AA5DAB">
        <w:rPr>
          <w:rFonts w:ascii="Bookman Old Style" w:eastAsia="Times New Roman" w:hAnsi="Bookman Old Style" w:cs="Times New Roman"/>
          <w:sz w:val="24"/>
          <w:szCs w:val="24"/>
        </w:rPr>
        <w:br/>
        <w:t xml:space="preserve">For </w:t>
      </w:r>
      <w:r w:rsidRPr="007C7DCF">
        <w:rPr>
          <w:rFonts w:ascii="Bookman Old Style" w:eastAsia="Times New Roman" w:hAnsi="Bookman Old Style" w:cs="Times New Roman"/>
          <w:sz w:val="24"/>
          <w:szCs w:val="24"/>
        </w:rPr>
        <w:t>EPF,</w:t>
      </w:r>
      <w:r w:rsidRPr="00AA5DAB">
        <w:rPr>
          <w:rFonts w:ascii="Bookman Old Style" w:eastAsia="Times New Roman" w:hAnsi="Bookman Old Style" w:cs="Times New Roman"/>
          <w:sz w:val="24"/>
          <w:szCs w:val="24"/>
        </w:rPr>
        <w:t xml:space="preserve"> compound interest is paid on the amount standing to the credit of an employee as on 1 April every year. However, EPS being a pension scheme, interest is not applicable. Hence, no interest is earned on the amount accumulated in EPS.</w:t>
      </w:r>
      <w:r w:rsidRPr="00AA5DAB">
        <w:rPr>
          <w:rFonts w:ascii="Bookman Old Style" w:eastAsia="Times New Roman" w:hAnsi="Bookman Old Style" w:cs="Times New Roman"/>
          <w:sz w:val="24"/>
          <w:szCs w:val="24"/>
        </w:rPr>
        <w:br/>
      </w:r>
      <w:r w:rsidRPr="00AA5DAB">
        <w:rPr>
          <w:rFonts w:ascii="Bookman Old Style" w:eastAsia="Times New Roman" w:hAnsi="Bookman Old Style" w:cs="Times New Roman"/>
          <w:sz w:val="24"/>
          <w:szCs w:val="24"/>
        </w:rPr>
        <w:br/>
      </w:r>
      <w:r w:rsidRPr="007C7DCF">
        <w:rPr>
          <w:rFonts w:ascii="Bookman Old Style" w:eastAsia="Times New Roman" w:hAnsi="Bookman Old Style" w:cs="Times New Roman"/>
          <w:b/>
          <w:bCs/>
          <w:sz w:val="24"/>
          <w:szCs w:val="24"/>
        </w:rPr>
        <w:t>Nomination</w:t>
      </w:r>
      <w:r w:rsidRPr="00AA5DAB">
        <w:rPr>
          <w:rFonts w:ascii="Bookman Old Style" w:eastAsia="Times New Roman" w:hAnsi="Bookman Old Style" w:cs="Times New Roman"/>
          <w:sz w:val="24"/>
          <w:szCs w:val="24"/>
        </w:rPr>
        <w:br/>
      </w:r>
      <w:r w:rsidRPr="007C7DCF">
        <w:rPr>
          <w:rFonts w:ascii="Bookman Old Style" w:eastAsia="Times New Roman" w:hAnsi="Bookman Old Style" w:cs="Times New Roman"/>
          <w:sz w:val="24"/>
          <w:szCs w:val="24"/>
        </w:rPr>
        <w:t>EPF</w:t>
      </w:r>
      <w:r w:rsidRPr="00AA5DAB">
        <w:rPr>
          <w:rFonts w:ascii="Bookman Old Style" w:eastAsia="Times New Roman" w:hAnsi="Bookman Old Style" w:cs="Times New Roman"/>
          <w:sz w:val="24"/>
          <w:szCs w:val="24"/>
        </w:rPr>
        <w:t xml:space="preserve"> also has </w:t>
      </w:r>
      <w:r w:rsidRPr="007C7DCF">
        <w:rPr>
          <w:rFonts w:ascii="Bookman Old Style" w:eastAsia="Times New Roman" w:hAnsi="Bookman Old Style" w:cs="Times New Roman"/>
          <w:sz w:val="24"/>
          <w:szCs w:val="24"/>
        </w:rPr>
        <w:t xml:space="preserve">nomination </w:t>
      </w:r>
      <w:r w:rsidRPr="00AA5DAB">
        <w:rPr>
          <w:rFonts w:ascii="Bookman Old Style" w:eastAsia="Times New Roman" w:hAnsi="Bookman Old Style" w:cs="Times New Roman"/>
          <w:sz w:val="24"/>
          <w:szCs w:val="24"/>
        </w:rPr>
        <w:t xml:space="preserve">facility. You can nominate your mother, father, spouse or children. However you can’t nominate your brother or sister for </w:t>
      </w:r>
      <w:r w:rsidRPr="007C7DCF">
        <w:rPr>
          <w:rFonts w:ascii="Bookman Old Style" w:eastAsia="Times New Roman" w:hAnsi="Bookman Old Style" w:cs="Times New Roman"/>
          <w:sz w:val="24"/>
          <w:szCs w:val="24"/>
        </w:rPr>
        <w:t>EPF.</w:t>
      </w:r>
      <w:r w:rsidRPr="00AA5DAB">
        <w:rPr>
          <w:rFonts w:ascii="Bookman Old Style" w:eastAsia="Times New Roman" w:hAnsi="Bookman Old Style" w:cs="Times New Roman"/>
          <w:sz w:val="24"/>
          <w:szCs w:val="24"/>
        </w:rPr>
        <w:t xml:space="preserve"> The nominee will be contacted at the time of death of the employee and handed over the </w:t>
      </w:r>
      <w:r w:rsidRPr="007C7DCF">
        <w:rPr>
          <w:rFonts w:ascii="Bookman Old Style" w:eastAsia="Times New Roman" w:hAnsi="Bookman Old Style" w:cs="Times New Roman"/>
          <w:sz w:val="24"/>
          <w:szCs w:val="24"/>
        </w:rPr>
        <w:t>EPF</w:t>
      </w:r>
      <w:r w:rsidRPr="00AA5DAB">
        <w:rPr>
          <w:rFonts w:ascii="Bookman Old Style" w:eastAsia="Times New Roman" w:hAnsi="Bookman Old Style" w:cs="Times New Roman"/>
          <w:sz w:val="24"/>
          <w:szCs w:val="24"/>
        </w:rPr>
        <w:t xml:space="preserve"> money. If a member has a family at the time of making a </w:t>
      </w:r>
      <w:r w:rsidRPr="007C7DCF">
        <w:rPr>
          <w:rFonts w:ascii="Bookman Old Style" w:eastAsia="Times New Roman" w:hAnsi="Bookman Old Style" w:cs="Times New Roman"/>
          <w:sz w:val="24"/>
          <w:szCs w:val="24"/>
        </w:rPr>
        <w:t>nomination</w:t>
      </w:r>
      <w:r w:rsidRPr="00AA5DAB">
        <w:rPr>
          <w:rFonts w:ascii="Bookman Old Style" w:eastAsia="Times New Roman" w:hAnsi="Bookman Old Style" w:cs="Times New Roman"/>
          <w:sz w:val="24"/>
          <w:szCs w:val="24"/>
        </w:rPr>
        <w:t xml:space="preserve">, the </w:t>
      </w:r>
      <w:r w:rsidRPr="007C7DCF">
        <w:rPr>
          <w:rFonts w:ascii="Bookman Old Style" w:eastAsia="Times New Roman" w:hAnsi="Bookman Old Style" w:cs="Times New Roman"/>
          <w:sz w:val="24"/>
          <w:szCs w:val="24"/>
        </w:rPr>
        <w:t xml:space="preserve">nomination </w:t>
      </w:r>
      <w:r w:rsidRPr="00AA5DAB">
        <w:rPr>
          <w:rFonts w:ascii="Bookman Old Style" w:eastAsia="Times New Roman" w:hAnsi="Bookman Old Style" w:cs="Times New Roman"/>
          <w:sz w:val="24"/>
          <w:szCs w:val="24"/>
        </w:rPr>
        <w:t>should be in favour of one or more persons belonging to his family.</w:t>
      </w:r>
      <w:r w:rsidRPr="00AA5DAB">
        <w:rPr>
          <w:rFonts w:ascii="Bookman Old Style" w:eastAsia="Times New Roman" w:hAnsi="Bookman Old Style" w:cs="Times New Roman"/>
          <w:sz w:val="24"/>
          <w:szCs w:val="24"/>
        </w:rPr>
        <w:br/>
      </w:r>
      <w:r w:rsidRPr="00AA5DAB">
        <w:rPr>
          <w:rFonts w:ascii="Bookman Old Style" w:eastAsia="Times New Roman" w:hAnsi="Bookman Old Style" w:cs="Times New Roman"/>
          <w:sz w:val="24"/>
          <w:szCs w:val="24"/>
        </w:rPr>
        <w:br/>
        <w:t>Any n</w:t>
      </w:r>
      <w:r w:rsidRPr="007C7DCF">
        <w:rPr>
          <w:rFonts w:ascii="Bookman Old Style" w:eastAsia="Times New Roman" w:hAnsi="Bookman Old Style" w:cs="Times New Roman"/>
          <w:sz w:val="24"/>
          <w:szCs w:val="24"/>
        </w:rPr>
        <w:t>omination</w:t>
      </w:r>
      <w:r w:rsidRPr="00AA5DAB">
        <w:rPr>
          <w:rFonts w:ascii="Bookman Old Style" w:eastAsia="Times New Roman" w:hAnsi="Bookman Old Style" w:cs="Times New Roman"/>
          <w:sz w:val="24"/>
          <w:szCs w:val="24"/>
        </w:rPr>
        <w:t xml:space="preserve"> made by such member in favour of a person not belonging to his family shall be invalid. A fresh nomination should be made by the member on his marriage and any nomination made before such marriage will be deemed to be invalid.</w:t>
      </w:r>
      <w:r w:rsidRPr="00AA5DAB">
        <w:rPr>
          <w:rFonts w:ascii="Bookman Old Style" w:eastAsia="Times New Roman" w:hAnsi="Bookman Old Style" w:cs="Times New Roman"/>
          <w:sz w:val="24"/>
          <w:szCs w:val="24"/>
        </w:rPr>
        <w:br/>
      </w:r>
      <w:r w:rsidRPr="007C7DCF">
        <w:rPr>
          <w:rFonts w:ascii="Bookman Old Style" w:eastAsia="Times New Roman" w:hAnsi="Bookman Old Style" w:cs="Times New Roman"/>
          <w:sz w:val="24"/>
          <w:szCs w:val="24"/>
        </w:rPr>
        <w:t>Nomination</w:t>
      </w:r>
      <w:r w:rsidRPr="00AA5DAB">
        <w:rPr>
          <w:rFonts w:ascii="Bookman Old Style" w:eastAsia="Times New Roman" w:hAnsi="Bookman Old Style" w:cs="Times New Roman"/>
          <w:sz w:val="24"/>
          <w:szCs w:val="24"/>
        </w:rPr>
        <w:t xml:space="preserve"> is essential. </w:t>
      </w:r>
      <w:r w:rsidRPr="00AA5DAB">
        <w:rPr>
          <w:rFonts w:ascii="Bookman Old Style" w:eastAsia="Times New Roman" w:hAnsi="Bookman Old Style" w:cs="Times New Roman"/>
          <w:sz w:val="24"/>
          <w:szCs w:val="24"/>
          <w:shd w:val="clear" w:color="auto" w:fill="FFFFFF"/>
        </w:rPr>
        <w:t>The purpose of appointing a nominee is to have someone who is trustworthy and responsible to handle the nominator’s assets after his death.</w:t>
      </w:r>
      <w:r w:rsidRPr="00AA5DAB">
        <w:rPr>
          <w:rFonts w:ascii="Bookman Old Style" w:eastAsia="Times New Roman" w:hAnsi="Bookman Old Style" w:cs="Times New Roman"/>
          <w:sz w:val="24"/>
          <w:szCs w:val="24"/>
        </w:rPr>
        <w:br/>
      </w:r>
      <w:r w:rsidRPr="00AA5DAB">
        <w:rPr>
          <w:rFonts w:ascii="Bookman Old Style" w:eastAsia="Times New Roman" w:hAnsi="Bookman Old Style" w:cs="Times New Roman"/>
          <w:sz w:val="24"/>
          <w:szCs w:val="24"/>
        </w:rPr>
        <w:br/>
      </w:r>
      <w:r w:rsidRPr="007C7DCF">
        <w:rPr>
          <w:rFonts w:ascii="Bookman Old Style" w:eastAsia="Times New Roman" w:hAnsi="Bookman Old Style" w:cs="Times New Roman"/>
          <w:b/>
          <w:bCs/>
          <w:sz w:val="24"/>
          <w:szCs w:val="24"/>
        </w:rPr>
        <w:t>Tax benefits</w:t>
      </w:r>
      <w:r w:rsidRPr="00AA5DAB">
        <w:rPr>
          <w:rFonts w:ascii="Bookman Old Style" w:eastAsia="Times New Roman" w:hAnsi="Bookman Old Style" w:cs="Times New Roman"/>
          <w:sz w:val="24"/>
          <w:szCs w:val="24"/>
        </w:rPr>
        <w:br/>
      </w:r>
      <w:r w:rsidRPr="007C7DCF">
        <w:rPr>
          <w:rFonts w:ascii="Bookman Old Style" w:eastAsia="Times New Roman" w:hAnsi="Bookman Old Style" w:cs="Times New Roman"/>
          <w:sz w:val="24"/>
          <w:szCs w:val="24"/>
        </w:rPr>
        <w:t>the</w:t>
      </w:r>
      <w:r w:rsidRPr="00AA5DAB">
        <w:rPr>
          <w:rFonts w:ascii="Bookman Old Style" w:eastAsia="Times New Roman" w:hAnsi="Bookman Old Style" w:cs="Times New Roman"/>
          <w:sz w:val="24"/>
          <w:szCs w:val="24"/>
        </w:rPr>
        <w:t xml:space="preserve"> employer contribution is exempt from tax, while an employee’s contribution is taxable but eligible for deduction under Section 80C of Income tax Act. The money which you initially invest in </w:t>
      </w:r>
      <w:r w:rsidRPr="007C7DCF">
        <w:rPr>
          <w:rFonts w:ascii="Bookman Old Style" w:eastAsia="Times New Roman" w:hAnsi="Bookman Old Style" w:cs="Times New Roman"/>
          <w:sz w:val="24"/>
          <w:szCs w:val="24"/>
        </w:rPr>
        <w:t>EPF</w:t>
      </w:r>
      <w:r w:rsidRPr="00AA5DAB">
        <w:rPr>
          <w:rFonts w:ascii="Bookman Old Style" w:eastAsia="Times New Roman" w:hAnsi="Bookman Old Style" w:cs="Times New Roman"/>
          <w:sz w:val="24"/>
          <w:szCs w:val="24"/>
        </w:rPr>
        <w:t>, the interest you earn and, finally the money you withdraw after a specified period (5 years), are all exempt from income tax.</w:t>
      </w:r>
      <w:r w:rsidRPr="00AA5DAB">
        <w:rPr>
          <w:rFonts w:ascii="Bookman Old Style" w:eastAsia="Times New Roman" w:hAnsi="Bookman Old Style" w:cs="Times New Roman"/>
          <w:sz w:val="24"/>
          <w:szCs w:val="24"/>
        </w:rPr>
        <w:br/>
      </w:r>
      <w:r w:rsidRPr="00AA5DAB">
        <w:rPr>
          <w:rFonts w:ascii="Bookman Old Style" w:eastAsia="Times New Roman" w:hAnsi="Bookman Old Style" w:cs="Times New Roman"/>
          <w:sz w:val="24"/>
          <w:szCs w:val="24"/>
        </w:rPr>
        <w:br/>
      </w:r>
      <w:r w:rsidRPr="007C7DCF">
        <w:rPr>
          <w:rFonts w:ascii="Bookman Old Style" w:eastAsia="Times New Roman" w:hAnsi="Bookman Old Style" w:cs="Times New Roman"/>
          <w:b/>
          <w:bCs/>
          <w:sz w:val="24"/>
          <w:szCs w:val="24"/>
        </w:rPr>
        <w:t xml:space="preserve">Transfer of EPF &amp; EPS </w:t>
      </w:r>
      <w:r w:rsidRPr="00AA5DAB">
        <w:rPr>
          <w:rFonts w:ascii="Bookman Old Style" w:eastAsia="Times New Roman" w:hAnsi="Bookman Old Style" w:cs="Times New Roman"/>
          <w:sz w:val="24"/>
          <w:szCs w:val="24"/>
        </w:rPr>
        <w:br/>
        <w:t xml:space="preserve">You can apply for withdrawing </w:t>
      </w:r>
      <w:r w:rsidRPr="007C7DCF">
        <w:rPr>
          <w:rFonts w:ascii="Bookman Old Style" w:eastAsia="Times New Roman" w:hAnsi="Bookman Old Style" w:cs="Times New Roman"/>
          <w:sz w:val="24"/>
          <w:szCs w:val="24"/>
        </w:rPr>
        <w:t>EPF</w:t>
      </w:r>
      <w:r w:rsidRPr="00AA5DAB">
        <w:rPr>
          <w:rFonts w:ascii="Bookman Old Style" w:eastAsia="Times New Roman" w:hAnsi="Bookman Old Style" w:cs="Times New Roman"/>
          <w:sz w:val="24"/>
          <w:szCs w:val="24"/>
        </w:rPr>
        <w:t xml:space="preserve"> only if you are not employed for two months after leaving the previous job. It is recommended to transfer </w:t>
      </w:r>
      <w:r w:rsidRPr="007C7DCF">
        <w:rPr>
          <w:rFonts w:ascii="Bookman Old Style" w:eastAsia="Times New Roman" w:hAnsi="Bookman Old Style" w:cs="Times New Roman"/>
          <w:sz w:val="24"/>
          <w:szCs w:val="24"/>
        </w:rPr>
        <w:t xml:space="preserve">EPF </w:t>
      </w:r>
      <w:r w:rsidRPr="00AA5DAB">
        <w:rPr>
          <w:rFonts w:ascii="Bookman Old Style" w:eastAsia="Times New Roman" w:hAnsi="Bookman Old Style" w:cs="Times New Roman"/>
          <w:sz w:val="24"/>
          <w:szCs w:val="24"/>
        </w:rPr>
        <w:t xml:space="preserve">account at the time of joining a new company instead of withdrawing it as </w:t>
      </w:r>
      <w:r w:rsidRPr="007C7DCF">
        <w:rPr>
          <w:rFonts w:ascii="Bookman Old Style" w:eastAsia="Times New Roman" w:hAnsi="Bookman Old Style" w:cs="Times New Roman"/>
          <w:sz w:val="24"/>
          <w:szCs w:val="24"/>
        </w:rPr>
        <w:t>EPF</w:t>
      </w:r>
      <w:r w:rsidRPr="00AA5DAB">
        <w:rPr>
          <w:rFonts w:ascii="Bookman Old Style" w:eastAsia="Times New Roman" w:hAnsi="Bookman Old Style" w:cs="Times New Roman"/>
          <w:sz w:val="24"/>
          <w:szCs w:val="24"/>
        </w:rPr>
        <w:t xml:space="preserve"> forms the debt part of your portfolio and gives good tax-free returns.</w:t>
      </w:r>
      <w:r w:rsidRPr="00AA5DAB">
        <w:rPr>
          <w:rFonts w:ascii="Bookman Old Style" w:eastAsia="Times New Roman" w:hAnsi="Bookman Old Style" w:cs="Times New Roman"/>
          <w:sz w:val="24"/>
          <w:szCs w:val="24"/>
        </w:rPr>
        <w:br/>
      </w:r>
    </w:p>
    <w:p w:rsidR="007C7DCF"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 xml:space="preserve">For EPS, if the service period is less than 10 years, you have an option to either withdraw your corpus or get it transferred by obtaining a ‘scheme certificate’, if there is a break in service. This way the number of years of service that you </w:t>
      </w:r>
      <w:r w:rsidRPr="00AA5DAB">
        <w:rPr>
          <w:rFonts w:ascii="Bookman Old Style" w:eastAsia="Times New Roman" w:hAnsi="Bookman Old Style" w:cs="Times New Roman"/>
          <w:sz w:val="24"/>
          <w:szCs w:val="24"/>
        </w:rPr>
        <w:lastRenderedPageBreak/>
        <w:t xml:space="preserve">have put in gets transferred to the new account that you open in the new </w:t>
      </w:r>
      <w:r w:rsidRPr="007C7DCF">
        <w:rPr>
          <w:rFonts w:ascii="Bookman Old Style" w:eastAsia="Times New Roman" w:hAnsi="Bookman Old Style" w:cs="Times New Roman"/>
          <w:sz w:val="24"/>
          <w:szCs w:val="24"/>
        </w:rPr>
        <w:t>organization</w:t>
      </w:r>
      <w:r w:rsidRPr="00AA5DAB">
        <w:rPr>
          <w:rFonts w:ascii="Bookman Old Style" w:eastAsia="Times New Roman" w:hAnsi="Bookman Old Style" w:cs="Times New Roman"/>
          <w:sz w:val="24"/>
          <w:szCs w:val="24"/>
        </w:rPr>
        <w:t>.</w:t>
      </w:r>
    </w:p>
    <w:p w:rsidR="007C7DCF" w:rsidRPr="00AA5DAB"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 xml:space="preserve">For service below 10 years, you usually get 100% of your </w:t>
      </w:r>
      <w:r w:rsidRPr="007C7DCF">
        <w:rPr>
          <w:rFonts w:ascii="Bookman Old Style" w:eastAsia="Times New Roman" w:hAnsi="Bookman Old Style" w:cs="Times New Roman"/>
          <w:sz w:val="24"/>
          <w:szCs w:val="24"/>
        </w:rPr>
        <w:t>EPF</w:t>
      </w:r>
      <w:r w:rsidRPr="00AA5DAB">
        <w:rPr>
          <w:rFonts w:ascii="Bookman Old Style" w:eastAsia="Times New Roman" w:hAnsi="Bookman Old Style" w:cs="Times New Roman"/>
          <w:sz w:val="24"/>
          <w:szCs w:val="24"/>
        </w:rPr>
        <w:t xml:space="preserve"> &amp; EPS amount invested. In case of </w:t>
      </w:r>
      <w:r w:rsidRPr="007C7DCF">
        <w:rPr>
          <w:rFonts w:ascii="Bookman Old Style" w:eastAsia="Times New Roman" w:hAnsi="Bookman Old Style" w:cs="Times New Roman"/>
          <w:sz w:val="24"/>
          <w:szCs w:val="24"/>
        </w:rPr>
        <w:t>EPF</w:t>
      </w:r>
      <w:r w:rsidRPr="00AA5DAB">
        <w:rPr>
          <w:rFonts w:ascii="Bookman Old Style" w:eastAsia="Times New Roman" w:hAnsi="Bookman Old Style" w:cs="Times New Roman"/>
          <w:sz w:val="24"/>
          <w:szCs w:val="24"/>
        </w:rPr>
        <w:t>, you get the accumulated amount plus the interest (which is 8.6% for FY12-13). For EPS, you get your EPS amount invested over the years and the “withdrawal benefit”. The below table D shows the “withdrawal benefit” which an employee will get if he withdraws his EPS amount (from six months to nine years).</w:t>
      </w:r>
      <w:r w:rsidRPr="00AA5DAB">
        <w:rPr>
          <w:rFonts w:ascii="Bookman Old Style" w:eastAsia="Times New Roman" w:hAnsi="Bookman Old Style" w:cs="Times New Roman"/>
          <w:sz w:val="24"/>
          <w:szCs w:val="24"/>
        </w:rPr>
        <w:br/>
      </w:r>
      <w:r w:rsidRPr="00AA5DAB">
        <w:rPr>
          <w:rFonts w:ascii="Bookman Old Style" w:eastAsia="Times New Roman" w:hAnsi="Bookman Old Style" w:cs="Times New Roman"/>
          <w:sz w:val="24"/>
          <w:szCs w:val="24"/>
        </w:rPr>
        <w:br/>
      </w:r>
      <w:r w:rsidRPr="007C7DCF">
        <w:rPr>
          <w:rFonts w:ascii="Bookman Old Style" w:eastAsia="Times New Roman" w:hAnsi="Bookman Old Style" w:cs="Times New Roman"/>
          <w:b/>
          <w:bCs/>
          <w:sz w:val="24"/>
          <w:szCs w:val="24"/>
        </w:rPr>
        <w:t>EPS withdrawal benefit</w:t>
      </w:r>
    </w:p>
    <w:tbl>
      <w:tblPr>
        <w:tblW w:w="6765" w:type="dxa"/>
        <w:tblCellSpacing w:w="0" w:type="dxa"/>
        <w:tblBorders>
          <w:top w:val="single" w:sz="6" w:space="0" w:color="000000"/>
          <w:left w:val="single" w:sz="6" w:space="0" w:color="000000"/>
        </w:tblBorders>
        <w:shd w:val="clear" w:color="auto" w:fill="FFFFFF"/>
        <w:tblCellMar>
          <w:left w:w="0" w:type="dxa"/>
          <w:right w:w="0" w:type="dxa"/>
        </w:tblCellMar>
        <w:tblLook w:val="04A0"/>
      </w:tblPr>
      <w:tblGrid>
        <w:gridCol w:w="3045"/>
        <w:gridCol w:w="3765"/>
      </w:tblGrid>
      <w:tr w:rsidR="007C7DCF" w:rsidRPr="00AA5DAB" w:rsidTr="00552491">
        <w:trPr>
          <w:tblCellSpacing w:w="0" w:type="dxa"/>
        </w:trPr>
        <w:tc>
          <w:tcPr>
            <w:tcW w:w="6765" w:type="dxa"/>
            <w:gridSpan w:val="2"/>
            <w:tcBorders>
              <w:bottom w:val="single" w:sz="6" w:space="0" w:color="000000"/>
              <w:right w:val="single" w:sz="6" w:space="0" w:color="000000"/>
            </w:tcBorders>
            <w:shd w:val="clear" w:color="auto" w:fill="606060"/>
            <w:vAlign w:val="bottom"/>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7C7DCF">
              <w:rPr>
                <w:rFonts w:ascii="Bookman Old Style" w:eastAsia="Times New Roman" w:hAnsi="Bookman Old Style" w:cs="Times New Roman"/>
                <w:b/>
                <w:bCs/>
                <w:color w:val="FFFFFF"/>
                <w:sz w:val="24"/>
                <w:szCs w:val="24"/>
              </w:rPr>
              <w:t>Return of contribution on exit from the employment</w:t>
            </w:r>
          </w:p>
        </w:tc>
      </w:tr>
      <w:tr w:rsidR="007C7DCF" w:rsidRPr="00AA5DAB" w:rsidTr="00552491">
        <w:trPr>
          <w:tblCellSpacing w:w="0" w:type="dxa"/>
        </w:trPr>
        <w:tc>
          <w:tcPr>
            <w:tcW w:w="3015" w:type="dxa"/>
            <w:tcBorders>
              <w:bottom w:val="single" w:sz="6" w:space="0" w:color="000000"/>
              <w:right w:val="single" w:sz="6" w:space="0" w:color="000000"/>
            </w:tcBorders>
            <w:shd w:val="clear" w:color="auto" w:fill="606060"/>
            <w:vAlign w:val="center"/>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7C7DCF">
              <w:rPr>
                <w:rFonts w:ascii="Bookman Old Style" w:eastAsia="Times New Roman" w:hAnsi="Bookman Old Style" w:cs="Times New Roman"/>
                <w:b/>
                <w:bCs/>
                <w:color w:val="FFFFFF"/>
                <w:sz w:val="24"/>
                <w:szCs w:val="24"/>
              </w:rPr>
              <w:t>Year of service</w:t>
            </w:r>
          </w:p>
        </w:tc>
        <w:tc>
          <w:tcPr>
            <w:tcW w:w="3750" w:type="dxa"/>
            <w:tcBorders>
              <w:bottom w:val="single" w:sz="6" w:space="0" w:color="000000"/>
              <w:right w:val="single" w:sz="6" w:space="0" w:color="000000"/>
            </w:tcBorders>
            <w:shd w:val="clear" w:color="auto" w:fill="606060"/>
            <w:vAlign w:val="center"/>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7C7DCF">
              <w:rPr>
                <w:rFonts w:ascii="Bookman Old Style" w:eastAsia="Times New Roman" w:hAnsi="Bookman Old Style" w:cs="Times New Roman"/>
                <w:b/>
                <w:bCs/>
                <w:color w:val="FFFFFF"/>
                <w:sz w:val="24"/>
                <w:szCs w:val="24"/>
              </w:rPr>
              <w:t>Proportion of wages at exit</w:t>
            </w:r>
          </w:p>
        </w:tc>
      </w:tr>
      <w:tr w:rsidR="007C7DCF" w:rsidRPr="00AA5DAB" w:rsidTr="00552491">
        <w:trPr>
          <w:tblCellSpacing w:w="0" w:type="dxa"/>
        </w:trPr>
        <w:tc>
          <w:tcPr>
            <w:tcW w:w="3015" w:type="dxa"/>
            <w:tcBorders>
              <w:bottom w:val="single" w:sz="6" w:space="0" w:color="000000"/>
              <w:right w:val="single" w:sz="6" w:space="0" w:color="000000"/>
            </w:tcBorders>
            <w:shd w:val="clear" w:color="auto" w:fill="FFFFFF"/>
            <w:noWrap/>
            <w:vAlign w:val="center"/>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1</w:t>
            </w:r>
          </w:p>
        </w:tc>
        <w:tc>
          <w:tcPr>
            <w:tcW w:w="3750" w:type="dxa"/>
            <w:tcBorders>
              <w:bottom w:val="single" w:sz="6" w:space="0" w:color="000000"/>
              <w:right w:val="single" w:sz="6" w:space="0" w:color="000000"/>
            </w:tcBorders>
            <w:shd w:val="clear" w:color="auto" w:fill="FFFFFF"/>
            <w:noWrap/>
            <w:vAlign w:val="center"/>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1.02</w:t>
            </w:r>
          </w:p>
        </w:tc>
      </w:tr>
      <w:tr w:rsidR="007C7DCF" w:rsidRPr="00AA5DAB" w:rsidTr="00552491">
        <w:trPr>
          <w:tblCellSpacing w:w="0" w:type="dxa"/>
        </w:trPr>
        <w:tc>
          <w:tcPr>
            <w:tcW w:w="3015" w:type="dxa"/>
            <w:tcBorders>
              <w:bottom w:val="single" w:sz="6" w:space="0" w:color="000000"/>
              <w:right w:val="single" w:sz="6" w:space="0" w:color="000000"/>
            </w:tcBorders>
            <w:shd w:val="clear" w:color="auto" w:fill="FFFFFF"/>
            <w:noWrap/>
            <w:vAlign w:val="center"/>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2</w:t>
            </w:r>
          </w:p>
        </w:tc>
        <w:tc>
          <w:tcPr>
            <w:tcW w:w="3750" w:type="dxa"/>
            <w:tcBorders>
              <w:bottom w:val="single" w:sz="6" w:space="0" w:color="000000"/>
              <w:right w:val="single" w:sz="6" w:space="0" w:color="000000"/>
            </w:tcBorders>
            <w:shd w:val="clear" w:color="auto" w:fill="FFFFFF"/>
            <w:noWrap/>
            <w:vAlign w:val="center"/>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1.99</w:t>
            </w:r>
          </w:p>
        </w:tc>
      </w:tr>
      <w:tr w:rsidR="007C7DCF" w:rsidRPr="00AA5DAB" w:rsidTr="00552491">
        <w:trPr>
          <w:tblCellSpacing w:w="0" w:type="dxa"/>
        </w:trPr>
        <w:tc>
          <w:tcPr>
            <w:tcW w:w="3015" w:type="dxa"/>
            <w:tcBorders>
              <w:bottom w:val="single" w:sz="6" w:space="0" w:color="000000"/>
              <w:right w:val="single" w:sz="6" w:space="0" w:color="000000"/>
            </w:tcBorders>
            <w:shd w:val="clear" w:color="auto" w:fill="FFFFFF"/>
            <w:noWrap/>
            <w:vAlign w:val="center"/>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3</w:t>
            </w:r>
          </w:p>
        </w:tc>
        <w:tc>
          <w:tcPr>
            <w:tcW w:w="3750" w:type="dxa"/>
            <w:tcBorders>
              <w:bottom w:val="single" w:sz="6" w:space="0" w:color="000000"/>
              <w:right w:val="single" w:sz="6" w:space="0" w:color="000000"/>
            </w:tcBorders>
            <w:shd w:val="clear" w:color="auto" w:fill="FFFFFF"/>
            <w:noWrap/>
            <w:vAlign w:val="center"/>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2.98</w:t>
            </w:r>
          </w:p>
        </w:tc>
      </w:tr>
      <w:tr w:rsidR="007C7DCF" w:rsidRPr="00AA5DAB" w:rsidTr="00552491">
        <w:trPr>
          <w:tblCellSpacing w:w="0" w:type="dxa"/>
        </w:trPr>
        <w:tc>
          <w:tcPr>
            <w:tcW w:w="3015" w:type="dxa"/>
            <w:tcBorders>
              <w:bottom w:val="single" w:sz="6" w:space="0" w:color="000000"/>
              <w:right w:val="single" w:sz="6" w:space="0" w:color="000000"/>
            </w:tcBorders>
            <w:shd w:val="clear" w:color="auto" w:fill="FFFFFF"/>
            <w:noWrap/>
            <w:vAlign w:val="center"/>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4</w:t>
            </w:r>
          </w:p>
        </w:tc>
        <w:tc>
          <w:tcPr>
            <w:tcW w:w="3750" w:type="dxa"/>
            <w:tcBorders>
              <w:bottom w:val="single" w:sz="6" w:space="0" w:color="000000"/>
              <w:right w:val="single" w:sz="6" w:space="0" w:color="000000"/>
            </w:tcBorders>
            <w:shd w:val="clear" w:color="auto" w:fill="FFFFFF"/>
            <w:noWrap/>
            <w:vAlign w:val="center"/>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3.99</w:t>
            </w:r>
          </w:p>
        </w:tc>
      </w:tr>
      <w:tr w:rsidR="007C7DCF" w:rsidRPr="00AA5DAB" w:rsidTr="00552491">
        <w:trPr>
          <w:tblCellSpacing w:w="0" w:type="dxa"/>
        </w:trPr>
        <w:tc>
          <w:tcPr>
            <w:tcW w:w="3015" w:type="dxa"/>
            <w:tcBorders>
              <w:bottom w:val="single" w:sz="6" w:space="0" w:color="000000"/>
              <w:right w:val="single" w:sz="6" w:space="0" w:color="000000"/>
            </w:tcBorders>
            <w:shd w:val="clear" w:color="auto" w:fill="FFFFFF"/>
            <w:noWrap/>
            <w:vAlign w:val="center"/>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5</w:t>
            </w:r>
          </w:p>
        </w:tc>
        <w:tc>
          <w:tcPr>
            <w:tcW w:w="3750" w:type="dxa"/>
            <w:tcBorders>
              <w:bottom w:val="single" w:sz="6" w:space="0" w:color="000000"/>
              <w:right w:val="single" w:sz="6" w:space="0" w:color="000000"/>
            </w:tcBorders>
            <w:shd w:val="clear" w:color="auto" w:fill="FFFFFF"/>
            <w:noWrap/>
            <w:vAlign w:val="center"/>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5.02</w:t>
            </w:r>
          </w:p>
        </w:tc>
      </w:tr>
      <w:tr w:rsidR="007C7DCF" w:rsidRPr="00AA5DAB" w:rsidTr="00552491">
        <w:trPr>
          <w:tblCellSpacing w:w="0" w:type="dxa"/>
        </w:trPr>
        <w:tc>
          <w:tcPr>
            <w:tcW w:w="3015" w:type="dxa"/>
            <w:tcBorders>
              <w:bottom w:val="single" w:sz="6" w:space="0" w:color="000000"/>
              <w:right w:val="single" w:sz="6" w:space="0" w:color="000000"/>
            </w:tcBorders>
            <w:shd w:val="clear" w:color="auto" w:fill="FFFFFF"/>
            <w:noWrap/>
            <w:vAlign w:val="center"/>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6</w:t>
            </w:r>
          </w:p>
        </w:tc>
        <w:tc>
          <w:tcPr>
            <w:tcW w:w="3750" w:type="dxa"/>
            <w:tcBorders>
              <w:bottom w:val="single" w:sz="6" w:space="0" w:color="000000"/>
              <w:right w:val="single" w:sz="6" w:space="0" w:color="000000"/>
            </w:tcBorders>
            <w:shd w:val="clear" w:color="auto" w:fill="FFFFFF"/>
            <w:noWrap/>
            <w:vAlign w:val="center"/>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6.07</w:t>
            </w:r>
          </w:p>
        </w:tc>
      </w:tr>
      <w:tr w:rsidR="007C7DCF" w:rsidRPr="00AA5DAB" w:rsidTr="00552491">
        <w:trPr>
          <w:tblCellSpacing w:w="0" w:type="dxa"/>
        </w:trPr>
        <w:tc>
          <w:tcPr>
            <w:tcW w:w="3015" w:type="dxa"/>
            <w:tcBorders>
              <w:bottom w:val="single" w:sz="6" w:space="0" w:color="000000"/>
              <w:right w:val="single" w:sz="6" w:space="0" w:color="000000"/>
            </w:tcBorders>
            <w:shd w:val="clear" w:color="auto" w:fill="FFFFFF"/>
            <w:noWrap/>
            <w:vAlign w:val="center"/>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7</w:t>
            </w:r>
          </w:p>
        </w:tc>
        <w:tc>
          <w:tcPr>
            <w:tcW w:w="3750" w:type="dxa"/>
            <w:tcBorders>
              <w:bottom w:val="single" w:sz="6" w:space="0" w:color="000000"/>
              <w:right w:val="single" w:sz="6" w:space="0" w:color="000000"/>
            </w:tcBorders>
            <w:shd w:val="clear" w:color="auto" w:fill="FFFFFF"/>
            <w:noWrap/>
            <w:vAlign w:val="center"/>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7.13</w:t>
            </w:r>
          </w:p>
        </w:tc>
      </w:tr>
      <w:tr w:rsidR="007C7DCF" w:rsidRPr="00AA5DAB" w:rsidTr="00552491">
        <w:trPr>
          <w:tblCellSpacing w:w="0" w:type="dxa"/>
        </w:trPr>
        <w:tc>
          <w:tcPr>
            <w:tcW w:w="3015" w:type="dxa"/>
            <w:tcBorders>
              <w:bottom w:val="single" w:sz="6" w:space="0" w:color="000000"/>
              <w:right w:val="single" w:sz="6" w:space="0" w:color="000000"/>
            </w:tcBorders>
            <w:shd w:val="clear" w:color="auto" w:fill="FFFFFF"/>
            <w:noWrap/>
            <w:vAlign w:val="center"/>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8</w:t>
            </w:r>
          </w:p>
        </w:tc>
        <w:tc>
          <w:tcPr>
            <w:tcW w:w="3750" w:type="dxa"/>
            <w:tcBorders>
              <w:bottom w:val="single" w:sz="6" w:space="0" w:color="000000"/>
              <w:right w:val="single" w:sz="6" w:space="0" w:color="000000"/>
            </w:tcBorders>
            <w:shd w:val="clear" w:color="auto" w:fill="FFFFFF"/>
            <w:noWrap/>
            <w:vAlign w:val="center"/>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8.22</w:t>
            </w:r>
          </w:p>
        </w:tc>
      </w:tr>
      <w:tr w:rsidR="007C7DCF" w:rsidRPr="00AA5DAB" w:rsidTr="00552491">
        <w:trPr>
          <w:tblCellSpacing w:w="0" w:type="dxa"/>
        </w:trPr>
        <w:tc>
          <w:tcPr>
            <w:tcW w:w="3015" w:type="dxa"/>
            <w:tcBorders>
              <w:bottom w:val="single" w:sz="6" w:space="0" w:color="000000"/>
              <w:right w:val="single" w:sz="6" w:space="0" w:color="000000"/>
            </w:tcBorders>
            <w:shd w:val="clear" w:color="auto" w:fill="FFFFFF"/>
            <w:noWrap/>
            <w:vAlign w:val="center"/>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9</w:t>
            </w:r>
          </w:p>
        </w:tc>
        <w:tc>
          <w:tcPr>
            <w:tcW w:w="3750" w:type="dxa"/>
            <w:tcBorders>
              <w:bottom w:val="single" w:sz="6" w:space="0" w:color="000000"/>
              <w:right w:val="single" w:sz="6" w:space="0" w:color="000000"/>
            </w:tcBorders>
            <w:shd w:val="clear" w:color="auto" w:fill="FFFFFF"/>
            <w:noWrap/>
            <w:vAlign w:val="center"/>
            <w:hideMark/>
          </w:tcPr>
          <w:p w:rsidR="007C7DCF" w:rsidRPr="00AA5DAB" w:rsidRDefault="007C7DCF" w:rsidP="007C7DCF">
            <w:pPr>
              <w:spacing w:after="0" w:line="240" w:lineRule="auto"/>
              <w:rPr>
                <w:rFonts w:ascii="Bookman Old Style" w:eastAsia="Times New Roman" w:hAnsi="Bookman Old Style" w:cs="Times New Roman"/>
                <w:sz w:val="24"/>
                <w:szCs w:val="24"/>
              </w:rPr>
            </w:pPr>
            <w:r w:rsidRPr="00AA5DAB">
              <w:rPr>
                <w:rFonts w:ascii="Bookman Old Style" w:eastAsia="Times New Roman" w:hAnsi="Bookman Old Style" w:cs="Times New Roman"/>
                <w:sz w:val="24"/>
                <w:szCs w:val="24"/>
              </w:rPr>
              <w:t>9.33</w:t>
            </w:r>
          </w:p>
        </w:tc>
      </w:tr>
    </w:tbl>
    <w:p w:rsidR="007C7DCF" w:rsidRDefault="007C7DCF" w:rsidP="007C7DCF">
      <w:pPr>
        <w:rPr>
          <w:rFonts w:ascii="Bookman Old Style" w:eastAsia="Times New Roman" w:hAnsi="Bookman Old Style" w:cs="Times New Roman"/>
          <w:b/>
          <w:bCs/>
          <w:sz w:val="24"/>
          <w:szCs w:val="24"/>
        </w:rPr>
      </w:pPr>
      <w:r w:rsidRPr="007C7DCF">
        <w:rPr>
          <w:rFonts w:ascii="Bookman Old Style" w:eastAsia="Times New Roman" w:hAnsi="Bookman Old Style" w:cs="Times New Roman"/>
          <w:i/>
          <w:iCs/>
          <w:sz w:val="24"/>
          <w:szCs w:val="24"/>
        </w:rPr>
        <w:t>Note: The above table is based on a flat addition in benefit.</w:t>
      </w:r>
      <w:r w:rsidRPr="007C7DCF">
        <w:rPr>
          <w:rFonts w:ascii="Bookman Old Style" w:eastAsia="Times New Roman" w:hAnsi="Bookman Old Style" w:cs="Times New Roman"/>
          <w:sz w:val="24"/>
          <w:szCs w:val="24"/>
        </w:rPr>
        <w:br/>
      </w:r>
      <w:r w:rsidRPr="007C7DCF">
        <w:rPr>
          <w:rFonts w:ascii="Bookman Old Style" w:eastAsia="Times New Roman" w:hAnsi="Bookman Old Style" w:cs="Times New Roman"/>
          <w:sz w:val="24"/>
          <w:szCs w:val="24"/>
        </w:rPr>
        <w:br/>
        <w:t>For instance: An employee exits from employment after four years of service his wage on exit is Rs. 5,000, (Return of contribution will be Rs. 5,000 x 3.99 of wages on exit) i.e., Rs.19,950. Once, an employee’s service period crosses 10 years, the withdrawal option ceases.</w:t>
      </w:r>
      <w:r w:rsidRPr="007C7DCF">
        <w:rPr>
          <w:rFonts w:ascii="Bookman Old Style" w:eastAsia="Times New Roman" w:hAnsi="Bookman Old Style" w:cs="Times New Roman"/>
          <w:sz w:val="24"/>
          <w:szCs w:val="24"/>
        </w:rPr>
        <w:br/>
      </w:r>
      <w:r w:rsidRPr="007C7DCF">
        <w:rPr>
          <w:rFonts w:ascii="Bookman Old Style" w:eastAsia="Times New Roman" w:hAnsi="Bookman Old Style" w:cs="Times New Roman"/>
          <w:sz w:val="24"/>
          <w:szCs w:val="24"/>
        </w:rPr>
        <w:br/>
        <w:t>Abhishek Bade, Assistant Manager-HR, IIFL, explains, “To withdraw from EPS, an employee needs to contribute at least for six months.  He has to fill Form No. 10 C (E.P.S) to claim withdrawal benefit. However, if the employee completes 10 years of the service, the withdrawal option ends. Thus, after 10 years of completion of the service, the employee cannot withdraw from his EPS.”</w:t>
      </w:r>
      <w:r w:rsidRPr="007C7DCF">
        <w:rPr>
          <w:rFonts w:ascii="Bookman Old Style" w:eastAsia="Times New Roman" w:hAnsi="Bookman Old Style" w:cs="Times New Roman"/>
          <w:sz w:val="24"/>
          <w:szCs w:val="24"/>
        </w:rPr>
        <w:br/>
      </w:r>
      <w:r w:rsidRPr="007C7DCF">
        <w:rPr>
          <w:rFonts w:ascii="Bookman Old Style" w:eastAsia="Times New Roman" w:hAnsi="Bookman Old Style" w:cs="Times New Roman"/>
          <w:sz w:val="24"/>
          <w:szCs w:val="24"/>
        </w:rPr>
        <w:br/>
      </w:r>
      <w:r w:rsidRPr="007C7DCF">
        <w:rPr>
          <w:rFonts w:ascii="Bookman Old Style" w:eastAsia="Times New Roman" w:hAnsi="Bookman Old Style" w:cs="Times New Roman"/>
          <w:b/>
          <w:bCs/>
          <w:sz w:val="24"/>
          <w:szCs w:val="24"/>
        </w:rPr>
        <w:t>EPF withdrawals</w:t>
      </w:r>
      <w:r w:rsidRPr="007C7DCF">
        <w:rPr>
          <w:rFonts w:ascii="Bookman Old Style" w:eastAsia="Times New Roman" w:hAnsi="Bookman Old Style" w:cs="Times New Roman"/>
          <w:sz w:val="24"/>
          <w:szCs w:val="24"/>
        </w:rPr>
        <w:br/>
        <w:t xml:space="preserve">EPF withdrawal is not permitted if you are still working. But there are occasions when EPF withdrawal is allowed. You cannot withdraw it fully, but you can avail non-refundable advance for the purpose of your children’s higher education and their marriage. You can also withdraw for medical treatment for self or family, repaying your home loan, construction of house, purchase of flat, etc. You can avail the non-refundable advance, only after having completed </w:t>
      </w:r>
      <w:r w:rsidRPr="007C7DCF">
        <w:rPr>
          <w:rFonts w:ascii="Bookman Old Style" w:eastAsia="Times New Roman" w:hAnsi="Bookman Old Style" w:cs="Times New Roman"/>
          <w:sz w:val="24"/>
          <w:szCs w:val="24"/>
        </w:rPr>
        <w:lastRenderedPageBreak/>
        <w:t>minimum five years PF membership.</w:t>
      </w:r>
      <w:r w:rsidRPr="007C7DCF">
        <w:rPr>
          <w:rFonts w:ascii="Bookman Old Style" w:eastAsia="Times New Roman" w:hAnsi="Bookman Old Style" w:cs="Times New Roman"/>
          <w:sz w:val="24"/>
          <w:szCs w:val="24"/>
        </w:rPr>
        <w:br/>
      </w:r>
    </w:p>
    <w:p w:rsidR="00BC621A" w:rsidRPr="007C7DCF" w:rsidRDefault="007C7DCF" w:rsidP="007C7DCF">
      <w:r w:rsidRPr="007C7DCF">
        <w:rPr>
          <w:rFonts w:ascii="Bookman Old Style" w:eastAsia="Times New Roman" w:hAnsi="Bookman Old Style" w:cs="Times New Roman"/>
          <w:b/>
          <w:bCs/>
          <w:sz w:val="24"/>
          <w:szCs w:val="24"/>
        </w:rPr>
        <w:t>Receiving pension</w:t>
      </w:r>
      <w:r w:rsidRPr="007C7DCF">
        <w:rPr>
          <w:rFonts w:ascii="Bookman Old Style" w:eastAsia="Times New Roman" w:hAnsi="Bookman Old Style" w:cs="Times New Roman"/>
          <w:sz w:val="24"/>
          <w:szCs w:val="24"/>
        </w:rPr>
        <w:br/>
      </w:r>
      <w:proofErr w:type="gramStart"/>
      <w:r w:rsidRPr="007C7DCF">
        <w:rPr>
          <w:rFonts w:ascii="Bookman Old Style" w:eastAsia="Times New Roman" w:hAnsi="Bookman Old Style" w:cs="Times New Roman"/>
          <w:sz w:val="24"/>
          <w:szCs w:val="24"/>
        </w:rPr>
        <w:t>An</w:t>
      </w:r>
      <w:proofErr w:type="gramEnd"/>
      <w:r w:rsidRPr="007C7DCF">
        <w:rPr>
          <w:rFonts w:ascii="Bookman Old Style" w:eastAsia="Times New Roman" w:hAnsi="Bookman Old Style" w:cs="Times New Roman"/>
          <w:sz w:val="24"/>
          <w:szCs w:val="24"/>
        </w:rPr>
        <w:t xml:space="preserve"> employee can start receiving pension under EPS only after rendering a minimum service of 10 years and attaining the age of 58 or 50 years. However, no pension is payable before the age of 50 years. In case of death /disablement, the above restriction is not applicable.</w:t>
      </w:r>
      <w:r w:rsidRPr="007C7DCF">
        <w:rPr>
          <w:rFonts w:ascii="Bookman Old Style" w:eastAsia="Times New Roman" w:hAnsi="Bookman Old Style" w:cs="Times New Roman"/>
          <w:sz w:val="24"/>
          <w:szCs w:val="24"/>
        </w:rPr>
        <w:br/>
      </w:r>
      <w:r w:rsidRPr="007C7DCF">
        <w:rPr>
          <w:rFonts w:ascii="Bookman Old Style" w:eastAsia="Times New Roman" w:hAnsi="Bookman Old Style" w:cs="Times New Roman"/>
          <w:sz w:val="24"/>
          <w:szCs w:val="24"/>
        </w:rPr>
        <w:br/>
        <w:t>The pension amount is payable to the eligible subscriber till he survives. On the death of the employee, members of his family—whom he has nominated—are entitled for the pension.</w:t>
      </w:r>
      <w:r w:rsidRPr="007C7DCF">
        <w:rPr>
          <w:rFonts w:ascii="Bookman Old Style" w:eastAsia="Times New Roman" w:hAnsi="Bookman Old Style" w:cs="Times New Roman"/>
          <w:sz w:val="24"/>
          <w:szCs w:val="24"/>
        </w:rPr>
        <w:br/>
      </w:r>
      <w:r w:rsidRPr="007C7DCF">
        <w:rPr>
          <w:rFonts w:ascii="Bookman Old Style" w:eastAsia="Times New Roman" w:hAnsi="Bookman Old Style" w:cs="Times New Roman"/>
          <w:sz w:val="24"/>
          <w:szCs w:val="24"/>
        </w:rPr>
        <w:br/>
      </w:r>
      <w:r w:rsidRPr="007C7DCF">
        <w:rPr>
          <w:rFonts w:ascii="Bookman Old Style" w:eastAsia="Times New Roman" w:hAnsi="Bookman Old Style" w:cs="Times New Roman"/>
          <w:b/>
          <w:bCs/>
          <w:sz w:val="24"/>
          <w:szCs w:val="24"/>
        </w:rPr>
        <w:t>Maximum pension</w:t>
      </w:r>
      <w:r w:rsidRPr="007C7DCF">
        <w:rPr>
          <w:rFonts w:ascii="Bookman Old Style" w:eastAsia="Times New Roman" w:hAnsi="Bookman Old Style" w:cs="Times New Roman"/>
          <w:sz w:val="24"/>
          <w:szCs w:val="24"/>
        </w:rPr>
        <w:br/>
        <w:t>Under EPS, the monthly pension is decided on the basis of ‘pensionable serv</w:t>
      </w:r>
      <w:r>
        <w:rPr>
          <w:rFonts w:ascii="Bookman Old Style" w:eastAsia="Times New Roman" w:hAnsi="Bookman Old Style" w:cs="Times New Roman"/>
          <w:sz w:val="24"/>
          <w:szCs w:val="24"/>
        </w:rPr>
        <w:t>ice’ and ‘pensionable salary’.</w:t>
      </w:r>
      <w:r>
        <w:rPr>
          <w:rFonts w:ascii="Bookman Old Style" w:eastAsia="Times New Roman" w:hAnsi="Bookman Old Style" w:cs="Times New Roman"/>
          <w:sz w:val="24"/>
          <w:szCs w:val="24"/>
        </w:rPr>
        <w:br/>
      </w:r>
      <w:r w:rsidRPr="007C7DCF">
        <w:rPr>
          <w:rFonts w:ascii="Bookman Old Style" w:eastAsia="Times New Roman" w:hAnsi="Bookman Old Style" w:cs="Times New Roman"/>
          <w:sz w:val="24"/>
          <w:szCs w:val="24"/>
        </w:rPr>
        <w:t>The formula to calculate pension is:</w:t>
      </w:r>
      <w:r w:rsidRPr="007C7DCF">
        <w:rPr>
          <w:rFonts w:ascii="Bookman Old Style" w:eastAsia="Times New Roman" w:hAnsi="Bookman Old Style" w:cs="Times New Roman"/>
          <w:sz w:val="24"/>
          <w:szCs w:val="24"/>
        </w:rPr>
        <w:br/>
      </w:r>
      <w:r w:rsidRPr="007C7DCF">
        <w:rPr>
          <w:rFonts w:ascii="Bookman Old Style" w:eastAsia="Times New Roman" w:hAnsi="Bookman Old Style" w:cs="Times New Roman"/>
          <w:b/>
          <w:bCs/>
          <w:i/>
          <w:iCs/>
          <w:sz w:val="24"/>
          <w:szCs w:val="24"/>
        </w:rPr>
        <w:t>Monthly pension = (Pensionable salary X Pensionable service) ÷ 70</w:t>
      </w:r>
      <w:r w:rsidRPr="007C7DCF">
        <w:rPr>
          <w:rFonts w:ascii="Bookman Old Style" w:eastAsia="Times New Roman" w:hAnsi="Bookman Old Style" w:cs="Times New Roman"/>
          <w:sz w:val="24"/>
          <w:szCs w:val="24"/>
        </w:rPr>
        <w:br/>
      </w:r>
      <w:r w:rsidRPr="007C7DCF">
        <w:rPr>
          <w:rFonts w:ascii="Bookman Old Style" w:eastAsia="Times New Roman" w:hAnsi="Bookman Old Style" w:cs="Times New Roman"/>
          <w:sz w:val="24"/>
          <w:szCs w:val="24"/>
        </w:rPr>
        <w:br/>
        <w:t>The amount of pension you get depends upon a fixed formula, which is average monthly salary of the last year of service multiplied by the number of years of service divided by 70. Remember your employer shows your salary as Rs. 6,500 for EPS, so the pension is calculated on a monthly salary of Rs. 6,500. So if you have worked for say 35 years, your monthly pension will come to Rs. 3250 [(Rs. 6,500 X 35 years)] ÷ 70 according to the formula. Thus, the maximum pension per month is subject to maximum of Rs. 3,250 per month.</w:t>
      </w:r>
      <w:r w:rsidRPr="007C7DCF">
        <w:rPr>
          <w:rFonts w:ascii="Bookman Old Style" w:eastAsia="Times New Roman" w:hAnsi="Bookman Old Style" w:cs="Times New Roman"/>
          <w:sz w:val="24"/>
          <w:szCs w:val="24"/>
        </w:rPr>
        <w:br/>
      </w:r>
      <w:r w:rsidRPr="007C7DCF">
        <w:rPr>
          <w:rFonts w:ascii="Bookman Old Style" w:eastAsia="Times New Roman" w:hAnsi="Bookman Old Style" w:cs="Times New Roman"/>
          <w:sz w:val="24"/>
          <w:szCs w:val="24"/>
        </w:rPr>
        <w:br/>
        <w:t>The amount of pension is too less. If you invest Rs. 541 in a recurring deposit (compounded on monthly basis) at 8% interest rate per annum for 35 years, you would get Rs. 12, 40,990 as maturity value. If this maturity amount is used to purchase an immediate annuity plan offering over 7% returns p.a., the monthly pension would be Rs. 7,239 which is much more than twice of Rs. 3,250.</w:t>
      </w:r>
      <w:r w:rsidRPr="007C7DCF">
        <w:rPr>
          <w:rFonts w:ascii="Bookman Old Style" w:eastAsia="Times New Roman" w:hAnsi="Bookman Old Style" w:cs="Times New Roman"/>
          <w:sz w:val="24"/>
          <w:szCs w:val="24"/>
        </w:rPr>
        <w:br/>
      </w:r>
      <w:r w:rsidRPr="007C7DCF">
        <w:rPr>
          <w:rFonts w:ascii="Bookman Old Style" w:eastAsia="Times New Roman" w:hAnsi="Bookman Old Style" w:cs="Times New Roman"/>
          <w:sz w:val="24"/>
          <w:szCs w:val="24"/>
        </w:rPr>
        <w:br/>
      </w:r>
      <w:r w:rsidRPr="007C7DCF">
        <w:rPr>
          <w:rFonts w:ascii="Bookman Old Style" w:eastAsia="Times New Roman" w:hAnsi="Bookman Old Style" w:cs="Times New Roman"/>
          <w:b/>
          <w:bCs/>
          <w:sz w:val="24"/>
          <w:szCs w:val="24"/>
        </w:rPr>
        <w:t xml:space="preserve">You can invest more in PF </w:t>
      </w:r>
      <w:r w:rsidRPr="007C7DCF">
        <w:rPr>
          <w:rFonts w:ascii="Bookman Old Style" w:eastAsia="Times New Roman" w:hAnsi="Bookman Old Style" w:cs="Times New Roman"/>
          <w:sz w:val="24"/>
          <w:szCs w:val="24"/>
        </w:rPr>
        <w:br/>
        <w:t xml:space="preserve">Have you heard of the possibility where you can invest more than the mandatory 12% into your PF account and get returns on it? Yes, you can always invest more than 12% of your basic salary in EPF which is called VPF (Voluntary Provident Fund). Apart from contributing the normal 12% of your basic pay, you may choose to put in an extra, say 10% of your salary into the </w:t>
      </w:r>
      <w:r w:rsidRPr="007C7DCF">
        <w:rPr>
          <w:rFonts w:ascii="Bookman Old Style" w:eastAsia="Times New Roman" w:hAnsi="Bookman Old Style" w:cs="Times New Roman"/>
          <w:sz w:val="24"/>
          <w:szCs w:val="24"/>
        </w:rPr>
        <w:lastRenderedPageBreak/>
        <w:t>same account. In this case the excess amount will be invested in EPF and you will get the interest @ 8.6%.</w:t>
      </w:r>
    </w:p>
    <w:sectPr w:rsidR="00BC621A" w:rsidRPr="007C7DCF" w:rsidSect="00BC590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C7DCF"/>
    <w:rsid w:val="00161F39"/>
    <w:rsid w:val="007C7DCF"/>
    <w:rsid w:val="00BC5906"/>
    <w:rsid w:val="00BC621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DC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9A816-474F-425F-92BD-DBBBA6CDC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1280</Words>
  <Characters>7301</Characters>
  <Application>Microsoft Office Word</Application>
  <DocSecurity>0</DocSecurity>
  <Lines>60</Lines>
  <Paragraphs>17</Paragraphs>
  <ScaleCrop>false</ScaleCrop>
  <Company/>
  <LinksUpToDate>false</LinksUpToDate>
  <CharactersWithSpaces>8564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VBA-TATA-MD</dc:creator>
  <cp:lastModifiedBy>VBA-TATA-MD</cp:lastModifiedBy>
  <cp:revision>2</cp:revision>
  <dcterms:created xsi:type="dcterms:W3CDTF">2016-06-09T10:38:00Z</dcterms:created>
  <dcterms:modified xsi:type="dcterms:W3CDTF">2016-06-09T11:41:00Z</dcterms:modified>
</cp:coreProperties>
</file>