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2F58" w:rsidRPr="00F51FA7" w:rsidRDefault="00ED6C4F" w:rsidP="008D48FB">
      <w:pPr>
        <w:jc w:val="both"/>
        <w:rPr>
          <w:rFonts w:ascii="Tahoma" w:hAnsi="Tahoma" w:cs="Tahoma"/>
          <w:b/>
          <w:sz w:val="26"/>
          <w:szCs w:val="26"/>
          <w:u w:val="single"/>
        </w:rPr>
      </w:pPr>
      <w:r w:rsidRPr="00F51FA7">
        <w:rPr>
          <w:rFonts w:ascii="Tahoma" w:hAnsi="Tahoma" w:cs="Tahoma"/>
          <w:b/>
          <w:sz w:val="26"/>
          <w:szCs w:val="26"/>
          <w:u w:val="single"/>
        </w:rPr>
        <w:t>Financial Statements and Companies Act, 2013</w:t>
      </w:r>
    </w:p>
    <w:p w:rsidR="00F25B2C" w:rsidRPr="00F51FA7" w:rsidRDefault="00D941BC" w:rsidP="008D48FB">
      <w:pPr>
        <w:jc w:val="both"/>
        <w:rPr>
          <w:rFonts w:ascii="Tahoma" w:hAnsi="Tahoma" w:cs="Tahoma"/>
          <w:b/>
        </w:rPr>
      </w:pPr>
      <w:r w:rsidRPr="00F51FA7">
        <w:rPr>
          <w:rFonts w:ascii="Tahoma" w:hAnsi="Tahoma" w:cs="Tahoma"/>
          <w:b/>
        </w:rPr>
        <w:t>Financial Year</w:t>
      </w:r>
    </w:p>
    <w:p w:rsidR="00DC12A6" w:rsidRPr="00F51FA7" w:rsidRDefault="00F97DB7" w:rsidP="008D48FB">
      <w:pPr>
        <w:spacing w:after="0" w:line="240" w:lineRule="auto"/>
        <w:jc w:val="both"/>
        <w:rPr>
          <w:rFonts w:ascii="Tahoma" w:hAnsi="Tahoma" w:cs="Tahoma"/>
          <w:lang w:val="en-US"/>
        </w:rPr>
      </w:pPr>
      <w:r w:rsidRPr="00F51FA7">
        <w:rPr>
          <w:rFonts w:ascii="Tahoma" w:hAnsi="Tahoma" w:cs="Tahoma"/>
        </w:rPr>
        <w:t xml:space="preserve">Financial Year was not defined in the Companies Act, 1956 </w:t>
      </w:r>
      <w:r w:rsidRPr="00F51FA7">
        <w:rPr>
          <w:rFonts w:ascii="Tahoma" w:hAnsi="Tahoma" w:cs="Tahoma"/>
          <w:lang w:val="en-US"/>
        </w:rPr>
        <w:t>(hereinafter “</w:t>
      </w:r>
      <w:r w:rsidRPr="00F51FA7">
        <w:rPr>
          <w:rStyle w:val="Strong"/>
          <w:rFonts w:ascii="Tahoma" w:hAnsi="Tahoma" w:cs="Tahoma"/>
          <w:lang w:val="en-US"/>
        </w:rPr>
        <w:t>1956 Act</w:t>
      </w:r>
      <w:r w:rsidRPr="00F51FA7">
        <w:rPr>
          <w:rFonts w:ascii="Tahoma" w:hAnsi="Tahoma" w:cs="Tahoma"/>
          <w:lang w:val="en-US"/>
        </w:rPr>
        <w:t>”)</w:t>
      </w:r>
      <w:r w:rsidR="0046397E" w:rsidRPr="00F51FA7">
        <w:rPr>
          <w:rFonts w:ascii="Tahoma" w:hAnsi="Tahoma" w:cs="Tahoma"/>
          <w:lang w:val="en-US"/>
        </w:rPr>
        <w:t xml:space="preserve">. </w:t>
      </w:r>
    </w:p>
    <w:p w:rsidR="00DC12A6" w:rsidRPr="00F51FA7" w:rsidRDefault="00931FB0" w:rsidP="008D48FB">
      <w:pPr>
        <w:spacing w:after="0" w:line="240" w:lineRule="auto"/>
        <w:jc w:val="both"/>
        <w:rPr>
          <w:rFonts w:ascii="Tahoma" w:hAnsi="Tahoma" w:cs="Tahoma"/>
          <w:lang w:val="en-US"/>
        </w:rPr>
      </w:pPr>
      <w:r w:rsidRPr="00F51FA7">
        <w:rPr>
          <w:rFonts w:ascii="Tahoma" w:hAnsi="Tahoma" w:cs="Tahoma"/>
          <w:lang w:val="en-US"/>
        </w:rPr>
        <w:t xml:space="preserve">Financial Year as defined in </w:t>
      </w:r>
      <w:r w:rsidR="00C16B5F" w:rsidRPr="00F51FA7">
        <w:rPr>
          <w:rFonts w:ascii="Tahoma" w:hAnsi="Tahoma" w:cs="Tahoma"/>
          <w:lang w:val="en-US"/>
        </w:rPr>
        <w:t xml:space="preserve">Clause 2(41) of </w:t>
      </w:r>
      <w:r w:rsidRPr="00F51FA7">
        <w:rPr>
          <w:rFonts w:ascii="Tahoma" w:hAnsi="Tahoma" w:cs="Tahoma"/>
          <w:lang w:val="en-US"/>
        </w:rPr>
        <w:t>the Companies Act, 2013 (hereinafter “</w:t>
      </w:r>
      <w:r w:rsidRPr="00F51FA7">
        <w:rPr>
          <w:rStyle w:val="Strong"/>
          <w:rFonts w:ascii="Tahoma" w:hAnsi="Tahoma" w:cs="Tahoma"/>
          <w:lang w:val="en-US"/>
        </w:rPr>
        <w:t>2013 Act</w:t>
      </w:r>
      <w:r w:rsidRPr="00F51FA7">
        <w:rPr>
          <w:rFonts w:ascii="Tahoma" w:hAnsi="Tahoma" w:cs="Tahoma"/>
          <w:lang w:val="en-US"/>
        </w:rPr>
        <w:t>”)</w:t>
      </w:r>
      <w:r w:rsidR="00F51FA7">
        <w:rPr>
          <w:rFonts w:ascii="Tahoma" w:hAnsi="Tahoma" w:cs="Tahoma"/>
          <w:lang w:val="en-US"/>
        </w:rPr>
        <w:t xml:space="preserve"> says</w:t>
      </w:r>
    </w:p>
    <w:p w:rsidR="00F51FA7" w:rsidRPr="00F51FA7" w:rsidRDefault="00F51FA7" w:rsidP="008D48FB">
      <w:pPr>
        <w:spacing w:after="0" w:line="240" w:lineRule="auto"/>
        <w:jc w:val="both"/>
        <w:rPr>
          <w:rFonts w:ascii="Tahoma" w:hAnsi="Tahoma" w:cs="Tahoma"/>
        </w:rPr>
      </w:pPr>
    </w:p>
    <w:p w:rsidR="00AF110A" w:rsidRPr="00F51FA7" w:rsidRDefault="00A70077" w:rsidP="008D48FB">
      <w:pPr>
        <w:pStyle w:val="ListParagraph"/>
        <w:numPr>
          <w:ilvl w:val="0"/>
          <w:numId w:val="1"/>
        </w:numPr>
        <w:spacing w:after="0" w:line="240" w:lineRule="auto"/>
        <w:jc w:val="both"/>
        <w:rPr>
          <w:rFonts w:ascii="Tahoma" w:hAnsi="Tahoma" w:cs="Tahoma"/>
        </w:rPr>
      </w:pPr>
      <w:r w:rsidRPr="00F51FA7">
        <w:rPr>
          <w:rFonts w:ascii="Tahoma" w:hAnsi="Tahoma" w:cs="Tahoma"/>
          <w:lang w:val="en-US"/>
        </w:rPr>
        <w:t>Company or body corporate</w:t>
      </w:r>
      <w:r w:rsidR="00576EAA" w:rsidRPr="00F51FA7">
        <w:rPr>
          <w:rFonts w:ascii="Tahoma" w:hAnsi="Tahoma" w:cs="Tahoma"/>
          <w:lang w:val="en-US"/>
        </w:rPr>
        <w:t xml:space="preserve"> require</w:t>
      </w:r>
      <w:r w:rsidR="00DC12A6" w:rsidRPr="00F51FA7">
        <w:rPr>
          <w:rFonts w:ascii="Tahoma" w:hAnsi="Tahoma" w:cs="Tahoma"/>
          <w:lang w:val="en-US"/>
        </w:rPr>
        <w:t>d</w:t>
      </w:r>
      <w:r w:rsidRPr="00F51FA7">
        <w:rPr>
          <w:rFonts w:ascii="Tahoma" w:hAnsi="Tahoma" w:cs="Tahoma"/>
          <w:lang w:val="en-US"/>
        </w:rPr>
        <w:t xml:space="preserve"> to adopt uniform financial year of 1st April to 31st March every </w:t>
      </w:r>
      <w:r w:rsidR="00AF110A" w:rsidRPr="00F51FA7">
        <w:rPr>
          <w:rFonts w:ascii="Tahoma" w:hAnsi="Tahoma" w:cs="Tahoma"/>
          <w:lang w:val="en-US"/>
        </w:rPr>
        <w:t>year,</w:t>
      </w:r>
    </w:p>
    <w:p w:rsidR="00D941BC" w:rsidRPr="00F51FA7" w:rsidRDefault="00DC12A6" w:rsidP="008D48FB">
      <w:pPr>
        <w:pStyle w:val="ListParagraph"/>
        <w:numPr>
          <w:ilvl w:val="0"/>
          <w:numId w:val="1"/>
        </w:numPr>
        <w:spacing w:after="0" w:line="240" w:lineRule="auto"/>
        <w:jc w:val="both"/>
        <w:rPr>
          <w:rFonts w:ascii="Tahoma" w:hAnsi="Tahoma" w:cs="Tahoma"/>
        </w:rPr>
      </w:pPr>
      <w:r w:rsidRPr="00F51FA7">
        <w:rPr>
          <w:rFonts w:ascii="Tahoma" w:hAnsi="Tahoma" w:cs="Tahoma"/>
          <w:lang w:val="en-US"/>
        </w:rPr>
        <w:t xml:space="preserve">Companies incorporated on or after first day of January of a year, the period ending on </w:t>
      </w:r>
      <w:r w:rsidR="00D9728C" w:rsidRPr="00F51FA7">
        <w:rPr>
          <w:rFonts w:ascii="Tahoma" w:hAnsi="Tahoma" w:cs="Tahoma"/>
          <w:lang w:val="en-US"/>
        </w:rPr>
        <w:t>31</w:t>
      </w:r>
      <w:r w:rsidR="00D9728C" w:rsidRPr="00F51FA7">
        <w:rPr>
          <w:rFonts w:ascii="Tahoma" w:hAnsi="Tahoma" w:cs="Tahoma"/>
          <w:vertAlign w:val="superscript"/>
          <w:lang w:val="en-US"/>
        </w:rPr>
        <w:t>st</w:t>
      </w:r>
      <w:r w:rsidR="00D9728C" w:rsidRPr="00F51FA7">
        <w:rPr>
          <w:rFonts w:ascii="Tahoma" w:hAnsi="Tahoma" w:cs="Tahoma"/>
          <w:lang w:val="en-US"/>
        </w:rPr>
        <w:t xml:space="preserve"> day of March of following year will </w:t>
      </w:r>
      <w:r w:rsidR="00AF110A" w:rsidRPr="00F51FA7">
        <w:rPr>
          <w:rFonts w:ascii="Tahoma" w:hAnsi="Tahoma" w:cs="Tahoma"/>
          <w:lang w:val="en-US"/>
        </w:rPr>
        <w:t>be considered as financial year,</w:t>
      </w:r>
    </w:p>
    <w:p w:rsidR="005A3FA1" w:rsidRPr="00F51FA7" w:rsidRDefault="005A3FA1" w:rsidP="005A3FA1">
      <w:pPr>
        <w:pStyle w:val="ListParagraph"/>
        <w:spacing w:after="0" w:line="240" w:lineRule="auto"/>
        <w:jc w:val="both"/>
        <w:rPr>
          <w:rFonts w:ascii="Tahoma" w:hAnsi="Tahoma" w:cs="Tahoma"/>
        </w:rPr>
      </w:pPr>
    </w:p>
    <w:p w:rsidR="00D9728C" w:rsidRPr="00F51FA7" w:rsidRDefault="005A3FA1" w:rsidP="005A3FA1">
      <w:pPr>
        <w:spacing w:after="0" w:line="240" w:lineRule="auto"/>
        <w:jc w:val="both"/>
        <w:rPr>
          <w:rStyle w:val="Strong"/>
          <w:rFonts w:ascii="Tahoma" w:hAnsi="Tahoma" w:cs="Tahoma"/>
          <w:b w:val="0"/>
          <w:lang w:val="en-US"/>
        </w:rPr>
      </w:pPr>
      <w:r w:rsidRPr="00F51FA7">
        <w:rPr>
          <w:rFonts w:ascii="Tahoma" w:hAnsi="Tahoma" w:cs="Tahoma"/>
        </w:rPr>
        <w:t xml:space="preserve">A company or body corporate existing on the commencement of the </w:t>
      </w:r>
      <w:r w:rsidRPr="00F51FA7">
        <w:rPr>
          <w:rStyle w:val="Strong"/>
          <w:rFonts w:ascii="Tahoma" w:hAnsi="Tahoma" w:cs="Tahoma"/>
          <w:b w:val="0"/>
          <w:lang w:val="en-US"/>
        </w:rPr>
        <w:t>2013 Actshall, within a period of two years from such commencement,align its financial year as per the above mentioned provision.</w:t>
      </w:r>
    </w:p>
    <w:p w:rsidR="00B51616" w:rsidRPr="00F51FA7" w:rsidRDefault="00B51616" w:rsidP="005A3FA1">
      <w:pPr>
        <w:spacing w:after="0" w:line="240" w:lineRule="auto"/>
        <w:jc w:val="both"/>
        <w:rPr>
          <w:rStyle w:val="Strong"/>
          <w:rFonts w:ascii="Tahoma" w:hAnsi="Tahoma" w:cs="Tahoma"/>
          <w:b w:val="0"/>
          <w:lang w:val="en-US"/>
        </w:rPr>
      </w:pPr>
    </w:p>
    <w:p w:rsidR="00B51616" w:rsidRPr="00F51FA7" w:rsidRDefault="00B51616" w:rsidP="005A3FA1">
      <w:pPr>
        <w:spacing w:after="0" w:line="240" w:lineRule="auto"/>
        <w:jc w:val="both"/>
        <w:rPr>
          <w:rStyle w:val="Strong"/>
          <w:rFonts w:ascii="Tahoma" w:hAnsi="Tahoma" w:cs="Tahoma"/>
          <w:i/>
          <w:lang w:val="en-US"/>
        </w:rPr>
      </w:pPr>
      <w:r w:rsidRPr="00F51FA7">
        <w:rPr>
          <w:rStyle w:val="Strong"/>
          <w:rFonts w:ascii="Tahoma" w:hAnsi="Tahoma" w:cs="Tahoma"/>
          <w:i/>
          <w:lang w:val="en-US"/>
        </w:rPr>
        <w:t>Exception</w:t>
      </w:r>
    </w:p>
    <w:p w:rsidR="00B51616" w:rsidRPr="00F51FA7" w:rsidRDefault="00B51616" w:rsidP="005A3FA1">
      <w:pPr>
        <w:spacing w:after="0" w:line="240" w:lineRule="auto"/>
        <w:jc w:val="both"/>
        <w:rPr>
          <w:rStyle w:val="Strong"/>
          <w:rFonts w:ascii="Tahoma" w:hAnsi="Tahoma" w:cs="Tahoma"/>
          <w:lang w:val="en-US"/>
        </w:rPr>
      </w:pPr>
    </w:p>
    <w:p w:rsidR="00B51616" w:rsidRPr="00F51FA7" w:rsidRDefault="00B51616" w:rsidP="002509CB">
      <w:pPr>
        <w:spacing w:after="0" w:line="240" w:lineRule="auto"/>
        <w:jc w:val="both"/>
        <w:rPr>
          <w:rStyle w:val="Strong"/>
          <w:rFonts w:ascii="Tahoma" w:hAnsi="Tahoma" w:cs="Tahoma"/>
          <w:b w:val="0"/>
          <w:lang w:val="en-US"/>
        </w:rPr>
      </w:pPr>
      <w:r w:rsidRPr="00F51FA7">
        <w:rPr>
          <w:rStyle w:val="Strong"/>
          <w:rFonts w:ascii="Tahoma" w:hAnsi="Tahoma" w:cs="Tahoma"/>
          <w:b w:val="0"/>
          <w:lang w:val="en-US"/>
        </w:rPr>
        <w:t>A company</w:t>
      </w:r>
      <w:r w:rsidR="00843E39" w:rsidRPr="00F51FA7">
        <w:rPr>
          <w:rStyle w:val="Strong"/>
          <w:rFonts w:ascii="Tahoma" w:hAnsi="Tahoma" w:cs="Tahoma"/>
          <w:b w:val="0"/>
          <w:lang w:val="en-US"/>
        </w:rPr>
        <w:t xml:space="preserve"> which is a holding or subsidiary</w:t>
      </w:r>
      <w:r w:rsidR="004B0804" w:rsidRPr="00F51FA7">
        <w:rPr>
          <w:rStyle w:val="Strong"/>
          <w:rFonts w:ascii="Tahoma" w:hAnsi="Tahoma" w:cs="Tahoma"/>
          <w:b w:val="0"/>
          <w:lang w:val="en-US"/>
        </w:rPr>
        <w:t xml:space="preserve"> of a company incorporated outside India and is required to follow the </w:t>
      </w:r>
      <w:r w:rsidR="0039050B" w:rsidRPr="00F51FA7">
        <w:rPr>
          <w:rStyle w:val="Strong"/>
          <w:rFonts w:ascii="Tahoma" w:hAnsi="Tahoma" w:cs="Tahoma"/>
          <w:b w:val="0"/>
          <w:lang w:val="en-US"/>
        </w:rPr>
        <w:t xml:space="preserve">different </w:t>
      </w:r>
      <w:r w:rsidR="004B0804" w:rsidRPr="00F51FA7">
        <w:rPr>
          <w:rStyle w:val="Strong"/>
          <w:rFonts w:ascii="Tahoma" w:hAnsi="Tahoma" w:cs="Tahoma"/>
          <w:b w:val="0"/>
          <w:lang w:val="en-US"/>
        </w:rPr>
        <w:t xml:space="preserve">financial year </w:t>
      </w:r>
      <w:r w:rsidR="00FD4827" w:rsidRPr="00F51FA7">
        <w:rPr>
          <w:rStyle w:val="Strong"/>
          <w:rFonts w:ascii="Tahoma" w:hAnsi="Tahoma" w:cs="Tahoma"/>
          <w:b w:val="0"/>
          <w:lang w:val="en-US"/>
        </w:rPr>
        <w:t>for consolidation outside India</w:t>
      </w:r>
      <w:r w:rsidR="00D17AF1" w:rsidRPr="00F51FA7">
        <w:rPr>
          <w:rStyle w:val="Strong"/>
          <w:rFonts w:ascii="Tahoma" w:hAnsi="Tahoma" w:cs="Tahoma"/>
          <w:b w:val="0"/>
          <w:lang w:val="en-US"/>
        </w:rPr>
        <w:t xml:space="preserve">can </w:t>
      </w:r>
      <w:r w:rsidR="00D95AF7" w:rsidRPr="00F51FA7">
        <w:rPr>
          <w:rStyle w:val="Strong"/>
          <w:rFonts w:ascii="Tahoma" w:hAnsi="Tahoma" w:cs="Tahoma"/>
          <w:b w:val="0"/>
          <w:lang w:val="en-US"/>
        </w:rPr>
        <w:t>mak</w:t>
      </w:r>
      <w:r w:rsidR="00D17AF1" w:rsidRPr="00F51FA7">
        <w:rPr>
          <w:rStyle w:val="Strong"/>
          <w:rFonts w:ascii="Tahoma" w:hAnsi="Tahoma" w:cs="Tahoma"/>
          <w:b w:val="0"/>
          <w:lang w:val="en-US"/>
        </w:rPr>
        <w:t>e</w:t>
      </w:r>
      <w:r w:rsidR="00D95AF7" w:rsidRPr="00F51FA7">
        <w:rPr>
          <w:rStyle w:val="Strong"/>
          <w:rFonts w:ascii="Tahoma" w:hAnsi="Tahoma" w:cs="Tahoma"/>
          <w:b w:val="0"/>
          <w:lang w:val="en-US"/>
        </w:rPr>
        <w:t xml:space="preserve"> an application </w:t>
      </w:r>
      <w:r w:rsidR="00E53749" w:rsidRPr="00F51FA7">
        <w:rPr>
          <w:rStyle w:val="Strong"/>
          <w:rFonts w:ascii="Tahoma" w:hAnsi="Tahoma" w:cs="Tahoma"/>
          <w:b w:val="0"/>
          <w:lang w:val="en-US"/>
        </w:rPr>
        <w:t>to the Tribunal</w:t>
      </w:r>
      <w:r w:rsidR="0039050B" w:rsidRPr="00F51FA7">
        <w:rPr>
          <w:rStyle w:val="Strong"/>
          <w:rFonts w:ascii="Tahoma" w:hAnsi="Tahoma" w:cs="Tahoma"/>
          <w:b w:val="0"/>
          <w:lang w:val="en-US"/>
        </w:rPr>
        <w:t xml:space="preserve">. The Tribunal </w:t>
      </w:r>
      <w:r w:rsidR="004B78AB" w:rsidRPr="00F51FA7">
        <w:rPr>
          <w:rStyle w:val="Strong"/>
          <w:rFonts w:ascii="Tahoma" w:hAnsi="Tahoma" w:cs="Tahoma"/>
          <w:b w:val="0"/>
          <w:lang w:val="en-US"/>
        </w:rPr>
        <w:t xml:space="preserve">can </w:t>
      </w:r>
      <w:r w:rsidR="000D7A9F" w:rsidRPr="00F51FA7">
        <w:rPr>
          <w:rStyle w:val="Strong"/>
          <w:rFonts w:ascii="Tahoma" w:hAnsi="Tahoma" w:cs="Tahoma"/>
          <w:b w:val="0"/>
          <w:lang w:val="en-US"/>
        </w:rPr>
        <w:t xml:space="preserve">allow any period as </w:t>
      </w:r>
      <w:r w:rsidR="00BD45A2" w:rsidRPr="00F51FA7">
        <w:rPr>
          <w:rStyle w:val="Strong"/>
          <w:rFonts w:ascii="Tahoma" w:hAnsi="Tahoma" w:cs="Tahoma"/>
          <w:b w:val="0"/>
          <w:lang w:val="en-US"/>
        </w:rPr>
        <w:t>its</w:t>
      </w:r>
      <w:r w:rsidR="000D7A9F" w:rsidRPr="00F51FA7">
        <w:rPr>
          <w:rStyle w:val="Strong"/>
          <w:rFonts w:ascii="Tahoma" w:hAnsi="Tahoma" w:cs="Tahoma"/>
          <w:b w:val="0"/>
          <w:lang w:val="en-US"/>
        </w:rPr>
        <w:t xml:space="preserve"> financial</w:t>
      </w:r>
      <w:r w:rsidR="00BD45A2" w:rsidRPr="00F51FA7">
        <w:rPr>
          <w:rStyle w:val="Strong"/>
          <w:rFonts w:ascii="Tahoma" w:hAnsi="Tahoma" w:cs="Tahoma"/>
          <w:b w:val="0"/>
          <w:lang w:val="en-US"/>
        </w:rPr>
        <w:t xml:space="preserve"> year</w:t>
      </w:r>
      <w:r w:rsidR="000D7A9F" w:rsidRPr="00F51FA7">
        <w:rPr>
          <w:rStyle w:val="Strong"/>
          <w:rFonts w:ascii="Tahoma" w:hAnsi="Tahoma" w:cs="Tahoma"/>
          <w:b w:val="0"/>
          <w:lang w:val="en-US"/>
        </w:rPr>
        <w:t xml:space="preserve"> after being satisfied.</w:t>
      </w:r>
    </w:p>
    <w:p w:rsidR="00FB7D1E" w:rsidRPr="00F51FA7" w:rsidRDefault="00FB7D1E" w:rsidP="002509CB">
      <w:pPr>
        <w:spacing w:after="0" w:line="240" w:lineRule="auto"/>
        <w:jc w:val="both"/>
        <w:rPr>
          <w:rStyle w:val="Strong"/>
          <w:rFonts w:ascii="Tahoma" w:hAnsi="Tahoma" w:cs="Tahoma"/>
          <w:b w:val="0"/>
          <w:lang w:val="en-US"/>
        </w:rPr>
      </w:pPr>
    </w:p>
    <w:p w:rsidR="00FB7D1E" w:rsidRPr="00F51FA7" w:rsidRDefault="006F5E8C" w:rsidP="002509CB">
      <w:pPr>
        <w:spacing w:after="0" w:line="240" w:lineRule="auto"/>
        <w:jc w:val="both"/>
        <w:rPr>
          <w:rStyle w:val="Strong"/>
          <w:rFonts w:ascii="Tahoma" w:hAnsi="Tahoma" w:cs="Tahoma"/>
          <w:lang w:val="en-US"/>
        </w:rPr>
      </w:pPr>
      <w:r w:rsidRPr="00F51FA7">
        <w:rPr>
          <w:rStyle w:val="Strong"/>
          <w:rFonts w:ascii="Tahoma" w:hAnsi="Tahoma" w:cs="Tahoma"/>
          <w:lang w:val="en-US"/>
        </w:rPr>
        <w:t>Financial Statements</w:t>
      </w:r>
    </w:p>
    <w:p w:rsidR="006F5E8C" w:rsidRPr="00F51FA7" w:rsidRDefault="006F5E8C" w:rsidP="002509CB">
      <w:pPr>
        <w:spacing w:after="0" w:line="240" w:lineRule="auto"/>
        <w:jc w:val="both"/>
        <w:rPr>
          <w:rStyle w:val="Strong"/>
          <w:rFonts w:ascii="Tahoma" w:hAnsi="Tahoma" w:cs="Tahoma"/>
          <w:lang w:val="en-US"/>
        </w:rPr>
      </w:pPr>
    </w:p>
    <w:p w:rsidR="006F5E8C" w:rsidRPr="00F51FA7" w:rsidRDefault="006F5E8C" w:rsidP="002509CB">
      <w:pPr>
        <w:spacing w:after="0" w:line="240" w:lineRule="auto"/>
        <w:jc w:val="both"/>
        <w:rPr>
          <w:rStyle w:val="Strong"/>
          <w:rFonts w:ascii="Tahoma" w:hAnsi="Tahoma" w:cs="Tahoma"/>
          <w:b w:val="0"/>
          <w:lang w:val="en-US"/>
        </w:rPr>
      </w:pPr>
      <w:r w:rsidRPr="00F51FA7">
        <w:rPr>
          <w:rStyle w:val="Strong"/>
          <w:rFonts w:ascii="Tahoma" w:hAnsi="Tahoma" w:cs="Tahoma"/>
          <w:b w:val="0"/>
          <w:lang w:val="en-US"/>
        </w:rPr>
        <w:t xml:space="preserve">As per Sec 2(40) of the 2013 Act, financial statements of a company includes:- </w:t>
      </w:r>
    </w:p>
    <w:p w:rsidR="006F5E8C" w:rsidRPr="00F51FA7" w:rsidRDefault="00042EA0" w:rsidP="006F5E8C">
      <w:pPr>
        <w:pStyle w:val="ListParagraph"/>
        <w:numPr>
          <w:ilvl w:val="0"/>
          <w:numId w:val="2"/>
        </w:numPr>
        <w:spacing w:after="0" w:line="240" w:lineRule="auto"/>
        <w:jc w:val="both"/>
        <w:rPr>
          <w:rFonts w:ascii="Tahoma" w:hAnsi="Tahoma" w:cs="Tahoma"/>
        </w:rPr>
      </w:pPr>
      <w:r w:rsidRPr="00F51FA7">
        <w:rPr>
          <w:rFonts w:ascii="Tahoma" w:hAnsi="Tahoma" w:cs="Tahoma"/>
        </w:rPr>
        <w:t>Balance Sheet</w:t>
      </w:r>
      <w:r w:rsidR="00FE6E64" w:rsidRPr="00F51FA7">
        <w:rPr>
          <w:rFonts w:ascii="Tahoma" w:hAnsi="Tahoma" w:cs="Tahoma"/>
        </w:rPr>
        <w:t xml:space="preserve"> as at the end of financial year.</w:t>
      </w:r>
    </w:p>
    <w:p w:rsidR="00042EA0" w:rsidRPr="00F51FA7" w:rsidRDefault="00042EA0" w:rsidP="006F5E8C">
      <w:pPr>
        <w:pStyle w:val="ListParagraph"/>
        <w:numPr>
          <w:ilvl w:val="0"/>
          <w:numId w:val="2"/>
        </w:numPr>
        <w:spacing w:after="0" w:line="240" w:lineRule="auto"/>
        <w:jc w:val="both"/>
        <w:rPr>
          <w:rFonts w:ascii="Tahoma" w:hAnsi="Tahoma" w:cs="Tahoma"/>
        </w:rPr>
      </w:pPr>
      <w:r w:rsidRPr="00F51FA7">
        <w:rPr>
          <w:rFonts w:ascii="Tahoma" w:hAnsi="Tahoma" w:cs="Tahoma"/>
        </w:rPr>
        <w:t>Statement of Profit &amp; Lossor Income &amp; Expenditure</w:t>
      </w:r>
      <w:r w:rsidR="00FE6E64" w:rsidRPr="00F51FA7">
        <w:rPr>
          <w:rFonts w:ascii="Tahoma" w:hAnsi="Tahoma" w:cs="Tahoma"/>
        </w:rPr>
        <w:t xml:space="preserve"> Account for the financial year.</w:t>
      </w:r>
    </w:p>
    <w:p w:rsidR="00042EA0" w:rsidRPr="00F51FA7" w:rsidRDefault="00042EA0" w:rsidP="006F5E8C">
      <w:pPr>
        <w:pStyle w:val="ListParagraph"/>
        <w:numPr>
          <w:ilvl w:val="0"/>
          <w:numId w:val="2"/>
        </w:numPr>
        <w:spacing w:after="0" w:line="240" w:lineRule="auto"/>
        <w:jc w:val="both"/>
        <w:rPr>
          <w:rFonts w:ascii="Tahoma" w:hAnsi="Tahoma" w:cs="Tahoma"/>
        </w:rPr>
      </w:pPr>
      <w:r w:rsidRPr="00F51FA7">
        <w:rPr>
          <w:rFonts w:ascii="Tahoma" w:hAnsi="Tahoma" w:cs="Tahoma"/>
        </w:rPr>
        <w:t>Cash Flow Statement</w:t>
      </w:r>
      <w:r w:rsidR="008E73A8" w:rsidRPr="00F51FA7">
        <w:rPr>
          <w:rFonts w:ascii="Tahoma" w:hAnsi="Tahoma" w:cs="Tahoma"/>
        </w:rPr>
        <w:t xml:space="preserve"> for the financial year</w:t>
      </w:r>
    </w:p>
    <w:p w:rsidR="00042EA0" w:rsidRPr="00F51FA7" w:rsidRDefault="00042EA0" w:rsidP="006F5E8C">
      <w:pPr>
        <w:pStyle w:val="ListParagraph"/>
        <w:numPr>
          <w:ilvl w:val="0"/>
          <w:numId w:val="2"/>
        </w:numPr>
        <w:spacing w:after="0" w:line="240" w:lineRule="auto"/>
        <w:jc w:val="both"/>
        <w:rPr>
          <w:rFonts w:ascii="Tahoma" w:hAnsi="Tahoma" w:cs="Tahoma"/>
        </w:rPr>
      </w:pPr>
      <w:r w:rsidRPr="00F51FA7">
        <w:rPr>
          <w:rFonts w:ascii="Tahoma" w:hAnsi="Tahoma" w:cs="Tahoma"/>
        </w:rPr>
        <w:t>Statement of Changes in Equity</w:t>
      </w:r>
      <w:r w:rsidR="008E73A8" w:rsidRPr="00F51FA7">
        <w:rPr>
          <w:rFonts w:ascii="Tahoma" w:hAnsi="Tahoma" w:cs="Tahoma"/>
        </w:rPr>
        <w:t>, if applicable</w:t>
      </w:r>
    </w:p>
    <w:p w:rsidR="00FA6E36" w:rsidRPr="00F51FA7" w:rsidRDefault="00FA6E36" w:rsidP="006F5E8C">
      <w:pPr>
        <w:pStyle w:val="ListParagraph"/>
        <w:numPr>
          <w:ilvl w:val="0"/>
          <w:numId w:val="2"/>
        </w:numPr>
        <w:spacing w:after="0" w:line="240" w:lineRule="auto"/>
        <w:jc w:val="both"/>
        <w:rPr>
          <w:rFonts w:ascii="Tahoma" w:hAnsi="Tahoma" w:cs="Tahoma"/>
        </w:rPr>
      </w:pPr>
      <w:r w:rsidRPr="00F51FA7">
        <w:rPr>
          <w:rFonts w:ascii="Tahoma" w:hAnsi="Tahoma" w:cs="Tahoma"/>
        </w:rPr>
        <w:t xml:space="preserve">Any </w:t>
      </w:r>
      <w:r w:rsidR="008E73A8" w:rsidRPr="00F51FA7">
        <w:rPr>
          <w:rFonts w:ascii="Tahoma" w:hAnsi="Tahoma" w:cs="Tahoma"/>
        </w:rPr>
        <w:t>explanatory note annexed to, forming part of the documents mentioned above.</w:t>
      </w:r>
    </w:p>
    <w:p w:rsidR="00335C3B" w:rsidRPr="00F51FA7" w:rsidRDefault="00335C3B" w:rsidP="00CC38A4">
      <w:pPr>
        <w:spacing w:after="0" w:line="240" w:lineRule="auto"/>
        <w:jc w:val="both"/>
        <w:rPr>
          <w:rFonts w:ascii="Tahoma" w:hAnsi="Tahoma" w:cs="Tahoma"/>
          <w:b/>
        </w:rPr>
      </w:pPr>
    </w:p>
    <w:p w:rsidR="00CC38A4" w:rsidRPr="00F51FA7" w:rsidRDefault="00335C3B" w:rsidP="00CC38A4">
      <w:pPr>
        <w:spacing w:after="0" w:line="240" w:lineRule="auto"/>
        <w:jc w:val="both"/>
        <w:rPr>
          <w:rFonts w:ascii="Tahoma" w:hAnsi="Tahoma" w:cs="Tahoma"/>
          <w:b/>
          <w:i/>
        </w:rPr>
      </w:pPr>
      <w:r w:rsidRPr="00F51FA7">
        <w:rPr>
          <w:rFonts w:ascii="Tahoma" w:hAnsi="Tahoma" w:cs="Tahoma"/>
          <w:b/>
          <w:i/>
        </w:rPr>
        <w:t>Exceptions</w:t>
      </w:r>
    </w:p>
    <w:p w:rsidR="00FA6E36" w:rsidRPr="00F51FA7" w:rsidRDefault="00FA6E36" w:rsidP="00FA6E36">
      <w:pPr>
        <w:spacing w:after="0" w:line="240" w:lineRule="auto"/>
        <w:jc w:val="both"/>
        <w:rPr>
          <w:rFonts w:ascii="Tahoma" w:hAnsi="Tahoma" w:cs="Tahoma"/>
        </w:rPr>
      </w:pPr>
    </w:p>
    <w:p w:rsidR="00335C3B" w:rsidRPr="00F51FA7" w:rsidRDefault="00335C3B" w:rsidP="00FA6E36">
      <w:pPr>
        <w:spacing w:after="0" w:line="240" w:lineRule="auto"/>
        <w:jc w:val="both"/>
        <w:rPr>
          <w:rFonts w:ascii="Tahoma" w:hAnsi="Tahoma" w:cs="Tahoma"/>
        </w:rPr>
      </w:pPr>
      <w:r w:rsidRPr="00F51FA7">
        <w:rPr>
          <w:rFonts w:ascii="Tahoma" w:hAnsi="Tahoma" w:cs="Tahoma"/>
        </w:rPr>
        <w:t xml:space="preserve">One Man Company, Dormant Company, Small Company are not required to </w:t>
      </w:r>
      <w:r w:rsidR="00955B2D" w:rsidRPr="00F51FA7">
        <w:rPr>
          <w:rFonts w:ascii="Tahoma" w:hAnsi="Tahoma" w:cs="Tahoma"/>
        </w:rPr>
        <w:t>prepare Cash Flow Statement.</w:t>
      </w:r>
    </w:p>
    <w:p w:rsidR="004F0A7E" w:rsidRPr="00F51FA7" w:rsidRDefault="004F0A7E" w:rsidP="00FA6E36">
      <w:pPr>
        <w:spacing w:after="0" w:line="240" w:lineRule="auto"/>
        <w:jc w:val="both"/>
        <w:rPr>
          <w:rFonts w:ascii="Tahoma" w:hAnsi="Tahoma" w:cs="Tahoma"/>
        </w:rPr>
      </w:pPr>
    </w:p>
    <w:p w:rsidR="004F0A7E" w:rsidRPr="00F51FA7" w:rsidRDefault="004F0A7E" w:rsidP="00FA6E36">
      <w:pPr>
        <w:spacing w:after="0" w:line="240" w:lineRule="auto"/>
        <w:jc w:val="both"/>
        <w:rPr>
          <w:rFonts w:ascii="Tahoma" w:hAnsi="Tahoma" w:cs="Tahoma"/>
          <w:b/>
        </w:rPr>
      </w:pPr>
      <w:r w:rsidRPr="00F51FA7">
        <w:rPr>
          <w:rFonts w:ascii="Tahoma" w:hAnsi="Tahoma" w:cs="Tahoma"/>
          <w:b/>
        </w:rPr>
        <w:t>Consolidation of Financial Statements</w:t>
      </w:r>
    </w:p>
    <w:p w:rsidR="00C47D76" w:rsidRPr="00F51FA7" w:rsidRDefault="00C47D76" w:rsidP="00FA6E36">
      <w:pPr>
        <w:spacing w:after="0" w:line="240" w:lineRule="auto"/>
        <w:jc w:val="both"/>
        <w:rPr>
          <w:rFonts w:ascii="Tahoma" w:hAnsi="Tahoma" w:cs="Tahoma"/>
          <w:b/>
        </w:rPr>
      </w:pPr>
    </w:p>
    <w:p w:rsidR="00C47D76" w:rsidRPr="00F51FA7" w:rsidRDefault="008C488D" w:rsidP="002B7319">
      <w:pPr>
        <w:spacing w:after="0" w:line="240" w:lineRule="auto"/>
        <w:jc w:val="both"/>
        <w:rPr>
          <w:rFonts w:ascii="Tahoma" w:hAnsi="Tahoma" w:cs="Tahoma"/>
        </w:rPr>
      </w:pPr>
      <w:r w:rsidRPr="00F51FA7">
        <w:rPr>
          <w:rFonts w:ascii="Tahoma" w:hAnsi="Tahoma" w:cs="Tahoma"/>
        </w:rPr>
        <w:t xml:space="preserve">Section 212 </w:t>
      </w:r>
      <w:r w:rsidR="00F05976" w:rsidRPr="00F51FA7">
        <w:rPr>
          <w:rFonts w:ascii="Tahoma" w:hAnsi="Tahoma" w:cs="Tahoma"/>
        </w:rPr>
        <w:t xml:space="preserve">of the 1956 Act </w:t>
      </w:r>
      <w:r w:rsidRPr="00F51FA7">
        <w:rPr>
          <w:rFonts w:ascii="Tahoma" w:hAnsi="Tahoma" w:cs="Tahoma"/>
        </w:rPr>
        <w:t>providedfor attachment ofaccounts ofsubsidiaries alongwith the holding company accounts.No provision forconsolidation.</w:t>
      </w:r>
    </w:p>
    <w:p w:rsidR="00F05976" w:rsidRPr="00F51FA7" w:rsidRDefault="00F05976" w:rsidP="002B7319">
      <w:pPr>
        <w:spacing w:after="0" w:line="240" w:lineRule="auto"/>
        <w:jc w:val="both"/>
        <w:rPr>
          <w:rFonts w:ascii="Tahoma" w:hAnsi="Tahoma" w:cs="Tahoma"/>
        </w:rPr>
      </w:pPr>
    </w:p>
    <w:p w:rsidR="00817285" w:rsidRPr="00F51FA7" w:rsidRDefault="00B93F64" w:rsidP="00E36562">
      <w:pPr>
        <w:spacing w:after="0" w:line="240" w:lineRule="auto"/>
        <w:jc w:val="both"/>
        <w:rPr>
          <w:rFonts w:ascii="Tahoma" w:hAnsi="Tahoma" w:cs="Tahoma"/>
        </w:rPr>
      </w:pPr>
      <w:r w:rsidRPr="00F51FA7">
        <w:rPr>
          <w:rFonts w:ascii="Tahoma" w:hAnsi="Tahoma" w:cs="Tahoma"/>
        </w:rPr>
        <w:t>Sec</w:t>
      </w:r>
      <w:r w:rsidR="004E04AE" w:rsidRPr="00F51FA7">
        <w:rPr>
          <w:rFonts w:ascii="Tahoma" w:hAnsi="Tahoma" w:cs="Tahoma"/>
        </w:rPr>
        <w:t>tion</w:t>
      </w:r>
      <w:r w:rsidRPr="00F51FA7">
        <w:rPr>
          <w:rFonts w:ascii="Tahoma" w:hAnsi="Tahoma" w:cs="Tahoma"/>
        </w:rPr>
        <w:t xml:space="preserve"> 129 of the 2013 Act provides that where a company has one or more subsidiaries, it shall prepare a consolidated financial statement of thecompany and of all the subsidiaries in the same form and manner as that of its own whichshall also be laid before the annual general meeting of the company</w:t>
      </w:r>
      <w:r w:rsidR="00817285" w:rsidRPr="00F51FA7">
        <w:rPr>
          <w:rFonts w:ascii="Tahoma" w:hAnsi="Tahoma" w:cs="Tahoma"/>
        </w:rPr>
        <w:t>.</w:t>
      </w:r>
    </w:p>
    <w:p w:rsidR="000463BB" w:rsidRPr="00F51FA7" w:rsidRDefault="00B768BA" w:rsidP="00E36562">
      <w:pPr>
        <w:spacing w:after="0" w:line="240" w:lineRule="auto"/>
        <w:jc w:val="both"/>
        <w:rPr>
          <w:rFonts w:ascii="Tahoma" w:hAnsi="Tahoma" w:cs="Tahoma"/>
        </w:rPr>
      </w:pPr>
      <w:r w:rsidRPr="00F51FA7">
        <w:rPr>
          <w:rFonts w:ascii="Tahoma" w:hAnsi="Tahoma" w:cs="Tahoma"/>
        </w:rPr>
        <w:t>A</w:t>
      </w:r>
      <w:r w:rsidR="00B93F64" w:rsidRPr="00F51FA7">
        <w:rPr>
          <w:rFonts w:ascii="Tahoma" w:hAnsi="Tahoma" w:cs="Tahoma"/>
        </w:rPr>
        <w:t xml:space="preserve"> separate</w:t>
      </w:r>
      <w:r w:rsidR="00E36562" w:rsidRPr="00F51FA7">
        <w:rPr>
          <w:rFonts w:ascii="Tahoma" w:hAnsi="Tahoma" w:cs="Tahoma"/>
        </w:rPr>
        <w:t xml:space="preserve"> statement </w:t>
      </w:r>
      <w:r w:rsidR="00B93F64" w:rsidRPr="00F51FA7">
        <w:rPr>
          <w:rFonts w:ascii="Tahoma" w:hAnsi="Tahoma" w:cs="Tahoma"/>
        </w:rPr>
        <w:t xml:space="preserve">containing the salient features of the financial statement of its subsidiary orsubsidiaries </w:t>
      </w:r>
      <w:r w:rsidR="00C53E94" w:rsidRPr="00F51FA7">
        <w:rPr>
          <w:rFonts w:ascii="Tahoma" w:hAnsi="Tahoma" w:cs="Tahoma"/>
        </w:rPr>
        <w:t xml:space="preserve">is </w:t>
      </w:r>
      <w:r w:rsidRPr="00F51FA7">
        <w:rPr>
          <w:rFonts w:ascii="Tahoma" w:hAnsi="Tahoma" w:cs="Tahoma"/>
        </w:rPr>
        <w:t>to be attached with the holding company</w:t>
      </w:r>
      <w:r w:rsidR="00546FDF" w:rsidRPr="00F51FA7">
        <w:rPr>
          <w:rFonts w:ascii="Tahoma" w:hAnsi="Tahoma" w:cs="Tahoma"/>
        </w:rPr>
        <w:t>’s financial statements</w:t>
      </w:r>
      <w:r w:rsidRPr="00F51FA7">
        <w:rPr>
          <w:rFonts w:ascii="Tahoma" w:hAnsi="Tahoma" w:cs="Tahoma"/>
        </w:rPr>
        <w:t>.</w:t>
      </w:r>
    </w:p>
    <w:p w:rsidR="00C57B01" w:rsidRDefault="00C57B01" w:rsidP="00E36562">
      <w:pPr>
        <w:spacing w:after="0" w:line="240" w:lineRule="auto"/>
        <w:jc w:val="both"/>
        <w:rPr>
          <w:rFonts w:ascii="Tahoma" w:hAnsi="Tahoma" w:cs="Tahoma"/>
        </w:rPr>
      </w:pPr>
    </w:p>
    <w:p w:rsidR="00F51FA7" w:rsidRDefault="00F51FA7" w:rsidP="00E36562">
      <w:pPr>
        <w:spacing w:after="0" w:line="240" w:lineRule="auto"/>
        <w:jc w:val="both"/>
        <w:rPr>
          <w:rFonts w:ascii="Tahoma" w:hAnsi="Tahoma" w:cs="Tahoma"/>
        </w:rPr>
      </w:pPr>
    </w:p>
    <w:p w:rsidR="00F51FA7" w:rsidRPr="00F51FA7" w:rsidRDefault="00F51FA7" w:rsidP="00E36562">
      <w:pPr>
        <w:spacing w:after="0" w:line="240" w:lineRule="auto"/>
        <w:jc w:val="both"/>
        <w:rPr>
          <w:rFonts w:ascii="Tahoma" w:hAnsi="Tahoma" w:cs="Tahoma"/>
        </w:rPr>
      </w:pPr>
    </w:p>
    <w:p w:rsidR="00C57B01" w:rsidRPr="00F51FA7" w:rsidRDefault="0030703A" w:rsidP="00E36562">
      <w:pPr>
        <w:spacing w:after="0" w:line="240" w:lineRule="auto"/>
        <w:jc w:val="both"/>
        <w:rPr>
          <w:rFonts w:ascii="Tahoma" w:hAnsi="Tahoma" w:cs="Tahoma"/>
          <w:b/>
        </w:rPr>
      </w:pPr>
      <w:r w:rsidRPr="00F51FA7">
        <w:rPr>
          <w:rFonts w:ascii="Tahoma" w:hAnsi="Tahoma" w:cs="Tahoma"/>
          <w:b/>
        </w:rPr>
        <w:lastRenderedPageBreak/>
        <w:t>Signing of Financial Statements</w:t>
      </w:r>
    </w:p>
    <w:p w:rsidR="0030703A" w:rsidRPr="00F51FA7" w:rsidRDefault="0030703A" w:rsidP="00E36562">
      <w:pPr>
        <w:spacing w:after="0" w:line="240" w:lineRule="auto"/>
        <w:jc w:val="both"/>
        <w:rPr>
          <w:rFonts w:ascii="Tahoma" w:hAnsi="Tahoma" w:cs="Tahoma"/>
          <w:b/>
        </w:rPr>
      </w:pPr>
    </w:p>
    <w:p w:rsidR="000144DA" w:rsidRPr="00F51FA7" w:rsidRDefault="0082685B" w:rsidP="00E36562">
      <w:pPr>
        <w:spacing w:after="0" w:line="240" w:lineRule="auto"/>
        <w:jc w:val="both"/>
        <w:rPr>
          <w:rFonts w:ascii="Tahoma" w:hAnsi="Tahoma" w:cs="Tahoma"/>
        </w:rPr>
      </w:pPr>
      <w:r w:rsidRPr="00F51FA7">
        <w:rPr>
          <w:rFonts w:ascii="Tahoma" w:hAnsi="Tahoma" w:cs="Tahoma"/>
        </w:rPr>
        <w:t>Financial Statements to be signed at least by:-</w:t>
      </w:r>
    </w:p>
    <w:p w:rsidR="0082685B" w:rsidRPr="00F51FA7" w:rsidRDefault="0082685B" w:rsidP="0082685B">
      <w:pPr>
        <w:pStyle w:val="ListParagraph"/>
        <w:numPr>
          <w:ilvl w:val="0"/>
          <w:numId w:val="3"/>
        </w:numPr>
        <w:spacing w:after="0" w:line="240" w:lineRule="auto"/>
        <w:jc w:val="both"/>
        <w:rPr>
          <w:rFonts w:ascii="Tahoma" w:hAnsi="Tahoma" w:cs="Tahoma"/>
        </w:rPr>
      </w:pPr>
      <w:r w:rsidRPr="00F51FA7">
        <w:rPr>
          <w:rFonts w:ascii="Tahoma" w:hAnsi="Tahoma" w:cs="Tahoma"/>
        </w:rPr>
        <w:t>Chairperson of the company, if authorised</w:t>
      </w:r>
    </w:p>
    <w:p w:rsidR="0082685B" w:rsidRPr="00F51FA7" w:rsidRDefault="0082685B" w:rsidP="0082685B">
      <w:pPr>
        <w:pStyle w:val="ListParagraph"/>
        <w:numPr>
          <w:ilvl w:val="0"/>
          <w:numId w:val="3"/>
        </w:numPr>
        <w:spacing w:after="0" w:line="240" w:lineRule="auto"/>
        <w:jc w:val="both"/>
        <w:rPr>
          <w:rFonts w:ascii="Tahoma" w:hAnsi="Tahoma" w:cs="Tahoma"/>
        </w:rPr>
      </w:pPr>
      <w:r w:rsidRPr="00F51FA7">
        <w:rPr>
          <w:rFonts w:ascii="Tahoma" w:hAnsi="Tahoma" w:cs="Tahoma"/>
        </w:rPr>
        <w:t>2 directors including MD</w:t>
      </w:r>
    </w:p>
    <w:p w:rsidR="0082685B" w:rsidRPr="00F51FA7" w:rsidRDefault="0082685B" w:rsidP="0082685B">
      <w:pPr>
        <w:pStyle w:val="ListParagraph"/>
        <w:numPr>
          <w:ilvl w:val="0"/>
          <w:numId w:val="3"/>
        </w:numPr>
        <w:spacing w:after="0" w:line="240" w:lineRule="auto"/>
        <w:jc w:val="both"/>
        <w:rPr>
          <w:rFonts w:ascii="Tahoma" w:hAnsi="Tahoma" w:cs="Tahoma"/>
        </w:rPr>
      </w:pPr>
      <w:r w:rsidRPr="00F51FA7">
        <w:rPr>
          <w:rFonts w:ascii="Tahoma" w:hAnsi="Tahoma" w:cs="Tahoma"/>
        </w:rPr>
        <w:t>CEO, if he is a director</w:t>
      </w:r>
    </w:p>
    <w:p w:rsidR="0082685B" w:rsidRPr="00F51FA7" w:rsidRDefault="0082685B" w:rsidP="0082685B">
      <w:pPr>
        <w:pStyle w:val="ListParagraph"/>
        <w:numPr>
          <w:ilvl w:val="0"/>
          <w:numId w:val="3"/>
        </w:numPr>
        <w:spacing w:after="0" w:line="240" w:lineRule="auto"/>
        <w:jc w:val="both"/>
        <w:rPr>
          <w:rFonts w:ascii="Tahoma" w:hAnsi="Tahoma" w:cs="Tahoma"/>
        </w:rPr>
      </w:pPr>
      <w:r w:rsidRPr="00F51FA7">
        <w:rPr>
          <w:rFonts w:ascii="Tahoma" w:hAnsi="Tahoma" w:cs="Tahoma"/>
        </w:rPr>
        <w:t>CFO and CS wherever they are appointed</w:t>
      </w:r>
    </w:p>
    <w:p w:rsidR="0082685B" w:rsidRPr="00F51FA7" w:rsidRDefault="0082685B" w:rsidP="0082685B">
      <w:pPr>
        <w:spacing w:after="0" w:line="240" w:lineRule="auto"/>
        <w:jc w:val="both"/>
        <w:rPr>
          <w:rFonts w:ascii="Tahoma" w:hAnsi="Tahoma" w:cs="Tahoma"/>
        </w:rPr>
      </w:pPr>
    </w:p>
    <w:p w:rsidR="0082685B" w:rsidRPr="00F51FA7" w:rsidRDefault="0082685B" w:rsidP="0082685B">
      <w:pPr>
        <w:spacing w:after="0" w:line="240" w:lineRule="auto"/>
        <w:jc w:val="both"/>
        <w:rPr>
          <w:rFonts w:ascii="Tahoma" w:hAnsi="Tahoma" w:cs="Tahoma"/>
          <w:b/>
          <w:i/>
        </w:rPr>
      </w:pPr>
      <w:r w:rsidRPr="00F51FA7">
        <w:rPr>
          <w:rFonts w:ascii="Tahoma" w:hAnsi="Tahoma" w:cs="Tahoma"/>
          <w:b/>
          <w:i/>
        </w:rPr>
        <w:t>Exceptions</w:t>
      </w:r>
    </w:p>
    <w:p w:rsidR="003462D3" w:rsidRPr="00F51FA7" w:rsidRDefault="003462D3" w:rsidP="00E36562">
      <w:pPr>
        <w:spacing w:after="0" w:line="240" w:lineRule="auto"/>
        <w:jc w:val="both"/>
        <w:rPr>
          <w:rFonts w:ascii="Tahoma" w:hAnsi="Tahoma" w:cs="Tahoma"/>
          <w:b/>
        </w:rPr>
      </w:pPr>
    </w:p>
    <w:p w:rsidR="0082685B" w:rsidRPr="00F51FA7" w:rsidRDefault="0082685B" w:rsidP="00E36562">
      <w:pPr>
        <w:spacing w:after="0" w:line="240" w:lineRule="auto"/>
        <w:jc w:val="both"/>
        <w:rPr>
          <w:rFonts w:ascii="Tahoma" w:hAnsi="Tahoma" w:cs="Tahoma"/>
        </w:rPr>
      </w:pPr>
      <w:r w:rsidRPr="00F51FA7">
        <w:rPr>
          <w:rFonts w:ascii="Tahoma" w:hAnsi="Tahoma" w:cs="Tahoma"/>
        </w:rPr>
        <w:t>In case of OPC, Balance Sheet and Statement of Profit &amp; Loss are to be signed by one director only.</w:t>
      </w:r>
    </w:p>
    <w:p w:rsidR="0082685B" w:rsidRPr="00F51FA7" w:rsidRDefault="0082685B" w:rsidP="00E36562">
      <w:pPr>
        <w:spacing w:after="0" w:line="240" w:lineRule="auto"/>
        <w:jc w:val="both"/>
        <w:rPr>
          <w:rFonts w:ascii="Tahoma" w:hAnsi="Tahoma" w:cs="Tahoma"/>
        </w:rPr>
      </w:pPr>
    </w:p>
    <w:p w:rsidR="0082685B" w:rsidRPr="00F51FA7" w:rsidRDefault="007C13D5" w:rsidP="00E36562">
      <w:pPr>
        <w:spacing w:after="0" w:line="240" w:lineRule="auto"/>
        <w:jc w:val="both"/>
        <w:rPr>
          <w:rFonts w:ascii="Tahoma" w:hAnsi="Tahoma" w:cs="Tahoma"/>
          <w:b/>
        </w:rPr>
      </w:pPr>
      <w:r w:rsidRPr="00F51FA7">
        <w:rPr>
          <w:rFonts w:ascii="Tahoma" w:hAnsi="Tahoma" w:cs="Tahoma"/>
          <w:b/>
        </w:rPr>
        <w:t>Voluntary Revision of Books of Accounts</w:t>
      </w:r>
    </w:p>
    <w:p w:rsidR="007C13D5" w:rsidRPr="00F51FA7" w:rsidRDefault="007C13D5" w:rsidP="00E36562">
      <w:pPr>
        <w:spacing w:after="0" w:line="240" w:lineRule="auto"/>
        <w:jc w:val="both"/>
        <w:rPr>
          <w:rFonts w:ascii="Tahoma" w:hAnsi="Tahoma" w:cs="Tahoma"/>
          <w:b/>
        </w:rPr>
      </w:pPr>
    </w:p>
    <w:p w:rsidR="007C13D5" w:rsidRPr="00F51FA7" w:rsidRDefault="007C13D5" w:rsidP="00E36562">
      <w:pPr>
        <w:spacing w:after="0" w:line="240" w:lineRule="auto"/>
        <w:jc w:val="both"/>
        <w:rPr>
          <w:rFonts w:ascii="Tahoma" w:hAnsi="Tahoma" w:cs="Tahoma"/>
        </w:rPr>
      </w:pPr>
      <w:r w:rsidRPr="00F51FA7">
        <w:rPr>
          <w:rFonts w:ascii="Tahoma" w:hAnsi="Tahoma" w:cs="Tahoma"/>
        </w:rPr>
        <w:t>Board of Directors may prepare revised financial statement and board report in respect of any of the 3 preceding financial years after obtaining the approval from NCLT, if they believe that financial statements or report does not com</w:t>
      </w:r>
      <w:r w:rsidR="00BE0C11" w:rsidRPr="00F51FA7">
        <w:rPr>
          <w:rFonts w:ascii="Tahoma" w:hAnsi="Tahoma" w:cs="Tahoma"/>
        </w:rPr>
        <w:t>ply with the relevant provisions.</w:t>
      </w:r>
    </w:p>
    <w:p w:rsidR="00BE0C11" w:rsidRPr="00F51FA7" w:rsidRDefault="00BE0C11" w:rsidP="00E36562">
      <w:pPr>
        <w:spacing w:after="0" w:line="240" w:lineRule="auto"/>
        <w:jc w:val="both"/>
        <w:rPr>
          <w:rFonts w:ascii="Tahoma" w:hAnsi="Tahoma" w:cs="Tahoma"/>
        </w:rPr>
      </w:pPr>
    </w:p>
    <w:p w:rsidR="00BE0C11" w:rsidRPr="00F51FA7" w:rsidRDefault="00BE0C11" w:rsidP="00E36562">
      <w:pPr>
        <w:spacing w:after="0" w:line="240" w:lineRule="auto"/>
        <w:jc w:val="both"/>
        <w:rPr>
          <w:rFonts w:ascii="Tahoma" w:hAnsi="Tahoma" w:cs="Tahoma"/>
          <w:b/>
        </w:rPr>
      </w:pPr>
      <w:r w:rsidRPr="00F51FA7">
        <w:rPr>
          <w:rFonts w:ascii="Tahoma" w:hAnsi="Tahoma" w:cs="Tahoma"/>
          <w:b/>
        </w:rPr>
        <w:t>Mandatory Reopening / Recasting of books of accounts</w:t>
      </w:r>
    </w:p>
    <w:p w:rsidR="00BE0C11" w:rsidRPr="00F51FA7" w:rsidRDefault="00BE0C11" w:rsidP="00E36562">
      <w:pPr>
        <w:spacing w:after="0" w:line="240" w:lineRule="auto"/>
        <w:jc w:val="both"/>
        <w:rPr>
          <w:rFonts w:ascii="Tahoma" w:hAnsi="Tahoma" w:cs="Tahoma"/>
          <w:b/>
        </w:rPr>
      </w:pPr>
    </w:p>
    <w:p w:rsidR="00BE0C11" w:rsidRPr="00F51FA7" w:rsidRDefault="00EA022D" w:rsidP="00E36562">
      <w:pPr>
        <w:spacing w:after="0" w:line="240" w:lineRule="auto"/>
        <w:jc w:val="both"/>
        <w:rPr>
          <w:rFonts w:ascii="Tahoma" w:hAnsi="Tahoma" w:cs="Tahoma"/>
        </w:rPr>
      </w:pPr>
      <w:r w:rsidRPr="00F51FA7">
        <w:rPr>
          <w:rFonts w:ascii="Tahoma" w:hAnsi="Tahoma" w:cs="Tahoma"/>
        </w:rPr>
        <w:t>A company can reopen its books of accounts or recast its financial statements on</w:t>
      </w:r>
      <w:r w:rsidR="002F549E" w:rsidRPr="00F51FA7">
        <w:rPr>
          <w:rFonts w:ascii="Tahoma" w:hAnsi="Tahoma" w:cs="Tahoma"/>
        </w:rPr>
        <w:t xml:space="preserve"> an application made by CG, IT authorities, SEBI or any other statutory regulatory authority</w:t>
      </w:r>
      <w:r w:rsidR="00863338" w:rsidRPr="00F51FA7">
        <w:rPr>
          <w:rFonts w:ascii="Tahoma" w:hAnsi="Tahoma" w:cs="Tahoma"/>
        </w:rPr>
        <w:t xml:space="preserve"> and on an order being made by a Court or NCLT, on</w:t>
      </w:r>
      <w:r w:rsidRPr="00F51FA7">
        <w:rPr>
          <w:rFonts w:ascii="Tahoma" w:hAnsi="Tahoma" w:cs="Tahoma"/>
        </w:rPr>
        <w:t xml:space="preserve"> the below grounds:</w:t>
      </w:r>
    </w:p>
    <w:p w:rsidR="00EA022D" w:rsidRPr="00F51FA7" w:rsidRDefault="002F549E" w:rsidP="00EA022D">
      <w:pPr>
        <w:pStyle w:val="ListParagraph"/>
        <w:numPr>
          <w:ilvl w:val="0"/>
          <w:numId w:val="4"/>
        </w:numPr>
        <w:spacing w:after="0" w:line="240" w:lineRule="auto"/>
        <w:jc w:val="both"/>
        <w:rPr>
          <w:rFonts w:ascii="Tahoma" w:hAnsi="Tahoma" w:cs="Tahoma"/>
        </w:rPr>
      </w:pPr>
      <w:r w:rsidRPr="00F51FA7">
        <w:rPr>
          <w:rFonts w:ascii="Tahoma" w:hAnsi="Tahoma" w:cs="Tahoma"/>
        </w:rPr>
        <w:t>relevant earlier accounts were prepared in a fraudulent manner, or</w:t>
      </w:r>
    </w:p>
    <w:p w:rsidR="002F549E" w:rsidRPr="00F51FA7" w:rsidRDefault="002F549E" w:rsidP="00EA022D">
      <w:pPr>
        <w:pStyle w:val="ListParagraph"/>
        <w:numPr>
          <w:ilvl w:val="0"/>
          <w:numId w:val="4"/>
        </w:numPr>
        <w:spacing w:after="0" w:line="240" w:lineRule="auto"/>
        <w:jc w:val="both"/>
        <w:rPr>
          <w:rFonts w:ascii="Tahoma" w:hAnsi="Tahoma" w:cs="Tahoma"/>
        </w:rPr>
      </w:pPr>
      <w:r w:rsidRPr="00F51FA7">
        <w:rPr>
          <w:rFonts w:ascii="Tahoma" w:hAnsi="Tahoma" w:cs="Tahoma"/>
        </w:rPr>
        <w:t>affairs of the company are mismanaged during the relevant year giving a doubt on the reliability of the financial statements</w:t>
      </w:r>
      <w:r w:rsidR="00CA1E21" w:rsidRPr="00F51FA7">
        <w:rPr>
          <w:rFonts w:ascii="Tahoma" w:hAnsi="Tahoma" w:cs="Tahoma"/>
        </w:rPr>
        <w:t>.</w:t>
      </w:r>
    </w:p>
    <w:p w:rsidR="001F25E5" w:rsidRPr="00F51FA7" w:rsidRDefault="001F25E5" w:rsidP="001F25E5">
      <w:pPr>
        <w:spacing w:after="0" w:line="240" w:lineRule="auto"/>
        <w:jc w:val="both"/>
        <w:rPr>
          <w:rFonts w:ascii="Tahoma" w:hAnsi="Tahoma" w:cs="Tahoma"/>
        </w:rPr>
      </w:pPr>
    </w:p>
    <w:p w:rsidR="00C07576" w:rsidRPr="00F51FA7" w:rsidRDefault="00C07576" w:rsidP="001F25E5">
      <w:pPr>
        <w:spacing w:after="0" w:line="240" w:lineRule="auto"/>
        <w:jc w:val="both"/>
        <w:rPr>
          <w:rFonts w:ascii="Tahoma" w:hAnsi="Tahoma" w:cs="Tahoma"/>
          <w:b/>
        </w:rPr>
      </w:pPr>
      <w:r w:rsidRPr="00F51FA7">
        <w:rPr>
          <w:rFonts w:ascii="Tahoma" w:hAnsi="Tahoma" w:cs="Tahoma"/>
          <w:b/>
        </w:rPr>
        <w:t>Audited Accounts</w:t>
      </w:r>
    </w:p>
    <w:p w:rsidR="001F25E5" w:rsidRPr="00F51FA7" w:rsidRDefault="001F25E5" w:rsidP="001F25E5">
      <w:pPr>
        <w:spacing w:after="0" w:line="240" w:lineRule="auto"/>
        <w:jc w:val="both"/>
        <w:rPr>
          <w:rFonts w:ascii="Tahoma" w:hAnsi="Tahoma" w:cs="Tahoma"/>
        </w:rPr>
      </w:pPr>
    </w:p>
    <w:p w:rsidR="00C07576" w:rsidRPr="00F51FA7" w:rsidRDefault="00C07576" w:rsidP="001F25E5">
      <w:pPr>
        <w:spacing w:after="0" w:line="240" w:lineRule="auto"/>
        <w:jc w:val="both"/>
        <w:rPr>
          <w:rFonts w:ascii="Tahoma" w:hAnsi="Tahoma" w:cs="Tahoma"/>
        </w:rPr>
      </w:pPr>
      <w:r w:rsidRPr="00F51FA7">
        <w:rPr>
          <w:rFonts w:ascii="Tahoma" w:hAnsi="Tahoma" w:cs="Tahoma"/>
        </w:rPr>
        <w:t xml:space="preserve">Audited Accounts of </w:t>
      </w:r>
      <w:r w:rsidR="007A2C86" w:rsidRPr="00F51FA7">
        <w:rPr>
          <w:rFonts w:ascii="Tahoma" w:hAnsi="Tahoma" w:cs="Tahoma"/>
        </w:rPr>
        <w:t>all the subsidiaries are required to be provided to the shareholders on request.</w:t>
      </w:r>
    </w:p>
    <w:p w:rsidR="007A2C86" w:rsidRPr="00F51FA7" w:rsidRDefault="007A2C86" w:rsidP="001F25E5">
      <w:pPr>
        <w:spacing w:after="0" w:line="240" w:lineRule="auto"/>
        <w:jc w:val="both"/>
        <w:rPr>
          <w:rFonts w:ascii="Tahoma" w:hAnsi="Tahoma" w:cs="Tahoma"/>
        </w:rPr>
      </w:pPr>
    </w:p>
    <w:p w:rsidR="007A2C86" w:rsidRPr="00F51FA7" w:rsidRDefault="007A2C86" w:rsidP="001F25E5">
      <w:pPr>
        <w:spacing w:after="0" w:line="240" w:lineRule="auto"/>
        <w:jc w:val="both"/>
        <w:rPr>
          <w:rFonts w:ascii="Tahoma" w:hAnsi="Tahoma" w:cs="Tahoma"/>
          <w:b/>
        </w:rPr>
      </w:pPr>
      <w:r w:rsidRPr="00F51FA7">
        <w:rPr>
          <w:rFonts w:ascii="Tahoma" w:hAnsi="Tahoma" w:cs="Tahoma"/>
          <w:b/>
        </w:rPr>
        <w:t>Maintenance of Books of Accounts</w:t>
      </w:r>
    </w:p>
    <w:p w:rsidR="007A2C86" w:rsidRPr="00F51FA7" w:rsidRDefault="007A2C86" w:rsidP="001F25E5">
      <w:pPr>
        <w:spacing w:after="0" w:line="240" w:lineRule="auto"/>
        <w:jc w:val="both"/>
        <w:rPr>
          <w:rFonts w:ascii="Tahoma" w:hAnsi="Tahoma" w:cs="Tahoma"/>
          <w:b/>
        </w:rPr>
      </w:pPr>
    </w:p>
    <w:p w:rsidR="007A2C86" w:rsidRPr="00F51FA7" w:rsidRDefault="004F0BD1" w:rsidP="00E3401D">
      <w:pPr>
        <w:pStyle w:val="ListParagraph"/>
        <w:numPr>
          <w:ilvl w:val="0"/>
          <w:numId w:val="5"/>
        </w:numPr>
        <w:spacing w:after="0" w:line="240" w:lineRule="auto"/>
        <w:jc w:val="both"/>
        <w:rPr>
          <w:rFonts w:ascii="Tahoma" w:hAnsi="Tahoma" w:cs="Tahoma"/>
        </w:rPr>
      </w:pPr>
      <w:r w:rsidRPr="00F51FA7">
        <w:rPr>
          <w:rFonts w:ascii="Tahoma" w:hAnsi="Tahoma" w:cs="Tahoma"/>
        </w:rPr>
        <w:t>According to Section 128 of 2013 Act, books of accounts are required to be maintained in el</w:t>
      </w:r>
      <w:r w:rsidR="000F4D27" w:rsidRPr="00F51FA7">
        <w:rPr>
          <w:rFonts w:ascii="Tahoma" w:hAnsi="Tahoma" w:cs="Tahoma"/>
        </w:rPr>
        <w:t>ectronic mode as prescribed.</w:t>
      </w:r>
    </w:p>
    <w:p w:rsidR="00E3401D" w:rsidRPr="00F51FA7" w:rsidRDefault="00E3401D" w:rsidP="00E3401D">
      <w:pPr>
        <w:pStyle w:val="ListParagraph"/>
        <w:numPr>
          <w:ilvl w:val="0"/>
          <w:numId w:val="5"/>
        </w:numPr>
        <w:spacing w:after="0" w:line="240" w:lineRule="auto"/>
        <w:jc w:val="both"/>
        <w:rPr>
          <w:rFonts w:ascii="Tahoma" w:hAnsi="Tahoma" w:cs="Tahoma"/>
        </w:rPr>
      </w:pPr>
      <w:r w:rsidRPr="00F51FA7">
        <w:rPr>
          <w:rFonts w:ascii="Tahoma" w:hAnsi="Tahoma" w:cs="Tahoma"/>
        </w:rPr>
        <w:t>Books of Accounts are required to be kept for 8 years.</w:t>
      </w:r>
    </w:p>
    <w:p w:rsidR="00E3401D" w:rsidRPr="00F51FA7" w:rsidRDefault="00E3401D" w:rsidP="00E3401D">
      <w:pPr>
        <w:spacing w:after="0" w:line="240" w:lineRule="auto"/>
        <w:jc w:val="both"/>
        <w:rPr>
          <w:rFonts w:ascii="Tahoma" w:hAnsi="Tahoma" w:cs="Tahoma"/>
        </w:rPr>
      </w:pPr>
    </w:p>
    <w:p w:rsidR="00E3401D" w:rsidRPr="00F51FA7" w:rsidRDefault="00E3401D" w:rsidP="00E3401D">
      <w:pPr>
        <w:spacing w:after="0" w:line="240" w:lineRule="auto"/>
        <w:jc w:val="both"/>
        <w:rPr>
          <w:rFonts w:ascii="Tahoma" w:hAnsi="Tahoma" w:cs="Tahoma"/>
          <w:b/>
          <w:i/>
        </w:rPr>
      </w:pPr>
      <w:r w:rsidRPr="00F51FA7">
        <w:rPr>
          <w:rFonts w:ascii="Tahoma" w:hAnsi="Tahoma" w:cs="Tahoma"/>
          <w:b/>
          <w:i/>
        </w:rPr>
        <w:t>Exception</w:t>
      </w:r>
    </w:p>
    <w:p w:rsidR="000F4D27" w:rsidRPr="00F51FA7" w:rsidRDefault="000F4D27" w:rsidP="001F25E5">
      <w:pPr>
        <w:spacing w:after="0" w:line="240" w:lineRule="auto"/>
        <w:jc w:val="both"/>
        <w:rPr>
          <w:rFonts w:ascii="Tahoma" w:hAnsi="Tahoma" w:cs="Tahoma"/>
        </w:rPr>
      </w:pPr>
    </w:p>
    <w:p w:rsidR="00E3401D" w:rsidRPr="00F51FA7" w:rsidRDefault="00E3401D" w:rsidP="001F25E5">
      <w:pPr>
        <w:spacing w:after="0" w:line="240" w:lineRule="auto"/>
        <w:jc w:val="both"/>
        <w:rPr>
          <w:rFonts w:ascii="Tahoma" w:hAnsi="Tahoma" w:cs="Tahoma"/>
        </w:rPr>
      </w:pPr>
      <w:r w:rsidRPr="00F51FA7">
        <w:rPr>
          <w:rFonts w:ascii="Tahoma" w:hAnsi="Tahoma" w:cs="Tahoma"/>
        </w:rPr>
        <w:t>CG may direct to keep the books of accounts for the longer period</w:t>
      </w:r>
      <w:r w:rsidR="008C48B6" w:rsidRPr="00F51FA7">
        <w:rPr>
          <w:rFonts w:ascii="Tahoma" w:hAnsi="Tahoma" w:cs="Tahoma"/>
        </w:rPr>
        <w:t>, where any investigation has been ordered.</w:t>
      </w:r>
    </w:p>
    <w:sectPr w:rsidR="00E3401D" w:rsidRPr="00F51FA7" w:rsidSect="00261C7D">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C8729B"/>
    <w:multiLevelType w:val="hybridMultilevel"/>
    <w:tmpl w:val="DD2EAF2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5C0C06F4"/>
    <w:multiLevelType w:val="hybridMultilevel"/>
    <w:tmpl w:val="C1D6D09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60BC52D3"/>
    <w:multiLevelType w:val="hybridMultilevel"/>
    <w:tmpl w:val="5016EA4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65181489"/>
    <w:multiLevelType w:val="hybridMultilevel"/>
    <w:tmpl w:val="E8FA43B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660054A0"/>
    <w:multiLevelType w:val="hybridMultilevel"/>
    <w:tmpl w:val="72A8152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F37B4"/>
    <w:rsid w:val="000144DA"/>
    <w:rsid w:val="00042EA0"/>
    <w:rsid w:val="000463BB"/>
    <w:rsid w:val="00050D80"/>
    <w:rsid w:val="000860C4"/>
    <w:rsid w:val="000A17E4"/>
    <w:rsid w:val="000D7A9F"/>
    <w:rsid w:val="000F37B4"/>
    <w:rsid w:val="000F4D27"/>
    <w:rsid w:val="0017628C"/>
    <w:rsid w:val="001F25E5"/>
    <w:rsid w:val="002509CB"/>
    <w:rsid w:val="00261C7D"/>
    <w:rsid w:val="002B7319"/>
    <w:rsid w:val="002F549E"/>
    <w:rsid w:val="0030703A"/>
    <w:rsid w:val="00335C3B"/>
    <w:rsid w:val="003462D3"/>
    <w:rsid w:val="0039050B"/>
    <w:rsid w:val="003C506A"/>
    <w:rsid w:val="003C54F0"/>
    <w:rsid w:val="00446503"/>
    <w:rsid w:val="0046397E"/>
    <w:rsid w:val="004B0804"/>
    <w:rsid w:val="004B78AB"/>
    <w:rsid w:val="004E04AE"/>
    <w:rsid w:val="004F0A7E"/>
    <w:rsid w:val="004F0BD1"/>
    <w:rsid w:val="00546FDF"/>
    <w:rsid w:val="00576EAA"/>
    <w:rsid w:val="005A3FA1"/>
    <w:rsid w:val="006A5FCF"/>
    <w:rsid w:val="006F5E8C"/>
    <w:rsid w:val="00715E81"/>
    <w:rsid w:val="007A2C86"/>
    <w:rsid w:val="007C13D5"/>
    <w:rsid w:val="00817285"/>
    <w:rsid w:val="0082685B"/>
    <w:rsid w:val="00843E39"/>
    <w:rsid w:val="00863338"/>
    <w:rsid w:val="008C488D"/>
    <w:rsid w:val="008C48B6"/>
    <w:rsid w:val="008D48FB"/>
    <w:rsid w:val="008E73A8"/>
    <w:rsid w:val="00931FB0"/>
    <w:rsid w:val="00944C3C"/>
    <w:rsid w:val="00955B2D"/>
    <w:rsid w:val="00A70077"/>
    <w:rsid w:val="00A81CB0"/>
    <w:rsid w:val="00AC08DD"/>
    <w:rsid w:val="00AF110A"/>
    <w:rsid w:val="00B51616"/>
    <w:rsid w:val="00B768BA"/>
    <w:rsid w:val="00B93F64"/>
    <w:rsid w:val="00BB0C2C"/>
    <w:rsid w:val="00BD45A2"/>
    <w:rsid w:val="00BD48BD"/>
    <w:rsid w:val="00BE0C11"/>
    <w:rsid w:val="00C07576"/>
    <w:rsid w:val="00C16B5F"/>
    <w:rsid w:val="00C47D76"/>
    <w:rsid w:val="00C53E94"/>
    <w:rsid w:val="00C57B01"/>
    <w:rsid w:val="00CA1E21"/>
    <w:rsid w:val="00CC38A4"/>
    <w:rsid w:val="00D02F58"/>
    <w:rsid w:val="00D17AF1"/>
    <w:rsid w:val="00D80C2C"/>
    <w:rsid w:val="00D941BC"/>
    <w:rsid w:val="00D95AF7"/>
    <w:rsid w:val="00D9728C"/>
    <w:rsid w:val="00DC0866"/>
    <w:rsid w:val="00DC12A6"/>
    <w:rsid w:val="00E3401D"/>
    <w:rsid w:val="00E36562"/>
    <w:rsid w:val="00E53749"/>
    <w:rsid w:val="00E62059"/>
    <w:rsid w:val="00EA022D"/>
    <w:rsid w:val="00ED6C4F"/>
    <w:rsid w:val="00EF1CBD"/>
    <w:rsid w:val="00F05976"/>
    <w:rsid w:val="00F25B2C"/>
    <w:rsid w:val="00F368C3"/>
    <w:rsid w:val="00F51FA7"/>
    <w:rsid w:val="00F97DB7"/>
    <w:rsid w:val="00FA6E36"/>
    <w:rsid w:val="00FB7D1E"/>
    <w:rsid w:val="00FD4827"/>
    <w:rsid w:val="00FE6E64"/>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1C7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F97DB7"/>
    <w:rPr>
      <w:b/>
      <w:bCs/>
    </w:rPr>
  </w:style>
  <w:style w:type="paragraph" w:styleId="ListParagraph">
    <w:name w:val="List Paragraph"/>
    <w:basedOn w:val="Normal"/>
    <w:uiPriority w:val="34"/>
    <w:qFormat/>
    <w:rsid w:val="00DC12A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F97DB7"/>
    <w:rPr>
      <w:b/>
      <w:bCs/>
    </w:rPr>
  </w:style>
  <w:style w:type="paragraph" w:styleId="ListParagraph">
    <w:name w:val="List Paragraph"/>
    <w:basedOn w:val="Normal"/>
    <w:uiPriority w:val="34"/>
    <w:qFormat/>
    <w:rsid w:val="00DC12A6"/>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562</Words>
  <Characters>3207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Deepak Gupta</cp:lastModifiedBy>
  <cp:revision>2</cp:revision>
  <dcterms:created xsi:type="dcterms:W3CDTF">2013-12-17T13:13:00Z</dcterms:created>
  <dcterms:modified xsi:type="dcterms:W3CDTF">2013-12-17T13:13:00Z</dcterms:modified>
</cp:coreProperties>
</file>