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D52" w:rsidRDefault="00794D52" w:rsidP="00B45B61">
      <w:pPr>
        <w:jc w:val="both"/>
        <w:rPr>
          <w:b/>
          <w:sz w:val="24"/>
          <w:szCs w:val="24"/>
          <w:u w:val="single"/>
        </w:rPr>
      </w:pPr>
    </w:p>
    <w:p w:rsidR="004C7791" w:rsidRDefault="004F01EE" w:rsidP="00B45B61">
      <w:pPr>
        <w:jc w:val="both"/>
        <w:rPr>
          <w:b/>
          <w:sz w:val="24"/>
          <w:szCs w:val="24"/>
          <w:u w:val="single"/>
        </w:rPr>
      </w:pPr>
      <w:bookmarkStart w:id="0" w:name="_GoBack"/>
      <w:bookmarkEnd w:id="0"/>
      <w:r w:rsidRPr="004F01EE">
        <w:rPr>
          <w:b/>
          <w:sz w:val="24"/>
          <w:szCs w:val="24"/>
          <w:u w:val="single"/>
        </w:rPr>
        <w:t>One Person Company</w:t>
      </w:r>
    </w:p>
    <w:p w:rsidR="00B079E6" w:rsidRDefault="00B45B61" w:rsidP="000E4721">
      <w:pPr>
        <w:jc w:val="both"/>
        <w:rPr>
          <w:lang w:val="en-US"/>
        </w:rPr>
      </w:pPr>
      <w:r>
        <w:rPr>
          <w:lang w:val="en-US"/>
        </w:rPr>
        <w:t xml:space="preserve">With the introduction of concept of </w:t>
      </w:r>
      <w:r w:rsidR="000E4721">
        <w:rPr>
          <w:lang w:val="en-US"/>
        </w:rPr>
        <w:t>One Person Company (hereinafter “</w:t>
      </w:r>
      <w:r w:rsidR="000E4721">
        <w:rPr>
          <w:rStyle w:val="Strong"/>
          <w:lang w:val="en-US"/>
        </w:rPr>
        <w:t>OPC</w:t>
      </w:r>
      <w:r w:rsidR="000E4721">
        <w:rPr>
          <w:lang w:val="en-US"/>
        </w:rPr>
        <w:t>”)</w:t>
      </w:r>
      <w:r w:rsidR="00F6609A">
        <w:rPr>
          <w:lang w:val="en-US"/>
        </w:rPr>
        <w:t xml:space="preserve"> in </w:t>
      </w:r>
      <w:r w:rsidR="00F6609A">
        <w:rPr>
          <w:lang w:val="en-US"/>
        </w:rPr>
        <w:t>Companies Act, 2013 (hereinafter “</w:t>
      </w:r>
      <w:r w:rsidR="00F6609A">
        <w:rPr>
          <w:rStyle w:val="Strong"/>
          <w:lang w:val="en-US"/>
        </w:rPr>
        <w:t>2013 Ac</w:t>
      </w:r>
      <w:r w:rsidR="00F6609A">
        <w:rPr>
          <w:lang w:val="en-US"/>
        </w:rPr>
        <w:t>t”)</w:t>
      </w:r>
      <w:r>
        <w:rPr>
          <w:lang w:val="en-US"/>
        </w:rPr>
        <w:t>, i</w:t>
      </w:r>
      <w:r>
        <w:rPr>
          <w:lang w:val="en-US"/>
        </w:rPr>
        <w:t>ndividual</w:t>
      </w:r>
      <w:r>
        <w:rPr>
          <w:lang w:val="en-US"/>
        </w:rPr>
        <w:t>s</w:t>
      </w:r>
      <w:r>
        <w:rPr>
          <w:lang w:val="en-US"/>
        </w:rPr>
        <w:t xml:space="preserve"> doing business as sole proprietors will now be able to avail the benefits of limited liability without a second person to form a company</w:t>
      </w:r>
      <w:r w:rsidR="00F6609A">
        <w:rPr>
          <w:lang w:val="en-US"/>
        </w:rPr>
        <w:t xml:space="preserve">. </w:t>
      </w:r>
      <w:r>
        <w:rPr>
          <w:lang w:val="en-US"/>
        </w:rPr>
        <w:t>Under the Companies Act, 1956 (hereinafter “</w:t>
      </w:r>
      <w:r>
        <w:rPr>
          <w:rStyle w:val="Strong"/>
          <w:lang w:val="en-US"/>
        </w:rPr>
        <w:t>1956 Act</w:t>
      </w:r>
      <w:r>
        <w:rPr>
          <w:lang w:val="en-US"/>
        </w:rPr>
        <w:t>”) a private limited company is required to have a minimum of two shareholders and two directors.</w:t>
      </w:r>
    </w:p>
    <w:p w:rsidR="00B079E6" w:rsidRPr="005E71D5" w:rsidRDefault="00B079E6" w:rsidP="000E4721">
      <w:pPr>
        <w:jc w:val="both"/>
        <w:rPr>
          <w:b/>
          <w:lang w:val="en-US"/>
        </w:rPr>
      </w:pPr>
      <w:r w:rsidRPr="005E71D5">
        <w:rPr>
          <w:b/>
          <w:lang w:val="en-US"/>
        </w:rPr>
        <w:t>Definition</w:t>
      </w:r>
    </w:p>
    <w:p w:rsidR="000E4721" w:rsidRDefault="00E84293" w:rsidP="000E4721">
      <w:pPr>
        <w:jc w:val="both"/>
        <w:rPr>
          <w:lang w:val="en-US"/>
        </w:rPr>
      </w:pPr>
      <w:r>
        <w:rPr>
          <w:lang w:val="en-US"/>
        </w:rPr>
        <w:t>As per</w:t>
      </w:r>
      <w:r w:rsidR="00B079E6">
        <w:rPr>
          <w:lang w:val="en-US"/>
        </w:rPr>
        <w:t xml:space="preserve"> Section 2(62)(3) of the </w:t>
      </w:r>
      <w:r>
        <w:rPr>
          <w:lang w:val="en-US"/>
        </w:rPr>
        <w:t xml:space="preserve">2013 Act, </w:t>
      </w:r>
      <w:r w:rsidR="000E4721">
        <w:rPr>
          <w:lang w:val="en-US"/>
        </w:rPr>
        <w:t>OPC means a company which has only one person as member.</w:t>
      </w:r>
    </w:p>
    <w:p w:rsidR="00B079E6" w:rsidRPr="005E71D5" w:rsidRDefault="00B079E6" w:rsidP="00B079E6">
      <w:pPr>
        <w:jc w:val="both"/>
        <w:rPr>
          <w:b/>
          <w:lang w:val="en-US"/>
        </w:rPr>
      </w:pPr>
      <w:r w:rsidRPr="005E71D5">
        <w:rPr>
          <w:b/>
          <w:lang w:val="en-US"/>
        </w:rPr>
        <w:t>Incorporation</w:t>
      </w:r>
    </w:p>
    <w:p w:rsidR="00B079E6" w:rsidRPr="00B079E6" w:rsidRDefault="00B079E6" w:rsidP="00B079E6">
      <w:pPr>
        <w:jc w:val="both"/>
        <w:rPr>
          <w:lang w:val="en-US"/>
        </w:rPr>
      </w:pPr>
      <w:r>
        <w:rPr>
          <w:lang w:val="en-US"/>
        </w:rPr>
        <w:t>In terms of section 3(1)</w:t>
      </w:r>
      <w:r w:rsidRPr="00B079E6">
        <w:rPr>
          <w:lang w:val="en-US"/>
        </w:rPr>
        <w:t>(c) of the 2013 Act, an OPC may be formed for any lawful purpose by one person. Salient features in relation to incorporation include:</w:t>
      </w:r>
    </w:p>
    <w:p w:rsidR="00B079E6" w:rsidRPr="005B3CEA" w:rsidRDefault="00B079E6" w:rsidP="005B3CEA">
      <w:pPr>
        <w:pStyle w:val="ListParagraph"/>
        <w:numPr>
          <w:ilvl w:val="0"/>
          <w:numId w:val="1"/>
        </w:numPr>
        <w:jc w:val="both"/>
        <w:rPr>
          <w:lang w:val="en-US"/>
        </w:rPr>
      </w:pPr>
      <w:r w:rsidRPr="005B3CEA">
        <w:rPr>
          <w:lang w:val="en-US"/>
        </w:rPr>
        <w:t>The memorandum of an OPC shall indicate the name of another person, with his prior written consent, who shall, in the event of the subscriber’s death or his incapacity to contract become the member of the company.</w:t>
      </w:r>
    </w:p>
    <w:p w:rsidR="00B079E6" w:rsidRDefault="00B079E6" w:rsidP="005B3CEA">
      <w:pPr>
        <w:pStyle w:val="ListParagraph"/>
        <w:numPr>
          <w:ilvl w:val="0"/>
          <w:numId w:val="1"/>
        </w:numPr>
        <w:jc w:val="both"/>
        <w:rPr>
          <w:lang w:val="en-US"/>
        </w:rPr>
      </w:pPr>
      <w:r w:rsidRPr="005B3CEA">
        <w:rPr>
          <w:lang w:val="en-US"/>
        </w:rPr>
        <w:t>The written consent of such person shall also be filed with the registrar of companies at the time of incorporation of the OPC along with its memorandum and articles.</w:t>
      </w:r>
    </w:p>
    <w:p w:rsidR="009E1B29" w:rsidRDefault="009E1B29" w:rsidP="009E1B29">
      <w:pPr>
        <w:pStyle w:val="ListParagraph"/>
        <w:numPr>
          <w:ilvl w:val="0"/>
          <w:numId w:val="1"/>
        </w:numPr>
        <w:jc w:val="both"/>
        <w:rPr>
          <w:lang w:val="en-US"/>
        </w:rPr>
      </w:pPr>
      <w:r w:rsidRPr="009E1B29">
        <w:rPr>
          <w:lang w:val="en-US"/>
        </w:rPr>
        <w:t>The member of OPC may at any time change the name of such nominee by giving notice as prescribed. [Section 3(1)]</w:t>
      </w:r>
    </w:p>
    <w:p w:rsidR="009E1B29" w:rsidRPr="005B3CEA" w:rsidRDefault="009E1B29" w:rsidP="009E1B29">
      <w:pPr>
        <w:pStyle w:val="ListParagraph"/>
        <w:numPr>
          <w:ilvl w:val="0"/>
          <w:numId w:val="1"/>
        </w:numPr>
        <w:jc w:val="both"/>
        <w:rPr>
          <w:lang w:val="en-US"/>
        </w:rPr>
      </w:pPr>
      <w:r w:rsidRPr="009E1B29">
        <w:rPr>
          <w:lang w:val="en-US"/>
        </w:rPr>
        <w:t>The notice by the member of OPC as stated above must be provided by the OPC to the registrar of companies once the same is intimated by the member to the OPC. Any change in the name of nominee shall not be deemed to be an alteration of the memorandum. [Section 3(1)]</w:t>
      </w:r>
    </w:p>
    <w:p w:rsidR="00B079E6" w:rsidRPr="005B3CEA" w:rsidRDefault="00B079E6" w:rsidP="005B3CEA">
      <w:pPr>
        <w:pStyle w:val="ListParagraph"/>
        <w:numPr>
          <w:ilvl w:val="0"/>
          <w:numId w:val="1"/>
        </w:numPr>
        <w:jc w:val="both"/>
        <w:rPr>
          <w:lang w:val="en-US"/>
        </w:rPr>
      </w:pPr>
      <w:r w:rsidRPr="005B3CEA">
        <w:rPr>
          <w:lang w:val="en-US"/>
        </w:rPr>
        <w:t>The words ‘‘One Person Company’’ must be mentioned in brackets below the name of such company, wherever its name is printed, affixed or engraved. [Second proviso to Section 12(3)]</w:t>
      </w:r>
    </w:p>
    <w:p w:rsidR="00B079E6" w:rsidRPr="005B3CEA" w:rsidRDefault="00B079E6" w:rsidP="005B3CEA">
      <w:pPr>
        <w:pStyle w:val="ListParagraph"/>
        <w:numPr>
          <w:ilvl w:val="0"/>
          <w:numId w:val="1"/>
        </w:numPr>
        <w:jc w:val="both"/>
        <w:rPr>
          <w:lang w:val="en-US"/>
        </w:rPr>
      </w:pPr>
      <w:r w:rsidRPr="005B3CEA">
        <w:rPr>
          <w:lang w:val="en-US"/>
        </w:rPr>
        <w:t>A person can incorporate a maximum of 5 OPCs. [Rule 2.1(2)]</w:t>
      </w:r>
    </w:p>
    <w:p w:rsidR="00B079E6" w:rsidRPr="005B3CEA" w:rsidRDefault="00B079E6" w:rsidP="005B3CEA">
      <w:pPr>
        <w:pStyle w:val="ListParagraph"/>
        <w:numPr>
          <w:ilvl w:val="0"/>
          <w:numId w:val="1"/>
        </w:numPr>
        <w:jc w:val="both"/>
        <w:rPr>
          <w:lang w:val="en-US"/>
        </w:rPr>
      </w:pPr>
      <w:r w:rsidRPr="005B3CEA">
        <w:rPr>
          <w:lang w:val="en-US"/>
        </w:rPr>
        <w:t>Only natural persons can incorporate an OPC. Also, the person incorporating an OPC must be an Indian citizen who has stayed in India for at least 182 days during the immediately preceding one financial year. [Rule 2.1(1)]</w:t>
      </w:r>
    </w:p>
    <w:p w:rsidR="00D92A5D" w:rsidRPr="00D92A5D" w:rsidRDefault="00D92A5D" w:rsidP="00022F09">
      <w:pPr>
        <w:jc w:val="both"/>
        <w:rPr>
          <w:b/>
        </w:rPr>
      </w:pPr>
      <w:r w:rsidRPr="00D92A5D">
        <w:rPr>
          <w:b/>
        </w:rPr>
        <w:t>Compliances</w:t>
      </w:r>
    </w:p>
    <w:p w:rsidR="004F01EE" w:rsidRDefault="000C7BA1" w:rsidP="00022F09">
      <w:pPr>
        <w:jc w:val="both"/>
      </w:pPr>
      <w:r>
        <w:t>Sec 2(68) of the 2013 Act defines Private Company which includes OPC. Thus all those provisions which are applicable to Private Companies are applicable to OPCs.</w:t>
      </w:r>
      <w:r w:rsidR="00D92A5D">
        <w:t xml:space="preserve"> However, OPCs are provided with certain exemptions in 2013 Act which are as follows:</w:t>
      </w:r>
    </w:p>
    <w:p w:rsidR="00D92A5D" w:rsidRDefault="00D92A5D" w:rsidP="009B7D84">
      <w:pPr>
        <w:pStyle w:val="ListParagraph"/>
        <w:numPr>
          <w:ilvl w:val="0"/>
          <w:numId w:val="2"/>
        </w:numPr>
        <w:jc w:val="both"/>
      </w:pPr>
      <w:r>
        <w:t>OPC is not required to prepare cash flow statement as a part of financial statement. [Section 2(40)]</w:t>
      </w:r>
    </w:p>
    <w:p w:rsidR="00D92A5D" w:rsidRDefault="00D92A5D" w:rsidP="009B7D84">
      <w:pPr>
        <w:pStyle w:val="ListParagraph"/>
        <w:numPr>
          <w:ilvl w:val="0"/>
          <w:numId w:val="2"/>
        </w:numPr>
        <w:jc w:val="both"/>
      </w:pPr>
      <w:r>
        <w:lastRenderedPageBreak/>
        <w:t>In case an OPC does not have a company secretary, the annual return can be signed by the director of the company. [Proviso to section 92(1)]</w:t>
      </w:r>
    </w:p>
    <w:p w:rsidR="00D92A5D" w:rsidRDefault="00D92A5D" w:rsidP="009B7D84">
      <w:pPr>
        <w:pStyle w:val="ListParagraph"/>
        <w:numPr>
          <w:ilvl w:val="0"/>
          <w:numId w:val="2"/>
        </w:numPr>
        <w:jc w:val="both"/>
      </w:pPr>
      <w:r>
        <w:t>An OPC is not required to hold an annual general meeting. [Section 96(1)]</w:t>
      </w:r>
    </w:p>
    <w:p w:rsidR="00D92A5D" w:rsidRDefault="00D92A5D" w:rsidP="009B7D84">
      <w:pPr>
        <w:pStyle w:val="ListParagraph"/>
        <w:numPr>
          <w:ilvl w:val="0"/>
          <w:numId w:val="2"/>
        </w:numPr>
        <w:spacing w:after="0"/>
        <w:jc w:val="both"/>
      </w:pPr>
      <w:r>
        <w:t>The provisions of the following sections shall not apply to an OPC -</w:t>
      </w:r>
    </w:p>
    <w:p w:rsidR="00D92A5D" w:rsidRDefault="00D92A5D" w:rsidP="009B7D84">
      <w:pPr>
        <w:spacing w:after="0" w:line="240" w:lineRule="auto"/>
        <w:ind w:firstLine="720"/>
        <w:jc w:val="both"/>
      </w:pPr>
      <w:r>
        <w:t>(a) Section 98: Power of Tribunal to call meetings of members, etc.</w:t>
      </w:r>
    </w:p>
    <w:p w:rsidR="00D92A5D" w:rsidRDefault="00D92A5D" w:rsidP="009B7D84">
      <w:pPr>
        <w:spacing w:after="0" w:line="240" w:lineRule="auto"/>
        <w:ind w:firstLine="720"/>
        <w:jc w:val="both"/>
      </w:pPr>
      <w:r>
        <w:t>(b) Section 100: Calling of extraordinary general meeting</w:t>
      </w:r>
    </w:p>
    <w:p w:rsidR="00D92A5D" w:rsidRDefault="00D92A5D" w:rsidP="009B7D84">
      <w:pPr>
        <w:spacing w:after="0" w:line="240" w:lineRule="auto"/>
        <w:ind w:firstLine="720"/>
        <w:jc w:val="both"/>
      </w:pPr>
      <w:r>
        <w:t>(c) Section 101: Notice of meeting</w:t>
      </w:r>
    </w:p>
    <w:p w:rsidR="00D92A5D" w:rsidRDefault="00D92A5D" w:rsidP="009B7D84">
      <w:pPr>
        <w:spacing w:after="0" w:line="240" w:lineRule="auto"/>
        <w:ind w:firstLine="720"/>
        <w:jc w:val="both"/>
      </w:pPr>
      <w:r>
        <w:t>(d) Section 102: Statement to be annexed to notice</w:t>
      </w:r>
    </w:p>
    <w:p w:rsidR="00D92A5D" w:rsidRDefault="00D92A5D" w:rsidP="009B7D84">
      <w:pPr>
        <w:spacing w:after="0" w:line="240" w:lineRule="auto"/>
        <w:ind w:firstLine="720"/>
        <w:jc w:val="both"/>
      </w:pPr>
      <w:r>
        <w:t>(e) Section 103: Quorum for meetings</w:t>
      </w:r>
    </w:p>
    <w:p w:rsidR="00D92A5D" w:rsidRDefault="00D92A5D" w:rsidP="009B7D84">
      <w:pPr>
        <w:spacing w:after="0" w:line="240" w:lineRule="auto"/>
        <w:ind w:firstLine="720"/>
        <w:jc w:val="both"/>
      </w:pPr>
      <w:r>
        <w:t>(f) Section 104: Chairman of meetings</w:t>
      </w:r>
    </w:p>
    <w:p w:rsidR="00D92A5D" w:rsidRDefault="00D92A5D" w:rsidP="009B7D84">
      <w:pPr>
        <w:spacing w:after="0" w:line="240" w:lineRule="auto"/>
        <w:ind w:firstLine="720"/>
        <w:jc w:val="both"/>
      </w:pPr>
      <w:r>
        <w:t>(g) Section 105: Proxies</w:t>
      </w:r>
    </w:p>
    <w:p w:rsidR="00D92A5D" w:rsidRDefault="00D92A5D" w:rsidP="009B7D84">
      <w:pPr>
        <w:spacing w:after="0" w:line="240" w:lineRule="auto"/>
        <w:ind w:firstLine="720"/>
        <w:jc w:val="both"/>
      </w:pPr>
      <w:r>
        <w:t>(h) Section 106: Restriction on voting rights</w:t>
      </w:r>
    </w:p>
    <w:p w:rsidR="00D92A5D" w:rsidRDefault="00D92A5D" w:rsidP="009B7D84">
      <w:pPr>
        <w:spacing w:after="0" w:line="240" w:lineRule="auto"/>
        <w:ind w:firstLine="720"/>
        <w:jc w:val="both"/>
      </w:pPr>
      <w:r>
        <w:t>(i) Section 107: Voting by show of hands</w:t>
      </w:r>
    </w:p>
    <w:p w:rsidR="00D92A5D" w:rsidRDefault="00D92A5D" w:rsidP="009B7D84">
      <w:pPr>
        <w:spacing w:after="0" w:line="240" w:lineRule="auto"/>
        <w:ind w:firstLine="720"/>
        <w:jc w:val="both"/>
      </w:pPr>
      <w:r>
        <w:t>(j) Section 108: Voting through electronic means</w:t>
      </w:r>
    </w:p>
    <w:p w:rsidR="00D92A5D" w:rsidRDefault="00D92A5D" w:rsidP="009B7D84">
      <w:pPr>
        <w:spacing w:after="0" w:line="240" w:lineRule="auto"/>
        <w:ind w:firstLine="720"/>
        <w:jc w:val="both"/>
      </w:pPr>
      <w:r>
        <w:t>(k) Section 109: Demand for poll</w:t>
      </w:r>
    </w:p>
    <w:p w:rsidR="00D92A5D" w:rsidRDefault="00D92A5D" w:rsidP="009B7D84">
      <w:pPr>
        <w:spacing w:after="0" w:line="240" w:lineRule="auto"/>
        <w:ind w:firstLine="720"/>
        <w:jc w:val="both"/>
      </w:pPr>
      <w:r>
        <w:t>(l) Section 110: Postal ballot</w:t>
      </w:r>
    </w:p>
    <w:p w:rsidR="00D92A5D" w:rsidRDefault="00D92A5D" w:rsidP="009B7D84">
      <w:pPr>
        <w:spacing w:after="0" w:line="240" w:lineRule="auto"/>
        <w:ind w:firstLine="720"/>
        <w:jc w:val="both"/>
      </w:pPr>
      <w:r>
        <w:t>(m) Section 111: Circulation of members’ resolution</w:t>
      </w:r>
    </w:p>
    <w:p w:rsidR="009B7D84" w:rsidRDefault="009B7D84" w:rsidP="009B7D84">
      <w:pPr>
        <w:spacing w:after="0" w:line="240" w:lineRule="auto"/>
        <w:ind w:firstLine="720"/>
        <w:jc w:val="both"/>
      </w:pPr>
    </w:p>
    <w:p w:rsidR="00103D83" w:rsidRDefault="00D92A5D" w:rsidP="00103D83">
      <w:pPr>
        <w:pStyle w:val="ListParagraph"/>
        <w:numPr>
          <w:ilvl w:val="0"/>
          <w:numId w:val="3"/>
        </w:numPr>
        <w:jc w:val="both"/>
      </w:pPr>
      <w:r>
        <w:t>The minimum number of directors in the case of an OPC has been limited to one. [Section 149(1)(a)]</w:t>
      </w:r>
    </w:p>
    <w:p w:rsidR="00744DDD" w:rsidRDefault="00D92A5D" w:rsidP="00103D83">
      <w:pPr>
        <w:pStyle w:val="ListParagraph"/>
        <w:numPr>
          <w:ilvl w:val="0"/>
          <w:numId w:val="3"/>
        </w:numPr>
        <w:jc w:val="both"/>
      </w:pPr>
      <w:r>
        <w:t xml:space="preserve">An OPC must conduct at least 1 meeting of the board of directors in each half of a calendar year with a gap of at least 90 days between the 2 meetings. </w:t>
      </w:r>
    </w:p>
    <w:p w:rsidR="00D92A5D" w:rsidRDefault="00D92A5D" w:rsidP="00103D83">
      <w:pPr>
        <w:pStyle w:val="ListParagraph"/>
        <w:numPr>
          <w:ilvl w:val="0"/>
          <w:numId w:val="3"/>
        </w:numPr>
        <w:jc w:val="both"/>
      </w:pPr>
      <w:r>
        <w:t>For an OPC having only 1 director, the provisions of section 173 (Meetings of board) and section 174 (Quorum for meetings of board) will not apply. [Section 173(5)]</w:t>
      </w:r>
      <w:r w:rsidR="005714EE">
        <w:t>.</w:t>
      </w:r>
    </w:p>
    <w:p w:rsidR="005714EE" w:rsidRDefault="002C6392" w:rsidP="00103D83">
      <w:pPr>
        <w:pStyle w:val="ListParagraph"/>
        <w:numPr>
          <w:ilvl w:val="0"/>
          <w:numId w:val="3"/>
        </w:numPr>
        <w:jc w:val="both"/>
      </w:pPr>
      <w:r>
        <w:t xml:space="preserve">As per Sec 193 of the 2013 Act, when an OPC enters into a </w:t>
      </w:r>
      <w:r w:rsidR="00E55DA5">
        <w:t>contract</w:t>
      </w:r>
      <w:r>
        <w:t xml:space="preserve"> with the sole member who is also the director of the company, the company shall</w:t>
      </w:r>
      <w:r w:rsidR="00E55DA5">
        <w:t xml:space="preserve"> ensure that the terms of contract </w:t>
      </w:r>
      <w:r>
        <w:t xml:space="preserve">are mentioned in the </w:t>
      </w:r>
      <w:r w:rsidR="00E55DA5">
        <w:t>memorandum or are recorded in the first Board meeting held after entering into contract.</w:t>
      </w:r>
      <w:r w:rsidR="0091602C">
        <w:t xml:space="preserve"> However no such requirement is there in case of </w:t>
      </w:r>
      <w:r w:rsidR="00EB19C2">
        <w:t>contract held in normal course of business.</w:t>
      </w:r>
      <w:r w:rsidR="00FD03E4">
        <w:t xml:space="preserve"> OPC has to intimate the Registrar about such contract within a period of 15 days from the date when accepted by Board of directors in meeting.</w:t>
      </w:r>
    </w:p>
    <w:p w:rsidR="00DD177C" w:rsidRDefault="00DD177C" w:rsidP="00DD177C">
      <w:pPr>
        <w:jc w:val="both"/>
        <w:rPr>
          <w:b/>
        </w:rPr>
      </w:pPr>
      <w:r w:rsidRPr="00DD177C">
        <w:rPr>
          <w:b/>
        </w:rPr>
        <w:t>Conversion</w:t>
      </w:r>
      <w:r>
        <w:rPr>
          <w:b/>
        </w:rPr>
        <w:t xml:space="preserve"> into Private</w:t>
      </w:r>
      <w:r w:rsidR="00365817">
        <w:rPr>
          <w:b/>
        </w:rPr>
        <w:t>/Public</w:t>
      </w:r>
      <w:r>
        <w:rPr>
          <w:b/>
        </w:rPr>
        <w:t xml:space="preserve"> Company</w:t>
      </w:r>
    </w:p>
    <w:p w:rsidR="00365817" w:rsidRDefault="00365817" w:rsidP="00DD177C">
      <w:pPr>
        <w:jc w:val="both"/>
      </w:pPr>
      <w:r w:rsidRPr="00365817">
        <w:t>OPC can get itself converted into a private or public company after increasing the minimum number of members and directors to two or minimum of seven members and three directors as the case may be, and by maintaining the minimum paid-up capital as per requirements of the 2013 Act for such class of company and by making compliance of section 18 of the 2013 Act for conversion.</w:t>
      </w:r>
    </w:p>
    <w:p w:rsidR="000E5F23" w:rsidRDefault="000E5F23" w:rsidP="000E5F23">
      <w:pPr>
        <w:jc w:val="both"/>
      </w:pPr>
      <w:r>
        <w:t>Sec 18 of 2013 Act, states that a</w:t>
      </w:r>
      <w:r>
        <w:t xml:space="preserve"> company of any class registered under this Act may convert itself as a</w:t>
      </w:r>
      <w:r>
        <w:t xml:space="preserve"> </w:t>
      </w:r>
      <w:r>
        <w:t>company of other class under this Act by alteration of memorandum and articles of the</w:t>
      </w:r>
      <w:r>
        <w:t xml:space="preserve"> </w:t>
      </w:r>
      <w:r>
        <w:t>company in accordance with the provisions of this Chapter.</w:t>
      </w:r>
    </w:p>
    <w:p w:rsidR="00BD05D5" w:rsidRDefault="00D22F33" w:rsidP="000E5F23">
      <w:pPr>
        <w:jc w:val="both"/>
      </w:pPr>
      <w:r>
        <w:t>Certain rules are prescribed according to which</w:t>
      </w:r>
      <w:r w:rsidRPr="00D22F33">
        <w:t xml:space="preserve"> </w:t>
      </w:r>
      <w:r>
        <w:t xml:space="preserve">an </w:t>
      </w:r>
      <w:r w:rsidRPr="00D22F33">
        <w:t>OPC will be mandatorily required to convert into a private or public company</w:t>
      </w:r>
      <w:r w:rsidR="00BD05D5">
        <w:t xml:space="preserve"> </w:t>
      </w:r>
    </w:p>
    <w:p w:rsidR="00BD05D5" w:rsidRDefault="00BD05D5" w:rsidP="00BD05D5">
      <w:pPr>
        <w:pStyle w:val="ListParagraph"/>
        <w:numPr>
          <w:ilvl w:val="0"/>
          <w:numId w:val="4"/>
        </w:numPr>
        <w:jc w:val="both"/>
      </w:pPr>
      <w:r>
        <w:t>W</w:t>
      </w:r>
      <w:r w:rsidR="00D22F33" w:rsidRPr="00D22F33">
        <w:t xml:space="preserve">here the paid up share capital of an OPC exceeds 50 lakh rupees or its average annual turnover during the period of immediately preceding three consecutive financial years exceeds 2 crore rupees, it will not be entitled to continue as an OPC. Such OPC shall be </w:t>
      </w:r>
      <w:r w:rsidR="00D22F33" w:rsidRPr="00D22F33">
        <w:lastRenderedPageBreak/>
        <w:t>required to convert itself into either a private company or a public company in accordance with the provisions of section 18 of the 2013 Act:</w:t>
      </w:r>
    </w:p>
    <w:p w:rsidR="00BD05D5" w:rsidRDefault="00D22F33" w:rsidP="00BD05D5">
      <w:pPr>
        <w:pStyle w:val="ListParagraph"/>
        <w:numPr>
          <w:ilvl w:val="0"/>
          <w:numId w:val="5"/>
        </w:numPr>
        <w:jc w:val="both"/>
      </w:pPr>
      <w:r w:rsidRPr="00D22F33">
        <w:t xml:space="preserve">within 6 months of the date on which its paid up share capital is increased beyond 50 lakh rupees; or </w:t>
      </w:r>
    </w:p>
    <w:p w:rsidR="006107D1" w:rsidRDefault="00D22F33" w:rsidP="00BD05D5">
      <w:pPr>
        <w:pStyle w:val="ListParagraph"/>
        <w:numPr>
          <w:ilvl w:val="0"/>
          <w:numId w:val="5"/>
        </w:numPr>
        <w:jc w:val="both"/>
      </w:pPr>
      <w:r w:rsidRPr="00D22F33">
        <w:t xml:space="preserve">last day of the period immediately preceding three consecutive financial years during which its average annual turnover exceeded 2 crore rupees; or </w:t>
      </w:r>
    </w:p>
    <w:p w:rsidR="00610E34" w:rsidRDefault="006107D1" w:rsidP="00BD05D5">
      <w:pPr>
        <w:pStyle w:val="ListParagraph"/>
        <w:numPr>
          <w:ilvl w:val="0"/>
          <w:numId w:val="5"/>
        </w:numPr>
        <w:jc w:val="both"/>
      </w:pPr>
      <w:r>
        <w:t>Close</w:t>
      </w:r>
      <w:r w:rsidR="00D22F33" w:rsidRPr="00D22F33">
        <w:t xml:space="preserve"> of the financial year during which its balance sheet total exceeded 1 c</w:t>
      </w:r>
      <w:r>
        <w:t>rore rupees, as the case may be</w:t>
      </w:r>
      <w:r w:rsidR="00D22F33" w:rsidRPr="00D22F33">
        <w:t>.</w:t>
      </w:r>
    </w:p>
    <w:p w:rsidR="002C3CB8" w:rsidRDefault="00D22F33" w:rsidP="00610E34">
      <w:pPr>
        <w:pStyle w:val="ListParagraph"/>
        <w:numPr>
          <w:ilvl w:val="0"/>
          <w:numId w:val="4"/>
        </w:numPr>
        <w:jc w:val="both"/>
      </w:pPr>
      <w:r w:rsidRPr="00D22F33">
        <w:t>The OPC is required to alter its memorandum and articles by passing an ordinary or special resolution in accordance with sub-section 5 (3) of section 122 of the 2013 Act to give effect to the conversion and to make necessary changes incidental thereto.</w:t>
      </w:r>
    </w:p>
    <w:p w:rsidR="00241A7B" w:rsidRPr="00365817" w:rsidRDefault="00241A7B" w:rsidP="00241A7B">
      <w:pPr>
        <w:jc w:val="both"/>
      </w:pPr>
      <w:r w:rsidRPr="00241A7B">
        <w:t xml:space="preserve">An OPC gives the advantage of limited liability </w:t>
      </w:r>
      <w:r>
        <w:t>and disadvantage like higher taxes as tax rate for company is comparatively higher, dividend distribution tax in case of distribution of profit as dividend</w:t>
      </w:r>
      <w:r w:rsidR="00EE4FD7">
        <w:t xml:space="preserve"> </w:t>
      </w:r>
      <w:r w:rsidR="00EE4FD7" w:rsidRPr="00241A7B">
        <w:t>to entrepreneurs</w:t>
      </w:r>
      <w:r>
        <w:t>.</w:t>
      </w:r>
    </w:p>
    <w:sectPr w:rsidR="00241A7B" w:rsidRPr="00365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79B"/>
    <w:multiLevelType w:val="hybridMultilevel"/>
    <w:tmpl w:val="028068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26069DC"/>
    <w:multiLevelType w:val="hybridMultilevel"/>
    <w:tmpl w:val="D21E5780"/>
    <w:lvl w:ilvl="0" w:tplc="53CC0D4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4C8B3442"/>
    <w:multiLevelType w:val="hybridMultilevel"/>
    <w:tmpl w:val="98822D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67D05F64"/>
    <w:multiLevelType w:val="hybridMultilevel"/>
    <w:tmpl w:val="E75674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7DAB6A30"/>
    <w:multiLevelType w:val="hybridMultilevel"/>
    <w:tmpl w:val="372878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001"/>
    <w:rsid w:val="00022F09"/>
    <w:rsid w:val="000C3DC8"/>
    <w:rsid w:val="000C7BA1"/>
    <w:rsid w:val="000E4721"/>
    <w:rsid w:val="000E5F23"/>
    <w:rsid w:val="00103D83"/>
    <w:rsid w:val="001429DA"/>
    <w:rsid w:val="00147D4D"/>
    <w:rsid w:val="00241A7B"/>
    <w:rsid w:val="00246D2F"/>
    <w:rsid w:val="002C1452"/>
    <w:rsid w:val="002C3CB8"/>
    <w:rsid w:val="002C6392"/>
    <w:rsid w:val="0030298E"/>
    <w:rsid w:val="00365817"/>
    <w:rsid w:val="004C7791"/>
    <w:rsid w:val="004F01EE"/>
    <w:rsid w:val="00511F7A"/>
    <w:rsid w:val="005714EE"/>
    <w:rsid w:val="005B3CEA"/>
    <w:rsid w:val="005E71D5"/>
    <w:rsid w:val="006107D1"/>
    <w:rsid w:val="00610E34"/>
    <w:rsid w:val="00677001"/>
    <w:rsid w:val="00744DDD"/>
    <w:rsid w:val="007474B7"/>
    <w:rsid w:val="00794D52"/>
    <w:rsid w:val="0091602C"/>
    <w:rsid w:val="0096744B"/>
    <w:rsid w:val="009B7D84"/>
    <w:rsid w:val="009E1B29"/>
    <w:rsid w:val="00B079E6"/>
    <w:rsid w:val="00B45B61"/>
    <w:rsid w:val="00BD05D5"/>
    <w:rsid w:val="00D22F33"/>
    <w:rsid w:val="00D35A18"/>
    <w:rsid w:val="00D92A5D"/>
    <w:rsid w:val="00DC034E"/>
    <w:rsid w:val="00DD177C"/>
    <w:rsid w:val="00E55DA5"/>
    <w:rsid w:val="00E84293"/>
    <w:rsid w:val="00EB19C2"/>
    <w:rsid w:val="00EE4FD7"/>
    <w:rsid w:val="00F6609A"/>
    <w:rsid w:val="00FD03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45B61"/>
    <w:rPr>
      <w:b/>
      <w:bCs/>
    </w:rPr>
  </w:style>
  <w:style w:type="paragraph" w:styleId="ListParagraph">
    <w:name w:val="List Paragraph"/>
    <w:basedOn w:val="Normal"/>
    <w:uiPriority w:val="34"/>
    <w:qFormat/>
    <w:rsid w:val="005B3C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45B61"/>
    <w:rPr>
      <w:b/>
      <w:bCs/>
    </w:rPr>
  </w:style>
  <w:style w:type="paragraph" w:styleId="ListParagraph">
    <w:name w:val="List Paragraph"/>
    <w:basedOn w:val="Normal"/>
    <w:uiPriority w:val="34"/>
    <w:qFormat/>
    <w:rsid w:val="005B3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463590">
      <w:bodyDiv w:val="1"/>
      <w:marLeft w:val="0"/>
      <w:marRight w:val="0"/>
      <w:marTop w:val="0"/>
      <w:marBottom w:val="0"/>
      <w:divBdr>
        <w:top w:val="none" w:sz="0" w:space="0" w:color="auto"/>
        <w:left w:val="none" w:sz="0" w:space="0" w:color="auto"/>
        <w:bottom w:val="none" w:sz="0" w:space="0" w:color="auto"/>
        <w:right w:val="none" w:sz="0" w:space="0" w:color="auto"/>
      </w:divBdr>
      <w:divsChild>
        <w:div w:id="124544168">
          <w:marLeft w:val="0"/>
          <w:marRight w:val="0"/>
          <w:marTop w:val="0"/>
          <w:marBottom w:val="0"/>
          <w:divBdr>
            <w:top w:val="none" w:sz="0" w:space="0" w:color="auto"/>
            <w:left w:val="none" w:sz="0" w:space="0" w:color="auto"/>
            <w:bottom w:val="none" w:sz="0" w:space="0" w:color="auto"/>
            <w:right w:val="none" w:sz="0" w:space="0" w:color="auto"/>
          </w:divBdr>
          <w:divsChild>
            <w:div w:id="1158155652">
              <w:marLeft w:val="0"/>
              <w:marRight w:val="0"/>
              <w:marTop w:val="0"/>
              <w:marBottom w:val="0"/>
              <w:divBdr>
                <w:top w:val="none" w:sz="0" w:space="0" w:color="auto"/>
                <w:left w:val="none" w:sz="0" w:space="0" w:color="auto"/>
                <w:bottom w:val="none" w:sz="0" w:space="0" w:color="auto"/>
                <w:right w:val="none" w:sz="0" w:space="0" w:color="auto"/>
              </w:divBdr>
              <w:divsChild>
                <w:div w:id="1473869037">
                  <w:marLeft w:val="0"/>
                  <w:marRight w:val="0"/>
                  <w:marTop w:val="0"/>
                  <w:marBottom w:val="0"/>
                  <w:divBdr>
                    <w:top w:val="none" w:sz="0" w:space="0" w:color="auto"/>
                    <w:left w:val="none" w:sz="0" w:space="0" w:color="auto"/>
                    <w:bottom w:val="none" w:sz="0" w:space="0" w:color="auto"/>
                    <w:right w:val="none" w:sz="0" w:space="0" w:color="auto"/>
                  </w:divBdr>
                  <w:divsChild>
                    <w:div w:id="390811732">
                      <w:marLeft w:val="0"/>
                      <w:marRight w:val="0"/>
                      <w:marTop w:val="0"/>
                      <w:marBottom w:val="0"/>
                      <w:divBdr>
                        <w:top w:val="none" w:sz="0" w:space="0" w:color="auto"/>
                        <w:left w:val="none" w:sz="0" w:space="0" w:color="auto"/>
                        <w:bottom w:val="none" w:sz="0" w:space="0" w:color="auto"/>
                        <w:right w:val="none" w:sz="0" w:space="0" w:color="auto"/>
                      </w:divBdr>
                      <w:divsChild>
                        <w:div w:id="1782217444">
                          <w:marLeft w:val="0"/>
                          <w:marRight w:val="0"/>
                          <w:marTop w:val="0"/>
                          <w:marBottom w:val="0"/>
                          <w:divBdr>
                            <w:top w:val="none" w:sz="0" w:space="0" w:color="auto"/>
                            <w:left w:val="none" w:sz="0" w:space="0" w:color="auto"/>
                            <w:bottom w:val="none" w:sz="0" w:space="0" w:color="auto"/>
                            <w:right w:val="none" w:sz="0" w:space="0" w:color="auto"/>
                          </w:divBdr>
                          <w:divsChild>
                            <w:div w:id="168991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2013-12-16T09:52:00Z</dcterms:created>
  <dcterms:modified xsi:type="dcterms:W3CDTF">2013-12-16T10:50:00Z</dcterms:modified>
</cp:coreProperties>
</file>