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FE" w:rsidRPr="008A538C" w:rsidRDefault="008A538C" w:rsidP="00C804FE">
      <w:pPr>
        <w:pStyle w:val="HANG"/>
        <w:spacing w:line="276" w:lineRule="auto"/>
        <w:jc w:val="center"/>
        <w:rPr>
          <w:rFonts w:ascii="Broadway" w:hAnsi="Broadway"/>
          <w:b/>
          <w:color w:val="000000" w:themeColor="text1"/>
          <w:sz w:val="52"/>
          <w:highlight w:val="lightGray"/>
        </w:rPr>
      </w:pPr>
      <w:r w:rsidRPr="008A538C">
        <w:rPr>
          <w:rFonts w:ascii="Broadway" w:hAnsi="Broadway"/>
          <w:b/>
          <w:color w:val="000000" w:themeColor="text1"/>
          <w:sz w:val="52"/>
          <w:highlight w:val="lightGray"/>
        </w:rPr>
        <w:t>W</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I</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N</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D</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I</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N</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G</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 xml:space="preserve"> U</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P</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 xml:space="preserve"> </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O</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F</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 xml:space="preserve"> </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C</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O</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M</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P</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A</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N</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I</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E</w:t>
      </w:r>
      <w:r>
        <w:rPr>
          <w:rFonts w:ascii="Broadway" w:hAnsi="Broadway"/>
          <w:b/>
          <w:color w:val="000000" w:themeColor="text1"/>
          <w:sz w:val="52"/>
          <w:highlight w:val="lightGray"/>
        </w:rPr>
        <w:t xml:space="preserve"> </w:t>
      </w:r>
      <w:r w:rsidRPr="008A538C">
        <w:rPr>
          <w:rFonts w:ascii="Broadway" w:hAnsi="Broadway"/>
          <w:b/>
          <w:color w:val="000000" w:themeColor="text1"/>
          <w:sz w:val="52"/>
          <w:highlight w:val="lightGray"/>
        </w:rPr>
        <w:t>S</w:t>
      </w:r>
    </w:p>
    <w:p w:rsidR="00C804FE" w:rsidRPr="00632822" w:rsidRDefault="00C804FE" w:rsidP="00C804FE">
      <w:pPr>
        <w:pStyle w:val="HANG"/>
        <w:spacing w:line="276" w:lineRule="auto"/>
        <w:rPr>
          <w:rFonts w:ascii="Broadway" w:hAnsi="Broadway"/>
          <w:b/>
          <w:color w:val="000000" w:themeColor="text1"/>
          <w:sz w:val="28"/>
          <w:szCs w:val="28"/>
          <w:highlight w:val="lightGray"/>
        </w:rPr>
      </w:pPr>
    </w:p>
    <w:p w:rsidR="00C804FE" w:rsidRDefault="006F0111" w:rsidP="00C804FE">
      <w:pPr>
        <w:pStyle w:val="HANG"/>
        <w:spacing w:line="276" w:lineRule="auto"/>
        <w:rPr>
          <w:rFonts w:ascii="Lucida Handwriting" w:hAnsi="Lucida Handwriting"/>
          <w:b/>
          <w:color w:val="FFFFFF" w:themeColor="background1"/>
          <w:sz w:val="48"/>
          <w:highlight w:val="darkGray"/>
        </w:rPr>
      </w:pPr>
      <w:r>
        <w:rPr>
          <w:rFonts w:ascii="Lucida Handwriting" w:hAnsi="Lucida Handwriting"/>
          <w:b/>
          <w:noProof/>
          <w:color w:val="FFFFFF" w:themeColor="background1"/>
          <w:sz w:val="48"/>
        </w:rPr>
        <w:drawing>
          <wp:anchor distT="0" distB="0" distL="114300" distR="114300" simplePos="0" relativeHeight="251660288" behindDoc="1" locked="0" layoutInCell="1" allowOverlap="1">
            <wp:simplePos x="0" y="0"/>
            <wp:positionH relativeFrom="column">
              <wp:posOffset>476250</wp:posOffset>
            </wp:positionH>
            <wp:positionV relativeFrom="paragraph">
              <wp:posOffset>250825</wp:posOffset>
            </wp:positionV>
            <wp:extent cx="5962650" cy="4248150"/>
            <wp:effectExtent l="19050" t="0" r="0" b="0"/>
            <wp:wrapTight wrapText="bothSides">
              <wp:wrapPolygon edited="0">
                <wp:start x="-69" y="0"/>
                <wp:lineTo x="-69" y="21503"/>
                <wp:lineTo x="21600" y="21503"/>
                <wp:lineTo x="21600" y="0"/>
                <wp:lineTo x="-69" y="0"/>
              </wp:wrapPolygon>
            </wp:wrapTight>
            <wp:docPr id="1" name="Picture 0" descr="windinguppetitions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inguppetitionspart1.jpg"/>
                    <pic:cNvPicPr/>
                  </pic:nvPicPr>
                  <pic:blipFill>
                    <a:blip r:embed="rId8"/>
                    <a:stretch>
                      <a:fillRect/>
                    </a:stretch>
                  </pic:blipFill>
                  <pic:spPr>
                    <a:xfrm>
                      <a:off x="0" y="0"/>
                      <a:ext cx="5962650" cy="4248150"/>
                    </a:xfrm>
                    <a:prstGeom prst="rect">
                      <a:avLst/>
                    </a:prstGeom>
                  </pic:spPr>
                </pic:pic>
              </a:graphicData>
            </a:graphic>
          </wp:anchor>
        </w:drawing>
      </w: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Default="00C804FE" w:rsidP="00C804FE">
      <w:pPr>
        <w:pStyle w:val="HANG"/>
        <w:spacing w:line="276" w:lineRule="auto"/>
        <w:rPr>
          <w:rFonts w:ascii="Lucida Handwriting" w:hAnsi="Lucida Handwriting"/>
          <w:b/>
          <w:color w:val="FFFFFF" w:themeColor="background1"/>
          <w:sz w:val="48"/>
          <w:highlight w:val="darkGray"/>
        </w:rPr>
      </w:pPr>
      <w:permStart w:id="0" w:edGrp="everyone"/>
      <w:permEnd w:id="0"/>
    </w:p>
    <w:p w:rsidR="00C804FE" w:rsidRDefault="00C804FE" w:rsidP="00C804FE">
      <w:pPr>
        <w:pStyle w:val="HANG"/>
        <w:spacing w:line="276" w:lineRule="auto"/>
        <w:rPr>
          <w:rFonts w:ascii="Lucida Handwriting" w:hAnsi="Lucida Handwriting"/>
          <w:b/>
          <w:color w:val="FFFFFF" w:themeColor="background1"/>
          <w:sz w:val="48"/>
          <w:highlight w:val="darkGray"/>
        </w:rPr>
      </w:pPr>
    </w:p>
    <w:p w:rsidR="00C804FE" w:rsidRPr="00F9111B" w:rsidRDefault="00C804FE" w:rsidP="00C804FE">
      <w:pPr>
        <w:pStyle w:val="HANG"/>
        <w:spacing w:line="276" w:lineRule="auto"/>
        <w:ind w:left="6192" w:firstLine="0"/>
        <w:rPr>
          <w:rFonts w:ascii="Broadway" w:hAnsi="Broadway"/>
          <w:b/>
          <w:color w:val="000000" w:themeColor="text1"/>
          <w:sz w:val="44"/>
          <w:highlight w:val="lightGray"/>
        </w:rPr>
      </w:pPr>
      <w:r w:rsidRPr="00F9111B">
        <w:rPr>
          <w:rFonts w:ascii="Broadway" w:hAnsi="Broadway"/>
          <w:b/>
          <w:color w:val="000000" w:themeColor="text1"/>
          <w:sz w:val="44"/>
        </w:rPr>
        <w:t xml:space="preserve"> </w:t>
      </w:r>
      <w:r w:rsidRPr="00F9111B">
        <w:rPr>
          <w:rFonts w:ascii="Broadway" w:hAnsi="Broadway"/>
          <w:b/>
          <w:color w:val="000000" w:themeColor="text1"/>
          <w:sz w:val="44"/>
          <w:highlight w:val="lightGray"/>
        </w:rPr>
        <w:t>BY:</w:t>
      </w:r>
    </w:p>
    <w:p w:rsidR="00C804FE" w:rsidRPr="00ED22D0" w:rsidRDefault="00C804FE" w:rsidP="00C804FE">
      <w:pPr>
        <w:pStyle w:val="HANG"/>
        <w:spacing w:after="80" w:line="240" w:lineRule="auto"/>
        <w:ind w:left="5472" w:firstLine="720"/>
        <w:rPr>
          <w:rFonts w:ascii="Broadway" w:hAnsi="Broadway"/>
          <w:b/>
          <w:color w:val="000000" w:themeColor="text1"/>
          <w:sz w:val="48"/>
          <w:highlight w:val="lightGray"/>
        </w:rPr>
      </w:pPr>
      <w:r w:rsidRPr="00632822">
        <w:rPr>
          <w:rFonts w:ascii="Broadway" w:hAnsi="Broadway"/>
          <w:b/>
          <w:color w:val="000000" w:themeColor="text1"/>
          <w:sz w:val="48"/>
        </w:rPr>
        <w:t xml:space="preserve"> </w:t>
      </w:r>
      <w:r w:rsidRPr="00ED22D0">
        <w:rPr>
          <w:rFonts w:ascii="Broadway" w:hAnsi="Broadway"/>
          <w:b/>
          <w:color w:val="000000" w:themeColor="text1"/>
          <w:sz w:val="48"/>
          <w:highlight w:val="lightGray"/>
        </w:rPr>
        <w:t>RAHUL JAIN</w:t>
      </w:r>
    </w:p>
    <w:p w:rsidR="00C804FE" w:rsidRPr="00ED22D0" w:rsidRDefault="00C804FE" w:rsidP="00C804FE">
      <w:pPr>
        <w:pStyle w:val="HANG"/>
        <w:spacing w:after="80" w:line="240" w:lineRule="auto"/>
        <w:ind w:left="5472" w:firstLine="288"/>
        <w:rPr>
          <w:rFonts w:ascii="Broadway" w:hAnsi="Broadway"/>
          <w:b/>
          <w:color w:val="000000" w:themeColor="text1"/>
          <w:sz w:val="44"/>
          <w:highlight w:val="lightGray"/>
        </w:rPr>
      </w:pPr>
      <w:r w:rsidRPr="00F9111B">
        <w:rPr>
          <w:rFonts w:ascii="Broadway" w:hAnsi="Broadway"/>
          <w:b/>
          <w:color w:val="000000" w:themeColor="text1"/>
          <w:sz w:val="44"/>
        </w:rPr>
        <w:t xml:space="preserve">     </w:t>
      </w:r>
      <w:r w:rsidRPr="00ED22D0">
        <w:rPr>
          <w:rFonts w:ascii="Broadway" w:hAnsi="Broadway"/>
          <w:b/>
          <w:color w:val="000000" w:themeColor="text1"/>
          <w:sz w:val="44"/>
          <w:highlight w:val="lightGray"/>
        </w:rPr>
        <w:t>8099135588</w:t>
      </w:r>
    </w:p>
    <w:p w:rsidR="00C804FE" w:rsidRDefault="00C804FE" w:rsidP="00C804FE">
      <w:pPr>
        <w:pStyle w:val="HANG"/>
        <w:tabs>
          <w:tab w:val="left" w:pos="-90"/>
        </w:tabs>
        <w:spacing w:line="276" w:lineRule="auto"/>
        <w:ind w:left="270" w:firstLine="0"/>
        <w:rPr>
          <w:rFonts w:ascii="Lucida Handwriting" w:hAnsi="Lucida Handwriting"/>
          <w:b/>
          <w:color w:val="FFFFFF" w:themeColor="background1"/>
          <w:sz w:val="48"/>
          <w:highlight w:val="darkGray"/>
        </w:rPr>
      </w:pPr>
      <w:r w:rsidRPr="00B0107F">
        <w:rPr>
          <w:rFonts w:ascii="Lucida Handwriting" w:hAnsi="Lucida Handwriting"/>
          <w:b/>
          <w:noProof/>
          <w:sz w:val="36"/>
        </w:rPr>
        <w:pict>
          <v:rect id="_x0000_s1028" style="position:absolute;left:0;text-align:left;margin-left:63.75pt;margin-top:20.1pt;width:414pt;height:37.6pt;z-index:251658240">
            <v:textbox>
              <w:txbxContent>
                <w:p w:rsidR="00C804FE" w:rsidRPr="00F9111B" w:rsidRDefault="00C804FE" w:rsidP="00C804FE">
                  <w:pPr>
                    <w:pStyle w:val="HANG"/>
                    <w:spacing w:line="276" w:lineRule="auto"/>
                    <w:ind w:left="180" w:firstLine="0"/>
                    <w:jc w:val="center"/>
                    <w:rPr>
                      <w:rFonts w:ascii="Lucida Handwriting" w:hAnsi="Lucida Handwriting"/>
                      <w:b/>
                      <w:sz w:val="28"/>
                    </w:rPr>
                  </w:pPr>
                  <w:r w:rsidRPr="00F9111B">
                    <w:rPr>
                      <w:rFonts w:ascii="Lucida Handwriting" w:hAnsi="Lucida Handwriting"/>
                      <w:b/>
                      <w:sz w:val="28"/>
                    </w:rPr>
                    <w:t>E-mail Id : rahulsanghvi89@gmail.com</w:t>
                  </w:r>
                </w:p>
                <w:p w:rsidR="00C804FE" w:rsidRDefault="00C804FE" w:rsidP="00C804FE">
                  <w:pPr>
                    <w:jc w:val="center"/>
                  </w:pPr>
                </w:p>
              </w:txbxContent>
            </v:textbox>
          </v:rect>
        </w:pict>
      </w:r>
    </w:p>
    <w:p w:rsidR="00C804FE" w:rsidRDefault="00C804FE" w:rsidP="00C804FE">
      <w:pPr>
        <w:pStyle w:val="HANG"/>
        <w:spacing w:line="276" w:lineRule="auto"/>
        <w:rPr>
          <w:rFonts w:ascii="Bookman Old Style" w:hAnsi="Bookman Old Style"/>
          <w:sz w:val="24"/>
        </w:rPr>
      </w:pPr>
    </w:p>
    <w:p w:rsidR="00C804FE" w:rsidRDefault="00C804FE" w:rsidP="00ED132E">
      <w:pPr>
        <w:pStyle w:val="HANG"/>
        <w:spacing w:line="276" w:lineRule="auto"/>
        <w:jc w:val="center"/>
        <w:rPr>
          <w:rFonts w:ascii="Broadway" w:hAnsi="Broadway"/>
          <w:b/>
          <w:color w:val="FFFFFF" w:themeColor="background1"/>
          <w:sz w:val="40"/>
          <w:highlight w:val="black"/>
          <w:u w:val="single"/>
        </w:rPr>
      </w:pPr>
    </w:p>
    <w:p w:rsidR="008A538C" w:rsidRDefault="008A538C" w:rsidP="00ED132E">
      <w:pPr>
        <w:pStyle w:val="HANG"/>
        <w:spacing w:line="276" w:lineRule="auto"/>
        <w:jc w:val="center"/>
        <w:rPr>
          <w:rFonts w:ascii="Broadway" w:hAnsi="Broadway"/>
          <w:b/>
          <w:color w:val="FFFFFF" w:themeColor="background1"/>
          <w:sz w:val="40"/>
          <w:highlight w:val="black"/>
          <w:u w:val="single"/>
        </w:rPr>
      </w:pPr>
    </w:p>
    <w:p w:rsidR="008A538C" w:rsidRDefault="008A538C" w:rsidP="00ED132E">
      <w:pPr>
        <w:pStyle w:val="HANG"/>
        <w:spacing w:line="276" w:lineRule="auto"/>
        <w:jc w:val="center"/>
        <w:rPr>
          <w:rFonts w:ascii="Broadway" w:hAnsi="Broadway"/>
          <w:b/>
          <w:color w:val="FFFFFF" w:themeColor="background1"/>
          <w:sz w:val="40"/>
          <w:highlight w:val="black"/>
          <w:u w:val="single"/>
        </w:rPr>
      </w:pPr>
    </w:p>
    <w:p w:rsidR="00DE0B90" w:rsidRPr="00ED132E" w:rsidRDefault="00F0352A" w:rsidP="00ED132E">
      <w:pPr>
        <w:pStyle w:val="HANG"/>
        <w:spacing w:line="276" w:lineRule="auto"/>
        <w:jc w:val="center"/>
        <w:rPr>
          <w:rFonts w:ascii="Broadway" w:hAnsi="Broadway"/>
          <w:b/>
          <w:color w:val="FFFFFF" w:themeColor="background1"/>
          <w:sz w:val="40"/>
          <w:u w:val="single"/>
        </w:rPr>
      </w:pPr>
      <w:r w:rsidRPr="00ED132E">
        <w:rPr>
          <w:rFonts w:ascii="Broadway" w:hAnsi="Broadway"/>
          <w:b/>
          <w:color w:val="FFFFFF" w:themeColor="background1"/>
          <w:sz w:val="40"/>
          <w:highlight w:val="black"/>
          <w:u w:val="single"/>
        </w:rPr>
        <w:lastRenderedPageBreak/>
        <w:t>W I N D I N G  U P   O F   C O M P A N I E S</w:t>
      </w:r>
    </w:p>
    <w:p w:rsidR="00F0352A" w:rsidRPr="00F0352A" w:rsidRDefault="00F0352A" w:rsidP="00D731A2">
      <w:pPr>
        <w:pStyle w:val="HANG"/>
        <w:tabs>
          <w:tab w:val="left" w:pos="360"/>
        </w:tabs>
        <w:spacing w:line="276" w:lineRule="auto"/>
        <w:ind w:left="270" w:firstLine="0"/>
        <w:rPr>
          <w:rFonts w:ascii="Broadway" w:hAnsi="Broadway"/>
          <w:b/>
          <w:color w:val="000000" w:themeColor="text1"/>
          <w:sz w:val="4"/>
          <w:szCs w:val="4"/>
          <w:u w:val="single"/>
        </w:rPr>
      </w:pPr>
    </w:p>
    <w:p w:rsidR="00F0352A" w:rsidRPr="00F006F3" w:rsidRDefault="0088086C"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sidRPr="0088086C">
        <w:rPr>
          <w:rFonts w:ascii="Copperplate Gothic Bold" w:hAnsi="Copperplate Gothic Bold"/>
          <w:b/>
          <w:color w:val="000000" w:themeColor="text1"/>
          <w:sz w:val="32"/>
        </w:rPr>
        <w:tab/>
      </w:r>
      <w:r w:rsidRPr="0088086C">
        <w:rPr>
          <w:rFonts w:ascii="Copperplate Gothic Bold" w:hAnsi="Copperplate Gothic Bold"/>
          <w:b/>
          <w:color w:val="000000" w:themeColor="text1"/>
          <w:sz w:val="32"/>
        </w:rPr>
        <w:tab/>
      </w:r>
      <w:r w:rsidR="00F0352A" w:rsidRPr="00F006F3">
        <w:rPr>
          <w:rFonts w:ascii="Copperplate Gothic Bold" w:hAnsi="Copperplate Gothic Bold"/>
          <w:b/>
          <w:color w:val="000000" w:themeColor="text1"/>
          <w:sz w:val="32"/>
          <w:u w:val="single"/>
        </w:rPr>
        <w:t>Modes of Winding up –Sec 425</w:t>
      </w:r>
    </w:p>
    <w:p w:rsidR="00F0352A" w:rsidRDefault="00F0352A" w:rsidP="00D731A2">
      <w:pPr>
        <w:pStyle w:val="HANG"/>
        <w:numPr>
          <w:ilvl w:val="0"/>
          <w:numId w:val="1"/>
        </w:numPr>
        <w:tabs>
          <w:tab w:val="left" w:pos="36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Compulsory Winding Up</w:t>
      </w:r>
      <w:r>
        <w:rPr>
          <w:rFonts w:ascii="Bookman Old Style" w:hAnsi="Bookman Old Style"/>
          <w:color w:val="000000" w:themeColor="text1"/>
          <w:sz w:val="24"/>
        </w:rPr>
        <w:tab/>
      </w:r>
    </w:p>
    <w:p w:rsidR="00F0352A" w:rsidRDefault="00F0352A" w:rsidP="00D731A2">
      <w:pPr>
        <w:pStyle w:val="HANG"/>
        <w:numPr>
          <w:ilvl w:val="0"/>
          <w:numId w:val="1"/>
        </w:numPr>
        <w:tabs>
          <w:tab w:val="left" w:pos="36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Voluntary Winding Up</w:t>
      </w:r>
    </w:p>
    <w:p w:rsidR="00F0352A" w:rsidRDefault="00F0352A" w:rsidP="00D731A2">
      <w:pPr>
        <w:pStyle w:val="HANG"/>
        <w:numPr>
          <w:ilvl w:val="1"/>
          <w:numId w:val="2"/>
        </w:numPr>
        <w:tabs>
          <w:tab w:val="left" w:pos="36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By Members</w:t>
      </w:r>
    </w:p>
    <w:p w:rsidR="00F0352A" w:rsidRDefault="00F0352A" w:rsidP="00D731A2">
      <w:pPr>
        <w:pStyle w:val="HANG"/>
        <w:numPr>
          <w:ilvl w:val="1"/>
          <w:numId w:val="2"/>
        </w:numPr>
        <w:tabs>
          <w:tab w:val="left" w:pos="36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By Creditors</w:t>
      </w:r>
    </w:p>
    <w:p w:rsidR="00F0352A" w:rsidRPr="00043ADD" w:rsidRDefault="00F0352A" w:rsidP="00D731A2">
      <w:pPr>
        <w:pStyle w:val="HANG"/>
        <w:tabs>
          <w:tab w:val="left" w:pos="360"/>
        </w:tabs>
        <w:spacing w:line="276" w:lineRule="auto"/>
        <w:rPr>
          <w:rFonts w:ascii="Bookman Old Style" w:hAnsi="Bookman Old Style"/>
          <w:color w:val="000000" w:themeColor="text1"/>
          <w:sz w:val="14"/>
        </w:rPr>
      </w:pPr>
      <w:r>
        <w:rPr>
          <w:rFonts w:ascii="Bookman Old Style" w:hAnsi="Bookman Old Style"/>
          <w:color w:val="000000" w:themeColor="text1"/>
          <w:sz w:val="24"/>
        </w:rPr>
        <w:tab/>
        <w:t xml:space="preserve"> </w:t>
      </w:r>
    </w:p>
    <w:p w:rsidR="00F0352A" w:rsidRPr="00EC75F5" w:rsidRDefault="00F0352A" w:rsidP="00EC75F5">
      <w:pPr>
        <w:pStyle w:val="HANG"/>
        <w:spacing w:line="276" w:lineRule="auto"/>
        <w:ind w:firstLine="0"/>
        <w:rPr>
          <w:rFonts w:ascii="Broadway" w:hAnsi="Broadway"/>
          <w:b/>
          <w:color w:val="FFFFFF" w:themeColor="background1"/>
          <w:sz w:val="40"/>
          <w:highlight w:val="black"/>
          <w:u w:val="single"/>
        </w:rPr>
      </w:pPr>
      <w:r w:rsidRPr="00EC75F5">
        <w:rPr>
          <w:rFonts w:ascii="Broadway" w:hAnsi="Broadway"/>
          <w:b/>
          <w:color w:val="FFFFFF" w:themeColor="background1"/>
          <w:sz w:val="40"/>
          <w:highlight w:val="black"/>
          <w:u w:val="single"/>
        </w:rPr>
        <w:t>Compulsory Winding Up–Sec 433</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Special Resolution passed by the Company</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Default in filing Statutory Report or holding Statutory Meeting</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Non-Commencement or Suspension of Business</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Reduction of Members below minimum</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Company unable to pay its Debts</w:t>
      </w:r>
    </w:p>
    <w:p w:rsidR="00F0352A" w:rsidRDefault="00F0352A" w:rsidP="00D731A2">
      <w:pPr>
        <w:pStyle w:val="HANG"/>
        <w:numPr>
          <w:ilvl w:val="0"/>
          <w:numId w:val="3"/>
        </w:numPr>
        <w:tabs>
          <w:tab w:val="left" w:pos="360"/>
        </w:tabs>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Just and Equitable Grounds</w:t>
      </w:r>
    </w:p>
    <w:p w:rsidR="00F0352A" w:rsidRDefault="00F0352A" w:rsidP="00D731A2">
      <w:pPr>
        <w:pStyle w:val="HANG"/>
        <w:tabs>
          <w:tab w:val="left" w:pos="360"/>
        </w:tabs>
        <w:spacing w:line="240" w:lineRule="auto"/>
        <w:contextualSpacing/>
        <w:rPr>
          <w:rFonts w:ascii="Bookman Old Style" w:hAnsi="Bookman Old Style"/>
          <w:color w:val="000000" w:themeColor="text1"/>
          <w:sz w:val="24"/>
        </w:rPr>
      </w:pPr>
    </w:p>
    <w:p w:rsidR="00F0352A" w:rsidRPr="00F006F3" w:rsidRDefault="0088086C"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sidRPr="0088086C">
        <w:rPr>
          <w:rFonts w:ascii="Copperplate Gothic Bold" w:hAnsi="Copperplate Gothic Bold"/>
          <w:b/>
          <w:color w:val="000000" w:themeColor="text1"/>
          <w:sz w:val="32"/>
        </w:rPr>
        <w:tab/>
      </w:r>
      <w:r w:rsidRPr="0088086C">
        <w:rPr>
          <w:rFonts w:ascii="Copperplate Gothic Bold" w:hAnsi="Copperplate Gothic Bold"/>
          <w:b/>
          <w:color w:val="000000" w:themeColor="text1"/>
          <w:sz w:val="32"/>
        </w:rPr>
        <w:tab/>
      </w:r>
      <w:r w:rsidR="00F0352A" w:rsidRPr="00F006F3">
        <w:rPr>
          <w:rFonts w:ascii="Copperplate Gothic Bold" w:hAnsi="Copperplate Gothic Bold"/>
          <w:b/>
          <w:color w:val="000000" w:themeColor="text1"/>
          <w:sz w:val="32"/>
          <w:u w:val="single"/>
        </w:rPr>
        <w:t>Special Resolution passed by the Company</w:t>
      </w:r>
    </w:p>
    <w:p w:rsidR="00F0352A" w:rsidRDefault="00F006F3"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Court is not bound by Special Resolution and it will not pass Winding Up Order if it is opposed to public or Company’s Interest.</w:t>
      </w:r>
    </w:p>
    <w:p w:rsidR="00F006F3" w:rsidRDefault="00F006F3"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It is irrelevant that the Co may have got into strained circumstances due to its own misdoings or mismanagement.</w:t>
      </w:r>
    </w:p>
    <w:p w:rsidR="00F006F3" w:rsidRDefault="00F006F3"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Motive behind the filing of petition is equally irrelevant.</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06F3" w:rsidRDefault="00F006F3"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sidRPr="00F006F3">
        <w:rPr>
          <w:rFonts w:ascii="Copperplate Gothic Bold" w:hAnsi="Copperplate Gothic Bold"/>
          <w:b/>
          <w:color w:val="000000" w:themeColor="text1"/>
          <w:sz w:val="32"/>
          <w:u w:val="single"/>
        </w:rPr>
        <w:t>Default in filing Statutory Report or holding Statutory Meeting</w:t>
      </w:r>
    </w:p>
    <w:p w:rsidR="00F006F3" w:rsidRDefault="00F006F3"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 xml:space="preserve">Such petition can be filed by – </w:t>
      </w:r>
    </w:p>
    <w:p w:rsidR="00F006F3" w:rsidRDefault="00F006F3" w:rsidP="004A3009">
      <w:pPr>
        <w:pStyle w:val="HANG"/>
        <w:numPr>
          <w:ilvl w:val="0"/>
          <w:numId w:val="4"/>
        </w:numPr>
        <w:tabs>
          <w:tab w:val="left" w:pos="36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Registrar with previous sanction of Central Govt</w:t>
      </w:r>
    </w:p>
    <w:p w:rsidR="00F006F3" w:rsidRPr="00F006F3" w:rsidRDefault="00F006F3" w:rsidP="004A3009">
      <w:pPr>
        <w:pStyle w:val="HANG"/>
        <w:numPr>
          <w:ilvl w:val="0"/>
          <w:numId w:val="4"/>
        </w:numPr>
        <w:tabs>
          <w:tab w:val="left" w:pos="360"/>
        </w:tabs>
        <w:spacing w:line="276" w:lineRule="auto"/>
        <w:contextualSpacing/>
        <w:rPr>
          <w:rFonts w:ascii="Bookman Old Style" w:hAnsi="Bookman Old Style"/>
          <w:color w:val="000000" w:themeColor="text1"/>
          <w:sz w:val="24"/>
        </w:rPr>
      </w:pPr>
      <w:r w:rsidRPr="00F006F3">
        <w:rPr>
          <w:rFonts w:ascii="Bookman Old Style" w:hAnsi="Bookman Old Style"/>
          <w:color w:val="000000" w:themeColor="text1"/>
          <w:sz w:val="24"/>
        </w:rPr>
        <w:t>Contributory after 14 days from the last date on which meeting should have been</w:t>
      </w:r>
      <w:r>
        <w:rPr>
          <w:rFonts w:ascii="Bookman Old Style" w:hAnsi="Bookman Old Style"/>
          <w:color w:val="000000" w:themeColor="text1"/>
          <w:sz w:val="24"/>
        </w:rPr>
        <w:t xml:space="preserve"> </w:t>
      </w:r>
      <w:r w:rsidRPr="00F006F3">
        <w:rPr>
          <w:rFonts w:ascii="Bookman Old Style" w:hAnsi="Bookman Old Style"/>
          <w:color w:val="000000" w:themeColor="text1"/>
          <w:sz w:val="24"/>
        </w:rPr>
        <w:t>held</w:t>
      </w:r>
    </w:p>
    <w:p w:rsidR="00F006F3" w:rsidRDefault="00F006F3"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However, Court may direct the holding of such meeting or filing the report instead of passing winding up order.</w:t>
      </w:r>
    </w:p>
    <w:p w:rsidR="006B7507" w:rsidRDefault="006B7507" w:rsidP="00D731A2">
      <w:pPr>
        <w:pStyle w:val="HANG"/>
        <w:tabs>
          <w:tab w:val="left" w:pos="540"/>
        </w:tabs>
        <w:spacing w:line="276" w:lineRule="auto"/>
        <w:contextualSpacing/>
        <w:rPr>
          <w:rFonts w:ascii="Bookman Old Style" w:hAnsi="Bookman Old Style"/>
          <w:color w:val="000000" w:themeColor="text1"/>
          <w:sz w:val="24"/>
        </w:rPr>
      </w:pPr>
    </w:p>
    <w:p w:rsidR="006B7507" w:rsidRPr="006B7507" w:rsidRDefault="006B7507"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sidRPr="006B7507">
        <w:rPr>
          <w:rFonts w:ascii="Copperplate Gothic Bold" w:hAnsi="Copperplate Gothic Bold"/>
          <w:b/>
          <w:color w:val="000000" w:themeColor="text1"/>
          <w:sz w:val="32"/>
          <w:u w:val="single"/>
        </w:rPr>
        <w:t>Non-Commencement or Suspension of Business</w:t>
      </w:r>
    </w:p>
    <w:p w:rsidR="006B7507" w:rsidRDefault="006B7507"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If the Company does not commence its business within a year of Incorporation or suspends its entire business for the whole year, winding up order can be passed.</w:t>
      </w:r>
    </w:p>
    <w:p w:rsidR="00462D76" w:rsidRDefault="00462D76"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Mere fact that business has not been commenced or suspension of business for whole year by itself is not a ground for a Court to order winding up.</w:t>
      </w:r>
    </w:p>
    <w:p w:rsidR="00462D76" w:rsidRDefault="00462D76"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It has to be found out whether non-commencement or suspension was for some reason accounting for it.</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lastRenderedPageBreak/>
        <w:t>Decisive question is whether there is a reasonable hope of commencing or resuming business by the Co and whether the Substratum of the Co has disappeared or not.</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Court is required to examine whether it is possible to resume the business. If the delay is sufficiently explained and it is shown that the Co intends to carry on its business, winding up order will not be made.</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Where no satisfactory explanation is given, although the Co has assets and no debts, an order for winding up will be made.</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If the majority of the shareholders do not want it, winding up order will not be made.</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Where a Co having many businesses discontinues one of them, it cannot be said to have suspended its business. Suspension must be of entire business and not part of it.</w:t>
      </w:r>
    </w:p>
    <w:p w:rsidR="00043ADD" w:rsidRDefault="00043ADD"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Even if the work of all the businesses is suspended, then too it will still be open to the Court to examine whether it will be possible for the Co to resume the business.</w:t>
      </w:r>
    </w:p>
    <w:p w:rsidR="00043ADD" w:rsidRDefault="00043ADD" w:rsidP="00D731A2">
      <w:pPr>
        <w:pStyle w:val="HANG"/>
        <w:tabs>
          <w:tab w:val="left" w:pos="540"/>
        </w:tabs>
        <w:spacing w:line="240" w:lineRule="auto"/>
        <w:ind w:left="547" w:firstLine="0"/>
        <w:rPr>
          <w:rFonts w:ascii="Bookman Old Style" w:hAnsi="Bookman Old Style"/>
          <w:color w:val="000000" w:themeColor="text1"/>
          <w:sz w:val="24"/>
        </w:rPr>
      </w:pPr>
    </w:p>
    <w:p w:rsidR="00043ADD" w:rsidRPr="00043ADD" w:rsidRDefault="00462D76"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Pr>
          <w:rFonts w:ascii="Bookman Old Style" w:hAnsi="Bookman Old Style"/>
          <w:color w:val="000000" w:themeColor="text1"/>
          <w:sz w:val="24"/>
        </w:rPr>
        <w:t xml:space="preserve"> </w:t>
      </w:r>
      <w:r w:rsidR="00043ADD" w:rsidRPr="00043ADD">
        <w:rPr>
          <w:rFonts w:ascii="Copperplate Gothic Bold" w:hAnsi="Copperplate Gothic Bold"/>
          <w:b/>
          <w:color w:val="000000" w:themeColor="text1"/>
          <w:sz w:val="32"/>
          <w:u w:val="single"/>
        </w:rPr>
        <w:t>Reduction of Members below minimum</w:t>
      </w:r>
    </w:p>
    <w:p w:rsidR="00462D76" w:rsidRDefault="00043ADD" w:rsidP="00D731A2">
      <w:pPr>
        <w:pStyle w:val="HANG"/>
        <w:tabs>
          <w:tab w:val="left" w:pos="540"/>
        </w:tabs>
        <w:spacing w:line="240" w:lineRule="auto"/>
        <w:rPr>
          <w:rFonts w:ascii="Bookman Old Style" w:hAnsi="Bookman Old Style"/>
          <w:color w:val="000000" w:themeColor="text1"/>
          <w:sz w:val="24"/>
        </w:rPr>
      </w:pPr>
      <w:r>
        <w:rPr>
          <w:rFonts w:ascii="Bookman Old Style" w:hAnsi="Bookman Old Style"/>
          <w:color w:val="000000" w:themeColor="text1"/>
          <w:sz w:val="24"/>
        </w:rPr>
        <w:tab/>
        <w:t>P</w:t>
      </w:r>
      <w:r w:rsidR="00A80A4B">
        <w:rPr>
          <w:rFonts w:ascii="Bookman Old Style" w:hAnsi="Bookman Old Style"/>
          <w:color w:val="000000" w:themeColor="text1"/>
          <w:sz w:val="24"/>
        </w:rPr>
        <w:t>rivate</w:t>
      </w:r>
      <w:r>
        <w:rPr>
          <w:rFonts w:ascii="Bookman Old Style" w:hAnsi="Bookman Old Style"/>
          <w:color w:val="000000" w:themeColor="text1"/>
          <w:sz w:val="24"/>
        </w:rPr>
        <w:t xml:space="preserve"> Company --------&gt; Below 2</w:t>
      </w:r>
    </w:p>
    <w:p w:rsidR="00A80A4B" w:rsidRDefault="00043ADD" w:rsidP="00D731A2">
      <w:pPr>
        <w:pStyle w:val="HANG"/>
        <w:tabs>
          <w:tab w:val="left" w:pos="540"/>
        </w:tabs>
        <w:spacing w:line="240" w:lineRule="auto"/>
        <w:rPr>
          <w:rFonts w:ascii="Bookman Old Style" w:hAnsi="Bookman Old Style"/>
          <w:color w:val="000000" w:themeColor="text1"/>
          <w:sz w:val="24"/>
        </w:rPr>
      </w:pPr>
      <w:r>
        <w:rPr>
          <w:rFonts w:ascii="Bookman Old Style" w:hAnsi="Bookman Old Style"/>
          <w:color w:val="000000" w:themeColor="text1"/>
          <w:sz w:val="24"/>
        </w:rPr>
        <w:tab/>
        <w:t xml:space="preserve">Public </w:t>
      </w:r>
      <w:r w:rsidR="00A80A4B">
        <w:rPr>
          <w:rFonts w:ascii="Bookman Old Style" w:hAnsi="Bookman Old Style"/>
          <w:color w:val="000000" w:themeColor="text1"/>
          <w:sz w:val="24"/>
        </w:rPr>
        <w:t>Company --------&gt; Below 7</w:t>
      </w:r>
    </w:p>
    <w:p w:rsidR="00043ADD" w:rsidRPr="00A80A4B" w:rsidRDefault="00A80A4B" w:rsidP="00D731A2">
      <w:pPr>
        <w:pStyle w:val="HANG"/>
        <w:tabs>
          <w:tab w:val="left" w:pos="540"/>
        </w:tabs>
        <w:spacing w:line="240" w:lineRule="auto"/>
        <w:rPr>
          <w:rFonts w:ascii="Bookman Old Style" w:hAnsi="Bookman Old Style"/>
          <w:color w:val="000000" w:themeColor="text1"/>
          <w:sz w:val="2"/>
        </w:rPr>
      </w:pPr>
      <w:r>
        <w:rPr>
          <w:rFonts w:ascii="Bookman Old Style" w:hAnsi="Bookman Old Style"/>
          <w:color w:val="000000" w:themeColor="text1"/>
          <w:sz w:val="24"/>
        </w:rPr>
        <w:t xml:space="preserve"> </w:t>
      </w:r>
    </w:p>
    <w:p w:rsidR="00043ADD" w:rsidRDefault="00A80A4B"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Court may order for extension of members within 6 months. Normally Court may look into the feasibility of Voluntary Winding Up instead of this Section.</w:t>
      </w:r>
    </w:p>
    <w:p w:rsidR="00A80A4B" w:rsidRDefault="00A80A4B" w:rsidP="00D731A2">
      <w:pPr>
        <w:pStyle w:val="HANG"/>
        <w:tabs>
          <w:tab w:val="left" w:pos="540"/>
        </w:tabs>
        <w:spacing w:line="240" w:lineRule="auto"/>
        <w:rPr>
          <w:rFonts w:ascii="Bookman Old Style" w:hAnsi="Bookman Old Style"/>
          <w:color w:val="000000" w:themeColor="text1"/>
          <w:sz w:val="24"/>
        </w:rPr>
      </w:pPr>
    </w:p>
    <w:p w:rsidR="00A80A4B" w:rsidRPr="00A80A4B" w:rsidRDefault="00A80A4B" w:rsidP="00D731A2">
      <w:pPr>
        <w:pStyle w:val="HANG"/>
        <w:tabs>
          <w:tab w:val="left" w:pos="360"/>
        </w:tabs>
        <w:spacing w:line="276" w:lineRule="auto"/>
        <w:ind w:left="270" w:firstLine="0"/>
        <w:rPr>
          <w:rFonts w:ascii="Copperplate Gothic Bold" w:hAnsi="Copperplate Gothic Bold"/>
          <w:b/>
          <w:color w:val="000000" w:themeColor="text1"/>
          <w:sz w:val="32"/>
          <w:u w:val="single"/>
        </w:rPr>
      </w:pPr>
      <w:r w:rsidRPr="00A80A4B">
        <w:rPr>
          <w:rFonts w:ascii="Copperplate Gothic Bold" w:hAnsi="Copperplate Gothic Bold"/>
          <w:b/>
          <w:color w:val="000000" w:themeColor="text1"/>
          <w:sz w:val="32"/>
          <w:u w:val="single"/>
        </w:rPr>
        <w:t>Company unable to pay its Debts</w:t>
      </w:r>
    </w:p>
    <w:p w:rsidR="00F006F3" w:rsidRDefault="00A80A4B" w:rsidP="00D731A2">
      <w:pPr>
        <w:pStyle w:val="HANG"/>
        <w:tabs>
          <w:tab w:val="left" w:pos="360"/>
        </w:tabs>
        <w:spacing w:line="276" w:lineRule="auto"/>
        <w:ind w:left="274" w:firstLine="0"/>
        <w:contextualSpacing/>
        <w:rPr>
          <w:rFonts w:ascii="Bookman Old Style" w:hAnsi="Bookman Old Style"/>
          <w:color w:val="000000" w:themeColor="text1"/>
          <w:sz w:val="24"/>
        </w:rPr>
      </w:pPr>
      <w:r>
        <w:rPr>
          <w:rFonts w:ascii="Bookman Old Style" w:hAnsi="Bookman Old Style"/>
          <w:color w:val="000000" w:themeColor="text1"/>
          <w:sz w:val="24"/>
        </w:rPr>
        <w:t>Company shall be deemed to be unable to pay its debts in the following circumstances:</w:t>
      </w:r>
    </w:p>
    <w:p w:rsidR="00B93F26" w:rsidRPr="00B93F26" w:rsidRDefault="00B93F26" w:rsidP="00D731A2">
      <w:pPr>
        <w:pStyle w:val="HANG"/>
        <w:tabs>
          <w:tab w:val="left" w:pos="360"/>
        </w:tabs>
        <w:spacing w:line="276" w:lineRule="auto"/>
        <w:ind w:left="274" w:firstLine="0"/>
        <w:contextualSpacing/>
        <w:rPr>
          <w:rFonts w:ascii="Bookman Old Style" w:hAnsi="Bookman Old Style"/>
          <w:color w:val="000000" w:themeColor="text1"/>
          <w:sz w:val="16"/>
        </w:rPr>
      </w:pPr>
    </w:p>
    <w:p w:rsidR="00A80A4B" w:rsidRDefault="00A80A4B" w:rsidP="004A3009">
      <w:pPr>
        <w:pStyle w:val="HANG"/>
        <w:numPr>
          <w:ilvl w:val="0"/>
          <w:numId w:val="5"/>
        </w:numPr>
        <w:tabs>
          <w:tab w:val="left" w:pos="360"/>
        </w:tabs>
        <w:spacing w:line="276" w:lineRule="auto"/>
        <w:contextualSpacing/>
        <w:rPr>
          <w:rFonts w:ascii="Bookman Old Style" w:hAnsi="Bookman Old Style"/>
          <w:b/>
          <w:color w:val="000000" w:themeColor="text1"/>
          <w:sz w:val="24"/>
          <w:u w:val="single"/>
        </w:rPr>
      </w:pPr>
      <w:r w:rsidRPr="00A80A4B">
        <w:rPr>
          <w:rFonts w:ascii="Bookman Old Style" w:hAnsi="Bookman Old Style"/>
          <w:b/>
          <w:color w:val="000000" w:themeColor="text1"/>
          <w:sz w:val="24"/>
          <w:u w:val="single"/>
        </w:rPr>
        <w:t xml:space="preserve">Neglect to pay Debt exceeding Rs.500 </w:t>
      </w:r>
    </w:p>
    <w:p w:rsidR="00A80A4B" w:rsidRDefault="00A80A4B"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Company neglects to pay or compound or secure the debt exceeding Rs.500 within 3 weeks from the date of demand by any of its Creditors.</w:t>
      </w:r>
    </w:p>
    <w:p w:rsidR="00A80A4B" w:rsidRPr="00A80A4B" w:rsidRDefault="00A80A4B"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Letter of Demand must be made by the Creditor by Registered Post and at the Registered Office of the Company.</w:t>
      </w:r>
    </w:p>
    <w:p w:rsidR="00A80A4B" w:rsidRDefault="00A80A4B"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06F3" w:rsidRDefault="00A80A4B" w:rsidP="00D731A2">
      <w:pPr>
        <w:pStyle w:val="HANG"/>
        <w:tabs>
          <w:tab w:val="left" w:pos="1170"/>
        </w:tabs>
        <w:spacing w:line="240" w:lineRule="auto"/>
        <w:ind w:left="1167" w:hanging="893"/>
        <w:rPr>
          <w:rFonts w:ascii="Bookman Old Style" w:hAnsi="Bookman Old Style"/>
          <w:i/>
          <w:color w:val="000000" w:themeColor="text1"/>
          <w:sz w:val="24"/>
        </w:rPr>
      </w:pPr>
      <w:r w:rsidRPr="00A80A4B">
        <w:rPr>
          <w:rFonts w:ascii="Bookman Old Style" w:hAnsi="Bookman Old Style"/>
          <w:b/>
          <w:color w:val="000000" w:themeColor="text1"/>
          <w:sz w:val="24"/>
          <w:u w:val="single"/>
        </w:rPr>
        <w:t>NOTE:</w:t>
      </w:r>
      <w:r>
        <w:rPr>
          <w:rFonts w:ascii="Bookman Old Style" w:hAnsi="Bookman Old Style"/>
          <w:color w:val="000000" w:themeColor="text1"/>
          <w:sz w:val="24"/>
        </w:rPr>
        <w:t xml:space="preserve"> </w:t>
      </w:r>
      <w:r w:rsidRPr="00095366">
        <w:rPr>
          <w:rFonts w:ascii="Bookman Old Style" w:hAnsi="Bookman Old Style"/>
          <w:i/>
          <w:color w:val="000000" w:themeColor="text1"/>
          <w:sz w:val="24"/>
        </w:rPr>
        <w:t>IT IS NOT NECESSARY THAT DEMAND LETTER SHOULD BE ACCEPTED BY THE ADDRESSEE. A TENDER OF LETTER, EVEN IF REFUSED BY THE ADDRESSEE, IS A GOOD DELIVERY.</w:t>
      </w:r>
    </w:p>
    <w:p w:rsidR="00A80A4B" w:rsidRDefault="00A80A4B"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A80A4B" w:rsidRPr="00B23DAD" w:rsidRDefault="00A80A4B" w:rsidP="004A3009">
      <w:pPr>
        <w:pStyle w:val="HANG"/>
        <w:numPr>
          <w:ilvl w:val="0"/>
          <w:numId w:val="5"/>
        </w:numPr>
        <w:tabs>
          <w:tab w:val="left" w:pos="360"/>
        </w:tabs>
        <w:spacing w:line="276" w:lineRule="auto"/>
        <w:contextualSpacing/>
        <w:rPr>
          <w:rFonts w:ascii="Bookman Old Style" w:hAnsi="Bookman Old Style"/>
          <w:b/>
          <w:color w:val="000000" w:themeColor="text1"/>
          <w:sz w:val="24"/>
          <w:u w:val="single"/>
        </w:rPr>
      </w:pPr>
      <w:r w:rsidRPr="00B23DAD">
        <w:rPr>
          <w:rFonts w:ascii="Bookman Old Style" w:hAnsi="Bookman Old Style"/>
          <w:b/>
          <w:color w:val="000000" w:themeColor="text1"/>
          <w:sz w:val="24"/>
          <w:u w:val="single"/>
        </w:rPr>
        <w:t>Failure to Satisfy Court Decree</w:t>
      </w:r>
    </w:p>
    <w:p w:rsidR="00A80A4B" w:rsidRDefault="00B23DAD" w:rsidP="00D731A2">
      <w:pPr>
        <w:pStyle w:val="HANG"/>
        <w:tabs>
          <w:tab w:val="left" w:pos="360"/>
        </w:tabs>
        <w:spacing w:line="240" w:lineRule="auto"/>
        <w:ind w:left="630" w:firstLine="0"/>
        <w:contextualSpacing/>
        <w:rPr>
          <w:rFonts w:ascii="Bookman Old Style" w:hAnsi="Bookman Old Style"/>
          <w:color w:val="000000" w:themeColor="text1"/>
          <w:sz w:val="24"/>
        </w:rPr>
      </w:pPr>
      <w:r>
        <w:rPr>
          <w:rFonts w:ascii="Bookman Old Style" w:hAnsi="Bookman Old Style"/>
          <w:color w:val="000000" w:themeColor="text1"/>
          <w:sz w:val="24"/>
        </w:rPr>
        <w:t>When the Company fails to satisfy a Court Decree in favour of a Creditor whether in whole or in part, will constitute inability to pay debts.</w:t>
      </w:r>
    </w:p>
    <w:p w:rsidR="00B23DAD" w:rsidRDefault="00B23DAD" w:rsidP="00D731A2">
      <w:pPr>
        <w:pStyle w:val="HANG"/>
        <w:tabs>
          <w:tab w:val="left" w:pos="360"/>
        </w:tabs>
        <w:spacing w:line="240" w:lineRule="auto"/>
        <w:ind w:left="630" w:firstLine="0"/>
        <w:contextualSpacing/>
        <w:rPr>
          <w:rFonts w:ascii="Bookman Old Style" w:hAnsi="Bookman Old Style"/>
          <w:color w:val="000000" w:themeColor="text1"/>
          <w:sz w:val="24"/>
        </w:rPr>
      </w:pPr>
    </w:p>
    <w:p w:rsidR="00F0352A" w:rsidRDefault="00B23DAD" w:rsidP="004A3009">
      <w:pPr>
        <w:pStyle w:val="HANG"/>
        <w:numPr>
          <w:ilvl w:val="0"/>
          <w:numId w:val="5"/>
        </w:numPr>
        <w:tabs>
          <w:tab w:val="left" w:pos="360"/>
        </w:tabs>
        <w:spacing w:line="240" w:lineRule="auto"/>
        <w:contextualSpacing/>
        <w:rPr>
          <w:rFonts w:ascii="Bookman Old Style" w:hAnsi="Bookman Old Style"/>
          <w:b/>
          <w:color w:val="000000" w:themeColor="text1"/>
          <w:sz w:val="24"/>
          <w:u w:val="single"/>
        </w:rPr>
      </w:pPr>
      <w:r w:rsidRPr="00B23DAD">
        <w:rPr>
          <w:rFonts w:ascii="Bookman Old Style" w:hAnsi="Bookman Old Style"/>
          <w:b/>
          <w:color w:val="000000" w:themeColor="text1"/>
          <w:sz w:val="24"/>
          <w:u w:val="single"/>
        </w:rPr>
        <w:lastRenderedPageBreak/>
        <w:t>Satisfaction of the Court</w:t>
      </w:r>
    </w:p>
    <w:p w:rsidR="00095366" w:rsidRDefault="00095366"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sidRPr="00095366">
        <w:rPr>
          <w:rFonts w:ascii="Bookman Old Style" w:hAnsi="Bookman Old Style"/>
          <w:color w:val="000000" w:themeColor="text1"/>
          <w:sz w:val="24"/>
        </w:rPr>
        <w:t xml:space="preserve">Where </w:t>
      </w:r>
      <w:r>
        <w:rPr>
          <w:rFonts w:ascii="Bookman Old Style" w:hAnsi="Bookman Old Style"/>
          <w:color w:val="000000" w:themeColor="text1"/>
          <w:sz w:val="24"/>
        </w:rPr>
        <w:t>it is proved to the satisfaction of the Court that the Company is unable to pay its debts.</w:t>
      </w:r>
    </w:p>
    <w:p w:rsidR="00095366" w:rsidRDefault="00095366" w:rsidP="004A3009">
      <w:pPr>
        <w:pStyle w:val="HANG"/>
        <w:numPr>
          <w:ilvl w:val="0"/>
          <w:numId w:val="6"/>
        </w:numPr>
        <w:tabs>
          <w:tab w:val="left" w:pos="180"/>
        </w:tabs>
        <w:spacing w:line="240" w:lineRule="auto"/>
        <w:ind w:left="810" w:hanging="536"/>
        <w:rPr>
          <w:rFonts w:ascii="Bookman Old Style" w:hAnsi="Bookman Old Style"/>
          <w:color w:val="000000" w:themeColor="text1"/>
          <w:sz w:val="24"/>
        </w:rPr>
      </w:pPr>
      <w:r>
        <w:rPr>
          <w:rFonts w:ascii="Bookman Old Style" w:hAnsi="Bookman Old Style"/>
          <w:color w:val="000000" w:themeColor="text1"/>
          <w:sz w:val="24"/>
        </w:rPr>
        <w:t xml:space="preserve">The expression “unable to pay its debts” is to be taken in the commercial sense of being unable to </w:t>
      </w:r>
      <w:r w:rsidR="00B93F26">
        <w:rPr>
          <w:rFonts w:ascii="Bookman Old Style" w:hAnsi="Bookman Old Style"/>
          <w:color w:val="000000" w:themeColor="text1"/>
          <w:sz w:val="24"/>
        </w:rPr>
        <w:t>meet</w:t>
      </w:r>
      <w:r>
        <w:rPr>
          <w:rFonts w:ascii="Bookman Old Style" w:hAnsi="Bookman Old Style"/>
          <w:color w:val="000000" w:themeColor="text1"/>
          <w:sz w:val="24"/>
        </w:rPr>
        <w:t xml:space="preserve"> the demands though the Company may be otherwise solvent.</w:t>
      </w:r>
    </w:p>
    <w:p w:rsidR="00EB6A59" w:rsidRDefault="00EB6A59" w:rsidP="00D731A2">
      <w:pPr>
        <w:pStyle w:val="HANG"/>
        <w:tabs>
          <w:tab w:val="left" w:pos="180"/>
        </w:tabs>
        <w:spacing w:line="240" w:lineRule="auto"/>
        <w:ind w:left="634" w:firstLine="0"/>
        <w:rPr>
          <w:rFonts w:ascii="Bookman Old Style" w:hAnsi="Bookman Old Style"/>
          <w:b/>
          <w:color w:val="000000" w:themeColor="text1"/>
          <w:sz w:val="24"/>
          <w:u w:val="single"/>
        </w:rPr>
      </w:pPr>
      <w:r w:rsidRPr="00EB6A59">
        <w:rPr>
          <w:rFonts w:ascii="Bookman Old Style" w:hAnsi="Bookman Old Style"/>
          <w:b/>
          <w:color w:val="000000" w:themeColor="text1"/>
          <w:sz w:val="24"/>
          <w:u w:val="single"/>
        </w:rPr>
        <w:t>Note:</w:t>
      </w:r>
    </w:p>
    <w:p w:rsidR="00B93F26" w:rsidRDefault="00EB6A59" w:rsidP="00D731A2">
      <w:pPr>
        <w:pStyle w:val="HANG"/>
        <w:tabs>
          <w:tab w:val="left" w:pos="1170"/>
        </w:tabs>
        <w:spacing w:line="240" w:lineRule="auto"/>
        <w:ind w:left="634" w:firstLine="0"/>
        <w:rPr>
          <w:rFonts w:ascii="Bookman Old Style" w:hAnsi="Bookman Old Style"/>
          <w:color w:val="000000" w:themeColor="text1"/>
          <w:sz w:val="24"/>
        </w:rPr>
      </w:pPr>
      <w:r>
        <w:rPr>
          <w:rFonts w:ascii="Bookman Old Style" w:hAnsi="Bookman Old Style"/>
          <w:color w:val="000000" w:themeColor="text1"/>
          <w:sz w:val="24"/>
        </w:rPr>
        <w:t>Where a debt is bonafide disputed by the Company and the Court is satisfied with the Company’s defense, there is no neglect to pay and therefore winding up order will not be passed.</w:t>
      </w:r>
    </w:p>
    <w:p w:rsidR="00EB6A59" w:rsidRPr="000167BB" w:rsidRDefault="00EB6A59" w:rsidP="00D731A2">
      <w:pPr>
        <w:pStyle w:val="HANG"/>
        <w:tabs>
          <w:tab w:val="left" w:pos="180"/>
        </w:tabs>
        <w:spacing w:line="276" w:lineRule="auto"/>
        <w:contextualSpacing/>
        <w:rPr>
          <w:rFonts w:ascii="Bookman Old Style" w:hAnsi="Bookman Old Style"/>
          <w:color w:val="000000" w:themeColor="text1"/>
          <w:sz w:val="16"/>
        </w:rPr>
      </w:pPr>
    </w:p>
    <w:p w:rsidR="00B93F26" w:rsidRPr="00C75119" w:rsidRDefault="00AC4169" w:rsidP="00D731A2">
      <w:pPr>
        <w:pStyle w:val="HANG"/>
        <w:tabs>
          <w:tab w:val="left" w:pos="540"/>
        </w:tabs>
        <w:spacing w:line="276" w:lineRule="auto"/>
        <w:ind w:left="630"/>
        <w:contextualSpacing/>
        <w:rPr>
          <w:rFonts w:ascii="Bookman Old Style" w:hAnsi="Bookman Old Style"/>
          <w:b/>
          <w:sz w:val="28"/>
        </w:rPr>
      </w:pPr>
      <w:r w:rsidRPr="00AC4169">
        <w:rPr>
          <w:rFonts w:ascii="Bookman Old Style" w:hAnsi="Bookman Old Style"/>
          <w:b/>
          <w:color w:val="FFFFFF" w:themeColor="background1"/>
          <w:sz w:val="28"/>
        </w:rPr>
        <w:tab/>
      </w:r>
      <w:r w:rsidRPr="00AC4169">
        <w:rPr>
          <w:rFonts w:ascii="Bookman Old Style" w:hAnsi="Bookman Old Style"/>
          <w:b/>
          <w:color w:val="FFFFFF" w:themeColor="background1"/>
          <w:sz w:val="28"/>
        </w:rPr>
        <w:tab/>
      </w:r>
      <w:r w:rsidR="00B93F26" w:rsidRPr="00C75119">
        <w:rPr>
          <w:rFonts w:ascii="Copperplate Gothic Bold" w:hAnsi="Copperplate Gothic Bold"/>
          <w:b/>
          <w:sz w:val="32"/>
          <w:u w:val="single"/>
        </w:rPr>
        <w:t>Liabilities exceed Assets – Whether implies Inability to pay Debts?</w:t>
      </w:r>
    </w:p>
    <w:p w:rsidR="00B93F26" w:rsidRPr="000167BB" w:rsidRDefault="00B93F26" w:rsidP="00D731A2">
      <w:pPr>
        <w:pStyle w:val="HANG"/>
        <w:tabs>
          <w:tab w:val="left" w:pos="180"/>
        </w:tabs>
        <w:spacing w:line="276" w:lineRule="auto"/>
        <w:contextualSpacing/>
        <w:rPr>
          <w:rFonts w:ascii="Bookman Old Style" w:hAnsi="Bookman Old Style"/>
          <w:color w:val="000000" w:themeColor="text1"/>
          <w:sz w:val="10"/>
        </w:rPr>
      </w:pPr>
    </w:p>
    <w:p w:rsidR="00B93F26" w:rsidRDefault="00B93F26" w:rsidP="004A3009">
      <w:pPr>
        <w:pStyle w:val="HANG"/>
        <w:numPr>
          <w:ilvl w:val="0"/>
          <w:numId w:val="7"/>
        </w:numPr>
        <w:tabs>
          <w:tab w:val="left" w:pos="180"/>
        </w:tabs>
        <w:spacing w:line="240" w:lineRule="auto"/>
        <w:ind w:left="634"/>
        <w:rPr>
          <w:rFonts w:ascii="Bookman Old Style" w:hAnsi="Bookman Old Style"/>
          <w:color w:val="000000" w:themeColor="text1"/>
          <w:sz w:val="24"/>
        </w:rPr>
      </w:pPr>
      <w:r>
        <w:rPr>
          <w:rFonts w:ascii="Bookman Old Style" w:hAnsi="Bookman Old Style"/>
          <w:color w:val="000000" w:themeColor="text1"/>
          <w:sz w:val="24"/>
        </w:rPr>
        <w:t>Where the liabilities of a Company far exceeded its assets, the Court held that this in itself did not mean the Company was unable to pay its debts because of the following reasons:</w:t>
      </w:r>
    </w:p>
    <w:p w:rsidR="00B93F26" w:rsidRPr="00AC4169" w:rsidRDefault="00B93F26" w:rsidP="004A3009">
      <w:pPr>
        <w:pStyle w:val="HANG"/>
        <w:numPr>
          <w:ilvl w:val="0"/>
          <w:numId w:val="8"/>
        </w:numPr>
        <w:tabs>
          <w:tab w:val="left" w:pos="180"/>
        </w:tabs>
        <w:spacing w:line="240" w:lineRule="auto"/>
        <w:ind w:left="634"/>
        <w:rPr>
          <w:rFonts w:ascii="Bookman Old Style" w:hAnsi="Bookman Old Style"/>
          <w:b/>
          <w:color w:val="000000" w:themeColor="text1"/>
          <w:sz w:val="24"/>
        </w:rPr>
      </w:pPr>
      <w:r>
        <w:rPr>
          <w:rFonts w:ascii="Bookman Old Style" w:hAnsi="Bookman Old Style"/>
          <w:color w:val="000000" w:themeColor="text1"/>
          <w:sz w:val="24"/>
        </w:rPr>
        <w:t xml:space="preserve">For determining Company’s ability or otherwise to pay its debt, it was to be considered whether the </w:t>
      </w:r>
      <w:r w:rsidRPr="00AC4169">
        <w:rPr>
          <w:rFonts w:ascii="Bookman Old Style" w:hAnsi="Bookman Old Style"/>
          <w:b/>
          <w:color w:val="000000" w:themeColor="text1"/>
          <w:sz w:val="24"/>
        </w:rPr>
        <w:t>Company was able to meet its liability as and when they accrued due.</w:t>
      </w:r>
    </w:p>
    <w:p w:rsidR="00B93F26" w:rsidRDefault="00B93F26" w:rsidP="004A3009">
      <w:pPr>
        <w:pStyle w:val="HANG"/>
        <w:numPr>
          <w:ilvl w:val="0"/>
          <w:numId w:val="8"/>
        </w:numPr>
        <w:tabs>
          <w:tab w:val="left" w:pos="180"/>
        </w:tabs>
        <w:spacing w:line="240" w:lineRule="auto"/>
        <w:ind w:left="634"/>
        <w:rPr>
          <w:rFonts w:ascii="Bookman Old Style" w:hAnsi="Bookman Old Style"/>
          <w:color w:val="000000" w:themeColor="text1"/>
          <w:sz w:val="24"/>
        </w:rPr>
      </w:pPr>
      <w:r>
        <w:rPr>
          <w:rFonts w:ascii="Bookman Old Style" w:hAnsi="Bookman Old Style"/>
          <w:color w:val="000000" w:themeColor="text1"/>
          <w:sz w:val="24"/>
        </w:rPr>
        <w:t>Mere fact</w:t>
      </w:r>
      <w:r w:rsidR="00710AE8">
        <w:rPr>
          <w:rFonts w:ascii="Bookman Old Style" w:hAnsi="Bookman Old Style"/>
          <w:color w:val="000000" w:themeColor="text1"/>
          <w:sz w:val="24"/>
        </w:rPr>
        <w:t xml:space="preserve"> that certain </w:t>
      </w:r>
      <w:r w:rsidR="000C184C">
        <w:rPr>
          <w:rFonts w:ascii="Bookman Old Style" w:hAnsi="Bookman Old Style"/>
          <w:color w:val="000000" w:themeColor="text1"/>
          <w:sz w:val="24"/>
        </w:rPr>
        <w:t>liability might accrue due in future, which could exceed the existing assets of the Company, would not necessarily lead to the conclusion that Company was unable to meet its liabilities when they accrue due.</w:t>
      </w:r>
    </w:p>
    <w:p w:rsidR="00AC4169" w:rsidRPr="000167BB" w:rsidRDefault="00AC4169" w:rsidP="00D731A2">
      <w:pPr>
        <w:pStyle w:val="HANG"/>
        <w:tabs>
          <w:tab w:val="left" w:pos="180"/>
        </w:tabs>
        <w:spacing w:line="240" w:lineRule="auto"/>
        <w:rPr>
          <w:rFonts w:ascii="Bookman Old Style" w:hAnsi="Bookman Old Style"/>
          <w:color w:val="000000" w:themeColor="text1"/>
          <w:sz w:val="12"/>
        </w:rPr>
      </w:pPr>
    </w:p>
    <w:p w:rsidR="00AC4169" w:rsidRPr="00C75119" w:rsidRDefault="00AC4169" w:rsidP="00D731A2">
      <w:pPr>
        <w:pStyle w:val="HANG"/>
        <w:tabs>
          <w:tab w:val="left" w:pos="540"/>
        </w:tabs>
        <w:spacing w:line="276" w:lineRule="auto"/>
        <w:ind w:left="630"/>
        <w:contextualSpacing/>
        <w:rPr>
          <w:rFonts w:ascii="Copperplate Gothic Bold" w:hAnsi="Copperplate Gothic Bold"/>
          <w:b/>
          <w:sz w:val="32"/>
          <w:u w:val="single"/>
        </w:rPr>
      </w:pPr>
      <w:r w:rsidRPr="00AC4169">
        <w:rPr>
          <w:rFonts w:ascii="Bookman Old Style" w:hAnsi="Bookman Old Style"/>
          <w:b/>
          <w:color w:val="FFFFFF" w:themeColor="background1"/>
          <w:sz w:val="28"/>
        </w:rPr>
        <w:tab/>
      </w:r>
      <w:r w:rsidR="00ED132E">
        <w:rPr>
          <w:rFonts w:ascii="Bookman Old Style" w:hAnsi="Bookman Old Style"/>
          <w:b/>
          <w:color w:val="FFFFFF" w:themeColor="background1"/>
          <w:sz w:val="28"/>
        </w:rPr>
        <w:t xml:space="preserve"> </w:t>
      </w:r>
      <w:r w:rsidRPr="00C75119">
        <w:rPr>
          <w:rFonts w:ascii="Copperplate Gothic Bold" w:hAnsi="Copperplate Gothic Bold"/>
          <w:b/>
          <w:sz w:val="32"/>
          <w:u w:val="single"/>
        </w:rPr>
        <w:t>Principles laid down in TISCO Vs. Micro Forge (India) Ltd</w:t>
      </w:r>
    </w:p>
    <w:p w:rsidR="00AC4169" w:rsidRPr="000167BB" w:rsidRDefault="00AC4169" w:rsidP="00D731A2">
      <w:pPr>
        <w:pStyle w:val="HANG"/>
        <w:tabs>
          <w:tab w:val="left" w:pos="540"/>
        </w:tabs>
        <w:spacing w:line="276" w:lineRule="auto"/>
        <w:ind w:left="630"/>
        <w:contextualSpacing/>
        <w:rPr>
          <w:rFonts w:ascii="Bookman Old Style" w:hAnsi="Bookman Old Style"/>
          <w:color w:val="000000" w:themeColor="text1"/>
          <w:sz w:val="14"/>
        </w:rPr>
      </w:pPr>
    </w:p>
    <w:p w:rsidR="00AC4169" w:rsidRDefault="00AC4169" w:rsidP="004A3009">
      <w:pPr>
        <w:pStyle w:val="HANG"/>
        <w:numPr>
          <w:ilvl w:val="0"/>
          <w:numId w:val="9"/>
        </w:numPr>
        <w:tabs>
          <w:tab w:val="left" w:pos="72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Even if one or more grounds mentioned in Sec 433 exists, it is not obligatory for the Court to pass winding up order. Court has the Discretionary Power.</w:t>
      </w:r>
    </w:p>
    <w:p w:rsidR="00AC4169" w:rsidRDefault="00AC4169" w:rsidP="004A3009">
      <w:pPr>
        <w:pStyle w:val="HANG"/>
        <w:numPr>
          <w:ilvl w:val="0"/>
          <w:numId w:val="9"/>
        </w:numPr>
        <w:tabs>
          <w:tab w:val="left" w:pos="72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Court would take into consideration the entire status and position of the Company in the market and the element of public policy.</w:t>
      </w:r>
    </w:p>
    <w:p w:rsidR="001A7BAB" w:rsidRDefault="001A7BAB" w:rsidP="004A3009">
      <w:pPr>
        <w:pStyle w:val="HANG"/>
        <w:numPr>
          <w:ilvl w:val="0"/>
          <w:numId w:val="9"/>
        </w:numPr>
        <w:tabs>
          <w:tab w:val="left" w:pos="72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 xml:space="preserve">Wining up the Company would ensue - </w:t>
      </w:r>
    </w:p>
    <w:p w:rsidR="00AC4169" w:rsidRDefault="00AC4169" w:rsidP="004A3009">
      <w:pPr>
        <w:pStyle w:val="HANG"/>
        <w:numPr>
          <w:ilvl w:val="0"/>
          <w:numId w:val="10"/>
        </w:numPr>
        <w:tabs>
          <w:tab w:val="left" w:pos="540"/>
        </w:tabs>
        <w:spacing w:line="240" w:lineRule="auto"/>
        <w:rPr>
          <w:rFonts w:ascii="Bookman Old Style" w:hAnsi="Bookman Old Style"/>
          <w:color w:val="000000" w:themeColor="text1"/>
          <w:sz w:val="24"/>
        </w:rPr>
      </w:pPr>
      <w:r>
        <w:rPr>
          <w:rFonts w:ascii="Bookman Old Style" w:hAnsi="Bookman Old Style"/>
          <w:color w:val="000000" w:themeColor="text1"/>
          <w:sz w:val="24"/>
        </w:rPr>
        <w:t>loss of employment to existing employees.</w:t>
      </w:r>
    </w:p>
    <w:p w:rsidR="00AC4169" w:rsidRDefault="00AC4169" w:rsidP="004A3009">
      <w:pPr>
        <w:pStyle w:val="HANG"/>
        <w:numPr>
          <w:ilvl w:val="0"/>
          <w:numId w:val="10"/>
        </w:numPr>
        <w:tabs>
          <w:tab w:val="left" w:pos="540"/>
        </w:tabs>
        <w:spacing w:line="240" w:lineRule="auto"/>
        <w:rPr>
          <w:rFonts w:ascii="Bookman Old Style" w:hAnsi="Bookman Old Style"/>
          <w:color w:val="000000" w:themeColor="text1"/>
          <w:sz w:val="24"/>
        </w:rPr>
      </w:pPr>
      <w:r>
        <w:rPr>
          <w:rFonts w:ascii="Bookman Old Style" w:hAnsi="Bookman Old Style"/>
          <w:color w:val="000000" w:themeColor="text1"/>
          <w:sz w:val="24"/>
        </w:rPr>
        <w:t>loss of revenue to the Govt from the Company in the form of taxes.</w:t>
      </w:r>
    </w:p>
    <w:p w:rsidR="00AC4169" w:rsidRDefault="00AC4169" w:rsidP="004A3009">
      <w:pPr>
        <w:pStyle w:val="HANG"/>
        <w:numPr>
          <w:ilvl w:val="0"/>
          <w:numId w:val="10"/>
        </w:numPr>
        <w:tabs>
          <w:tab w:val="left" w:pos="540"/>
        </w:tabs>
        <w:spacing w:line="240" w:lineRule="auto"/>
        <w:rPr>
          <w:rFonts w:ascii="Bookman Old Style" w:hAnsi="Bookman Old Style"/>
          <w:color w:val="000000" w:themeColor="text1"/>
          <w:sz w:val="24"/>
        </w:rPr>
      </w:pPr>
      <w:r>
        <w:rPr>
          <w:rFonts w:ascii="Bookman Old Style" w:hAnsi="Bookman Old Style"/>
          <w:color w:val="000000" w:themeColor="text1"/>
          <w:sz w:val="24"/>
        </w:rPr>
        <w:t>Other Creditors oppose winding up petition.</w:t>
      </w:r>
    </w:p>
    <w:p w:rsidR="00AC4169" w:rsidRDefault="00AC4169" w:rsidP="004A3009">
      <w:pPr>
        <w:pStyle w:val="HANG"/>
        <w:numPr>
          <w:ilvl w:val="0"/>
          <w:numId w:val="9"/>
        </w:numPr>
        <w:tabs>
          <w:tab w:val="left" w:pos="72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Court would give the Company the time to come up from the temporary cash crisis.</w:t>
      </w:r>
    </w:p>
    <w:p w:rsidR="0016191C" w:rsidRDefault="0016191C" w:rsidP="00D731A2">
      <w:pPr>
        <w:pStyle w:val="HANG"/>
        <w:tabs>
          <w:tab w:val="left" w:pos="1170"/>
        </w:tabs>
        <w:spacing w:line="240" w:lineRule="auto"/>
        <w:ind w:left="1167" w:hanging="893"/>
        <w:rPr>
          <w:rFonts w:ascii="Bookman Old Style" w:hAnsi="Bookman Old Style"/>
          <w:b/>
          <w:color w:val="000000" w:themeColor="text1"/>
          <w:sz w:val="24"/>
          <w:u w:val="single"/>
        </w:rPr>
      </w:pPr>
    </w:p>
    <w:p w:rsidR="00B93F26" w:rsidRDefault="004E55F9" w:rsidP="00D731A2">
      <w:pPr>
        <w:pStyle w:val="HANG"/>
        <w:tabs>
          <w:tab w:val="left" w:pos="1170"/>
        </w:tabs>
        <w:spacing w:line="240" w:lineRule="auto"/>
        <w:ind w:left="1167" w:hanging="893"/>
        <w:rPr>
          <w:rFonts w:ascii="Bookman Old Style" w:hAnsi="Bookman Old Style"/>
          <w:b/>
          <w:color w:val="000000" w:themeColor="text1"/>
          <w:sz w:val="24"/>
          <w:u w:val="single"/>
        </w:rPr>
      </w:pPr>
      <w:r w:rsidRPr="004E55F9">
        <w:rPr>
          <w:rFonts w:ascii="Bookman Old Style" w:hAnsi="Bookman Old Style"/>
          <w:b/>
          <w:color w:val="000000" w:themeColor="text1"/>
          <w:sz w:val="24"/>
          <w:u w:val="single"/>
        </w:rPr>
        <w:t>NOTE:</w:t>
      </w:r>
      <w:r>
        <w:rPr>
          <w:rFonts w:ascii="Bookman Old Style" w:hAnsi="Bookman Old Style"/>
          <w:b/>
          <w:color w:val="000000" w:themeColor="text1"/>
          <w:sz w:val="24"/>
          <w:u w:val="single"/>
        </w:rPr>
        <w:t xml:space="preserve"> </w:t>
      </w:r>
    </w:p>
    <w:p w:rsidR="004E55F9" w:rsidRDefault="004E55F9" w:rsidP="004A3009">
      <w:pPr>
        <w:pStyle w:val="HANG"/>
        <w:numPr>
          <w:ilvl w:val="0"/>
          <w:numId w:val="11"/>
        </w:numPr>
        <w:tabs>
          <w:tab w:val="left" w:pos="1170"/>
        </w:tabs>
        <w:spacing w:line="240" w:lineRule="auto"/>
        <w:rPr>
          <w:rFonts w:ascii="Bookman Old Style" w:hAnsi="Bookman Old Style"/>
          <w:color w:val="000000" w:themeColor="text1"/>
          <w:sz w:val="24"/>
        </w:rPr>
      </w:pPr>
      <w:r w:rsidRPr="004E55F9">
        <w:rPr>
          <w:rFonts w:ascii="Bookman Old Style" w:hAnsi="Bookman Old Style"/>
          <w:color w:val="000000" w:themeColor="text1"/>
          <w:sz w:val="24"/>
        </w:rPr>
        <w:t>Debt refers to the definite sum and does not include claim for unliquidated damages.</w:t>
      </w:r>
    </w:p>
    <w:p w:rsidR="004E55F9" w:rsidRDefault="00524E6D" w:rsidP="004A3009">
      <w:pPr>
        <w:pStyle w:val="HANG"/>
        <w:numPr>
          <w:ilvl w:val="0"/>
          <w:numId w:val="11"/>
        </w:numPr>
        <w:tabs>
          <w:tab w:val="left" w:pos="1170"/>
        </w:tabs>
        <w:spacing w:line="240" w:lineRule="auto"/>
        <w:rPr>
          <w:rFonts w:ascii="Bookman Old Style" w:hAnsi="Bookman Old Style"/>
          <w:color w:val="000000" w:themeColor="text1"/>
          <w:sz w:val="24"/>
        </w:rPr>
      </w:pPr>
      <w:r>
        <w:rPr>
          <w:rFonts w:ascii="Bookman Old Style" w:hAnsi="Bookman Old Style"/>
          <w:color w:val="000000" w:themeColor="text1"/>
          <w:sz w:val="24"/>
        </w:rPr>
        <w:lastRenderedPageBreak/>
        <w:t>Dividend declared becomes debt due by the Company and entitles shareholders to apply under this section in case Company is unable to pay.</w:t>
      </w:r>
    </w:p>
    <w:p w:rsidR="00524E6D" w:rsidRDefault="00524E6D" w:rsidP="004A3009">
      <w:pPr>
        <w:pStyle w:val="HANG"/>
        <w:numPr>
          <w:ilvl w:val="0"/>
          <w:numId w:val="11"/>
        </w:numPr>
        <w:tabs>
          <w:tab w:val="left" w:pos="1170"/>
        </w:tabs>
        <w:spacing w:line="240" w:lineRule="auto"/>
        <w:rPr>
          <w:rFonts w:ascii="Bookman Old Style" w:hAnsi="Bookman Old Style"/>
          <w:color w:val="000000" w:themeColor="text1"/>
          <w:sz w:val="24"/>
        </w:rPr>
      </w:pPr>
      <w:r>
        <w:rPr>
          <w:rFonts w:ascii="Bookman Old Style" w:hAnsi="Bookman Old Style"/>
          <w:color w:val="000000" w:themeColor="text1"/>
          <w:sz w:val="24"/>
        </w:rPr>
        <w:t xml:space="preserve">Petition filed by employee on account of </w:t>
      </w:r>
      <w:r w:rsidRPr="00524E6D">
        <w:rPr>
          <w:rFonts w:ascii="Bookman Old Style" w:hAnsi="Bookman Old Style"/>
          <w:b/>
          <w:color w:val="000000" w:themeColor="text1"/>
          <w:sz w:val="24"/>
        </w:rPr>
        <w:t>non-payment of salary</w:t>
      </w:r>
      <w:r>
        <w:rPr>
          <w:rFonts w:ascii="Bookman Old Style" w:hAnsi="Bookman Old Style"/>
          <w:color w:val="000000" w:themeColor="text1"/>
          <w:sz w:val="24"/>
        </w:rPr>
        <w:t xml:space="preserve"> is not held under this section.</w:t>
      </w:r>
    </w:p>
    <w:p w:rsidR="000167BB" w:rsidRPr="000167BB" w:rsidRDefault="000167BB" w:rsidP="00D731A2">
      <w:pPr>
        <w:pStyle w:val="HANG"/>
        <w:tabs>
          <w:tab w:val="left" w:pos="1170"/>
        </w:tabs>
        <w:spacing w:line="240" w:lineRule="auto"/>
        <w:ind w:left="634" w:firstLine="0"/>
        <w:rPr>
          <w:rFonts w:ascii="Copperplate Gothic Bold" w:hAnsi="Copperplate Gothic Bold"/>
          <w:b/>
          <w:color w:val="000000" w:themeColor="text1"/>
          <w:sz w:val="12"/>
          <w:u w:val="single"/>
        </w:rPr>
      </w:pPr>
    </w:p>
    <w:p w:rsidR="00524E6D" w:rsidRPr="00EB6A59" w:rsidRDefault="00EB6A59" w:rsidP="00D731A2">
      <w:pPr>
        <w:pStyle w:val="HANG"/>
        <w:tabs>
          <w:tab w:val="left" w:pos="1170"/>
        </w:tabs>
        <w:spacing w:line="240" w:lineRule="auto"/>
        <w:ind w:left="634" w:firstLine="0"/>
        <w:rPr>
          <w:rFonts w:ascii="Copperplate Gothic Bold" w:hAnsi="Copperplate Gothic Bold"/>
          <w:b/>
          <w:color w:val="000000" w:themeColor="text1"/>
          <w:sz w:val="32"/>
          <w:u w:val="single"/>
        </w:rPr>
      </w:pPr>
      <w:r w:rsidRPr="00EB6A59">
        <w:rPr>
          <w:rFonts w:ascii="Copperplate Gothic Bold" w:hAnsi="Copperplate Gothic Bold"/>
          <w:b/>
          <w:color w:val="000000" w:themeColor="text1"/>
          <w:sz w:val="32"/>
          <w:u w:val="single"/>
        </w:rPr>
        <w:t>Just and Equitable Grounds</w:t>
      </w:r>
    </w:p>
    <w:p w:rsidR="00524E6D" w:rsidRDefault="00EB6A59" w:rsidP="004A3009">
      <w:pPr>
        <w:pStyle w:val="HANG"/>
        <w:numPr>
          <w:ilvl w:val="0"/>
          <w:numId w:val="15"/>
        </w:numPr>
        <w:tabs>
          <w:tab w:val="left" w:pos="180"/>
        </w:tabs>
        <w:spacing w:line="240" w:lineRule="auto"/>
        <w:ind w:hanging="446"/>
        <w:rPr>
          <w:rFonts w:ascii="Bookman Old Style" w:hAnsi="Bookman Old Style"/>
          <w:color w:val="000000" w:themeColor="text1"/>
          <w:sz w:val="24"/>
        </w:rPr>
      </w:pPr>
      <w:r>
        <w:rPr>
          <w:rFonts w:ascii="Bookman Old Style" w:hAnsi="Bookman Old Style"/>
          <w:color w:val="000000" w:themeColor="text1"/>
          <w:sz w:val="24"/>
        </w:rPr>
        <w:t xml:space="preserve">Winding Up under this ground is in the nature of the last resort. The petitioner must convince the Court that – </w:t>
      </w:r>
    </w:p>
    <w:p w:rsidR="00EB6A59" w:rsidRDefault="00EB6A59" w:rsidP="004A3009">
      <w:pPr>
        <w:pStyle w:val="HANG"/>
        <w:numPr>
          <w:ilvl w:val="0"/>
          <w:numId w:val="12"/>
        </w:numPr>
        <w:tabs>
          <w:tab w:val="left" w:pos="1530"/>
          <w:tab w:val="left" w:pos="1620"/>
        </w:tabs>
        <w:spacing w:after="0" w:line="240" w:lineRule="auto"/>
        <w:ind w:left="1530" w:hanging="450"/>
        <w:rPr>
          <w:rFonts w:ascii="Bookman Old Style" w:hAnsi="Bookman Old Style"/>
          <w:color w:val="000000" w:themeColor="text1"/>
          <w:sz w:val="24"/>
        </w:rPr>
      </w:pPr>
      <w:r>
        <w:rPr>
          <w:rFonts w:ascii="Bookman Old Style" w:hAnsi="Bookman Old Style"/>
          <w:color w:val="000000" w:themeColor="text1"/>
          <w:sz w:val="24"/>
        </w:rPr>
        <w:t>There are Just &amp; Equitable Grounds for Winding Up</w:t>
      </w:r>
    </w:p>
    <w:p w:rsidR="00EB6A59" w:rsidRDefault="00EB6A59" w:rsidP="004A3009">
      <w:pPr>
        <w:pStyle w:val="HANG"/>
        <w:numPr>
          <w:ilvl w:val="0"/>
          <w:numId w:val="12"/>
        </w:numPr>
        <w:tabs>
          <w:tab w:val="left" w:pos="1530"/>
          <w:tab w:val="left" w:pos="1620"/>
        </w:tabs>
        <w:spacing w:line="240" w:lineRule="auto"/>
        <w:ind w:left="1530" w:hanging="446"/>
        <w:rPr>
          <w:rFonts w:ascii="Bookman Old Style" w:hAnsi="Bookman Old Style"/>
          <w:color w:val="000000" w:themeColor="text1"/>
          <w:sz w:val="24"/>
        </w:rPr>
      </w:pPr>
      <w:r>
        <w:rPr>
          <w:rFonts w:ascii="Bookman Old Style" w:hAnsi="Bookman Old Style"/>
          <w:color w:val="000000" w:themeColor="text1"/>
          <w:sz w:val="24"/>
        </w:rPr>
        <w:t>There is no alternative remedy open to him</w:t>
      </w:r>
    </w:p>
    <w:p w:rsidR="00524E6D" w:rsidRDefault="00EB6A59" w:rsidP="004A3009">
      <w:pPr>
        <w:pStyle w:val="HANG"/>
        <w:numPr>
          <w:ilvl w:val="0"/>
          <w:numId w:val="15"/>
        </w:numPr>
        <w:tabs>
          <w:tab w:val="left" w:pos="180"/>
        </w:tabs>
        <w:spacing w:line="240" w:lineRule="auto"/>
        <w:ind w:hanging="446"/>
        <w:rPr>
          <w:rFonts w:ascii="Bookman Old Style" w:hAnsi="Bookman Old Style"/>
          <w:color w:val="000000" w:themeColor="text1"/>
          <w:sz w:val="24"/>
        </w:rPr>
      </w:pPr>
      <w:r>
        <w:rPr>
          <w:rFonts w:ascii="Bookman Old Style" w:hAnsi="Bookman Old Style"/>
          <w:color w:val="000000" w:themeColor="text1"/>
          <w:sz w:val="24"/>
        </w:rPr>
        <w:t>The Court may order winding up in the following cases:</w:t>
      </w:r>
    </w:p>
    <w:p w:rsidR="00EB6A59" w:rsidRDefault="00EB6A59"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rPr>
      </w:pPr>
      <w:r>
        <w:rPr>
          <w:rFonts w:ascii="Bookman Old Style" w:hAnsi="Bookman Old Style"/>
          <w:color w:val="000000" w:themeColor="text1"/>
          <w:sz w:val="24"/>
        </w:rPr>
        <w:t xml:space="preserve">Where the </w:t>
      </w:r>
      <w:r w:rsidRPr="00317BA8">
        <w:rPr>
          <w:rFonts w:ascii="Bookman Old Style" w:hAnsi="Bookman Old Style"/>
          <w:color w:val="000000" w:themeColor="text1"/>
          <w:sz w:val="24"/>
          <w:u w:val="single"/>
        </w:rPr>
        <w:t>whole object of the Company was fraudulent</w:t>
      </w:r>
    </w:p>
    <w:p w:rsidR="00EB6A59" w:rsidRDefault="00EB6A59"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rPr>
      </w:pPr>
      <w:r>
        <w:rPr>
          <w:rFonts w:ascii="Bookman Old Style" w:hAnsi="Bookman Old Style"/>
          <w:color w:val="000000" w:themeColor="text1"/>
          <w:sz w:val="24"/>
        </w:rPr>
        <w:t xml:space="preserve">Where the </w:t>
      </w:r>
      <w:r w:rsidRPr="00317BA8">
        <w:rPr>
          <w:rFonts w:ascii="Bookman Old Style" w:hAnsi="Bookman Old Style"/>
          <w:color w:val="000000" w:themeColor="text1"/>
          <w:sz w:val="24"/>
          <w:u w:val="single"/>
        </w:rPr>
        <w:t>Substratum of the Company is gone</w:t>
      </w:r>
      <w:r w:rsidR="003148F9">
        <w:rPr>
          <w:rFonts w:ascii="Bookman Old Style" w:hAnsi="Bookman Old Style"/>
          <w:color w:val="000000" w:themeColor="text1"/>
          <w:sz w:val="24"/>
        </w:rPr>
        <w:t xml:space="preserve"> or deemed to have gone</w:t>
      </w:r>
    </w:p>
    <w:p w:rsidR="00317BA8" w:rsidRPr="00317BA8" w:rsidRDefault="00317BA8"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u w:val="single"/>
        </w:rPr>
      </w:pPr>
      <w:r>
        <w:rPr>
          <w:rFonts w:ascii="Bookman Old Style" w:hAnsi="Bookman Old Style"/>
          <w:color w:val="000000" w:themeColor="text1"/>
          <w:sz w:val="24"/>
        </w:rPr>
        <w:t xml:space="preserve">Where the </w:t>
      </w:r>
      <w:r w:rsidRPr="00317BA8">
        <w:rPr>
          <w:rFonts w:ascii="Bookman Old Style" w:hAnsi="Bookman Old Style"/>
          <w:color w:val="000000" w:themeColor="text1"/>
          <w:sz w:val="24"/>
          <w:u w:val="single"/>
        </w:rPr>
        <w:t>main object</w:t>
      </w:r>
      <w:r w:rsidR="008A3F09" w:rsidRPr="008A3F09">
        <w:rPr>
          <w:rFonts w:ascii="Bookman Old Style" w:hAnsi="Bookman Old Style"/>
          <w:color w:val="000000" w:themeColor="text1"/>
          <w:sz w:val="24"/>
          <w:u w:val="single"/>
        </w:rPr>
        <w:t xml:space="preserve"> </w:t>
      </w:r>
      <w:r w:rsidRPr="00317BA8">
        <w:rPr>
          <w:rFonts w:ascii="Bookman Old Style" w:hAnsi="Bookman Old Style"/>
          <w:color w:val="000000" w:themeColor="text1"/>
          <w:sz w:val="24"/>
          <w:u w:val="single"/>
        </w:rPr>
        <w:t>has been completely achieved.</w:t>
      </w:r>
    </w:p>
    <w:p w:rsidR="00317BA8" w:rsidRPr="00317BA8" w:rsidRDefault="00317BA8"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u w:val="single"/>
        </w:rPr>
      </w:pPr>
      <w:r>
        <w:rPr>
          <w:rFonts w:ascii="Bookman Old Style" w:hAnsi="Bookman Old Style"/>
          <w:color w:val="000000" w:themeColor="text1"/>
          <w:sz w:val="24"/>
        </w:rPr>
        <w:t xml:space="preserve">Where there is </w:t>
      </w:r>
      <w:r w:rsidRPr="00317BA8">
        <w:rPr>
          <w:rFonts w:ascii="Bookman Old Style" w:hAnsi="Bookman Old Style"/>
          <w:color w:val="000000" w:themeColor="text1"/>
          <w:sz w:val="24"/>
          <w:u w:val="single"/>
        </w:rPr>
        <w:t>deadlock in the management</w:t>
      </w:r>
    </w:p>
    <w:p w:rsidR="00317BA8" w:rsidRDefault="00317BA8"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rPr>
      </w:pPr>
      <w:r>
        <w:rPr>
          <w:rFonts w:ascii="Bookman Old Style" w:hAnsi="Bookman Old Style"/>
          <w:color w:val="000000" w:themeColor="text1"/>
          <w:sz w:val="24"/>
        </w:rPr>
        <w:t xml:space="preserve">Where the </w:t>
      </w:r>
      <w:r w:rsidRPr="00317BA8">
        <w:rPr>
          <w:rFonts w:ascii="Bookman Old Style" w:hAnsi="Bookman Old Style"/>
          <w:color w:val="000000" w:themeColor="text1"/>
          <w:sz w:val="24"/>
          <w:u w:val="single"/>
        </w:rPr>
        <w:t>main business of the Company has been taken over by the</w:t>
      </w:r>
      <w:r>
        <w:rPr>
          <w:rFonts w:ascii="Bookman Old Style" w:hAnsi="Bookman Old Style"/>
          <w:color w:val="000000" w:themeColor="text1"/>
          <w:sz w:val="24"/>
        </w:rPr>
        <w:t xml:space="preserve"> Govt and there is no prospect of doing other business</w:t>
      </w:r>
    </w:p>
    <w:p w:rsidR="00317BA8" w:rsidRPr="00317BA8" w:rsidRDefault="00317BA8" w:rsidP="004A3009">
      <w:pPr>
        <w:pStyle w:val="HANG"/>
        <w:numPr>
          <w:ilvl w:val="0"/>
          <w:numId w:val="13"/>
        </w:numPr>
        <w:tabs>
          <w:tab w:val="left" w:pos="1350"/>
          <w:tab w:val="left" w:pos="1440"/>
        </w:tabs>
        <w:spacing w:line="240" w:lineRule="auto"/>
        <w:ind w:left="1350" w:hanging="630"/>
        <w:rPr>
          <w:rFonts w:ascii="Bookman Old Style" w:hAnsi="Bookman Old Style"/>
          <w:color w:val="000000" w:themeColor="text1"/>
          <w:sz w:val="24"/>
          <w:u w:val="single"/>
        </w:rPr>
      </w:pPr>
      <w:r>
        <w:rPr>
          <w:rFonts w:ascii="Bookman Old Style" w:hAnsi="Bookman Old Style"/>
          <w:color w:val="000000" w:themeColor="text1"/>
          <w:sz w:val="24"/>
        </w:rPr>
        <w:t xml:space="preserve">Where there is or has been </w:t>
      </w:r>
      <w:r w:rsidRPr="00317BA8">
        <w:rPr>
          <w:rFonts w:ascii="Bookman Old Style" w:hAnsi="Bookman Old Style"/>
          <w:color w:val="000000" w:themeColor="text1"/>
          <w:sz w:val="24"/>
          <w:u w:val="single"/>
        </w:rPr>
        <w:t>mismanagement or misapplication of funds by directors of Private Company.</w:t>
      </w:r>
    </w:p>
    <w:p w:rsidR="004E55F9" w:rsidRPr="000167BB" w:rsidRDefault="004E55F9" w:rsidP="00D731A2">
      <w:pPr>
        <w:pStyle w:val="HANG"/>
        <w:tabs>
          <w:tab w:val="left" w:pos="180"/>
        </w:tabs>
        <w:spacing w:line="276" w:lineRule="auto"/>
        <w:ind w:left="1170" w:hanging="630"/>
        <w:contextualSpacing/>
        <w:rPr>
          <w:rFonts w:ascii="Bookman Old Style" w:hAnsi="Bookman Old Style"/>
          <w:color w:val="000000" w:themeColor="text1"/>
          <w:sz w:val="14"/>
        </w:rPr>
      </w:pPr>
    </w:p>
    <w:p w:rsidR="00B93F26" w:rsidRDefault="008D5420" w:rsidP="00D731A2">
      <w:pPr>
        <w:pStyle w:val="HANG"/>
        <w:tabs>
          <w:tab w:val="left" w:pos="180"/>
        </w:tabs>
        <w:spacing w:line="276" w:lineRule="auto"/>
        <w:contextualSpacing/>
        <w:rPr>
          <w:rFonts w:ascii="Copperplate Gothic Bold" w:hAnsi="Copperplate Gothic Bold"/>
          <w:b/>
          <w:color w:val="000000" w:themeColor="text1"/>
          <w:sz w:val="32"/>
          <w:u w:val="single"/>
        </w:rPr>
      </w:pPr>
      <w:r w:rsidRPr="008D5420">
        <w:rPr>
          <w:rFonts w:ascii="Copperplate Gothic Bold" w:hAnsi="Copperplate Gothic Bold"/>
          <w:b/>
          <w:color w:val="000000" w:themeColor="text1"/>
          <w:sz w:val="32"/>
        </w:rPr>
        <w:tab/>
      </w:r>
      <w:r w:rsidRPr="008D5420">
        <w:rPr>
          <w:rFonts w:ascii="Copperplate Gothic Bold" w:hAnsi="Copperplate Gothic Bold"/>
          <w:b/>
          <w:color w:val="000000" w:themeColor="text1"/>
          <w:sz w:val="32"/>
        </w:rPr>
        <w:tab/>
        <w:t xml:space="preserve"> </w:t>
      </w:r>
      <w:r w:rsidRPr="008D5420">
        <w:rPr>
          <w:rFonts w:ascii="Copperplate Gothic Bold" w:hAnsi="Copperplate Gothic Bold"/>
          <w:b/>
          <w:color w:val="000000" w:themeColor="text1"/>
          <w:sz w:val="32"/>
          <w:u w:val="single"/>
        </w:rPr>
        <w:t>Who can File Petition</w:t>
      </w:r>
    </w:p>
    <w:p w:rsidR="008D5420" w:rsidRPr="008D5420" w:rsidRDefault="008D5420" w:rsidP="00D731A2">
      <w:pPr>
        <w:pStyle w:val="HANG"/>
        <w:tabs>
          <w:tab w:val="left" w:pos="180"/>
        </w:tabs>
        <w:spacing w:line="276" w:lineRule="auto"/>
        <w:contextualSpacing/>
        <w:rPr>
          <w:rFonts w:ascii="Bookman Old Style" w:hAnsi="Bookman Old Style"/>
          <w:color w:val="000000" w:themeColor="text1"/>
          <w:sz w:val="14"/>
        </w:rPr>
      </w:pPr>
    </w:p>
    <w:p w:rsidR="000167BB" w:rsidRDefault="000167BB" w:rsidP="004A3009">
      <w:pPr>
        <w:pStyle w:val="HANG"/>
        <w:numPr>
          <w:ilvl w:val="1"/>
          <w:numId w:val="14"/>
        </w:numPr>
        <w:tabs>
          <w:tab w:val="left" w:pos="180"/>
        </w:tabs>
        <w:spacing w:line="276" w:lineRule="auto"/>
        <w:contextualSpacing/>
        <w:rPr>
          <w:rFonts w:ascii="Bookman Old Style" w:hAnsi="Bookman Old Style"/>
          <w:color w:val="000000" w:themeColor="text1"/>
          <w:sz w:val="24"/>
        </w:rPr>
        <w:sectPr w:rsidR="000167BB" w:rsidSect="00E46994">
          <w:headerReference w:type="default" r:id="rId9"/>
          <w:footerReference w:type="default" r:id="rId10"/>
          <w:type w:val="continuous"/>
          <w:pgSz w:w="12240" w:h="15840"/>
          <w:pgMar w:top="270" w:right="720" w:bottom="360" w:left="720" w:header="450" w:footer="0" w:gutter="0"/>
          <w:cols w:space="720"/>
          <w:docGrid w:linePitch="360"/>
        </w:sectPr>
      </w:pPr>
    </w:p>
    <w:p w:rsidR="008D5420" w:rsidRDefault="008D5420" w:rsidP="004A3009">
      <w:pPr>
        <w:pStyle w:val="HANG"/>
        <w:numPr>
          <w:ilvl w:val="1"/>
          <w:numId w:val="14"/>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lastRenderedPageBreak/>
        <w:t>By the Company</w:t>
      </w:r>
    </w:p>
    <w:p w:rsidR="008D5420" w:rsidRDefault="008D5420" w:rsidP="004A3009">
      <w:pPr>
        <w:pStyle w:val="HANG"/>
        <w:numPr>
          <w:ilvl w:val="1"/>
          <w:numId w:val="14"/>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By the Creditor</w:t>
      </w:r>
    </w:p>
    <w:p w:rsidR="008D5420" w:rsidRDefault="008D5420" w:rsidP="004A3009">
      <w:pPr>
        <w:pStyle w:val="HANG"/>
        <w:numPr>
          <w:ilvl w:val="1"/>
          <w:numId w:val="14"/>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By the Contributory</w:t>
      </w:r>
    </w:p>
    <w:p w:rsidR="008D5420" w:rsidRDefault="008D5420" w:rsidP="004A3009">
      <w:pPr>
        <w:pStyle w:val="HANG"/>
        <w:numPr>
          <w:ilvl w:val="1"/>
          <w:numId w:val="14"/>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lastRenderedPageBreak/>
        <w:t>By the Registrar</w:t>
      </w:r>
      <w:r>
        <w:rPr>
          <w:rFonts w:ascii="Bookman Old Style" w:hAnsi="Bookman Old Style"/>
          <w:color w:val="000000" w:themeColor="text1"/>
          <w:sz w:val="24"/>
        </w:rPr>
        <w:tab/>
      </w:r>
    </w:p>
    <w:p w:rsidR="008D5420" w:rsidRDefault="008D5420" w:rsidP="004A3009">
      <w:pPr>
        <w:pStyle w:val="HANG"/>
        <w:numPr>
          <w:ilvl w:val="1"/>
          <w:numId w:val="14"/>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By the Central Gov</w:t>
      </w:r>
      <w:r w:rsidRPr="008D5420">
        <w:rPr>
          <w:rFonts w:ascii="Bookman Old Style" w:hAnsi="Bookman Old Style"/>
          <w:color w:val="000000" w:themeColor="text1"/>
          <w:sz w:val="24"/>
        </w:rPr>
        <w:t>t</w:t>
      </w:r>
    </w:p>
    <w:p w:rsidR="000167BB" w:rsidRDefault="000167BB" w:rsidP="00D731A2">
      <w:pPr>
        <w:pStyle w:val="HANG"/>
        <w:tabs>
          <w:tab w:val="left" w:pos="180"/>
        </w:tabs>
        <w:spacing w:line="276" w:lineRule="auto"/>
        <w:contextualSpacing/>
        <w:rPr>
          <w:rFonts w:ascii="Bookman Old Style" w:hAnsi="Bookman Old Style"/>
          <w:color w:val="000000" w:themeColor="text1"/>
          <w:sz w:val="24"/>
        </w:rPr>
        <w:sectPr w:rsidR="000167BB" w:rsidSect="000167BB">
          <w:type w:val="continuous"/>
          <w:pgSz w:w="12240" w:h="15840"/>
          <w:pgMar w:top="270" w:right="720" w:bottom="360" w:left="720" w:header="450" w:footer="0" w:gutter="0"/>
          <w:cols w:num="2" w:space="720"/>
          <w:docGrid w:linePitch="360"/>
        </w:sectPr>
      </w:pPr>
    </w:p>
    <w:p w:rsidR="008D5420" w:rsidRPr="000167BB" w:rsidRDefault="008D5420" w:rsidP="00D731A2">
      <w:pPr>
        <w:pStyle w:val="HANG"/>
        <w:tabs>
          <w:tab w:val="left" w:pos="180"/>
        </w:tabs>
        <w:spacing w:line="276" w:lineRule="auto"/>
        <w:contextualSpacing/>
        <w:rPr>
          <w:rFonts w:ascii="Bookman Old Style" w:hAnsi="Bookman Old Style"/>
          <w:color w:val="000000" w:themeColor="text1"/>
          <w:sz w:val="16"/>
        </w:rPr>
      </w:pPr>
    </w:p>
    <w:p w:rsidR="008D5420" w:rsidRPr="003148F9" w:rsidRDefault="003148F9" w:rsidP="00D731A2">
      <w:pPr>
        <w:pStyle w:val="HANG"/>
        <w:tabs>
          <w:tab w:val="left" w:pos="180"/>
        </w:tabs>
        <w:spacing w:line="276" w:lineRule="auto"/>
        <w:contextualSpacing/>
        <w:rPr>
          <w:rFonts w:ascii="Copperplate Gothic Bold" w:hAnsi="Copperplate Gothic Bold"/>
          <w:b/>
          <w:color w:val="000000" w:themeColor="text1"/>
          <w:sz w:val="32"/>
          <w:u w:val="single"/>
        </w:rPr>
      </w:pPr>
      <w:r>
        <w:rPr>
          <w:rFonts w:ascii="Bookman Old Style" w:hAnsi="Bookman Old Style"/>
          <w:color w:val="000000" w:themeColor="text1"/>
          <w:sz w:val="24"/>
        </w:rPr>
        <w:tab/>
      </w:r>
      <w:r>
        <w:rPr>
          <w:rFonts w:ascii="Bookman Old Style" w:hAnsi="Bookman Old Style"/>
          <w:color w:val="000000" w:themeColor="text1"/>
          <w:sz w:val="24"/>
        </w:rPr>
        <w:tab/>
      </w:r>
      <w:r w:rsidRPr="003148F9">
        <w:rPr>
          <w:rFonts w:ascii="Copperplate Gothic Bold" w:hAnsi="Copperplate Gothic Bold"/>
          <w:b/>
          <w:color w:val="000000" w:themeColor="text1"/>
          <w:sz w:val="32"/>
          <w:u w:val="single"/>
        </w:rPr>
        <w:t>Petition by the Company</w:t>
      </w:r>
    </w:p>
    <w:p w:rsidR="008D5420" w:rsidRPr="000167BB" w:rsidRDefault="008D5420" w:rsidP="00D731A2">
      <w:pPr>
        <w:pStyle w:val="HANG"/>
        <w:tabs>
          <w:tab w:val="left" w:pos="180"/>
        </w:tabs>
        <w:spacing w:line="276" w:lineRule="auto"/>
        <w:contextualSpacing/>
        <w:rPr>
          <w:rFonts w:ascii="Bookman Old Style" w:hAnsi="Bookman Old Style"/>
          <w:color w:val="000000" w:themeColor="text1"/>
          <w:sz w:val="10"/>
        </w:rPr>
      </w:pPr>
    </w:p>
    <w:p w:rsidR="003148F9" w:rsidRDefault="003148F9" w:rsidP="004A3009">
      <w:pPr>
        <w:pStyle w:val="HANG"/>
        <w:numPr>
          <w:ilvl w:val="0"/>
          <w:numId w:val="16"/>
        </w:numPr>
        <w:tabs>
          <w:tab w:val="left" w:pos="180"/>
        </w:tabs>
        <w:spacing w:line="276" w:lineRule="auto"/>
        <w:ind w:hanging="450"/>
        <w:contextualSpacing/>
        <w:rPr>
          <w:rFonts w:ascii="Bookman Old Style" w:hAnsi="Bookman Old Style"/>
          <w:color w:val="000000" w:themeColor="text1"/>
          <w:sz w:val="24"/>
        </w:rPr>
      </w:pPr>
      <w:r>
        <w:rPr>
          <w:rFonts w:ascii="Bookman Old Style" w:hAnsi="Bookman Old Style"/>
          <w:color w:val="000000" w:themeColor="text1"/>
          <w:sz w:val="24"/>
        </w:rPr>
        <w:t>Board of Directors can file a petition with the sanction of a General Meeting i.e. Special Resolution or under express authority given under the articles.</w:t>
      </w:r>
    </w:p>
    <w:p w:rsidR="003148F9" w:rsidRDefault="003148F9" w:rsidP="004A3009">
      <w:pPr>
        <w:pStyle w:val="HANG"/>
        <w:numPr>
          <w:ilvl w:val="0"/>
          <w:numId w:val="15"/>
        </w:numPr>
        <w:tabs>
          <w:tab w:val="left" w:pos="180"/>
        </w:tabs>
        <w:spacing w:line="240" w:lineRule="auto"/>
        <w:ind w:hanging="446"/>
        <w:rPr>
          <w:rFonts w:ascii="Bookman Old Style" w:hAnsi="Bookman Old Style"/>
          <w:color w:val="000000" w:themeColor="text1"/>
          <w:sz w:val="24"/>
        </w:rPr>
      </w:pPr>
      <w:r>
        <w:rPr>
          <w:rFonts w:ascii="Bookman Old Style" w:hAnsi="Bookman Old Style"/>
          <w:color w:val="000000" w:themeColor="text1"/>
          <w:sz w:val="24"/>
        </w:rPr>
        <w:t>Act does not authorize the workers to file a winding up petition.</w:t>
      </w:r>
    </w:p>
    <w:p w:rsidR="003148F9" w:rsidRPr="000167BB" w:rsidRDefault="003148F9" w:rsidP="00D731A2">
      <w:pPr>
        <w:pStyle w:val="HANG"/>
        <w:tabs>
          <w:tab w:val="left" w:pos="180"/>
        </w:tabs>
        <w:spacing w:line="276" w:lineRule="auto"/>
        <w:ind w:left="720" w:firstLine="0"/>
        <w:contextualSpacing/>
        <w:rPr>
          <w:rFonts w:ascii="Bookman Old Style" w:hAnsi="Bookman Old Style"/>
          <w:color w:val="000000" w:themeColor="text1"/>
          <w:sz w:val="16"/>
        </w:rPr>
      </w:pPr>
      <w:r>
        <w:rPr>
          <w:rFonts w:ascii="Bookman Old Style" w:hAnsi="Bookman Old Style"/>
          <w:color w:val="000000" w:themeColor="text1"/>
          <w:sz w:val="24"/>
        </w:rPr>
        <w:t xml:space="preserve"> </w:t>
      </w:r>
    </w:p>
    <w:p w:rsidR="003148F9" w:rsidRDefault="003148F9" w:rsidP="00D731A2">
      <w:pPr>
        <w:pStyle w:val="HANG"/>
        <w:tabs>
          <w:tab w:val="left" w:pos="180"/>
        </w:tabs>
        <w:spacing w:line="276" w:lineRule="auto"/>
        <w:contextualSpacing/>
        <w:rPr>
          <w:rFonts w:ascii="Copperplate Gothic Bold" w:hAnsi="Copperplate Gothic Bold"/>
          <w:b/>
          <w:color w:val="000000" w:themeColor="text1"/>
          <w:sz w:val="32"/>
          <w:u w:val="single"/>
        </w:rPr>
      </w:pPr>
      <w:r>
        <w:rPr>
          <w:rFonts w:ascii="Bookman Old Style" w:hAnsi="Bookman Old Style"/>
          <w:color w:val="000000" w:themeColor="text1"/>
          <w:sz w:val="24"/>
        </w:rPr>
        <w:tab/>
      </w:r>
      <w:r>
        <w:rPr>
          <w:rFonts w:ascii="Bookman Old Style" w:hAnsi="Bookman Old Style"/>
          <w:color w:val="000000" w:themeColor="text1"/>
          <w:sz w:val="24"/>
        </w:rPr>
        <w:tab/>
      </w:r>
      <w:r>
        <w:rPr>
          <w:rFonts w:ascii="Copperplate Gothic Bold" w:hAnsi="Copperplate Gothic Bold"/>
          <w:b/>
          <w:color w:val="000000" w:themeColor="text1"/>
          <w:sz w:val="32"/>
          <w:u w:val="single"/>
        </w:rPr>
        <w:t>Petition by the Creditors</w:t>
      </w:r>
    </w:p>
    <w:p w:rsidR="003148F9" w:rsidRPr="00FB60DA" w:rsidRDefault="003148F9" w:rsidP="004A3009">
      <w:pPr>
        <w:pStyle w:val="HANG"/>
        <w:numPr>
          <w:ilvl w:val="0"/>
          <w:numId w:val="16"/>
        </w:numPr>
        <w:tabs>
          <w:tab w:val="left" w:pos="180"/>
        </w:tabs>
        <w:spacing w:line="276" w:lineRule="auto"/>
        <w:ind w:hanging="450"/>
        <w:contextualSpacing/>
        <w:rPr>
          <w:rFonts w:ascii="Bookman Old Style" w:hAnsi="Bookman Old Style"/>
          <w:color w:val="000000" w:themeColor="text1"/>
          <w:sz w:val="24"/>
        </w:rPr>
      </w:pPr>
      <w:r w:rsidRPr="00FB60DA">
        <w:rPr>
          <w:rFonts w:ascii="Bookman Old Style" w:hAnsi="Bookman Old Style"/>
          <w:color w:val="000000" w:themeColor="text1"/>
          <w:sz w:val="24"/>
        </w:rPr>
        <w:t>Creditor can file a petition if the Company is unable to pay its debts.</w:t>
      </w:r>
      <w:r w:rsidR="00FB60DA">
        <w:rPr>
          <w:rFonts w:ascii="Bookman Old Style" w:hAnsi="Bookman Old Style"/>
          <w:color w:val="000000" w:themeColor="text1"/>
          <w:sz w:val="24"/>
        </w:rPr>
        <w:t xml:space="preserve"> </w:t>
      </w:r>
      <w:r w:rsidRPr="00FB60DA">
        <w:rPr>
          <w:rFonts w:ascii="Bookman Old Style" w:hAnsi="Bookman Old Style"/>
          <w:color w:val="000000" w:themeColor="text1"/>
          <w:sz w:val="24"/>
        </w:rPr>
        <w:t>Following persons shall be deemed to be Creditors for this purpose –</w:t>
      </w:r>
    </w:p>
    <w:p w:rsidR="003148F9" w:rsidRDefault="003148F9" w:rsidP="004A3009">
      <w:pPr>
        <w:pStyle w:val="HANG"/>
        <w:numPr>
          <w:ilvl w:val="0"/>
          <w:numId w:val="17"/>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Prospective or contingent creditor</w:t>
      </w:r>
    </w:p>
    <w:p w:rsidR="003148F9" w:rsidRDefault="003148F9" w:rsidP="004A3009">
      <w:pPr>
        <w:pStyle w:val="HANG"/>
        <w:numPr>
          <w:ilvl w:val="0"/>
          <w:numId w:val="17"/>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Secured Creditor</w:t>
      </w:r>
    </w:p>
    <w:p w:rsidR="003148F9" w:rsidRDefault="003148F9" w:rsidP="004A3009">
      <w:pPr>
        <w:pStyle w:val="HANG"/>
        <w:numPr>
          <w:ilvl w:val="0"/>
          <w:numId w:val="17"/>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Holder of any Debentures</w:t>
      </w:r>
    </w:p>
    <w:p w:rsidR="003148F9" w:rsidRPr="003148F9" w:rsidRDefault="003148F9" w:rsidP="004A3009">
      <w:pPr>
        <w:pStyle w:val="HANG"/>
        <w:numPr>
          <w:ilvl w:val="0"/>
          <w:numId w:val="17"/>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 xml:space="preserve">Trustee for holder of Debentures </w:t>
      </w:r>
    </w:p>
    <w:p w:rsidR="000167BB" w:rsidRPr="000167BB" w:rsidRDefault="003148F9" w:rsidP="00D731A2">
      <w:pPr>
        <w:pStyle w:val="HANG"/>
        <w:tabs>
          <w:tab w:val="left" w:pos="180"/>
        </w:tabs>
        <w:spacing w:line="276" w:lineRule="auto"/>
        <w:contextualSpacing/>
        <w:rPr>
          <w:rFonts w:ascii="Bookman Old Style" w:hAnsi="Bookman Old Style"/>
          <w:color w:val="000000" w:themeColor="text1"/>
          <w:sz w:val="20"/>
        </w:rPr>
      </w:pPr>
      <w:r>
        <w:rPr>
          <w:rFonts w:ascii="Bookman Old Style" w:hAnsi="Bookman Old Style"/>
          <w:color w:val="000000" w:themeColor="text1"/>
          <w:sz w:val="24"/>
        </w:rPr>
        <w:tab/>
      </w:r>
      <w:r w:rsidR="00B93F26">
        <w:rPr>
          <w:rFonts w:ascii="Bookman Old Style" w:hAnsi="Bookman Old Style"/>
          <w:color w:val="000000" w:themeColor="text1"/>
          <w:sz w:val="24"/>
        </w:rPr>
        <w:t xml:space="preserve"> </w:t>
      </w:r>
    </w:p>
    <w:p w:rsidR="003148F9" w:rsidRDefault="003148F9" w:rsidP="00D731A2">
      <w:pPr>
        <w:pStyle w:val="HANG"/>
        <w:tabs>
          <w:tab w:val="left" w:pos="180"/>
        </w:tabs>
        <w:spacing w:line="276" w:lineRule="auto"/>
        <w:contextualSpacing/>
        <w:rPr>
          <w:rFonts w:ascii="Bookman Old Style" w:hAnsi="Bookman Old Style"/>
          <w:i/>
          <w:color w:val="000000" w:themeColor="text1"/>
          <w:sz w:val="24"/>
        </w:rPr>
      </w:pPr>
      <w:r w:rsidRPr="003148F9">
        <w:rPr>
          <w:rFonts w:ascii="Bookman Old Style" w:hAnsi="Bookman Old Style"/>
          <w:b/>
          <w:color w:val="000000" w:themeColor="text1"/>
          <w:sz w:val="24"/>
          <w:u w:val="single"/>
        </w:rPr>
        <w:t>NOTE:</w:t>
      </w:r>
      <w:r w:rsidRPr="003148F9">
        <w:rPr>
          <w:rFonts w:ascii="Bookman Old Style" w:hAnsi="Bookman Old Style"/>
          <w:b/>
          <w:color w:val="000000" w:themeColor="text1"/>
          <w:sz w:val="24"/>
        </w:rPr>
        <w:t xml:space="preserve"> </w:t>
      </w:r>
      <w:r>
        <w:rPr>
          <w:rFonts w:ascii="Bookman Old Style" w:hAnsi="Bookman Old Style"/>
          <w:i/>
          <w:color w:val="000000" w:themeColor="text1"/>
          <w:sz w:val="24"/>
        </w:rPr>
        <w:t>A Prospective or Contingent Creditor shall obtain the leave of the Court before</w:t>
      </w:r>
    </w:p>
    <w:p w:rsidR="00B93F26" w:rsidRDefault="003148F9" w:rsidP="00D731A2">
      <w:pPr>
        <w:pStyle w:val="HANG"/>
        <w:tabs>
          <w:tab w:val="left" w:pos="180"/>
        </w:tabs>
        <w:spacing w:line="276" w:lineRule="auto"/>
        <w:contextualSpacing/>
        <w:rPr>
          <w:rFonts w:ascii="Bookman Old Style" w:hAnsi="Bookman Old Style"/>
          <w:i/>
          <w:color w:val="000000" w:themeColor="text1"/>
          <w:sz w:val="24"/>
        </w:rPr>
      </w:pPr>
      <w:r>
        <w:rPr>
          <w:rFonts w:ascii="Bookman Old Style" w:hAnsi="Bookman Old Style"/>
          <w:b/>
          <w:color w:val="000000" w:themeColor="text1"/>
          <w:sz w:val="24"/>
        </w:rPr>
        <w:t xml:space="preserve">    </w:t>
      </w:r>
      <w:r w:rsidRPr="003148F9">
        <w:rPr>
          <w:rFonts w:ascii="Bookman Old Style" w:hAnsi="Bookman Old Style"/>
          <w:b/>
          <w:color w:val="000000" w:themeColor="text1"/>
          <w:sz w:val="24"/>
        </w:rPr>
        <w:tab/>
      </w:r>
      <w:r>
        <w:rPr>
          <w:rFonts w:ascii="Bookman Old Style" w:hAnsi="Bookman Old Style"/>
          <w:b/>
          <w:color w:val="000000" w:themeColor="text1"/>
          <w:sz w:val="24"/>
        </w:rPr>
        <w:t xml:space="preserve">        </w:t>
      </w:r>
      <w:r>
        <w:rPr>
          <w:rFonts w:ascii="Bookman Old Style" w:hAnsi="Bookman Old Style"/>
          <w:i/>
          <w:color w:val="000000" w:themeColor="text1"/>
          <w:sz w:val="24"/>
        </w:rPr>
        <w:t>making such petition. Such leave shall not be granted –</w:t>
      </w:r>
    </w:p>
    <w:p w:rsidR="003148F9" w:rsidRDefault="003148F9" w:rsidP="004A3009">
      <w:pPr>
        <w:pStyle w:val="HANG"/>
        <w:numPr>
          <w:ilvl w:val="0"/>
          <w:numId w:val="18"/>
        </w:numPr>
        <w:tabs>
          <w:tab w:val="left" w:pos="180"/>
          <w:tab w:val="left" w:pos="1530"/>
        </w:tabs>
        <w:spacing w:line="276" w:lineRule="auto"/>
        <w:ind w:left="1620" w:hanging="540"/>
        <w:contextualSpacing/>
        <w:rPr>
          <w:rFonts w:ascii="Bookman Old Style" w:hAnsi="Bookman Old Style"/>
          <w:i/>
          <w:color w:val="000000" w:themeColor="text1"/>
          <w:sz w:val="24"/>
        </w:rPr>
      </w:pPr>
      <w:r>
        <w:rPr>
          <w:rFonts w:ascii="Bookman Old Style" w:hAnsi="Bookman Old Style"/>
          <w:i/>
          <w:color w:val="000000" w:themeColor="text1"/>
          <w:sz w:val="24"/>
        </w:rPr>
        <w:lastRenderedPageBreak/>
        <w:t>unless in the opinion of the Court, there is a prima facie case for Winding Up</w:t>
      </w:r>
    </w:p>
    <w:p w:rsidR="003148F9" w:rsidRPr="003148F9" w:rsidRDefault="003148F9" w:rsidP="004A3009">
      <w:pPr>
        <w:pStyle w:val="HANG"/>
        <w:numPr>
          <w:ilvl w:val="0"/>
          <w:numId w:val="18"/>
        </w:numPr>
        <w:tabs>
          <w:tab w:val="left" w:pos="180"/>
          <w:tab w:val="left" w:pos="1530"/>
        </w:tabs>
        <w:spacing w:line="276" w:lineRule="auto"/>
        <w:ind w:left="1620" w:hanging="540"/>
        <w:contextualSpacing/>
        <w:rPr>
          <w:rFonts w:ascii="Bookman Old Style" w:hAnsi="Bookman Old Style"/>
          <w:i/>
          <w:color w:val="000000" w:themeColor="text1"/>
          <w:sz w:val="24"/>
        </w:rPr>
      </w:pPr>
      <w:r>
        <w:rPr>
          <w:rFonts w:ascii="Bookman Old Style" w:hAnsi="Bookman Old Style"/>
          <w:i/>
          <w:color w:val="000000" w:themeColor="text1"/>
          <w:sz w:val="24"/>
        </w:rPr>
        <w:t>until such security for costs has been given as the Court thinks reasonable</w:t>
      </w:r>
    </w:p>
    <w:p w:rsidR="00804C1F" w:rsidRPr="0016191C" w:rsidRDefault="000B76D7" w:rsidP="00D731A2">
      <w:pPr>
        <w:pStyle w:val="HANG"/>
        <w:tabs>
          <w:tab w:val="left" w:pos="180"/>
        </w:tabs>
        <w:spacing w:line="276" w:lineRule="auto"/>
        <w:contextualSpacing/>
        <w:rPr>
          <w:rFonts w:ascii="Copperplate Gothic Bold" w:hAnsi="Copperplate Gothic Bold"/>
          <w:b/>
          <w:color w:val="000000" w:themeColor="text1"/>
        </w:rPr>
      </w:pPr>
      <w:r w:rsidRPr="000B76D7">
        <w:rPr>
          <w:rFonts w:ascii="Copperplate Gothic Bold" w:hAnsi="Copperplate Gothic Bold"/>
          <w:b/>
          <w:color w:val="000000" w:themeColor="text1"/>
          <w:sz w:val="32"/>
        </w:rPr>
        <w:tab/>
      </w:r>
      <w:r w:rsidRPr="000B76D7">
        <w:rPr>
          <w:rFonts w:ascii="Copperplate Gothic Bold" w:hAnsi="Copperplate Gothic Bold"/>
          <w:b/>
          <w:color w:val="000000" w:themeColor="text1"/>
          <w:sz w:val="32"/>
        </w:rPr>
        <w:tab/>
      </w:r>
      <w:r w:rsidRPr="000B76D7">
        <w:rPr>
          <w:rFonts w:ascii="Copperplate Gothic Bold" w:hAnsi="Copperplate Gothic Bold"/>
          <w:b/>
          <w:color w:val="000000" w:themeColor="text1"/>
          <w:sz w:val="32"/>
        </w:rPr>
        <w:tab/>
      </w:r>
    </w:p>
    <w:p w:rsidR="000B76D7" w:rsidRDefault="00804C1F" w:rsidP="00D731A2">
      <w:pPr>
        <w:pStyle w:val="HANG"/>
        <w:tabs>
          <w:tab w:val="left" w:pos="180"/>
        </w:tabs>
        <w:spacing w:line="276" w:lineRule="auto"/>
        <w:contextualSpacing/>
        <w:rPr>
          <w:rFonts w:ascii="Copperplate Gothic Bold" w:hAnsi="Copperplate Gothic Bold"/>
          <w:b/>
          <w:color w:val="000000" w:themeColor="text1"/>
          <w:sz w:val="32"/>
          <w:u w:val="single"/>
        </w:rPr>
      </w:pPr>
      <w:r>
        <w:rPr>
          <w:rFonts w:ascii="Copperplate Gothic Bold" w:hAnsi="Copperplate Gothic Bold"/>
          <w:b/>
          <w:color w:val="000000" w:themeColor="text1"/>
          <w:sz w:val="32"/>
        </w:rPr>
        <w:tab/>
      </w:r>
      <w:r>
        <w:rPr>
          <w:rFonts w:ascii="Copperplate Gothic Bold" w:hAnsi="Copperplate Gothic Bold"/>
          <w:b/>
          <w:color w:val="000000" w:themeColor="text1"/>
          <w:sz w:val="32"/>
        </w:rPr>
        <w:tab/>
      </w:r>
      <w:r>
        <w:rPr>
          <w:rFonts w:ascii="Copperplate Gothic Bold" w:hAnsi="Copperplate Gothic Bold"/>
          <w:b/>
          <w:color w:val="000000" w:themeColor="text1"/>
          <w:sz w:val="32"/>
        </w:rPr>
        <w:tab/>
      </w:r>
      <w:r w:rsidR="000B76D7">
        <w:rPr>
          <w:rFonts w:ascii="Copperplate Gothic Bold" w:hAnsi="Copperplate Gothic Bold"/>
          <w:b/>
          <w:color w:val="000000" w:themeColor="text1"/>
          <w:sz w:val="32"/>
          <w:u w:val="single"/>
        </w:rPr>
        <w:t>Petition by the C</w:t>
      </w:r>
      <w:r w:rsidR="004F4DD9">
        <w:rPr>
          <w:rFonts w:ascii="Copperplate Gothic Bold" w:hAnsi="Copperplate Gothic Bold"/>
          <w:b/>
          <w:color w:val="000000" w:themeColor="text1"/>
          <w:sz w:val="32"/>
          <w:u w:val="single"/>
        </w:rPr>
        <w:t>ontributory</w:t>
      </w:r>
    </w:p>
    <w:p w:rsidR="00095366" w:rsidRDefault="000B76D7" w:rsidP="004A3009">
      <w:pPr>
        <w:pStyle w:val="HANG"/>
        <w:numPr>
          <w:ilvl w:val="0"/>
          <w:numId w:val="9"/>
        </w:numPr>
        <w:tabs>
          <w:tab w:val="left" w:pos="360"/>
        </w:tabs>
        <w:spacing w:line="240" w:lineRule="auto"/>
        <w:ind w:left="720" w:hanging="446"/>
        <w:rPr>
          <w:rFonts w:ascii="Bookman Old Style" w:hAnsi="Bookman Old Style"/>
          <w:color w:val="000000" w:themeColor="text1"/>
          <w:sz w:val="24"/>
        </w:rPr>
      </w:pPr>
      <w:r>
        <w:rPr>
          <w:rFonts w:ascii="Bookman Old Style" w:hAnsi="Bookman Old Style"/>
          <w:color w:val="000000" w:themeColor="text1"/>
          <w:sz w:val="24"/>
        </w:rPr>
        <w:t>The term Contributory means every person liable to contribute to the assets of the Company in the event of its being wound up and includes the holder of fully paid shares.</w:t>
      </w:r>
    </w:p>
    <w:p w:rsidR="000B76D7" w:rsidRDefault="000B76D7" w:rsidP="004A3009">
      <w:pPr>
        <w:pStyle w:val="HANG"/>
        <w:numPr>
          <w:ilvl w:val="0"/>
          <w:numId w:val="9"/>
        </w:numPr>
        <w:tabs>
          <w:tab w:val="left" w:pos="360"/>
        </w:tabs>
        <w:spacing w:line="240" w:lineRule="auto"/>
        <w:ind w:left="720" w:hanging="446"/>
        <w:rPr>
          <w:rFonts w:ascii="Bookman Old Style" w:hAnsi="Bookman Old Style"/>
          <w:color w:val="000000" w:themeColor="text1"/>
          <w:sz w:val="24"/>
        </w:rPr>
      </w:pPr>
      <w:r>
        <w:rPr>
          <w:rFonts w:ascii="Bookman Old Style" w:hAnsi="Bookman Old Style"/>
          <w:color w:val="000000" w:themeColor="text1"/>
          <w:sz w:val="24"/>
        </w:rPr>
        <w:t>A contributory may file petition in the following cases:</w:t>
      </w:r>
    </w:p>
    <w:p w:rsidR="000B76D7" w:rsidRPr="000B76D7" w:rsidRDefault="000B76D7" w:rsidP="004A3009">
      <w:pPr>
        <w:pStyle w:val="HANG"/>
        <w:numPr>
          <w:ilvl w:val="0"/>
          <w:numId w:val="19"/>
        </w:numPr>
        <w:tabs>
          <w:tab w:val="left" w:pos="360"/>
        </w:tabs>
        <w:spacing w:line="240" w:lineRule="auto"/>
        <w:ind w:left="1170" w:hanging="450"/>
        <w:rPr>
          <w:rFonts w:ascii="Bookman Old Style" w:hAnsi="Bookman Old Style"/>
          <w:color w:val="000000" w:themeColor="text1"/>
          <w:sz w:val="24"/>
        </w:rPr>
      </w:pPr>
      <w:r w:rsidRPr="000B76D7">
        <w:rPr>
          <w:rFonts w:ascii="Bookman Old Style" w:hAnsi="Bookman Old Style"/>
          <w:color w:val="000000" w:themeColor="text1"/>
          <w:sz w:val="24"/>
        </w:rPr>
        <w:t>He can present the petition on the ground that number of members has fallen below the statutory limit.</w:t>
      </w:r>
    </w:p>
    <w:p w:rsidR="000B76D7" w:rsidRPr="000B76D7" w:rsidRDefault="000B76D7" w:rsidP="004A3009">
      <w:pPr>
        <w:pStyle w:val="HANG"/>
        <w:numPr>
          <w:ilvl w:val="0"/>
          <w:numId w:val="19"/>
        </w:numPr>
        <w:tabs>
          <w:tab w:val="left" w:pos="360"/>
        </w:tabs>
        <w:spacing w:line="240" w:lineRule="auto"/>
        <w:ind w:left="1170" w:hanging="450"/>
        <w:rPr>
          <w:rFonts w:ascii="Bookman Old Style" w:hAnsi="Bookman Old Style"/>
          <w:color w:val="000000" w:themeColor="text1"/>
          <w:sz w:val="24"/>
        </w:rPr>
      </w:pPr>
      <w:r w:rsidRPr="000B76D7">
        <w:rPr>
          <w:rFonts w:ascii="Bookman Old Style" w:hAnsi="Bookman Old Style"/>
          <w:color w:val="000000" w:themeColor="text1"/>
          <w:sz w:val="24"/>
        </w:rPr>
        <w:t xml:space="preserve">He can present the petition on any other ground if – </w:t>
      </w:r>
    </w:p>
    <w:p w:rsidR="000B76D7" w:rsidRPr="000B76D7" w:rsidRDefault="000B76D7" w:rsidP="004A3009">
      <w:pPr>
        <w:pStyle w:val="HANG"/>
        <w:numPr>
          <w:ilvl w:val="0"/>
          <w:numId w:val="20"/>
        </w:numPr>
        <w:tabs>
          <w:tab w:val="left" w:pos="360"/>
        </w:tabs>
        <w:spacing w:after="60" w:line="240" w:lineRule="auto"/>
        <w:ind w:left="1886"/>
        <w:rPr>
          <w:rFonts w:ascii="Bookman Old Style" w:hAnsi="Bookman Old Style"/>
          <w:i/>
          <w:color w:val="000000" w:themeColor="text1"/>
          <w:sz w:val="24"/>
        </w:rPr>
      </w:pPr>
      <w:r w:rsidRPr="000B76D7">
        <w:rPr>
          <w:rFonts w:ascii="Bookman Old Style" w:hAnsi="Bookman Old Style"/>
          <w:i/>
          <w:color w:val="000000" w:themeColor="text1"/>
          <w:sz w:val="24"/>
        </w:rPr>
        <w:t>He is an original allotte of shares; or</w:t>
      </w:r>
    </w:p>
    <w:p w:rsidR="000B76D7" w:rsidRPr="000B76D7" w:rsidRDefault="000B76D7" w:rsidP="004A3009">
      <w:pPr>
        <w:pStyle w:val="HANG"/>
        <w:numPr>
          <w:ilvl w:val="0"/>
          <w:numId w:val="20"/>
        </w:numPr>
        <w:tabs>
          <w:tab w:val="left" w:pos="360"/>
        </w:tabs>
        <w:spacing w:after="60" w:line="240" w:lineRule="auto"/>
        <w:ind w:left="1886"/>
        <w:rPr>
          <w:rFonts w:ascii="Bookman Old Style" w:hAnsi="Bookman Old Style"/>
          <w:i/>
          <w:color w:val="000000" w:themeColor="text1"/>
          <w:sz w:val="24"/>
        </w:rPr>
      </w:pPr>
      <w:r w:rsidRPr="000B76D7">
        <w:rPr>
          <w:rFonts w:ascii="Bookman Old Style" w:hAnsi="Bookman Old Style"/>
          <w:i/>
          <w:color w:val="000000" w:themeColor="text1"/>
          <w:sz w:val="24"/>
        </w:rPr>
        <w:t>He has held his shares for atleast 6 months during 18 months immediately preceding Commencement of Winding Up; or</w:t>
      </w:r>
    </w:p>
    <w:p w:rsidR="000B76D7" w:rsidRPr="000B76D7" w:rsidRDefault="000B76D7" w:rsidP="004A3009">
      <w:pPr>
        <w:pStyle w:val="HANG"/>
        <w:numPr>
          <w:ilvl w:val="0"/>
          <w:numId w:val="20"/>
        </w:numPr>
        <w:tabs>
          <w:tab w:val="left" w:pos="360"/>
        </w:tabs>
        <w:spacing w:after="60" w:line="240" w:lineRule="auto"/>
        <w:ind w:left="1886"/>
        <w:rPr>
          <w:rFonts w:ascii="Bookman Old Style" w:hAnsi="Bookman Old Style"/>
          <w:i/>
          <w:color w:val="000000" w:themeColor="text1"/>
          <w:sz w:val="24"/>
        </w:rPr>
      </w:pPr>
      <w:r w:rsidRPr="000B76D7">
        <w:rPr>
          <w:rFonts w:ascii="Bookman Old Style" w:hAnsi="Bookman Old Style"/>
          <w:i/>
          <w:color w:val="000000" w:themeColor="text1"/>
          <w:sz w:val="24"/>
        </w:rPr>
        <w:t>Shares have been devolved on him through the death of a member</w:t>
      </w:r>
    </w:p>
    <w:p w:rsidR="00B35EB4" w:rsidRDefault="00B35EB4" w:rsidP="00D731A2">
      <w:pPr>
        <w:pStyle w:val="HANG"/>
        <w:tabs>
          <w:tab w:val="left" w:pos="360"/>
        </w:tabs>
        <w:spacing w:line="240" w:lineRule="auto"/>
        <w:ind w:left="720" w:firstLine="0"/>
        <w:rPr>
          <w:rFonts w:ascii="Bookman Old Style" w:hAnsi="Bookman Old Style"/>
          <w:b/>
          <w:color w:val="000000" w:themeColor="text1"/>
          <w:sz w:val="24"/>
          <w:u w:val="single"/>
        </w:rPr>
      </w:pPr>
    </w:p>
    <w:p w:rsidR="000B76D7" w:rsidRDefault="00B35EB4" w:rsidP="00D731A2">
      <w:pPr>
        <w:pStyle w:val="HANG"/>
        <w:tabs>
          <w:tab w:val="left" w:pos="360"/>
        </w:tabs>
        <w:spacing w:line="240" w:lineRule="auto"/>
        <w:ind w:left="270" w:firstLine="0"/>
        <w:rPr>
          <w:rFonts w:ascii="Bookman Old Style" w:hAnsi="Bookman Old Style"/>
          <w:b/>
          <w:color w:val="000000" w:themeColor="text1"/>
          <w:sz w:val="24"/>
          <w:u w:val="single"/>
        </w:rPr>
      </w:pPr>
      <w:r w:rsidRPr="00B35EB4">
        <w:rPr>
          <w:rFonts w:ascii="Bookman Old Style" w:hAnsi="Bookman Old Style"/>
          <w:b/>
          <w:color w:val="000000" w:themeColor="text1"/>
          <w:sz w:val="24"/>
          <w:u w:val="single"/>
        </w:rPr>
        <w:t>NOTE:</w:t>
      </w:r>
    </w:p>
    <w:p w:rsidR="00B35EB4" w:rsidRDefault="00B35EB4" w:rsidP="004A3009">
      <w:pPr>
        <w:pStyle w:val="HANG"/>
        <w:numPr>
          <w:ilvl w:val="0"/>
          <w:numId w:val="21"/>
        </w:numPr>
        <w:tabs>
          <w:tab w:val="left" w:pos="360"/>
        </w:tabs>
        <w:spacing w:line="240" w:lineRule="auto"/>
        <w:rPr>
          <w:rFonts w:ascii="Bookman Old Style" w:hAnsi="Bookman Old Style"/>
          <w:color w:val="000000" w:themeColor="text1"/>
          <w:sz w:val="24"/>
        </w:rPr>
      </w:pPr>
      <w:r>
        <w:rPr>
          <w:rFonts w:ascii="Bookman Old Style" w:hAnsi="Bookman Old Style"/>
          <w:b/>
          <w:color w:val="000000" w:themeColor="text1"/>
          <w:sz w:val="24"/>
          <w:u w:val="single"/>
        </w:rPr>
        <w:t>Holder of Forfeited Shares:</w:t>
      </w:r>
      <w:r w:rsidRPr="00B35EB4">
        <w:rPr>
          <w:rFonts w:ascii="Bookman Old Style" w:hAnsi="Bookman Old Style"/>
          <w:b/>
          <w:color w:val="000000" w:themeColor="text1"/>
          <w:sz w:val="24"/>
        </w:rPr>
        <w:t xml:space="preserve"> </w:t>
      </w:r>
      <w:r>
        <w:rPr>
          <w:rFonts w:ascii="Bookman Old Style" w:hAnsi="Bookman Old Style"/>
          <w:color w:val="000000" w:themeColor="text1"/>
          <w:sz w:val="24"/>
        </w:rPr>
        <w:t xml:space="preserve">A holder of forfeited shares, being a contributory, has a right to apply for winding up provided he has </w:t>
      </w:r>
      <w:r w:rsidRPr="000B76D7">
        <w:rPr>
          <w:rFonts w:ascii="Bookman Old Style" w:hAnsi="Bookman Old Style"/>
          <w:i/>
          <w:color w:val="000000" w:themeColor="text1"/>
          <w:sz w:val="24"/>
        </w:rPr>
        <w:t xml:space="preserve">held </w:t>
      </w:r>
      <w:r w:rsidRPr="00B35EB4">
        <w:rPr>
          <w:rFonts w:ascii="Bookman Old Style" w:hAnsi="Bookman Old Style"/>
          <w:color w:val="000000" w:themeColor="text1"/>
          <w:sz w:val="24"/>
        </w:rPr>
        <w:t>his shares for atleast 6 months during 18 months immediately preceding Commencement of Winding Up</w:t>
      </w:r>
      <w:r>
        <w:rPr>
          <w:rFonts w:ascii="Bookman Old Style" w:hAnsi="Bookman Old Style"/>
          <w:color w:val="000000" w:themeColor="text1"/>
          <w:sz w:val="24"/>
        </w:rPr>
        <w:t>.</w:t>
      </w:r>
    </w:p>
    <w:p w:rsidR="00B35EB4" w:rsidRPr="00B35EB4" w:rsidRDefault="00B35EB4" w:rsidP="00D731A2">
      <w:pPr>
        <w:pStyle w:val="HANG"/>
        <w:tabs>
          <w:tab w:val="left" w:pos="360"/>
        </w:tabs>
        <w:spacing w:line="240" w:lineRule="auto"/>
        <w:ind w:left="270" w:firstLine="0"/>
        <w:rPr>
          <w:rFonts w:ascii="Bookman Old Style" w:hAnsi="Bookman Old Style"/>
          <w:color w:val="000000" w:themeColor="text1"/>
          <w:sz w:val="4"/>
        </w:rPr>
      </w:pPr>
    </w:p>
    <w:p w:rsidR="00B35EB4" w:rsidRDefault="00B35EB4" w:rsidP="004A3009">
      <w:pPr>
        <w:pStyle w:val="HANG"/>
        <w:numPr>
          <w:ilvl w:val="0"/>
          <w:numId w:val="21"/>
        </w:numPr>
        <w:tabs>
          <w:tab w:val="left" w:pos="360"/>
        </w:tabs>
        <w:spacing w:line="240" w:lineRule="auto"/>
        <w:rPr>
          <w:rFonts w:ascii="Bookman Old Style" w:hAnsi="Bookman Old Style"/>
          <w:color w:val="000000" w:themeColor="text1"/>
          <w:sz w:val="24"/>
        </w:rPr>
      </w:pPr>
      <w:r w:rsidRPr="00097CFB">
        <w:rPr>
          <w:rFonts w:ascii="Bookman Old Style" w:hAnsi="Bookman Old Style"/>
          <w:b/>
          <w:color w:val="000000" w:themeColor="text1"/>
          <w:sz w:val="24"/>
          <w:u w:val="single"/>
        </w:rPr>
        <w:t>Legal Representative:</w:t>
      </w:r>
      <w:r>
        <w:rPr>
          <w:rFonts w:ascii="Bookman Old Style" w:hAnsi="Bookman Old Style"/>
          <w:color w:val="000000" w:themeColor="text1"/>
          <w:sz w:val="24"/>
        </w:rPr>
        <w:t xml:space="preserve"> The legal representative of a shareholder is a contributory for the purpose of filing a petition.</w:t>
      </w:r>
    </w:p>
    <w:p w:rsidR="00B35EB4" w:rsidRPr="00B35EB4" w:rsidRDefault="00B35EB4" w:rsidP="00D731A2">
      <w:pPr>
        <w:pStyle w:val="HANG"/>
        <w:tabs>
          <w:tab w:val="left" w:pos="360"/>
        </w:tabs>
        <w:spacing w:line="240" w:lineRule="auto"/>
        <w:ind w:left="270" w:firstLine="0"/>
        <w:rPr>
          <w:rFonts w:ascii="Bookman Old Style" w:hAnsi="Bookman Old Style"/>
          <w:color w:val="000000" w:themeColor="text1"/>
          <w:sz w:val="4"/>
          <w:szCs w:val="4"/>
        </w:rPr>
      </w:pPr>
    </w:p>
    <w:p w:rsidR="00B35EB4" w:rsidRPr="00B35EB4" w:rsidRDefault="00B35EB4" w:rsidP="004A3009">
      <w:pPr>
        <w:pStyle w:val="HANG"/>
        <w:numPr>
          <w:ilvl w:val="0"/>
          <w:numId w:val="21"/>
        </w:numPr>
        <w:tabs>
          <w:tab w:val="left" w:pos="360"/>
        </w:tabs>
        <w:spacing w:line="240" w:lineRule="auto"/>
        <w:rPr>
          <w:rFonts w:ascii="Bookman Old Style" w:hAnsi="Bookman Old Style"/>
          <w:color w:val="000000" w:themeColor="text1"/>
          <w:sz w:val="24"/>
        </w:rPr>
      </w:pPr>
      <w:r w:rsidRPr="00097CFB">
        <w:rPr>
          <w:rFonts w:ascii="Bookman Old Style" w:hAnsi="Bookman Old Style"/>
          <w:b/>
          <w:color w:val="000000" w:themeColor="text1"/>
          <w:sz w:val="24"/>
          <w:u w:val="single"/>
        </w:rPr>
        <w:t>Surviving Shareholder in case of Joint Shareholders:</w:t>
      </w:r>
      <w:r>
        <w:rPr>
          <w:rFonts w:ascii="Bookman Old Style" w:hAnsi="Bookman Old Style"/>
          <w:color w:val="000000" w:themeColor="text1"/>
          <w:sz w:val="24"/>
        </w:rPr>
        <w:t xml:space="preserve"> In case of Joint Shareholders, the legal representative of </w:t>
      </w:r>
      <w:r w:rsidR="00097CFB">
        <w:rPr>
          <w:rFonts w:ascii="Bookman Old Style" w:hAnsi="Bookman Old Style"/>
          <w:color w:val="000000" w:themeColor="text1"/>
          <w:sz w:val="24"/>
        </w:rPr>
        <w:t>a joint</w:t>
      </w:r>
      <w:r>
        <w:rPr>
          <w:rFonts w:ascii="Bookman Old Style" w:hAnsi="Bookman Old Style"/>
          <w:color w:val="000000" w:themeColor="text1"/>
          <w:sz w:val="24"/>
        </w:rPr>
        <w:t xml:space="preserve"> shareholder cannot maintain a petition because this right</w:t>
      </w:r>
      <w:r w:rsidR="00097CFB">
        <w:rPr>
          <w:rFonts w:ascii="Bookman Old Style" w:hAnsi="Bookman Old Style"/>
          <w:color w:val="000000" w:themeColor="text1"/>
          <w:sz w:val="24"/>
        </w:rPr>
        <w:t xml:space="preserve"> falls upon the other joint holder.</w:t>
      </w:r>
    </w:p>
    <w:p w:rsidR="00B35EB4" w:rsidRPr="0016191C" w:rsidRDefault="00B35EB4" w:rsidP="00D731A2">
      <w:pPr>
        <w:pStyle w:val="HANG"/>
        <w:tabs>
          <w:tab w:val="left" w:pos="360"/>
        </w:tabs>
        <w:spacing w:line="240" w:lineRule="auto"/>
        <w:ind w:left="720" w:firstLine="0"/>
        <w:rPr>
          <w:rFonts w:ascii="Bookman Old Style" w:hAnsi="Bookman Old Style"/>
          <w:b/>
          <w:color w:val="000000" w:themeColor="text1"/>
          <w:sz w:val="10"/>
          <w:u w:val="single"/>
        </w:rPr>
      </w:pPr>
    </w:p>
    <w:p w:rsidR="004F4DD9" w:rsidRDefault="004F4DD9" w:rsidP="00D731A2">
      <w:pPr>
        <w:pStyle w:val="HANG"/>
        <w:tabs>
          <w:tab w:val="left" w:pos="180"/>
        </w:tabs>
        <w:spacing w:line="276" w:lineRule="auto"/>
        <w:contextualSpacing/>
        <w:rPr>
          <w:rFonts w:ascii="Copperplate Gothic Bold" w:hAnsi="Copperplate Gothic Bold"/>
          <w:b/>
          <w:color w:val="000000" w:themeColor="text1"/>
          <w:sz w:val="32"/>
          <w:u w:val="single"/>
        </w:rPr>
      </w:pPr>
      <w:r>
        <w:rPr>
          <w:rFonts w:ascii="Copperplate Gothic Bold" w:hAnsi="Copperplate Gothic Bold"/>
          <w:color w:val="000000" w:themeColor="text1"/>
          <w:sz w:val="32"/>
        </w:rPr>
        <w:tab/>
      </w:r>
      <w:r>
        <w:rPr>
          <w:rFonts w:ascii="Copperplate Gothic Bold" w:hAnsi="Copperplate Gothic Bold"/>
          <w:color w:val="000000" w:themeColor="text1"/>
          <w:sz w:val="32"/>
        </w:rPr>
        <w:tab/>
      </w:r>
      <w:r>
        <w:rPr>
          <w:rFonts w:ascii="Copperplate Gothic Bold" w:hAnsi="Copperplate Gothic Bold"/>
          <w:color w:val="000000" w:themeColor="text1"/>
          <w:sz w:val="32"/>
        </w:rPr>
        <w:tab/>
      </w:r>
      <w:r>
        <w:rPr>
          <w:rFonts w:ascii="Copperplate Gothic Bold" w:hAnsi="Copperplate Gothic Bold"/>
          <w:b/>
          <w:color w:val="000000" w:themeColor="text1"/>
          <w:sz w:val="32"/>
          <w:u w:val="single"/>
        </w:rPr>
        <w:t>Petition by the Registrar</w:t>
      </w:r>
    </w:p>
    <w:p w:rsidR="004F4DD9" w:rsidRDefault="004F4DD9" w:rsidP="004A3009">
      <w:pPr>
        <w:pStyle w:val="HANG"/>
        <w:numPr>
          <w:ilvl w:val="0"/>
          <w:numId w:val="22"/>
        </w:numPr>
        <w:tabs>
          <w:tab w:val="left" w:pos="180"/>
        </w:tabs>
        <w:spacing w:line="276" w:lineRule="auto"/>
        <w:ind w:hanging="450"/>
        <w:contextualSpacing/>
        <w:rPr>
          <w:rFonts w:ascii="Bookman Old Style" w:hAnsi="Bookman Old Style"/>
          <w:color w:val="000000" w:themeColor="text1"/>
          <w:sz w:val="24"/>
        </w:rPr>
      </w:pPr>
      <w:r w:rsidRPr="004F4DD9">
        <w:rPr>
          <w:rFonts w:ascii="Bookman Old Style" w:hAnsi="Bookman Old Style"/>
          <w:color w:val="000000" w:themeColor="text1"/>
          <w:sz w:val="24"/>
        </w:rPr>
        <w:t xml:space="preserve">The </w:t>
      </w:r>
      <w:r>
        <w:rPr>
          <w:rFonts w:ascii="Bookman Old Style" w:hAnsi="Bookman Old Style"/>
          <w:color w:val="000000" w:themeColor="text1"/>
          <w:sz w:val="24"/>
        </w:rPr>
        <w:t>Registrar may file the petition on the following grounds:</w:t>
      </w:r>
    </w:p>
    <w:p w:rsidR="004F4DD9" w:rsidRDefault="004F4DD9" w:rsidP="004A3009">
      <w:pPr>
        <w:pStyle w:val="HANG"/>
        <w:numPr>
          <w:ilvl w:val="0"/>
          <w:numId w:val="23"/>
        </w:numPr>
        <w:tabs>
          <w:tab w:val="left" w:pos="360"/>
        </w:tabs>
        <w:spacing w:line="240" w:lineRule="auto"/>
        <w:ind w:left="1440"/>
        <w:contextualSpacing/>
        <w:rPr>
          <w:rFonts w:ascii="Bookman Old Style" w:hAnsi="Bookman Old Style"/>
          <w:color w:val="000000" w:themeColor="text1"/>
          <w:sz w:val="24"/>
        </w:rPr>
      </w:pPr>
      <w:r>
        <w:rPr>
          <w:rFonts w:ascii="Bookman Old Style" w:hAnsi="Bookman Old Style"/>
          <w:color w:val="000000" w:themeColor="text1"/>
          <w:sz w:val="24"/>
        </w:rPr>
        <w:t>Default in filing Statutory Report or holding Statutory Meeting</w:t>
      </w:r>
    </w:p>
    <w:p w:rsidR="004F4DD9" w:rsidRDefault="004F4DD9" w:rsidP="004A3009">
      <w:pPr>
        <w:pStyle w:val="HANG"/>
        <w:numPr>
          <w:ilvl w:val="0"/>
          <w:numId w:val="23"/>
        </w:numPr>
        <w:tabs>
          <w:tab w:val="left" w:pos="360"/>
        </w:tabs>
        <w:spacing w:line="240" w:lineRule="auto"/>
        <w:ind w:left="1440"/>
        <w:contextualSpacing/>
        <w:rPr>
          <w:rFonts w:ascii="Bookman Old Style" w:hAnsi="Bookman Old Style"/>
          <w:color w:val="000000" w:themeColor="text1"/>
          <w:sz w:val="24"/>
        </w:rPr>
      </w:pPr>
      <w:r>
        <w:rPr>
          <w:rFonts w:ascii="Bookman Old Style" w:hAnsi="Bookman Old Style"/>
          <w:color w:val="000000" w:themeColor="text1"/>
          <w:sz w:val="24"/>
        </w:rPr>
        <w:t>Non-Commencement or Suspension of Business</w:t>
      </w:r>
    </w:p>
    <w:p w:rsidR="004F4DD9" w:rsidRDefault="004F4DD9" w:rsidP="004A3009">
      <w:pPr>
        <w:pStyle w:val="HANG"/>
        <w:numPr>
          <w:ilvl w:val="0"/>
          <w:numId w:val="23"/>
        </w:numPr>
        <w:tabs>
          <w:tab w:val="left" w:pos="360"/>
        </w:tabs>
        <w:spacing w:line="240" w:lineRule="auto"/>
        <w:ind w:left="1440"/>
        <w:contextualSpacing/>
        <w:rPr>
          <w:rFonts w:ascii="Bookman Old Style" w:hAnsi="Bookman Old Style"/>
          <w:color w:val="000000" w:themeColor="text1"/>
          <w:sz w:val="24"/>
        </w:rPr>
      </w:pPr>
      <w:r>
        <w:rPr>
          <w:rFonts w:ascii="Bookman Old Style" w:hAnsi="Bookman Old Style"/>
          <w:color w:val="000000" w:themeColor="text1"/>
          <w:sz w:val="24"/>
        </w:rPr>
        <w:t>Reduction of Members below minimum</w:t>
      </w:r>
    </w:p>
    <w:p w:rsidR="004F4DD9" w:rsidRDefault="004F4DD9" w:rsidP="004A3009">
      <w:pPr>
        <w:pStyle w:val="HANG"/>
        <w:numPr>
          <w:ilvl w:val="0"/>
          <w:numId w:val="23"/>
        </w:numPr>
        <w:tabs>
          <w:tab w:val="left" w:pos="360"/>
        </w:tabs>
        <w:spacing w:line="240" w:lineRule="auto"/>
        <w:ind w:left="1440"/>
        <w:contextualSpacing/>
        <w:rPr>
          <w:rFonts w:ascii="Bookman Old Style" w:hAnsi="Bookman Old Style"/>
          <w:color w:val="000000" w:themeColor="text1"/>
          <w:sz w:val="24"/>
        </w:rPr>
      </w:pPr>
      <w:r>
        <w:rPr>
          <w:rFonts w:ascii="Bookman Old Style" w:hAnsi="Bookman Old Style"/>
          <w:color w:val="000000" w:themeColor="text1"/>
          <w:sz w:val="24"/>
        </w:rPr>
        <w:t>Company unable to pay its Debts</w:t>
      </w:r>
    </w:p>
    <w:p w:rsidR="004F4DD9" w:rsidRDefault="004F4DD9" w:rsidP="004A3009">
      <w:pPr>
        <w:pStyle w:val="HANG"/>
        <w:numPr>
          <w:ilvl w:val="0"/>
          <w:numId w:val="23"/>
        </w:numPr>
        <w:tabs>
          <w:tab w:val="left" w:pos="360"/>
        </w:tabs>
        <w:spacing w:line="240" w:lineRule="auto"/>
        <w:ind w:left="1440"/>
        <w:contextualSpacing/>
        <w:rPr>
          <w:rFonts w:ascii="Bookman Old Style" w:hAnsi="Bookman Old Style"/>
          <w:color w:val="000000" w:themeColor="text1"/>
          <w:sz w:val="24"/>
        </w:rPr>
      </w:pPr>
      <w:r>
        <w:rPr>
          <w:rFonts w:ascii="Bookman Old Style" w:hAnsi="Bookman Old Style"/>
          <w:color w:val="000000" w:themeColor="text1"/>
          <w:sz w:val="24"/>
        </w:rPr>
        <w:t>Just and Equitable Grounds</w:t>
      </w:r>
    </w:p>
    <w:p w:rsidR="004F4DD9" w:rsidRPr="0016191C" w:rsidRDefault="004F4DD9" w:rsidP="00D731A2">
      <w:pPr>
        <w:pStyle w:val="HANG"/>
        <w:tabs>
          <w:tab w:val="left" w:pos="180"/>
        </w:tabs>
        <w:spacing w:line="276" w:lineRule="auto"/>
        <w:ind w:left="720" w:firstLine="0"/>
        <w:contextualSpacing/>
        <w:rPr>
          <w:rFonts w:ascii="Bookman Old Style" w:hAnsi="Bookman Old Style"/>
          <w:color w:val="000000" w:themeColor="text1"/>
          <w:sz w:val="20"/>
        </w:rPr>
      </w:pPr>
    </w:p>
    <w:p w:rsidR="000677E2" w:rsidRPr="000677E2" w:rsidRDefault="004F4DD9" w:rsidP="004A3009">
      <w:pPr>
        <w:pStyle w:val="HANG"/>
        <w:numPr>
          <w:ilvl w:val="0"/>
          <w:numId w:val="24"/>
        </w:numPr>
        <w:tabs>
          <w:tab w:val="left" w:pos="180"/>
        </w:tabs>
        <w:spacing w:line="276" w:lineRule="auto"/>
        <w:ind w:left="720" w:hanging="450"/>
        <w:contextualSpacing/>
        <w:rPr>
          <w:rFonts w:ascii="Bookman Old Style" w:hAnsi="Bookman Old Style"/>
          <w:b/>
          <w:color w:val="000000" w:themeColor="text1"/>
          <w:sz w:val="24"/>
          <w:u w:val="single"/>
        </w:rPr>
      </w:pPr>
      <w:r w:rsidRPr="00D731A2">
        <w:rPr>
          <w:rFonts w:ascii="Bookman Old Style" w:hAnsi="Bookman Old Style"/>
          <w:b/>
          <w:color w:val="000000" w:themeColor="text1"/>
          <w:sz w:val="24"/>
          <w:u w:val="single"/>
        </w:rPr>
        <w:t xml:space="preserve">Restrictions on Registrar to make </w:t>
      </w:r>
      <w:r w:rsidR="00D731A2">
        <w:rPr>
          <w:rFonts w:ascii="Bookman Old Style" w:hAnsi="Bookman Old Style"/>
          <w:b/>
          <w:color w:val="000000" w:themeColor="text1"/>
          <w:sz w:val="24"/>
          <w:u w:val="single"/>
        </w:rPr>
        <w:t>the</w:t>
      </w:r>
      <w:r w:rsidRPr="00D731A2">
        <w:rPr>
          <w:rFonts w:ascii="Bookman Old Style" w:hAnsi="Bookman Old Style"/>
          <w:b/>
          <w:color w:val="000000" w:themeColor="text1"/>
          <w:sz w:val="24"/>
          <w:u w:val="single"/>
        </w:rPr>
        <w:t xml:space="preserve"> petition</w:t>
      </w:r>
      <w:r w:rsidR="00D731A2">
        <w:rPr>
          <w:rFonts w:ascii="Bookman Old Style" w:hAnsi="Bookman Old Style"/>
          <w:b/>
          <w:color w:val="000000" w:themeColor="text1"/>
          <w:sz w:val="24"/>
          <w:u w:val="single"/>
        </w:rPr>
        <w:t>:</w:t>
      </w:r>
      <w:r w:rsidR="00D731A2" w:rsidRPr="00D731A2">
        <w:rPr>
          <w:rFonts w:ascii="Bookman Old Style" w:hAnsi="Bookman Old Style"/>
          <w:color w:val="000000" w:themeColor="text1"/>
          <w:sz w:val="24"/>
        </w:rPr>
        <w:t xml:space="preserve"> </w:t>
      </w:r>
      <w:r w:rsidR="00D731A2">
        <w:rPr>
          <w:rFonts w:ascii="Bookman Old Style" w:hAnsi="Bookman Old Style"/>
          <w:color w:val="000000" w:themeColor="text1"/>
          <w:sz w:val="24"/>
        </w:rPr>
        <w:t>The Registrar shall not make the petition</w:t>
      </w:r>
      <w:r w:rsidR="000677E2">
        <w:rPr>
          <w:rFonts w:ascii="Bookman Old Style" w:hAnsi="Bookman Old Style"/>
          <w:color w:val="000000" w:themeColor="text1"/>
          <w:sz w:val="24"/>
        </w:rPr>
        <w:t xml:space="preserve"> unless – </w:t>
      </w:r>
    </w:p>
    <w:p w:rsidR="000677E2" w:rsidRDefault="000677E2" w:rsidP="004A3009">
      <w:pPr>
        <w:pStyle w:val="HANG"/>
        <w:numPr>
          <w:ilvl w:val="0"/>
          <w:numId w:val="25"/>
        </w:numPr>
        <w:tabs>
          <w:tab w:val="left" w:pos="180"/>
        </w:tabs>
        <w:spacing w:line="276" w:lineRule="auto"/>
        <w:contextualSpacing/>
        <w:rPr>
          <w:rFonts w:ascii="Bookman Old Style" w:hAnsi="Bookman Old Style"/>
          <w:color w:val="000000" w:themeColor="text1"/>
          <w:sz w:val="24"/>
        </w:rPr>
      </w:pPr>
      <w:r w:rsidRPr="000677E2">
        <w:rPr>
          <w:rFonts w:ascii="Bookman Old Style" w:hAnsi="Bookman Old Style"/>
          <w:color w:val="000000" w:themeColor="text1"/>
          <w:sz w:val="24"/>
        </w:rPr>
        <w:t>He has obtained the previous approval of Central Govt</w:t>
      </w:r>
      <w:r>
        <w:rPr>
          <w:rFonts w:ascii="Bookman Old Style" w:hAnsi="Bookman Old Style"/>
          <w:color w:val="000000" w:themeColor="text1"/>
          <w:sz w:val="24"/>
        </w:rPr>
        <w:t>.</w:t>
      </w:r>
    </w:p>
    <w:p w:rsidR="000677E2" w:rsidRDefault="000677E2" w:rsidP="004A3009">
      <w:pPr>
        <w:pStyle w:val="HANG"/>
        <w:numPr>
          <w:ilvl w:val="0"/>
          <w:numId w:val="25"/>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He is satisfied that the Company is unable to pay its debts as disclosed from:</w:t>
      </w:r>
    </w:p>
    <w:p w:rsidR="000167BB" w:rsidRDefault="000167BB" w:rsidP="004A3009">
      <w:pPr>
        <w:pStyle w:val="HANG"/>
        <w:numPr>
          <w:ilvl w:val="1"/>
          <w:numId w:val="26"/>
        </w:numPr>
        <w:tabs>
          <w:tab w:val="left" w:pos="180"/>
        </w:tabs>
        <w:spacing w:line="276" w:lineRule="auto"/>
        <w:ind w:left="2520"/>
        <w:contextualSpacing/>
        <w:rPr>
          <w:rFonts w:ascii="Bookman Old Style" w:hAnsi="Bookman Old Style"/>
          <w:color w:val="000000" w:themeColor="text1"/>
          <w:sz w:val="24"/>
        </w:rPr>
      </w:pPr>
      <w:r>
        <w:rPr>
          <w:rFonts w:ascii="Bookman Old Style" w:hAnsi="Bookman Old Style"/>
          <w:color w:val="000000" w:themeColor="text1"/>
          <w:sz w:val="24"/>
        </w:rPr>
        <w:t>Financial condition of the Company as disclosed from B/Sheet or</w:t>
      </w:r>
    </w:p>
    <w:p w:rsidR="000167BB" w:rsidRDefault="000167BB" w:rsidP="004A3009">
      <w:pPr>
        <w:pStyle w:val="HANG"/>
        <w:numPr>
          <w:ilvl w:val="1"/>
          <w:numId w:val="26"/>
        </w:numPr>
        <w:tabs>
          <w:tab w:val="left" w:pos="180"/>
        </w:tabs>
        <w:spacing w:line="276" w:lineRule="auto"/>
        <w:ind w:left="2520"/>
        <w:contextualSpacing/>
        <w:rPr>
          <w:rFonts w:ascii="Bookman Old Style" w:hAnsi="Bookman Old Style"/>
          <w:color w:val="000000" w:themeColor="text1"/>
          <w:sz w:val="24"/>
        </w:rPr>
      </w:pPr>
      <w:r>
        <w:rPr>
          <w:rFonts w:ascii="Bookman Old Style" w:hAnsi="Bookman Old Style"/>
          <w:color w:val="000000" w:themeColor="text1"/>
          <w:sz w:val="24"/>
        </w:rPr>
        <w:t>Report of Special Auditor appointed u/s.233A or</w:t>
      </w:r>
    </w:p>
    <w:p w:rsidR="004F4DD9" w:rsidRPr="000677E2" w:rsidRDefault="000167BB" w:rsidP="004A3009">
      <w:pPr>
        <w:pStyle w:val="HANG"/>
        <w:numPr>
          <w:ilvl w:val="1"/>
          <w:numId w:val="26"/>
        </w:numPr>
        <w:tabs>
          <w:tab w:val="left" w:pos="180"/>
        </w:tabs>
        <w:spacing w:line="276" w:lineRule="auto"/>
        <w:ind w:left="2520"/>
        <w:contextualSpacing/>
        <w:rPr>
          <w:rFonts w:ascii="Bookman Old Style" w:hAnsi="Bookman Old Style"/>
          <w:color w:val="000000" w:themeColor="text1"/>
          <w:sz w:val="24"/>
        </w:rPr>
      </w:pPr>
      <w:r>
        <w:rPr>
          <w:rFonts w:ascii="Bookman Old Style" w:hAnsi="Bookman Old Style"/>
          <w:color w:val="000000" w:themeColor="text1"/>
          <w:sz w:val="24"/>
        </w:rPr>
        <w:t>Report of an Inspector appointed u/s.235 or 237</w:t>
      </w:r>
    </w:p>
    <w:p w:rsidR="000167BB" w:rsidRDefault="000167BB" w:rsidP="000167BB">
      <w:pPr>
        <w:pStyle w:val="HANG"/>
        <w:tabs>
          <w:tab w:val="left" w:pos="180"/>
        </w:tabs>
        <w:spacing w:line="276" w:lineRule="auto"/>
        <w:contextualSpacing/>
        <w:rPr>
          <w:rFonts w:ascii="Copperplate Gothic Bold" w:hAnsi="Copperplate Gothic Bold"/>
          <w:b/>
          <w:color w:val="000000" w:themeColor="text1"/>
          <w:sz w:val="32"/>
          <w:u w:val="single"/>
        </w:rPr>
      </w:pPr>
      <w:r>
        <w:rPr>
          <w:rFonts w:ascii="Copperplate Gothic Bold" w:hAnsi="Copperplate Gothic Bold"/>
          <w:color w:val="000000" w:themeColor="text1"/>
          <w:sz w:val="32"/>
        </w:rPr>
        <w:lastRenderedPageBreak/>
        <w:tab/>
      </w:r>
      <w:r>
        <w:rPr>
          <w:rFonts w:ascii="Copperplate Gothic Bold" w:hAnsi="Copperplate Gothic Bold"/>
          <w:color w:val="000000" w:themeColor="text1"/>
          <w:sz w:val="32"/>
        </w:rPr>
        <w:tab/>
      </w:r>
      <w:r>
        <w:rPr>
          <w:rFonts w:ascii="Copperplate Gothic Bold" w:hAnsi="Copperplate Gothic Bold"/>
          <w:color w:val="000000" w:themeColor="text1"/>
          <w:sz w:val="32"/>
        </w:rPr>
        <w:tab/>
      </w:r>
      <w:r>
        <w:rPr>
          <w:rFonts w:ascii="Copperplate Gothic Bold" w:hAnsi="Copperplate Gothic Bold"/>
          <w:b/>
          <w:color w:val="000000" w:themeColor="text1"/>
          <w:sz w:val="32"/>
          <w:u w:val="single"/>
        </w:rPr>
        <w:t>Petition by the Central Govt</w:t>
      </w:r>
    </w:p>
    <w:p w:rsidR="000167BB" w:rsidRDefault="000167BB" w:rsidP="004A3009">
      <w:pPr>
        <w:pStyle w:val="HANG"/>
        <w:numPr>
          <w:ilvl w:val="0"/>
          <w:numId w:val="27"/>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 xml:space="preserve">Central Govt is empowered to order investigation into the affairs, if in CLB’s Opinion, any of the following circumstances exists – </w:t>
      </w:r>
    </w:p>
    <w:p w:rsidR="000167BB" w:rsidRPr="000167BB" w:rsidRDefault="000167BB" w:rsidP="000167BB">
      <w:pPr>
        <w:pStyle w:val="HANG"/>
        <w:tabs>
          <w:tab w:val="left" w:pos="180"/>
        </w:tabs>
        <w:spacing w:line="276" w:lineRule="auto"/>
        <w:ind w:left="720" w:firstLine="0"/>
        <w:contextualSpacing/>
        <w:rPr>
          <w:rFonts w:ascii="Bookman Old Style" w:hAnsi="Bookman Old Style"/>
          <w:color w:val="000000" w:themeColor="text1"/>
          <w:sz w:val="14"/>
        </w:rPr>
      </w:pPr>
    </w:p>
    <w:p w:rsidR="000167BB" w:rsidRDefault="000167BB" w:rsidP="004A3009">
      <w:pPr>
        <w:pStyle w:val="HANG"/>
        <w:numPr>
          <w:ilvl w:val="0"/>
          <w:numId w:val="28"/>
        </w:numPr>
        <w:tabs>
          <w:tab w:val="left" w:pos="180"/>
        </w:tabs>
        <w:spacing w:line="276" w:lineRule="auto"/>
        <w:ind w:left="1170" w:hanging="450"/>
        <w:contextualSpacing/>
        <w:rPr>
          <w:rFonts w:ascii="Bookman Old Style" w:hAnsi="Bookman Old Style"/>
          <w:color w:val="000000" w:themeColor="text1"/>
          <w:sz w:val="24"/>
        </w:rPr>
      </w:pPr>
      <w:r>
        <w:rPr>
          <w:rFonts w:ascii="Bookman Old Style" w:hAnsi="Bookman Old Style"/>
          <w:color w:val="000000" w:themeColor="text1"/>
          <w:sz w:val="24"/>
        </w:rPr>
        <w:t xml:space="preserve">That the business of the Company is conducted – </w:t>
      </w:r>
    </w:p>
    <w:p w:rsidR="000167BB" w:rsidRDefault="000167BB" w:rsidP="004A3009">
      <w:pPr>
        <w:pStyle w:val="HANG"/>
        <w:numPr>
          <w:ilvl w:val="0"/>
          <w:numId w:val="29"/>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With intent to defraud its creditors, members or any other persons; or</w:t>
      </w:r>
    </w:p>
    <w:p w:rsidR="000167BB" w:rsidRDefault="000167BB" w:rsidP="004A3009">
      <w:pPr>
        <w:pStyle w:val="HANG"/>
        <w:numPr>
          <w:ilvl w:val="0"/>
          <w:numId w:val="29"/>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For a fraudulent or unlawful purpose; or</w:t>
      </w:r>
    </w:p>
    <w:p w:rsidR="000167BB" w:rsidRDefault="000167BB" w:rsidP="004A3009">
      <w:pPr>
        <w:pStyle w:val="HANG"/>
        <w:numPr>
          <w:ilvl w:val="0"/>
          <w:numId w:val="29"/>
        </w:numPr>
        <w:tabs>
          <w:tab w:val="left" w:pos="180"/>
        </w:tabs>
        <w:spacing w:line="276" w:lineRule="auto"/>
        <w:contextualSpacing/>
        <w:rPr>
          <w:rFonts w:ascii="Bookman Old Style" w:hAnsi="Bookman Old Style"/>
          <w:color w:val="000000" w:themeColor="text1"/>
          <w:sz w:val="24"/>
        </w:rPr>
      </w:pPr>
      <w:r>
        <w:rPr>
          <w:rFonts w:ascii="Bookman Old Style" w:hAnsi="Bookman Old Style"/>
          <w:color w:val="000000" w:themeColor="text1"/>
          <w:sz w:val="24"/>
        </w:rPr>
        <w:t>In a manner oppressive to any of its members</w:t>
      </w:r>
    </w:p>
    <w:p w:rsidR="000167BB" w:rsidRDefault="000167BB" w:rsidP="004A3009">
      <w:pPr>
        <w:pStyle w:val="HANG"/>
        <w:numPr>
          <w:ilvl w:val="0"/>
          <w:numId w:val="28"/>
        </w:numPr>
        <w:tabs>
          <w:tab w:val="left" w:pos="180"/>
        </w:tabs>
        <w:spacing w:line="276" w:lineRule="auto"/>
        <w:ind w:left="1170" w:hanging="450"/>
        <w:contextualSpacing/>
        <w:rPr>
          <w:rFonts w:ascii="Bookman Old Style" w:hAnsi="Bookman Old Style"/>
          <w:color w:val="000000" w:themeColor="text1"/>
          <w:sz w:val="24"/>
        </w:rPr>
      </w:pPr>
      <w:r>
        <w:rPr>
          <w:rFonts w:ascii="Bookman Old Style" w:hAnsi="Bookman Old Style"/>
          <w:color w:val="000000" w:themeColor="text1"/>
          <w:sz w:val="24"/>
        </w:rPr>
        <w:t>That the Company was formed for fraudulent or unlawful purpose</w:t>
      </w:r>
    </w:p>
    <w:p w:rsidR="000167BB" w:rsidRDefault="000167BB" w:rsidP="004A3009">
      <w:pPr>
        <w:pStyle w:val="HANG"/>
        <w:numPr>
          <w:ilvl w:val="0"/>
          <w:numId w:val="28"/>
        </w:numPr>
        <w:tabs>
          <w:tab w:val="left" w:pos="180"/>
        </w:tabs>
        <w:spacing w:line="276" w:lineRule="auto"/>
        <w:ind w:left="1170" w:hanging="450"/>
        <w:contextualSpacing/>
        <w:rPr>
          <w:rFonts w:ascii="Bookman Old Style" w:hAnsi="Bookman Old Style"/>
          <w:color w:val="000000" w:themeColor="text1"/>
          <w:sz w:val="24"/>
        </w:rPr>
      </w:pPr>
      <w:r>
        <w:rPr>
          <w:rFonts w:ascii="Bookman Old Style" w:hAnsi="Bookman Old Style"/>
          <w:color w:val="000000" w:themeColor="text1"/>
          <w:sz w:val="24"/>
        </w:rPr>
        <w:t>That the persons concerned in the formation or management of the Company have been guilty of fraud, misfeasance or other misconduct.</w:t>
      </w:r>
    </w:p>
    <w:p w:rsidR="000167BB" w:rsidRDefault="000167BB" w:rsidP="000167BB">
      <w:pPr>
        <w:pStyle w:val="HANG"/>
        <w:tabs>
          <w:tab w:val="left" w:pos="180"/>
        </w:tabs>
        <w:spacing w:line="276" w:lineRule="auto"/>
        <w:contextualSpacing/>
        <w:rPr>
          <w:rFonts w:ascii="Bookman Old Style" w:hAnsi="Bookman Old Style"/>
          <w:color w:val="000000" w:themeColor="text1"/>
          <w:sz w:val="24"/>
        </w:rPr>
      </w:pPr>
    </w:p>
    <w:p w:rsidR="000167BB" w:rsidRDefault="001C327C" w:rsidP="004A3009">
      <w:pPr>
        <w:pStyle w:val="HANG"/>
        <w:numPr>
          <w:ilvl w:val="0"/>
          <w:numId w:val="27"/>
        </w:numPr>
        <w:tabs>
          <w:tab w:val="left" w:pos="180"/>
        </w:tabs>
        <w:spacing w:line="276" w:lineRule="auto"/>
        <w:rPr>
          <w:rFonts w:ascii="Bookman Old Style" w:hAnsi="Bookman Old Style"/>
          <w:color w:val="000000" w:themeColor="text1"/>
          <w:sz w:val="24"/>
        </w:rPr>
      </w:pPr>
      <w:r>
        <w:rPr>
          <w:rFonts w:ascii="Bookman Old Style" w:hAnsi="Bookman Old Style"/>
          <w:color w:val="000000" w:themeColor="text1"/>
          <w:sz w:val="24"/>
        </w:rPr>
        <w:t xml:space="preserve">After considering the Inspector’s Report, if the Central Govt is satisfied that any of the above circumstances exist and it is </w:t>
      </w:r>
      <w:r w:rsidR="009122C0">
        <w:rPr>
          <w:rFonts w:ascii="Bookman Old Style" w:hAnsi="Bookman Old Style"/>
          <w:color w:val="000000" w:themeColor="text1"/>
          <w:sz w:val="24"/>
        </w:rPr>
        <w:t>expedient to wind up the Company, it may cause a petition to be presented for winding up.</w:t>
      </w:r>
    </w:p>
    <w:p w:rsidR="009122C0" w:rsidRDefault="009122C0" w:rsidP="004A3009">
      <w:pPr>
        <w:pStyle w:val="HANG"/>
        <w:numPr>
          <w:ilvl w:val="0"/>
          <w:numId w:val="27"/>
        </w:numPr>
        <w:tabs>
          <w:tab w:val="left" w:pos="180"/>
        </w:tabs>
        <w:spacing w:line="276" w:lineRule="auto"/>
        <w:rPr>
          <w:rFonts w:ascii="Bookman Old Style" w:hAnsi="Bookman Old Style"/>
          <w:color w:val="000000" w:themeColor="text1"/>
          <w:sz w:val="24"/>
        </w:rPr>
      </w:pPr>
      <w:r>
        <w:rPr>
          <w:rFonts w:ascii="Bookman Old Style" w:hAnsi="Bookman Old Style"/>
          <w:color w:val="000000" w:themeColor="text1"/>
          <w:sz w:val="24"/>
        </w:rPr>
        <w:t>It is for the Court to decide whether to Wind Up or not, but the Court will give special weightage to views of the Central Govt.</w:t>
      </w:r>
    </w:p>
    <w:p w:rsidR="000167BB" w:rsidRPr="000167BB" w:rsidRDefault="000167BB" w:rsidP="000167BB">
      <w:pPr>
        <w:pStyle w:val="HANG"/>
        <w:tabs>
          <w:tab w:val="left" w:pos="180"/>
        </w:tabs>
        <w:spacing w:line="276" w:lineRule="auto"/>
        <w:contextualSpacing/>
        <w:rPr>
          <w:rFonts w:ascii="Bookman Old Style" w:hAnsi="Bookman Old Style"/>
          <w:color w:val="000000" w:themeColor="text1"/>
          <w:sz w:val="24"/>
        </w:rPr>
      </w:pPr>
    </w:p>
    <w:p w:rsidR="009122C0" w:rsidRDefault="009122C0" w:rsidP="009122C0">
      <w:pPr>
        <w:pStyle w:val="HANG"/>
        <w:tabs>
          <w:tab w:val="left" w:pos="180"/>
        </w:tabs>
        <w:spacing w:line="240" w:lineRule="auto"/>
        <w:contextualSpacing/>
        <w:rPr>
          <w:rFonts w:ascii="Copperplate Gothic Bold" w:hAnsi="Copperplate Gothic Bold"/>
          <w:b/>
          <w:color w:val="000000" w:themeColor="text1"/>
          <w:sz w:val="32"/>
          <w:u w:val="single"/>
        </w:rPr>
      </w:pPr>
      <w:r w:rsidRPr="009122C0">
        <w:rPr>
          <w:rFonts w:ascii="Copperplate Gothic Bold" w:hAnsi="Copperplate Gothic Bold"/>
          <w:b/>
          <w:color w:val="000000" w:themeColor="text1"/>
          <w:sz w:val="32"/>
          <w:u w:val="single"/>
        </w:rPr>
        <w:t xml:space="preserve">CONSEQUENCES OF WINDING UP ORDER </w:t>
      </w:r>
    </w:p>
    <w:p w:rsidR="005B1810" w:rsidRPr="009122C0" w:rsidRDefault="005B1810" w:rsidP="009122C0">
      <w:pPr>
        <w:pStyle w:val="HANG"/>
        <w:tabs>
          <w:tab w:val="left" w:pos="180"/>
        </w:tabs>
        <w:spacing w:line="240" w:lineRule="auto"/>
        <w:contextualSpacing/>
        <w:rPr>
          <w:rFonts w:ascii="Copperplate Gothic Bold" w:hAnsi="Copperplate Gothic Bold"/>
          <w:b/>
          <w:color w:val="000000" w:themeColor="text1"/>
          <w:sz w:val="32"/>
          <w:u w:val="single"/>
        </w:rPr>
      </w:pPr>
    </w:p>
    <w:p w:rsidR="009122C0" w:rsidRPr="009122C0" w:rsidRDefault="009122C0" w:rsidP="004A3009">
      <w:pPr>
        <w:pStyle w:val="HANG"/>
        <w:numPr>
          <w:ilvl w:val="0"/>
          <w:numId w:val="27"/>
        </w:numPr>
        <w:tabs>
          <w:tab w:val="left" w:pos="180"/>
        </w:tabs>
        <w:spacing w:line="276" w:lineRule="auto"/>
        <w:rPr>
          <w:rFonts w:ascii="Bookman Old Style" w:hAnsi="Bookman Old Style"/>
          <w:color w:val="000000" w:themeColor="text1"/>
          <w:sz w:val="24"/>
        </w:rPr>
      </w:pPr>
      <w:r w:rsidRPr="009122C0">
        <w:rPr>
          <w:rFonts w:ascii="Bookman Old Style" w:hAnsi="Bookman Old Style"/>
          <w:color w:val="000000" w:themeColor="text1"/>
          <w:sz w:val="24"/>
        </w:rPr>
        <w:t xml:space="preserve">Once the Court makes an order for the winding up of a company, its consequences date back to the commencement of wining up. </w:t>
      </w:r>
    </w:p>
    <w:p w:rsidR="009122C0" w:rsidRPr="009122C0" w:rsidRDefault="009122C0" w:rsidP="004A3009">
      <w:pPr>
        <w:pStyle w:val="HANG"/>
        <w:numPr>
          <w:ilvl w:val="0"/>
          <w:numId w:val="27"/>
        </w:numPr>
        <w:tabs>
          <w:tab w:val="left" w:pos="180"/>
        </w:tabs>
        <w:spacing w:line="276" w:lineRule="auto"/>
        <w:rPr>
          <w:rFonts w:ascii="Bookman Old Style" w:hAnsi="Bookman Old Style"/>
          <w:color w:val="000000" w:themeColor="text1"/>
          <w:sz w:val="24"/>
        </w:rPr>
      </w:pPr>
      <w:r w:rsidRPr="009122C0">
        <w:rPr>
          <w:rFonts w:ascii="Bookman Old Style" w:hAnsi="Bookman Old Style"/>
          <w:color w:val="000000" w:themeColor="text1"/>
          <w:sz w:val="24"/>
        </w:rPr>
        <w:t>The other consequences of winding up by the Court are as follows:  </w:t>
      </w:r>
    </w:p>
    <w:p w:rsidR="009122C0" w:rsidRPr="009122C0" w:rsidRDefault="009122C0" w:rsidP="009122C0">
      <w:pPr>
        <w:spacing w:before="100" w:beforeAutospacing="1" w:after="120" w:line="240" w:lineRule="auto"/>
        <w:ind w:left="360"/>
        <w:contextualSpacing/>
        <w:jc w:val="both"/>
        <w:rPr>
          <w:rFonts w:ascii="Bookman Old Style" w:eastAsia="Times New Roman" w:hAnsi="Bookman Old Style" w:cs="Times New Roman"/>
          <w:b/>
          <w:color w:val="000000" w:themeColor="text1"/>
          <w:spacing w:val="4"/>
          <w:sz w:val="24"/>
          <w:szCs w:val="24"/>
          <w:u w:val="single"/>
        </w:rPr>
      </w:pPr>
      <w:r w:rsidRPr="009122C0">
        <w:rPr>
          <w:rFonts w:ascii="Bookman Old Style" w:eastAsia="Times New Roman" w:hAnsi="Bookman Old Style" w:cs="Times New Roman"/>
          <w:b/>
          <w:color w:val="000000" w:themeColor="text1"/>
          <w:spacing w:val="4"/>
          <w:sz w:val="28"/>
          <w:szCs w:val="24"/>
          <w:u w:val="single"/>
        </w:rPr>
        <w:t>1. Intimation to Official Liquidator and Registrar</w:t>
      </w:r>
      <w:r w:rsidRPr="009122C0">
        <w:rPr>
          <w:rFonts w:ascii="Bookman Old Style" w:eastAsia="Times New Roman" w:hAnsi="Bookman Old Style" w:cs="Times New Roman"/>
          <w:b/>
          <w:color w:val="000000" w:themeColor="text1"/>
          <w:spacing w:val="4"/>
          <w:sz w:val="24"/>
          <w:szCs w:val="24"/>
          <w:u w:val="single"/>
        </w:rPr>
        <w:t xml:space="preserve">: </w:t>
      </w:r>
    </w:p>
    <w:p w:rsidR="009122C0" w:rsidRPr="009122C0" w:rsidRDefault="009122C0" w:rsidP="009122C0">
      <w:pPr>
        <w:spacing w:before="100" w:beforeAutospacing="1" w:after="120" w:line="240" w:lineRule="auto"/>
        <w:ind w:left="360"/>
        <w:contextualSpacing/>
        <w:jc w:val="both"/>
        <w:rPr>
          <w:rFonts w:ascii="Bookman Old Style" w:eastAsia="Times New Roman" w:hAnsi="Bookman Old Style" w:cs="Times New Roman"/>
          <w:color w:val="000000" w:themeColor="text1"/>
          <w:spacing w:val="4"/>
          <w:sz w:val="2"/>
          <w:szCs w:val="24"/>
        </w:rPr>
      </w:pPr>
    </w:p>
    <w:p w:rsidR="009122C0" w:rsidRDefault="009122C0"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sidRPr="009122C0">
        <w:rPr>
          <w:rFonts w:ascii="Bookman Old Style" w:eastAsia="Times New Roman" w:hAnsi="Bookman Old Style" w:cs="Times New Roman"/>
          <w:color w:val="000000" w:themeColor="text1"/>
          <w:spacing w:val="4"/>
          <w:sz w:val="24"/>
          <w:szCs w:val="24"/>
        </w:rPr>
        <w:t xml:space="preserve">Where the Court makes an order for the winding up of a company, it shall forthwith cause intimation to be sent to the Official Liquidator and the Registrar of the order of winding up. </w:t>
      </w:r>
    </w:p>
    <w:p w:rsidR="009122C0" w:rsidRPr="009122C0" w:rsidRDefault="009122C0"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Pr>
          <w:rFonts w:ascii="Bookman Old Style" w:eastAsia="Times New Roman" w:hAnsi="Bookman Old Style" w:cs="Times New Roman"/>
          <w:color w:val="000000" w:themeColor="text1"/>
          <w:spacing w:val="4"/>
          <w:sz w:val="24"/>
          <w:szCs w:val="24"/>
        </w:rPr>
        <w:t xml:space="preserve">This will enable the Official Liquidator to take into custody/possession the books, accounts and assets of the Company. </w:t>
      </w:r>
    </w:p>
    <w:p w:rsidR="00C75119" w:rsidRPr="009122C0" w:rsidRDefault="00C75119" w:rsidP="009122C0">
      <w:pPr>
        <w:tabs>
          <w:tab w:val="left" w:pos="360"/>
        </w:tabs>
        <w:spacing w:before="100" w:beforeAutospacing="1" w:after="120" w:line="240" w:lineRule="auto"/>
        <w:ind w:left="360"/>
        <w:contextualSpacing/>
        <w:jc w:val="both"/>
        <w:rPr>
          <w:rFonts w:ascii="Bookman Old Style" w:eastAsia="Times New Roman" w:hAnsi="Bookman Old Style" w:cs="Times New Roman"/>
          <w:color w:val="000000" w:themeColor="text1"/>
          <w:spacing w:val="4"/>
          <w:sz w:val="24"/>
          <w:szCs w:val="24"/>
        </w:rPr>
      </w:pPr>
    </w:p>
    <w:p w:rsidR="009122C0" w:rsidRPr="009122C0" w:rsidRDefault="009122C0" w:rsidP="009122C0">
      <w:pPr>
        <w:tabs>
          <w:tab w:val="left" w:pos="360"/>
        </w:tabs>
        <w:spacing w:before="100" w:beforeAutospacing="1" w:after="120" w:line="240" w:lineRule="auto"/>
        <w:ind w:left="360"/>
        <w:contextualSpacing/>
        <w:jc w:val="both"/>
        <w:rPr>
          <w:rFonts w:ascii="Bookman Old Style" w:eastAsia="Times New Roman" w:hAnsi="Bookman Old Style" w:cs="Times New Roman"/>
          <w:b/>
          <w:color w:val="000000" w:themeColor="text1"/>
          <w:spacing w:val="4"/>
          <w:sz w:val="28"/>
          <w:szCs w:val="24"/>
          <w:u w:val="single"/>
        </w:rPr>
      </w:pPr>
      <w:r w:rsidRPr="009122C0">
        <w:rPr>
          <w:rFonts w:ascii="Bookman Old Style" w:eastAsia="Times New Roman" w:hAnsi="Bookman Old Style" w:cs="Times New Roman"/>
          <w:b/>
          <w:color w:val="000000" w:themeColor="text1"/>
          <w:spacing w:val="4"/>
          <w:sz w:val="28"/>
          <w:szCs w:val="24"/>
          <w:u w:val="single"/>
        </w:rPr>
        <w:t>2. Copy of winding up order to be filed with the Registrar</w:t>
      </w:r>
    </w:p>
    <w:p w:rsidR="009122C0" w:rsidRPr="009122C0" w:rsidRDefault="009122C0" w:rsidP="009122C0">
      <w:pPr>
        <w:tabs>
          <w:tab w:val="left" w:pos="360"/>
        </w:tabs>
        <w:spacing w:before="100" w:beforeAutospacing="1" w:after="120" w:line="240" w:lineRule="auto"/>
        <w:ind w:left="360"/>
        <w:contextualSpacing/>
        <w:jc w:val="both"/>
        <w:rPr>
          <w:rFonts w:ascii="Bookman Old Style" w:eastAsia="Times New Roman" w:hAnsi="Bookman Old Style" w:cs="Times New Roman"/>
          <w:b/>
          <w:color w:val="000000" w:themeColor="text1"/>
          <w:spacing w:val="4"/>
          <w:sz w:val="2"/>
          <w:szCs w:val="24"/>
          <w:u w:val="single"/>
        </w:rPr>
      </w:pPr>
    </w:p>
    <w:p w:rsidR="009122C0" w:rsidRPr="009122C0" w:rsidRDefault="009122C0" w:rsidP="004A3009">
      <w:pPr>
        <w:pStyle w:val="ListParagraph"/>
        <w:numPr>
          <w:ilvl w:val="0"/>
          <w:numId w:val="31"/>
        </w:numPr>
        <w:tabs>
          <w:tab w:val="left" w:pos="360"/>
        </w:tabs>
        <w:spacing w:before="100" w:beforeAutospacing="1" w:after="120" w:line="240" w:lineRule="auto"/>
        <w:ind w:left="720"/>
        <w:jc w:val="both"/>
        <w:rPr>
          <w:rFonts w:ascii="Bookman Old Style" w:eastAsia="Times New Roman" w:hAnsi="Bookman Old Style" w:cs="Times New Roman"/>
          <w:color w:val="000000" w:themeColor="text1"/>
          <w:spacing w:val="4"/>
          <w:sz w:val="24"/>
          <w:szCs w:val="24"/>
        </w:rPr>
      </w:pPr>
      <w:r w:rsidRPr="009122C0">
        <w:rPr>
          <w:rFonts w:ascii="Bookman Old Style" w:eastAsia="Times New Roman" w:hAnsi="Bookman Old Style" w:cs="Times New Roman"/>
          <w:color w:val="000000" w:themeColor="text1"/>
          <w:spacing w:val="4"/>
          <w:sz w:val="24"/>
          <w:szCs w:val="24"/>
        </w:rPr>
        <w:t xml:space="preserve">On the making of the winding up order it shall be the duty of the petitioner and of the company to file with the Registrar within 30 days a certified copy of the order. </w:t>
      </w:r>
    </w:p>
    <w:p w:rsidR="009122C0" w:rsidRPr="001C750B" w:rsidRDefault="009122C0" w:rsidP="009122C0">
      <w:pPr>
        <w:spacing w:before="100" w:beforeAutospacing="1" w:after="120" w:line="240" w:lineRule="auto"/>
        <w:ind w:left="360"/>
        <w:jc w:val="both"/>
        <w:rPr>
          <w:rFonts w:ascii="Bookman Old Style" w:eastAsia="Times New Roman" w:hAnsi="Bookman Old Style" w:cs="Times New Roman"/>
          <w:color w:val="000000" w:themeColor="text1"/>
          <w:spacing w:val="4"/>
          <w:sz w:val="28"/>
          <w:szCs w:val="24"/>
        </w:rPr>
      </w:pPr>
      <w:r w:rsidRPr="009122C0">
        <w:rPr>
          <w:rFonts w:ascii="Bookman Old Style" w:eastAsia="Times New Roman" w:hAnsi="Bookman Old Style" w:cs="Times New Roman"/>
          <w:b/>
          <w:color w:val="000000" w:themeColor="text1"/>
          <w:spacing w:val="4"/>
          <w:sz w:val="28"/>
          <w:szCs w:val="24"/>
          <w:u w:val="single"/>
        </w:rPr>
        <w:t xml:space="preserve">3. </w:t>
      </w:r>
      <w:r w:rsidR="001C750B">
        <w:rPr>
          <w:rFonts w:ascii="Bookman Old Style" w:eastAsia="Times New Roman" w:hAnsi="Bookman Old Style" w:cs="Times New Roman"/>
          <w:b/>
          <w:color w:val="000000" w:themeColor="text1"/>
          <w:spacing w:val="4"/>
          <w:sz w:val="28"/>
          <w:szCs w:val="24"/>
          <w:u w:val="single"/>
        </w:rPr>
        <w:t xml:space="preserve">Discharge of </w:t>
      </w:r>
      <w:r w:rsidRPr="009122C0">
        <w:rPr>
          <w:rFonts w:ascii="Bookman Old Style" w:eastAsia="Times New Roman" w:hAnsi="Bookman Old Style" w:cs="Times New Roman"/>
          <w:b/>
          <w:color w:val="000000" w:themeColor="text1"/>
          <w:spacing w:val="4"/>
          <w:sz w:val="28"/>
          <w:szCs w:val="24"/>
          <w:u w:val="single"/>
        </w:rPr>
        <w:t>O</w:t>
      </w:r>
      <w:r w:rsidR="001C750B">
        <w:rPr>
          <w:rFonts w:ascii="Bookman Old Style" w:eastAsia="Times New Roman" w:hAnsi="Bookman Old Style" w:cs="Times New Roman"/>
          <w:b/>
          <w:color w:val="000000" w:themeColor="text1"/>
          <w:spacing w:val="4"/>
          <w:sz w:val="28"/>
          <w:szCs w:val="24"/>
          <w:u w:val="single"/>
        </w:rPr>
        <w:t>fficers &amp; Employees</w:t>
      </w:r>
      <w:r w:rsidRPr="009122C0">
        <w:rPr>
          <w:rFonts w:ascii="Bookman Old Style" w:eastAsia="Times New Roman" w:hAnsi="Bookman Old Style" w:cs="Times New Roman"/>
          <w:color w:val="000000" w:themeColor="text1"/>
          <w:spacing w:val="4"/>
          <w:sz w:val="28"/>
          <w:szCs w:val="24"/>
        </w:rPr>
        <w:t xml:space="preserve">: </w:t>
      </w:r>
    </w:p>
    <w:p w:rsidR="009122C0" w:rsidRDefault="001C750B"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Pr>
          <w:rFonts w:ascii="Bookman Old Style" w:eastAsia="Times New Roman" w:hAnsi="Bookman Old Style" w:cs="Times New Roman"/>
          <w:color w:val="000000" w:themeColor="text1"/>
          <w:spacing w:val="4"/>
          <w:sz w:val="24"/>
          <w:szCs w:val="24"/>
        </w:rPr>
        <w:t>Winding Up Order shall be deemed to be notice of discharge to the Officers and Employees except when the business is continued.</w:t>
      </w:r>
    </w:p>
    <w:p w:rsidR="001C750B" w:rsidRPr="001C750B" w:rsidRDefault="001C750B"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Pr>
          <w:rFonts w:ascii="Bookman Old Style" w:eastAsia="Times New Roman" w:hAnsi="Bookman Old Style" w:cs="Times New Roman"/>
          <w:color w:val="000000" w:themeColor="text1"/>
          <w:spacing w:val="4"/>
          <w:sz w:val="24"/>
          <w:szCs w:val="24"/>
        </w:rPr>
        <w:lastRenderedPageBreak/>
        <w:t>However, carrying on the business by the official Liquidator for beneficial Winding Up is not considered as continuing of business.</w:t>
      </w:r>
    </w:p>
    <w:p w:rsidR="005B1810" w:rsidRPr="005B1810" w:rsidRDefault="009122C0" w:rsidP="005B1810">
      <w:pPr>
        <w:spacing w:before="100" w:beforeAutospacing="1" w:after="120" w:line="240" w:lineRule="auto"/>
        <w:ind w:left="360"/>
        <w:jc w:val="both"/>
        <w:rPr>
          <w:rFonts w:ascii="Bookman Old Style" w:eastAsia="Times New Roman" w:hAnsi="Bookman Old Style" w:cs="Times New Roman"/>
          <w:b/>
          <w:color w:val="000000" w:themeColor="text1"/>
          <w:spacing w:val="4"/>
          <w:sz w:val="28"/>
          <w:szCs w:val="24"/>
          <w:u w:val="single"/>
        </w:rPr>
      </w:pPr>
      <w:r w:rsidRPr="009122C0">
        <w:rPr>
          <w:rFonts w:ascii="Bookman Old Style" w:eastAsia="Times New Roman" w:hAnsi="Bookman Old Style" w:cs="Times New Roman"/>
          <w:b/>
          <w:color w:val="000000" w:themeColor="text1"/>
          <w:spacing w:val="4"/>
          <w:sz w:val="28"/>
          <w:szCs w:val="24"/>
          <w:u w:val="single"/>
        </w:rPr>
        <w:t>4. S</w:t>
      </w:r>
      <w:r w:rsidR="005B1810" w:rsidRPr="005B1810">
        <w:rPr>
          <w:rFonts w:ascii="Bookman Old Style" w:eastAsia="Times New Roman" w:hAnsi="Bookman Old Style" w:cs="Times New Roman"/>
          <w:b/>
          <w:color w:val="000000" w:themeColor="text1"/>
          <w:spacing w:val="4"/>
          <w:sz w:val="28"/>
          <w:szCs w:val="24"/>
          <w:u w:val="single"/>
        </w:rPr>
        <w:t>tay of S</w:t>
      </w:r>
      <w:r w:rsidRPr="009122C0">
        <w:rPr>
          <w:rFonts w:ascii="Bookman Old Style" w:eastAsia="Times New Roman" w:hAnsi="Bookman Old Style" w:cs="Times New Roman"/>
          <w:b/>
          <w:color w:val="000000" w:themeColor="text1"/>
          <w:spacing w:val="4"/>
          <w:sz w:val="28"/>
          <w:szCs w:val="24"/>
          <w:u w:val="single"/>
        </w:rPr>
        <w:t xml:space="preserve">uits </w:t>
      </w:r>
      <w:r w:rsidR="005B1810" w:rsidRPr="005B1810">
        <w:rPr>
          <w:rFonts w:ascii="Bookman Old Style" w:eastAsia="Times New Roman" w:hAnsi="Bookman Old Style" w:cs="Times New Roman"/>
          <w:b/>
          <w:color w:val="000000" w:themeColor="text1"/>
          <w:spacing w:val="4"/>
          <w:sz w:val="28"/>
          <w:szCs w:val="24"/>
          <w:u w:val="single"/>
        </w:rPr>
        <w:t>or Proceedings:</w:t>
      </w:r>
    </w:p>
    <w:p w:rsidR="005B1810" w:rsidRDefault="009122C0"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sidRPr="009122C0">
        <w:rPr>
          <w:rFonts w:ascii="Bookman Old Style" w:eastAsia="Times New Roman" w:hAnsi="Bookman Old Style" w:cs="Times New Roman"/>
          <w:color w:val="000000" w:themeColor="text1"/>
          <w:spacing w:val="4"/>
          <w:sz w:val="24"/>
          <w:szCs w:val="24"/>
        </w:rPr>
        <w:t xml:space="preserve">When a winding up order has been made, no suit or other legal proceeding shall be commenced against the company except by leave of the Court. </w:t>
      </w:r>
    </w:p>
    <w:p w:rsidR="009122C0" w:rsidRPr="009122C0" w:rsidRDefault="009122C0" w:rsidP="004A3009">
      <w:pPr>
        <w:pStyle w:val="ListParagraph"/>
        <w:numPr>
          <w:ilvl w:val="0"/>
          <w:numId w:val="30"/>
        </w:numPr>
        <w:spacing w:before="100" w:beforeAutospacing="1" w:after="80" w:line="240" w:lineRule="auto"/>
        <w:ind w:left="720"/>
        <w:contextualSpacing w:val="0"/>
        <w:jc w:val="both"/>
        <w:rPr>
          <w:rFonts w:ascii="Bookman Old Style" w:eastAsia="Times New Roman" w:hAnsi="Bookman Old Style" w:cs="Times New Roman"/>
          <w:color w:val="000000" w:themeColor="text1"/>
          <w:spacing w:val="4"/>
          <w:sz w:val="24"/>
          <w:szCs w:val="24"/>
        </w:rPr>
      </w:pPr>
      <w:r w:rsidRPr="009122C0">
        <w:rPr>
          <w:rFonts w:ascii="Bookman Old Style" w:eastAsia="Times New Roman" w:hAnsi="Bookman Old Style" w:cs="Times New Roman"/>
          <w:color w:val="000000" w:themeColor="text1"/>
          <w:spacing w:val="4"/>
          <w:sz w:val="24"/>
          <w:szCs w:val="24"/>
        </w:rPr>
        <w:t>Similarly pending suits shall not be proceeded with except by leave of the Court.</w:t>
      </w:r>
    </w:p>
    <w:p w:rsidR="005B1810" w:rsidRPr="005B1810" w:rsidRDefault="009122C0" w:rsidP="005B1810">
      <w:pPr>
        <w:spacing w:before="100" w:beforeAutospacing="1" w:after="120" w:line="240" w:lineRule="auto"/>
        <w:ind w:left="360"/>
        <w:jc w:val="both"/>
        <w:rPr>
          <w:rFonts w:ascii="Bookman Old Style" w:eastAsia="Times New Roman" w:hAnsi="Bookman Old Style" w:cs="Times New Roman"/>
          <w:b/>
          <w:color w:val="000000" w:themeColor="text1"/>
          <w:spacing w:val="4"/>
          <w:sz w:val="28"/>
          <w:szCs w:val="24"/>
          <w:u w:val="single"/>
        </w:rPr>
      </w:pPr>
      <w:r w:rsidRPr="009122C0">
        <w:rPr>
          <w:rFonts w:ascii="Bookman Old Style" w:eastAsia="Times New Roman" w:hAnsi="Bookman Old Style" w:cs="Times New Roman"/>
          <w:b/>
          <w:color w:val="000000" w:themeColor="text1"/>
          <w:spacing w:val="4"/>
          <w:sz w:val="28"/>
          <w:szCs w:val="24"/>
          <w:u w:val="single"/>
        </w:rPr>
        <w:t xml:space="preserve">5. </w:t>
      </w:r>
      <w:r w:rsidR="005B1810" w:rsidRPr="005B1810">
        <w:rPr>
          <w:rFonts w:ascii="Bookman Old Style" w:eastAsia="Times New Roman" w:hAnsi="Bookman Old Style" w:cs="Times New Roman"/>
          <w:b/>
          <w:color w:val="000000" w:themeColor="text1"/>
          <w:spacing w:val="4"/>
          <w:sz w:val="28"/>
          <w:szCs w:val="24"/>
          <w:u w:val="single"/>
        </w:rPr>
        <w:t xml:space="preserve">Jurisdiction to dispose all suits and proceedings </w:t>
      </w:r>
      <w:r w:rsidRPr="009122C0">
        <w:rPr>
          <w:rFonts w:ascii="Bookman Old Style" w:eastAsia="Times New Roman" w:hAnsi="Bookman Old Style" w:cs="Times New Roman"/>
          <w:b/>
          <w:color w:val="000000" w:themeColor="text1"/>
          <w:spacing w:val="4"/>
          <w:sz w:val="28"/>
          <w:szCs w:val="24"/>
          <w:u w:val="single"/>
        </w:rPr>
        <w:t>:</w:t>
      </w:r>
    </w:p>
    <w:p w:rsidR="009122C0" w:rsidRPr="005B1810" w:rsidRDefault="009122C0" w:rsidP="004A3009">
      <w:pPr>
        <w:pStyle w:val="ListParagraph"/>
        <w:numPr>
          <w:ilvl w:val="0"/>
          <w:numId w:val="32"/>
        </w:numPr>
        <w:spacing w:before="100" w:beforeAutospacing="1" w:after="120" w:line="240" w:lineRule="auto"/>
        <w:jc w:val="both"/>
        <w:rPr>
          <w:rFonts w:ascii="Bookman Old Style" w:eastAsia="Times New Roman" w:hAnsi="Bookman Old Style" w:cs="Times New Roman"/>
          <w:color w:val="000000" w:themeColor="text1"/>
          <w:spacing w:val="4"/>
          <w:sz w:val="24"/>
          <w:szCs w:val="24"/>
        </w:rPr>
      </w:pPr>
      <w:r w:rsidRPr="005B1810">
        <w:rPr>
          <w:rFonts w:ascii="Bookman Old Style" w:eastAsia="Times New Roman" w:hAnsi="Bookman Old Style" w:cs="Times New Roman"/>
          <w:color w:val="000000" w:themeColor="text1"/>
          <w:spacing w:val="4"/>
          <w:sz w:val="24"/>
          <w:szCs w:val="24"/>
        </w:rPr>
        <w:t xml:space="preserve">The Court which is winding up the company shall have jurisdiction to entertain, or dispose of— </w:t>
      </w:r>
    </w:p>
    <w:p w:rsidR="009122C0" w:rsidRPr="005B1810" w:rsidRDefault="009122C0" w:rsidP="004A3009">
      <w:pPr>
        <w:pStyle w:val="ListParagraph"/>
        <w:numPr>
          <w:ilvl w:val="0"/>
          <w:numId w:val="33"/>
        </w:numPr>
        <w:tabs>
          <w:tab w:val="left" w:pos="1350"/>
        </w:tabs>
        <w:spacing w:before="100" w:beforeAutospacing="1" w:after="60" w:line="240" w:lineRule="auto"/>
        <w:ind w:left="1166"/>
        <w:contextualSpacing w:val="0"/>
        <w:jc w:val="both"/>
        <w:rPr>
          <w:rFonts w:ascii="Bookman Old Style" w:eastAsia="Times New Roman" w:hAnsi="Bookman Old Style" w:cs="Times New Roman"/>
          <w:color w:val="000000" w:themeColor="text1"/>
          <w:spacing w:val="4"/>
          <w:sz w:val="24"/>
          <w:szCs w:val="24"/>
        </w:rPr>
      </w:pPr>
      <w:r w:rsidRPr="005B1810">
        <w:rPr>
          <w:rFonts w:ascii="Bookman Old Style" w:eastAsia="Times New Roman" w:hAnsi="Bookman Old Style" w:cs="Times New Roman"/>
          <w:color w:val="000000" w:themeColor="text1"/>
          <w:spacing w:val="4"/>
          <w:sz w:val="24"/>
          <w:szCs w:val="24"/>
        </w:rPr>
        <w:t xml:space="preserve">any suit or proceeding by or against the company; </w:t>
      </w:r>
    </w:p>
    <w:p w:rsidR="009122C0" w:rsidRPr="005B1810" w:rsidRDefault="009122C0" w:rsidP="004A3009">
      <w:pPr>
        <w:pStyle w:val="ListParagraph"/>
        <w:numPr>
          <w:ilvl w:val="0"/>
          <w:numId w:val="33"/>
        </w:numPr>
        <w:tabs>
          <w:tab w:val="left" w:pos="1350"/>
        </w:tabs>
        <w:spacing w:before="100" w:beforeAutospacing="1" w:after="60" w:line="240" w:lineRule="auto"/>
        <w:ind w:left="1166"/>
        <w:contextualSpacing w:val="0"/>
        <w:jc w:val="both"/>
        <w:rPr>
          <w:rFonts w:ascii="Bookman Old Style" w:eastAsia="Times New Roman" w:hAnsi="Bookman Old Style" w:cs="Times New Roman"/>
          <w:color w:val="000000" w:themeColor="text1"/>
          <w:spacing w:val="4"/>
          <w:sz w:val="24"/>
          <w:szCs w:val="24"/>
        </w:rPr>
      </w:pPr>
      <w:r w:rsidRPr="005B1810">
        <w:rPr>
          <w:rFonts w:ascii="Bookman Old Style" w:eastAsia="Times New Roman" w:hAnsi="Bookman Old Style" w:cs="Times New Roman"/>
          <w:color w:val="000000" w:themeColor="text1"/>
          <w:spacing w:val="4"/>
          <w:sz w:val="24"/>
          <w:szCs w:val="24"/>
        </w:rPr>
        <w:t>any claim made or against the company;</w:t>
      </w:r>
    </w:p>
    <w:p w:rsidR="009122C0" w:rsidRPr="005B1810" w:rsidRDefault="009122C0" w:rsidP="004A3009">
      <w:pPr>
        <w:pStyle w:val="ListParagraph"/>
        <w:numPr>
          <w:ilvl w:val="0"/>
          <w:numId w:val="33"/>
        </w:numPr>
        <w:tabs>
          <w:tab w:val="left" w:pos="1350"/>
        </w:tabs>
        <w:spacing w:before="100" w:beforeAutospacing="1" w:after="60" w:line="240" w:lineRule="auto"/>
        <w:ind w:left="1166"/>
        <w:contextualSpacing w:val="0"/>
        <w:jc w:val="both"/>
        <w:rPr>
          <w:rFonts w:ascii="Bookman Old Style" w:eastAsia="Times New Roman" w:hAnsi="Bookman Old Style" w:cs="Times New Roman"/>
          <w:color w:val="000000" w:themeColor="text1"/>
          <w:spacing w:val="4"/>
          <w:sz w:val="24"/>
          <w:szCs w:val="24"/>
        </w:rPr>
      </w:pPr>
      <w:r w:rsidRPr="005B1810">
        <w:rPr>
          <w:rFonts w:ascii="Bookman Old Style" w:eastAsia="Times New Roman" w:hAnsi="Bookman Old Style" w:cs="Times New Roman"/>
          <w:color w:val="000000" w:themeColor="text1"/>
          <w:spacing w:val="4"/>
          <w:sz w:val="24"/>
          <w:szCs w:val="24"/>
        </w:rPr>
        <w:t xml:space="preserve">any application made under section 391 for compromise </w:t>
      </w:r>
      <w:r w:rsidR="005B1810" w:rsidRPr="005B1810">
        <w:rPr>
          <w:rFonts w:ascii="Bookman Old Style" w:eastAsia="Times New Roman" w:hAnsi="Bookman Old Style" w:cs="Times New Roman"/>
          <w:color w:val="000000" w:themeColor="text1"/>
          <w:spacing w:val="4"/>
          <w:sz w:val="24"/>
          <w:szCs w:val="24"/>
        </w:rPr>
        <w:t>or arrangement</w:t>
      </w:r>
      <w:r w:rsidRPr="005B1810">
        <w:rPr>
          <w:rFonts w:ascii="Bookman Old Style" w:eastAsia="Times New Roman" w:hAnsi="Bookman Old Style" w:cs="Times New Roman"/>
          <w:color w:val="000000" w:themeColor="text1"/>
          <w:spacing w:val="4"/>
          <w:sz w:val="24"/>
          <w:szCs w:val="24"/>
        </w:rPr>
        <w:t xml:space="preserve">; </w:t>
      </w:r>
    </w:p>
    <w:p w:rsidR="009122C0" w:rsidRPr="005B1810" w:rsidRDefault="009122C0" w:rsidP="004A3009">
      <w:pPr>
        <w:pStyle w:val="ListParagraph"/>
        <w:numPr>
          <w:ilvl w:val="0"/>
          <w:numId w:val="33"/>
        </w:numPr>
        <w:tabs>
          <w:tab w:val="left" w:pos="1350"/>
        </w:tabs>
        <w:spacing w:before="100" w:beforeAutospacing="1" w:after="60" w:line="240" w:lineRule="auto"/>
        <w:ind w:left="1166"/>
        <w:contextualSpacing w:val="0"/>
        <w:jc w:val="both"/>
        <w:rPr>
          <w:rFonts w:ascii="Bookman Old Style" w:eastAsia="Times New Roman" w:hAnsi="Bookman Old Style" w:cs="Times New Roman"/>
          <w:color w:val="000000" w:themeColor="text1"/>
          <w:spacing w:val="4"/>
          <w:sz w:val="24"/>
          <w:szCs w:val="24"/>
        </w:rPr>
      </w:pPr>
      <w:r w:rsidRPr="005B1810">
        <w:rPr>
          <w:rFonts w:ascii="Bookman Old Style" w:eastAsia="Times New Roman" w:hAnsi="Bookman Old Style" w:cs="Times New Roman"/>
          <w:color w:val="000000" w:themeColor="text1"/>
          <w:spacing w:val="4"/>
          <w:sz w:val="24"/>
          <w:szCs w:val="24"/>
        </w:rPr>
        <w:t xml:space="preserve">any question of priorities or any other question whatsoever, whether of law or fact, which may relate to or arise in course of the winding up of the company. </w:t>
      </w:r>
    </w:p>
    <w:p w:rsidR="005B1810" w:rsidRPr="009122C0" w:rsidRDefault="005B1810" w:rsidP="005B1810">
      <w:pPr>
        <w:spacing w:before="100" w:beforeAutospacing="1" w:after="100" w:afterAutospacing="1" w:line="240" w:lineRule="auto"/>
        <w:contextualSpacing/>
        <w:jc w:val="both"/>
        <w:rPr>
          <w:rFonts w:ascii="Bookman Old Style" w:eastAsia="Times New Roman" w:hAnsi="Bookman Old Style" w:cs="Times New Roman"/>
          <w:color w:val="000000" w:themeColor="text1"/>
          <w:spacing w:val="4"/>
          <w:sz w:val="6"/>
          <w:szCs w:val="24"/>
        </w:rPr>
      </w:pPr>
    </w:p>
    <w:p w:rsidR="005B1810" w:rsidRDefault="009122C0" w:rsidP="005B1810">
      <w:pPr>
        <w:spacing w:before="100" w:beforeAutospacing="1" w:after="120" w:line="240" w:lineRule="auto"/>
        <w:ind w:left="360"/>
        <w:jc w:val="both"/>
        <w:rPr>
          <w:rFonts w:ascii="Bookman Old Style" w:eastAsia="Times New Roman" w:hAnsi="Bookman Old Style" w:cs="Times New Roman"/>
          <w:b/>
          <w:color w:val="000000" w:themeColor="text1"/>
          <w:spacing w:val="4"/>
          <w:sz w:val="28"/>
          <w:szCs w:val="24"/>
          <w:u w:val="single"/>
        </w:rPr>
      </w:pPr>
      <w:r w:rsidRPr="009122C0">
        <w:rPr>
          <w:rFonts w:ascii="Bookman Old Style" w:eastAsia="Times New Roman" w:hAnsi="Bookman Old Style" w:cs="Times New Roman"/>
          <w:b/>
          <w:color w:val="000000" w:themeColor="text1"/>
          <w:spacing w:val="4"/>
          <w:sz w:val="28"/>
          <w:szCs w:val="24"/>
          <w:u w:val="single"/>
        </w:rPr>
        <w:t xml:space="preserve">6. Effect of winding up order: </w:t>
      </w:r>
    </w:p>
    <w:p w:rsidR="009122C0" w:rsidRPr="009122C0" w:rsidRDefault="009122C0" w:rsidP="004A3009">
      <w:pPr>
        <w:pStyle w:val="ListParagraph"/>
        <w:numPr>
          <w:ilvl w:val="0"/>
          <w:numId w:val="32"/>
        </w:numPr>
        <w:spacing w:before="100" w:beforeAutospacing="1" w:after="120" w:line="240" w:lineRule="auto"/>
        <w:jc w:val="both"/>
        <w:rPr>
          <w:rFonts w:ascii="Bookman Old Style" w:eastAsia="Times New Roman" w:hAnsi="Bookman Old Style" w:cs="Times New Roman"/>
          <w:color w:val="000000" w:themeColor="text1"/>
          <w:spacing w:val="4"/>
          <w:sz w:val="24"/>
          <w:szCs w:val="24"/>
        </w:rPr>
      </w:pPr>
      <w:r w:rsidRPr="009122C0">
        <w:rPr>
          <w:rFonts w:ascii="Bookman Old Style" w:eastAsia="Times New Roman" w:hAnsi="Bookman Old Style" w:cs="Times New Roman"/>
          <w:color w:val="000000" w:themeColor="text1"/>
          <w:spacing w:val="4"/>
          <w:sz w:val="24"/>
          <w:szCs w:val="24"/>
        </w:rPr>
        <w:t xml:space="preserve">An order for winding up a company shall operate in favour of all the creditors and of all the contributories of the company as if it had been made on their joint petition. </w:t>
      </w:r>
    </w:p>
    <w:p w:rsidR="000167BB" w:rsidRDefault="000167BB" w:rsidP="000167BB">
      <w:pPr>
        <w:pStyle w:val="HANG"/>
        <w:tabs>
          <w:tab w:val="left" w:pos="180"/>
        </w:tabs>
        <w:spacing w:line="276" w:lineRule="auto"/>
        <w:contextualSpacing/>
        <w:rPr>
          <w:rFonts w:ascii="Copperplate Gothic Bold" w:hAnsi="Copperplate Gothic Bold"/>
          <w:b/>
          <w:color w:val="000000" w:themeColor="text1"/>
          <w:sz w:val="32"/>
          <w:u w:val="single"/>
        </w:rPr>
      </w:pPr>
    </w:p>
    <w:p w:rsidR="004F4DD9" w:rsidRDefault="004F0BDE" w:rsidP="004F0BDE">
      <w:pPr>
        <w:pStyle w:val="HANG"/>
        <w:spacing w:line="240" w:lineRule="auto"/>
        <w:ind w:left="0" w:firstLine="0"/>
        <w:contextualSpacing/>
        <w:rPr>
          <w:rFonts w:ascii="Copperplate Gothic Bold" w:hAnsi="Copperplate Gothic Bold"/>
          <w:b/>
          <w:color w:val="000000" w:themeColor="text1"/>
          <w:sz w:val="32"/>
          <w:u w:val="single"/>
        </w:rPr>
      </w:pPr>
      <w:r w:rsidRPr="004F0BDE">
        <w:rPr>
          <w:rFonts w:ascii="Copperplate Gothic Bold" w:hAnsi="Copperplate Gothic Bold"/>
          <w:b/>
          <w:color w:val="000000" w:themeColor="text1"/>
          <w:sz w:val="32"/>
          <w:u w:val="single"/>
        </w:rPr>
        <w:t>Statement of Affairs to be made available to the Official</w:t>
      </w:r>
      <w:r>
        <w:rPr>
          <w:rFonts w:ascii="Copperplate Gothic Bold" w:hAnsi="Copperplate Gothic Bold"/>
          <w:b/>
          <w:color w:val="000000" w:themeColor="text1"/>
          <w:sz w:val="32"/>
          <w:u w:val="single"/>
        </w:rPr>
        <w:t xml:space="preserve"> </w:t>
      </w:r>
      <w:r w:rsidRPr="004F0BDE">
        <w:rPr>
          <w:rFonts w:ascii="Copperplate Gothic Bold" w:hAnsi="Copperplate Gothic Bold"/>
          <w:b/>
          <w:color w:val="000000" w:themeColor="text1"/>
          <w:sz w:val="32"/>
          <w:u w:val="single"/>
        </w:rPr>
        <w:t>Liquidator</w:t>
      </w:r>
    </w:p>
    <w:p w:rsidR="00F0352A" w:rsidRPr="004F0BDE" w:rsidRDefault="004F0BDE" w:rsidP="004F0BDE">
      <w:pPr>
        <w:pStyle w:val="HANG"/>
        <w:spacing w:line="240" w:lineRule="auto"/>
        <w:ind w:left="0" w:firstLine="0"/>
        <w:contextualSpacing/>
        <w:rPr>
          <w:rFonts w:ascii="Bookman Old Style" w:hAnsi="Bookman Old Style"/>
          <w:color w:val="000000" w:themeColor="text1"/>
          <w:sz w:val="24"/>
        </w:rPr>
      </w:pPr>
      <w:r>
        <w:rPr>
          <w:rFonts w:ascii="Copperplate Gothic Bold" w:hAnsi="Copperplate Gothic Bold"/>
          <w:color w:val="000000" w:themeColor="text1"/>
          <w:sz w:val="32"/>
        </w:rPr>
        <w:t xml:space="preserve"> </w:t>
      </w:r>
    </w:p>
    <w:p w:rsidR="00F0352A" w:rsidRDefault="004F0BDE"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Where the Court has made the order or appointed the official Liquidator</w:t>
      </w:r>
      <w:r w:rsidR="00230D46">
        <w:rPr>
          <w:rFonts w:ascii="Bookman Old Style" w:hAnsi="Bookman Old Style"/>
          <w:color w:val="000000" w:themeColor="text1"/>
          <w:sz w:val="24"/>
        </w:rPr>
        <w:t xml:space="preserve"> as a provisional liquidator</w:t>
      </w:r>
      <w:r>
        <w:rPr>
          <w:rFonts w:ascii="Bookman Old Style" w:hAnsi="Bookman Old Style"/>
          <w:color w:val="000000" w:themeColor="text1"/>
          <w:sz w:val="24"/>
        </w:rPr>
        <w:t>,</w:t>
      </w:r>
    </w:p>
    <w:p w:rsidR="004F0BDE" w:rsidRPr="00757524" w:rsidRDefault="00757524" w:rsidP="004A3009">
      <w:pPr>
        <w:pStyle w:val="HANG"/>
        <w:numPr>
          <w:ilvl w:val="0"/>
          <w:numId w:val="35"/>
        </w:numPr>
        <w:tabs>
          <w:tab w:val="left" w:pos="360"/>
        </w:tabs>
        <w:spacing w:line="240" w:lineRule="auto"/>
        <w:rPr>
          <w:rFonts w:ascii="Bookman Old Style" w:hAnsi="Bookman Old Style"/>
          <w:color w:val="000000" w:themeColor="text1"/>
          <w:sz w:val="24"/>
        </w:rPr>
      </w:pPr>
      <w:r w:rsidRPr="00757524">
        <w:rPr>
          <w:rFonts w:ascii="Bookman Old Style" w:hAnsi="Bookman Old Style"/>
          <w:color w:val="000000" w:themeColor="text1"/>
          <w:sz w:val="24"/>
        </w:rPr>
        <w:t>The Directors, Secretary, Manager or Chief Officer of the Company shall make out and submit to the Official Liquidator</w:t>
      </w:r>
    </w:p>
    <w:p w:rsidR="00757524" w:rsidRPr="00757524" w:rsidRDefault="00757524" w:rsidP="004A3009">
      <w:pPr>
        <w:pStyle w:val="HANG"/>
        <w:numPr>
          <w:ilvl w:val="0"/>
          <w:numId w:val="35"/>
        </w:numPr>
        <w:tabs>
          <w:tab w:val="left" w:pos="360"/>
        </w:tabs>
        <w:spacing w:line="240" w:lineRule="auto"/>
        <w:contextualSpacing/>
        <w:rPr>
          <w:rFonts w:ascii="Bookman Old Style" w:hAnsi="Bookman Old Style"/>
          <w:color w:val="000000" w:themeColor="text1"/>
          <w:sz w:val="24"/>
        </w:rPr>
      </w:pPr>
      <w:r w:rsidRPr="00757524">
        <w:rPr>
          <w:rFonts w:ascii="Bookman Old Style" w:hAnsi="Bookman Old Style"/>
          <w:color w:val="000000" w:themeColor="text1"/>
          <w:sz w:val="24"/>
        </w:rPr>
        <w:t>A Statement of Affairs in the prescribed form, verified by an Affidavit.</w:t>
      </w:r>
    </w:p>
    <w:p w:rsidR="00757524" w:rsidRDefault="00757524" w:rsidP="00757524">
      <w:pPr>
        <w:pStyle w:val="HANG"/>
        <w:spacing w:line="240" w:lineRule="auto"/>
        <w:ind w:left="1440" w:firstLine="0"/>
        <w:contextualSpacing/>
        <w:rPr>
          <w:rFonts w:ascii="Bookman Old Style" w:hAnsi="Bookman Old Style"/>
          <w:color w:val="000000" w:themeColor="text1"/>
          <w:sz w:val="24"/>
        </w:rPr>
      </w:pPr>
    </w:p>
    <w:p w:rsidR="00757524" w:rsidRDefault="00757524"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The Statement should contain the following particulars:</w:t>
      </w:r>
    </w:p>
    <w:p w:rsidR="00757524" w:rsidRPr="00757524" w:rsidRDefault="00757524" w:rsidP="00230D46">
      <w:pPr>
        <w:pStyle w:val="HANG"/>
        <w:numPr>
          <w:ilvl w:val="0"/>
          <w:numId w:val="36"/>
        </w:numPr>
        <w:tabs>
          <w:tab w:val="left" w:pos="360"/>
        </w:tabs>
        <w:spacing w:after="40" w:line="240" w:lineRule="auto"/>
        <w:rPr>
          <w:rFonts w:ascii="Bookman Old Style" w:hAnsi="Bookman Old Style"/>
          <w:color w:val="000000" w:themeColor="text1"/>
          <w:sz w:val="24"/>
        </w:rPr>
      </w:pPr>
      <w:r w:rsidRPr="00757524">
        <w:rPr>
          <w:rFonts w:ascii="Bookman Old Style" w:hAnsi="Bookman Old Style"/>
          <w:color w:val="000000" w:themeColor="text1"/>
          <w:sz w:val="24"/>
        </w:rPr>
        <w:t>Assets of the Company stating separately balance in hand and at bank and negotiable securities, if any.</w:t>
      </w:r>
    </w:p>
    <w:p w:rsidR="00757524" w:rsidRPr="00757524" w:rsidRDefault="00757524" w:rsidP="00230D46">
      <w:pPr>
        <w:pStyle w:val="HANG"/>
        <w:numPr>
          <w:ilvl w:val="0"/>
          <w:numId w:val="36"/>
        </w:numPr>
        <w:tabs>
          <w:tab w:val="left" w:pos="360"/>
        </w:tabs>
        <w:spacing w:after="40" w:line="240" w:lineRule="auto"/>
        <w:rPr>
          <w:rFonts w:ascii="Bookman Old Style" w:hAnsi="Bookman Old Style"/>
          <w:color w:val="000000" w:themeColor="text1"/>
          <w:sz w:val="24"/>
        </w:rPr>
      </w:pPr>
      <w:r w:rsidRPr="00757524">
        <w:rPr>
          <w:rFonts w:ascii="Bookman Old Style" w:hAnsi="Bookman Old Style"/>
          <w:color w:val="000000" w:themeColor="text1"/>
          <w:sz w:val="24"/>
        </w:rPr>
        <w:t>Debts and Liabilities</w:t>
      </w:r>
    </w:p>
    <w:p w:rsidR="00757524" w:rsidRPr="00757524" w:rsidRDefault="00757524" w:rsidP="00230D46">
      <w:pPr>
        <w:pStyle w:val="HANG"/>
        <w:numPr>
          <w:ilvl w:val="0"/>
          <w:numId w:val="36"/>
        </w:numPr>
        <w:tabs>
          <w:tab w:val="left" w:pos="360"/>
        </w:tabs>
        <w:spacing w:after="40" w:line="240" w:lineRule="auto"/>
        <w:rPr>
          <w:rFonts w:ascii="Bookman Old Style" w:hAnsi="Bookman Old Style"/>
          <w:color w:val="000000" w:themeColor="text1"/>
          <w:sz w:val="24"/>
        </w:rPr>
      </w:pPr>
      <w:r w:rsidRPr="00757524">
        <w:rPr>
          <w:rFonts w:ascii="Bookman Old Style" w:hAnsi="Bookman Old Style"/>
          <w:color w:val="000000" w:themeColor="text1"/>
          <w:sz w:val="24"/>
        </w:rPr>
        <w:t>Names, Residencies &amp; Occupation of its Creditors, stating separately the amount of secured and unsecured debts and in case of secured debts, their values and dates</w:t>
      </w:r>
    </w:p>
    <w:p w:rsidR="00757524" w:rsidRPr="00757524" w:rsidRDefault="00757524" w:rsidP="00230D46">
      <w:pPr>
        <w:pStyle w:val="HANG"/>
        <w:numPr>
          <w:ilvl w:val="0"/>
          <w:numId w:val="36"/>
        </w:numPr>
        <w:tabs>
          <w:tab w:val="left" w:pos="360"/>
        </w:tabs>
        <w:spacing w:after="40" w:line="240" w:lineRule="auto"/>
        <w:rPr>
          <w:rFonts w:ascii="Bookman Old Style" w:hAnsi="Bookman Old Style"/>
          <w:color w:val="000000" w:themeColor="text1"/>
          <w:sz w:val="24"/>
        </w:rPr>
      </w:pPr>
      <w:r w:rsidRPr="00757524">
        <w:rPr>
          <w:rFonts w:ascii="Bookman Old Style" w:hAnsi="Bookman Old Style"/>
          <w:color w:val="000000" w:themeColor="text1"/>
          <w:sz w:val="24"/>
        </w:rPr>
        <w:t>Debts due to the Company and names &amp; addresses of the Debtors and the amount likely to be realized thereupon.</w:t>
      </w:r>
    </w:p>
    <w:p w:rsidR="00757524" w:rsidRPr="00757524" w:rsidRDefault="00757524" w:rsidP="00757524">
      <w:pPr>
        <w:pStyle w:val="HANG"/>
        <w:tabs>
          <w:tab w:val="left" w:pos="360"/>
        </w:tabs>
        <w:spacing w:line="240" w:lineRule="auto"/>
        <w:contextualSpacing/>
        <w:rPr>
          <w:rFonts w:ascii="Bookman Old Style" w:hAnsi="Bookman Old Style"/>
          <w:color w:val="000000" w:themeColor="text1"/>
          <w:sz w:val="24"/>
        </w:rPr>
      </w:pPr>
    </w:p>
    <w:p w:rsidR="00757524" w:rsidRPr="00757524" w:rsidRDefault="00757524"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sidRPr="00757524">
        <w:rPr>
          <w:rFonts w:ascii="Bookman Old Style" w:hAnsi="Bookman Old Style"/>
          <w:color w:val="000000" w:themeColor="text1"/>
          <w:sz w:val="24"/>
        </w:rPr>
        <w:lastRenderedPageBreak/>
        <w:t>Statement has to be submitted within 21 days from the date of appointment of provisional liquidator and in case where no such appointment made, from the date of winding up order.</w:t>
      </w:r>
    </w:p>
    <w:p w:rsidR="00757524" w:rsidRDefault="00757524"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sidRPr="00757524">
        <w:rPr>
          <w:rFonts w:ascii="Bookman Old Style" w:hAnsi="Bookman Old Style"/>
          <w:color w:val="000000" w:themeColor="text1"/>
          <w:sz w:val="24"/>
        </w:rPr>
        <w:t>However, the Official Liquidator or the Court for special reasons, may extend the time upto 3 months.</w:t>
      </w:r>
    </w:p>
    <w:p w:rsidR="00757524" w:rsidRDefault="00757524"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Any person without reasonable excuse makes default in complying with this section, he is liable to be punished with:</w:t>
      </w:r>
    </w:p>
    <w:p w:rsidR="00757524" w:rsidRPr="00757524" w:rsidRDefault="00757524" w:rsidP="004A3009">
      <w:pPr>
        <w:pStyle w:val="HANG"/>
        <w:numPr>
          <w:ilvl w:val="0"/>
          <w:numId w:val="37"/>
        </w:numPr>
        <w:tabs>
          <w:tab w:val="left" w:pos="360"/>
        </w:tabs>
        <w:spacing w:line="240" w:lineRule="auto"/>
        <w:rPr>
          <w:rFonts w:ascii="Bookman Old Style" w:hAnsi="Bookman Old Style"/>
          <w:i/>
          <w:color w:val="000000" w:themeColor="text1"/>
          <w:sz w:val="24"/>
        </w:rPr>
      </w:pPr>
      <w:r w:rsidRPr="00757524">
        <w:rPr>
          <w:rFonts w:ascii="Bookman Old Style" w:hAnsi="Bookman Old Style"/>
          <w:i/>
          <w:color w:val="000000" w:themeColor="text1"/>
          <w:sz w:val="24"/>
        </w:rPr>
        <w:t>Imprisonment extending to 2 Years; or</w:t>
      </w:r>
    </w:p>
    <w:p w:rsidR="00757524" w:rsidRDefault="00757524" w:rsidP="004A3009">
      <w:pPr>
        <w:pStyle w:val="HANG"/>
        <w:numPr>
          <w:ilvl w:val="0"/>
          <w:numId w:val="37"/>
        </w:numPr>
        <w:tabs>
          <w:tab w:val="left" w:pos="360"/>
        </w:tabs>
        <w:spacing w:line="240" w:lineRule="auto"/>
        <w:rPr>
          <w:rFonts w:ascii="Bookman Old Style" w:hAnsi="Bookman Old Style"/>
          <w:i/>
          <w:color w:val="000000" w:themeColor="text1"/>
          <w:sz w:val="24"/>
        </w:rPr>
      </w:pPr>
      <w:r w:rsidRPr="00757524">
        <w:rPr>
          <w:rFonts w:ascii="Bookman Old Style" w:hAnsi="Bookman Old Style"/>
          <w:i/>
          <w:color w:val="000000" w:themeColor="text1"/>
          <w:sz w:val="24"/>
        </w:rPr>
        <w:t>Fine not exceeding Rs.1000 every day</w:t>
      </w:r>
    </w:p>
    <w:p w:rsidR="00757524" w:rsidRPr="00757524" w:rsidRDefault="00757524" w:rsidP="004A3009">
      <w:pPr>
        <w:pStyle w:val="HANG"/>
        <w:numPr>
          <w:ilvl w:val="0"/>
          <w:numId w:val="38"/>
        </w:numPr>
        <w:tabs>
          <w:tab w:val="left" w:pos="360"/>
        </w:tabs>
        <w:spacing w:line="240" w:lineRule="auto"/>
        <w:ind w:left="720"/>
        <w:rPr>
          <w:rFonts w:ascii="Bookman Old Style" w:hAnsi="Bookman Old Style"/>
          <w:i/>
          <w:color w:val="000000" w:themeColor="text1"/>
          <w:sz w:val="24"/>
        </w:rPr>
      </w:pPr>
      <w:r>
        <w:rPr>
          <w:rFonts w:ascii="Bookman Old Style" w:hAnsi="Bookman Old Style"/>
          <w:color w:val="000000" w:themeColor="text1"/>
          <w:sz w:val="24"/>
        </w:rPr>
        <w:t xml:space="preserve">If the </w:t>
      </w:r>
      <w:r w:rsidR="0016191C">
        <w:rPr>
          <w:rFonts w:ascii="Bookman Old Style" w:hAnsi="Bookman Old Style"/>
          <w:color w:val="000000" w:themeColor="text1"/>
          <w:sz w:val="24"/>
        </w:rPr>
        <w:t>Directors &amp;</w:t>
      </w:r>
      <w:r>
        <w:rPr>
          <w:rFonts w:ascii="Bookman Old Style" w:hAnsi="Bookman Old Style"/>
          <w:color w:val="000000" w:themeColor="text1"/>
          <w:sz w:val="24"/>
        </w:rPr>
        <w:t xml:space="preserve"> Officers commit default, without reasonable excuse, then they are criminally liable to severe punishment.</w:t>
      </w:r>
    </w:p>
    <w:p w:rsidR="00757524" w:rsidRDefault="00757524" w:rsidP="00757524">
      <w:pPr>
        <w:pStyle w:val="HANG"/>
        <w:tabs>
          <w:tab w:val="left" w:pos="360"/>
        </w:tabs>
        <w:spacing w:line="240" w:lineRule="auto"/>
        <w:rPr>
          <w:rFonts w:ascii="Bookman Old Style" w:hAnsi="Bookman Old Style"/>
          <w:color w:val="000000" w:themeColor="text1"/>
          <w:sz w:val="24"/>
        </w:rPr>
      </w:pPr>
    </w:p>
    <w:p w:rsidR="00757524" w:rsidRDefault="00C827D3" w:rsidP="00C827D3">
      <w:pPr>
        <w:pStyle w:val="HANG"/>
        <w:spacing w:line="240" w:lineRule="auto"/>
        <w:ind w:left="0" w:firstLine="0"/>
        <w:contextualSpacing/>
        <w:rPr>
          <w:rFonts w:ascii="Copperplate Gothic Bold" w:hAnsi="Copperplate Gothic Bold"/>
          <w:b/>
          <w:color w:val="000000" w:themeColor="text1"/>
          <w:sz w:val="32"/>
          <w:u w:val="single"/>
        </w:rPr>
      </w:pPr>
      <w:r w:rsidRPr="00C827D3">
        <w:rPr>
          <w:rFonts w:ascii="Copperplate Gothic Bold" w:hAnsi="Copperplate Gothic Bold"/>
          <w:b/>
          <w:color w:val="000000" w:themeColor="text1"/>
          <w:sz w:val="32"/>
          <w:u w:val="single"/>
        </w:rPr>
        <w:t>Preliminary Report  by the Official Liquidator</w:t>
      </w:r>
    </w:p>
    <w:p w:rsidR="00AE70C9" w:rsidRDefault="00AE70C9" w:rsidP="00C827D3">
      <w:pPr>
        <w:pStyle w:val="HANG"/>
        <w:spacing w:line="240" w:lineRule="auto"/>
        <w:ind w:left="0" w:firstLine="0"/>
        <w:contextualSpacing/>
        <w:rPr>
          <w:rFonts w:ascii="Copperplate Gothic Bold" w:hAnsi="Copperplate Gothic Bold"/>
          <w:b/>
          <w:color w:val="000000" w:themeColor="text1"/>
          <w:sz w:val="32"/>
          <w:u w:val="single"/>
        </w:rPr>
      </w:pPr>
    </w:p>
    <w:p w:rsidR="00C827D3" w:rsidRPr="00C827D3" w:rsidRDefault="00C827D3"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sidRPr="00C827D3">
        <w:rPr>
          <w:rFonts w:ascii="Bookman Old Style" w:hAnsi="Bookman Old Style"/>
          <w:color w:val="000000" w:themeColor="text1"/>
          <w:sz w:val="24"/>
        </w:rPr>
        <w:t xml:space="preserve">The official liquidator shall within six months, from the date of winding up order, submit a preliminary report to the court </w:t>
      </w:r>
      <w:r w:rsidR="00AE70C9" w:rsidRPr="00C827D3">
        <w:rPr>
          <w:rFonts w:ascii="Bookman Old Style" w:hAnsi="Bookman Old Style"/>
          <w:color w:val="000000" w:themeColor="text1"/>
          <w:sz w:val="24"/>
        </w:rPr>
        <w:t>regarding:</w:t>
      </w:r>
      <w:r w:rsidRPr="00C827D3">
        <w:rPr>
          <w:rFonts w:ascii="Bookman Old Style" w:hAnsi="Bookman Old Style"/>
          <w:color w:val="000000" w:themeColor="text1"/>
          <w:sz w:val="24"/>
        </w:rPr>
        <w:t xml:space="preserve"> </w:t>
      </w:r>
    </w:p>
    <w:p w:rsidR="00AE70C9"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Report shall contain the following particulars:</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 xml:space="preserve">Estimated amount of Assets giving separately the particulars of – </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Cash &amp; Negotiable Securities</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Debts due from Contributories</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Debts due to the Company &amp; Securities available</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Movable and Immovable properties of the Company</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Unpaid Calls</w:t>
      </w:r>
    </w:p>
    <w:p w:rsidR="00AE70C9"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Amount of Issued, Subscribed &amp; Paid-Up Capital</w:t>
      </w:r>
    </w:p>
    <w:p w:rsidR="00C827D3"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 xml:space="preserve">Estimated amount of </w:t>
      </w:r>
      <w:r w:rsidR="00C827D3" w:rsidRPr="00AE70C9">
        <w:rPr>
          <w:rFonts w:ascii="Bookman Old Style" w:eastAsia="Times New Roman" w:hAnsi="Bookman Old Style" w:cs="Times New Roman"/>
          <w:color w:val="000000" w:themeColor="text1"/>
          <w:spacing w:val="4"/>
          <w:sz w:val="24"/>
          <w:szCs w:val="24"/>
        </w:rPr>
        <w:t xml:space="preserve">Liabilities </w:t>
      </w:r>
    </w:p>
    <w:p w:rsidR="00C827D3" w:rsidRPr="00AE70C9" w:rsidRDefault="00C827D3"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 xml:space="preserve">Movable and immovable properties </w:t>
      </w:r>
    </w:p>
    <w:p w:rsidR="00C827D3" w:rsidRPr="00AE70C9" w:rsidRDefault="00AE70C9" w:rsidP="004A3009">
      <w:pPr>
        <w:pStyle w:val="ListParagraph"/>
        <w:numPr>
          <w:ilvl w:val="0"/>
          <w:numId w:val="39"/>
        </w:numPr>
        <w:tabs>
          <w:tab w:val="left" w:pos="1620"/>
          <w:tab w:val="left" w:pos="15300"/>
        </w:tabs>
        <w:spacing w:before="100" w:beforeAutospacing="1" w:after="60" w:line="240" w:lineRule="auto"/>
        <w:ind w:left="1526" w:right="446" w:hanging="446"/>
        <w:contextualSpacing w:val="0"/>
        <w:jc w:val="both"/>
        <w:rPr>
          <w:rFonts w:ascii="Bookman Old Style" w:eastAsia="Times New Roman" w:hAnsi="Bookman Old Style" w:cs="Times New Roman"/>
          <w:color w:val="000000" w:themeColor="text1"/>
          <w:spacing w:val="4"/>
          <w:sz w:val="24"/>
          <w:szCs w:val="24"/>
        </w:rPr>
      </w:pPr>
      <w:r w:rsidRPr="00AE70C9">
        <w:rPr>
          <w:rFonts w:ascii="Bookman Old Style" w:eastAsia="Times New Roman" w:hAnsi="Bookman Old Style" w:cs="Times New Roman"/>
          <w:color w:val="000000" w:themeColor="text1"/>
          <w:spacing w:val="4"/>
          <w:sz w:val="24"/>
          <w:szCs w:val="24"/>
        </w:rPr>
        <w:t xml:space="preserve">Whether in his opinion </w:t>
      </w:r>
      <w:r w:rsidR="00C827D3" w:rsidRPr="00AE70C9">
        <w:rPr>
          <w:rFonts w:ascii="Bookman Old Style" w:eastAsia="Times New Roman" w:hAnsi="Bookman Old Style" w:cs="Times New Roman"/>
          <w:color w:val="000000" w:themeColor="text1"/>
          <w:spacing w:val="4"/>
          <w:sz w:val="24"/>
          <w:szCs w:val="24"/>
        </w:rPr>
        <w:t>further in</w:t>
      </w:r>
      <w:r w:rsidRPr="00AE70C9">
        <w:rPr>
          <w:rFonts w:ascii="Bookman Old Style" w:eastAsia="Times New Roman" w:hAnsi="Bookman Old Style" w:cs="Times New Roman"/>
          <w:color w:val="000000" w:themeColor="text1"/>
          <w:spacing w:val="4"/>
          <w:sz w:val="24"/>
          <w:szCs w:val="24"/>
        </w:rPr>
        <w:t>quiry is required or not</w:t>
      </w:r>
    </w:p>
    <w:p w:rsidR="00AE70C9" w:rsidRDefault="00AE70C9" w:rsidP="00AE70C9">
      <w:pPr>
        <w:tabs>
          <w:tab w:val="left" w:pos="15300"/>
        </w:tabs>
        <w:spacing w:before="100" w:beforeAutospacing="1" w:after="60" w:line="240" w:lineRule="auto"/>
        <w:ind w:left="432" w:right="446" w:firstLine="14"/>
        <w:contextualSpacing/>
        <w:jc w:val="both"/>
        <w:rPr>
          <w:rFonts w:ascii="Bookman Old Style" w:eastAsia="Times New Roman" w:hAnsi="Bookman Old Style" w:cs="Times New Roman"/>
          <w:color w:val="000000" w:themeColor="text1"/>
          <w:spacing w:val="4"/>
          <w:sz w:val="16"/>
          <w:szCs w:val="24"/>
        </w:rPr>
      </w:pPr>
    </w:p>
    <w:p w:rsidR="00AE70C9" w:rsidRDefault="00AE70C9" w:rsidP="00AE70C9">
      <w:pPr>
        <w:pStyle w:val="HANG"/>
        <w:spacing w:line="240" w:lineRule="auto"/>
        <w:ind w:left="0" w:firstLine="0"/>
        <w:contextualSpacing/>
        <w:rPr>
          <w:rFonts w:ascii="Copperplate Gothic Bold" w:hAnsi="Copperplate Gothic Bold"/>
          <w:b/>
          <w:color w:val="000000" w:themeColor="text1"/>
          <w:sz w:val="32"/>
          <w:u w:val="single"/>
        </w:rPr>
      </w:pPr>
      <w:r>
        <w:rPr>
          <w:rFonts w:ascii="Copperplate Gothic Bold" w:hAnsi="Copperplate Gothic Bold"/>
          <w:b/>
          <w:color w:val="000000" w:themeColor="text1"/>
          <w:sz w:val="32"/>
          <w:u w:val="single"/>
        </w:rPr>
        <w:t xml:space="preserve">Further </w:t>
      </w:r>
      <w:r w:rsidRPr="00C827D3">
        <w:rPr>
          <w:rFonts w:ascii="Copperplate Gothic Bold" w:hAnsi="Copperplate Gothic Bold"/>
          <w:b/>
          <w:color w:val="000000" w:themeColor="text1"/>
          <w:sz w:val="32"/>
          <w:u w:val="single"/>
        </w:rPr>
        <w:t>Report  by the Official Liquidator</w:t>
      </w:r>
    </w:p>
    <w:p w:rsidR="00C827D3" w:rsidRPr="00C827D3" w:rsidRDefault="00C827D3" w:rsidP="00C827D3">
      <w:pPr>
        <w:pStyle w:val="HANG"/>
        <w:spacing w:line="240" w:lineRule="auto"/>
        <w:ind w:left="0" w:firstLine="0"/>
        <w:contextualSpacing/>
        <w:rPr>
          <w:rFonts w:ascii="Copperplate Gothic Bold" w:hAnsi="Copperplate Gothic Bold"/>
          <w:b/>
          <w:color w:val="000000" w:themeColor="text1"/>
          <w:sz w:val="32"/>
          <w:u w:val="single"/>
        </w:rPr>
      </w:pPr>
    </w:p>
    <w:p w:rsidR="00757524"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Official Liquidator may make a further report to the Court. However, further report is discretionary.</w:t>
      </w:r>
    </w:p>
    <w:p w:rsidR="00AE70C9"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Contents of the Report:</w:t>
      </w:r>
    </w:p>
    <w:p w:rsidR="00AE70C9" w:rsidRDefault="00AE70C9" w:rsidP="004A3009">
      <w:pPr>
        <w:pStyle w:val="HANG"/>
        <w:numPr>
          <w:ilvl w:val="0"/>
          <w:numId w:val="40"/>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Particulars regarding Promotion &amp; Formation of the Company</w:t>
      </w:r>
    </w:p>
    <w:p w:rsidR="00AE70C9" w:rsidRDefault="00AE70C9" w:rsidP="004A3009">
      <w:pPr>
        <w:pStyle w:val="HANG"/>
        <w:numPr>
          <w:ilvl w:val="0"/>
          <w:numId w:val="40"/>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Whether in his opinion any fraud has been committed by</w:t>
      </w:r>
    </w:p>
    <w:p w:rsidR="00AE70C9" w:rsidRDefault="00AE70C9" w:rsidP="004A3009">
      <w:pPr>
        <w:pStyle w:val="HANG"/>
        <w:numPr>
          <w:ilvl w:val="1"/>
          <w:numId w:val="41"/>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Any person in Promotion &amp; Formation</w:t>
      </w:r>
    </w:p>
    <w:p w:rsidR="00AE70C9" w:rsidRDefault="00AE70C9" w:rsidP="004A3009">
      <w:pPr>
        <w:pStyle w:val="HANG"/>
        <w:numPr>
          <w:ilvl w:val="1"/>
          <w:numId w:val="41"/>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Any Officer since its Formation</w:t>
      </w:r>
    </w:p>
    <w:p w:rsidR="00AE70C9" w:rsidRDefault="00AE70C9" w:rsidP="004A3009">
      <w:pPr>
        <w:pStyle w:val="HANG"/>
        <w:numPr>
          <w:ilvl w:val="0"/>
          <w:numId w:val="42"/>
        </w:numPr>
        <w:tabs>
          <w:tab w:val="left" w:pos="360"/>
        </w:tabs>
        <w:spacing w:line="240" w:lineRule="auto"/>
        <w:ind w:left="720"/>
        <w:rPr>
          <w:rFonts w:ascii="Bookman Old Style" w:hAnsi="Bookman Old Style"/>
          <w:color w:val="000000" w:themeColor="text1"/>
          <w:sz w:val="24"/>
        </w:rPr>
      </w:pPr>
      <w:r w:rsidRPr="00AE70C9">
        <w:rPr>
          <w:rFonts w:ascii="Bookman Old Style" w:hAnsi="Bookman Old Style"/>
          <w:b/>
          <w:color w:val="000000" w:themeColor="text1"/>
          <w:sz w:val="24"/>
          <w:u w:val="single"/>
        </w:rPr>
        <w:lastRenderedPageBreak/>
        <w:t>Public Examination</w:t>
      </w:r>
      <w:r>
        <w:rPr>
          <w:rFonts w:ascii="Bookman Old Style" w:hAnsi="Bookman Old Style"/>
          <w:b/>
          <w:color w:val="000000" w:themeColor="text1"/>
          <w:sz w:val="24"/>
          <w:u w:val="single"/>
        </w:rPr>
        <w:t>:</w:t>
      </w:r>
      <w:r w:rsidRPr="00AE70C9">
        <w:rPr>
          <w:rFonts w:ascii="Bookman Old Style" w:hAnsi="Bookman Old Style"/>
          <w:b/>
          <w:color w:val="000000" w:themeColor="text1"/>
          <w:sz w:val="24"/>
        </w:rPr>
        <w:t xml:space="preserve"> </w:t>
      </w:r>
      <w:r>
        <w:rPr>
          <w:rFonts w:ascii="Bookman Old Style" w:hAnsi="Bookman Old Style"/>
          <w:color w:val="000000" w:themeColor="text1"/>
          <w:sz w:val="24"/>
        </w:rPr>
        <w:t>If Official Liquidator states in his further report that any fraud has been committed, the Court shall have the power to direct that any person charged with fraud shall be publicly examined by the Court.</w:t>
      </w:r>
    </w:p>
    <w:p w:rsidR="00AE70C9" w:rsidRPr="00AE70C9" w:rsidRDefault="00AE70C9" w:rsidP="004A3009">
      <w:pPr>
        <w:pStyle w:val="HANG"/>
        <w:numPr>
          <w:ilvl w:val="0"/>
          <w:numId w:val="42"/>
        </w:numPr>
        <w:tabs>
          <w:tab w:val="left" w:pos="360"/>
        </w:tabs>
        <w:spacing w:line="240" w:lineRule="auto"/>
        <w:ind w:left="720"/>
        <w:rPr>
          <w:rFonts w:ascii="Copperplate Gothic Bold" w:hAnsi="Copperplate Gothic Bold"/>
          <w:b/>
          <w:color w:val="000000" w:themeColor="text1"/>
          <w:sz w:val="28"/>
          <w:u w:val="single"/>
        </w:rPr>
      </w:pPr>
      <w:r w:rsidRPr="00AE70C9">
        <w:rPr>
          <w:rFonts w:ascii="Copperplate Gothic Bold" w:hAnsi="Copperplate Gothic Bold"/>
          <w:b/>
          <w:color w:val="000000" w:themeColor="text1"/>
          <w:sz w:val="28"/>
          <w:u w:val="single"/>
        </w:rPr>
        <w:t>Books to be Kept by the Liquidator</w:t>
      </w:r>
    </w:p>
    <w:p w:rsidR="00AE70C9"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Liquidator shall keep, in the manner prescribed, proper books of accounts in which he shall cause entries or minutes to be made and such other matters</w:t>
      </w:r>
    </w:p>
    <w:p w:rsidR="00AE70C9"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Any Creditor or Contributory may, subject to control of the Court, inspect any such books personally or by his agent.</w:t>
      </w:r>
    </w:p>
    <w:p w:rsidR="003F46E6" w:rsidRDefault="003F46E6" w:rsidP="003F46E6">
      <w:pPr>
        <w:pStyle w:val="HANG"/>
        <w:tabs>
          <w:tab w:val="left" w:pos="360"/>
        </w:tabs>
        <w:spacing w:line="240" w:lineRule="auto"/>
        <w:rPr>
          <w:rFonts w:ascii="Bookman Old Style" w:hAnsi="Bookman Old Style"/>
          <w:color w:val="000000" w:themeColor="text1"/>
          <w:sz w:val="24"/>
        </w:rPr>
      </w:pPr>
    </w:p>
    <w:p w:rsidR="003F46E6" w:rsidRDefault="003F46E6" w:rsidP="003F46E6">
      <w:pPr>
        <w:pStyle w:val="HANG"/>
        <w:spacing w:line="240" w:lineRule="auto"/>
        <w:ind w:left="0" w:firstLine="0"/>
        <w:contextualSpacing/>
        <w:rPr>
          <w:rFonts w:ascii="Copperplate Gothic Bold" w:hAnsi="Copperplate Gothic Bold"/>
          <w:b/>
          <w:color w:val="000000" w:themeColor="text1"/>
          <w:sz w:val="32"/>
          <w:u w:val="single"/>
        </w:rPr>
      </w:pPr>
      <w:r w:rsidRPr="003F46E6">
        <w:rPr>
          <w:rFonts w:ascii="Copperplate Gothic Bold" w:hAnsi="Copperplate Gothic Bold"/>
          <w:b/>
          <w:color w:val="000000" w:themeColor="text1"/>
          <w:sz w:val="32"/>
          <w:u w:val="single"/>
        </w:rPr>
        <w:t>Presentation of Audit of Liquidator’s Account</w:t>
      </w:r>
    </w:p>
    <w:p w:rsidR="003F46E6" w:rsidRDefault="003F46E6" w:rsidP="003F46E6">
      <w:pPr>
        <w:pStyle w:val="HANG"/>
        <w:spacing w:line="240" w:lineRule="auto"/>
        <w:ind w:left="0" w:firstLine="0"/>
        <w:contextualSpacing/>
        <w:rPr>
          <w:rFonts w:ascii="Copperplate Gothic Bold" w:hAnsi="Copperplate Gothic Bold"/>
          <w:b/>
          <w:color w:val="000000" w:themeColor="text1"/>
          <w:sz w:val="32"/>
          <w:u w:val="single"/>
        </w:rPr>
      </w:pPr>
    </w:p>
    <w:p w:rsidR="003F46E6" w:rsidRP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The Liquidator shall present to the Court, an Account of his Receipts &amp; Payments, atleast twice a Year.</w:t>
      </w:r>
    </w:p>
    <w:p w:rsid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Account shall be in the prescribed form, shall be made in duplicate and shall be verified by a declaration in the prescribed form.</w:t>
      </w:r>
    </w:p>
    <w:p w:rsidR="00AE70C9" w:rsidRDefault="00AE70C9"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 </w:t>
      </w:r>
      <w:r w:rsidR="003F46E6">
        <w:rPr>
          <w:rFonts w:ascii="Bookman Old Style" w:hAnsi="Bookman Old Style"/>
          <w:color w:val="000000" w:themeColor="text1"/>
          <w:sz w:val="24"/>
        </w:rPr>
        <w:t>Court shall cause the Accounts to be audited in such manner as it thinks fit.</w:t>
      </w:r>
    </w:p>
    <w:p w:rsid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One Copy of Audited Accounts shall be filed and kept by the Court. Second Copy shall be filed with the Registrar.</w:t>
      </w:r>
    </w:p>
    <w:p w:rsid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Copies filed with the Court and Registrar shall be open to inspection of any Creditor, Contributory or any interested person.</w:t>
      </w:r>
    </w:p>
    <w:p w:rsid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Printed Copy of Audited Accounts shall be sent by Liquidator to every Creditor and Contributory.</w:t>
      </w:r>
    </w:p>
    <w:p w:rsidR="003F46E6" w:rsidRDefault="003F46E6" w:rsidP="004A3009">
      <w:pPr>
        <w:pStyle w:val="HANG"/>
        <w:numPr>
          <w:ilvl w:val="0"/>
          <w:numId w:val="34"/>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In case of Govt Co, Liquidator shall send a Copy of such accounts to – </w:t>
      </w:r>
    </w:p>
    <w:p w:rsidR="003F46E6" w:rsidRDefault="003F46E6" w:rsidP="004A3009">
      <w:pPr>
        <w:pStyle w:val="HANG"/>
        <w:numPr>
          <w:ilvl w:val="2"/>
          <w:numId w:val="34"/>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Central Govt or State Govt; or</w:t>
      </w:r>
    </w:p>
    <w:p w:rsidR="003F46E6" w:rsidRPr="00AE70C9" w:rsidRDefault="003F46E6" w:rsidP="004A3009">
      <w:pPr>
        <w:pStyle w:val="HANG"/>
        <w:numPr>
          <w:ilvl w:val="2"/>
          <w:numId w:val="34"/>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 xml:space="preserve">Central Govt and State Govt </w:t>
      </w:r>
    </w:p>
    <w:p w:rsidR="00AE70C9" w:rsidRDefault="00AE70C9" w:rsidP="00757524">
      <w:pPr>
        <w:pStyle w:val="HANG"/>
        <w:tabs>
          <w:tab w:val="left" w:pos="360"/>
        </w:tabs>
        <w:spacing w:line="240" w:lineRule="auto"/>
        <w:ind w:left="720" w:firstLine="0"/>
        <w:contextualSpacing/>
        <w:rPr>
          <w:rFonts w:ascii="Bookman Old Style" w:hAnsi="Bookman Old Style"/>
          <w:color w:val="000000" w:themeColor="text1"/>
          <w:sz w:val="24"/>
        </w:rPr>
      </w:pPr>
    </w:p>
    <w:p w:rsidR="0016191C" w:rsidRDefault="0016191C" w:rsidP="001C74F0">
      <w:pPr>
        <w:pStyle w:val="HANG"/>
        <w:spacing w:line="240" w:lineRule="auto"/>
        <w:ind w:left="0" w:firstLine="0"/>
        <w:contextualSpacing/>
        <w:rPr>
          <w:rFonts w:ascii="Copperplate Gothic Bold" w:hAnsi="Copperplate Gothic Bold"/>
          <w:b/>
          <w:color w:val="000000" w:themeColor="text1"/>
          <w:sz w:val="32"/>
          <w:u w:val="single"/>
        </w:rPr>
      </w:pPr>
    </w:p>
    <w:p w:rsidR="004F0BDE" w:rsidRPr="001C74F0" w:rsidRDefault="001C74F0" w:rsidP="001C74F0">
      <w:pPr>
        <w:pStyle w:val="HANG"/>
        <w:spacing w:line="240" w:lineRule="auto"/>
        <w:ind w:left="0" w:firstLine="0"/>
        <w:contextualSpacing/>
        <w:rPr>
          <w:rFonts w:ascii="Copperplate Gothic Bold" w:hAnsi="Copperplate Gothic Bold"/>
          <w:b/>
          <w:color w:val="000000" w:themeColor="text1"/>
          <w:sz w:val="32"/>
          <w:u w:val="single"/>
        </w:rPr>
      </w:pPr>
      <w:r w:rsidRPr="001C74F0">
        <w:rPr>
          <w:rFonts w:ascii="Copperplate Gothic Bold" w:hAnsi="Copperplate Gothic Bold"/>
          <w:b/>
          <w:color w:val="000000" w:themeColor="text1"/>
          <w:sz w:val="32"/>
          <w:u w:val="single"/>
        </w:rPr>
        <w:t>Duty to submit information as to pending litigation</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C74F0" w:rsidRDefault="001C74F0" w:rsidP="00845D8A">
      <w:pPr>
        <w:pStyle w:val="HANG"/>
        <w:numPr>
          <w:ilvl w:val="0"/>
          <w:numId w:val="43"/>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Where Winding Up is </w:t>
      </w:r>
      <w:r w:rsidRPr="00845D8A">
        <w:rPr>
          <w:rFonts w:ascii="Bookman Old Style" w:hAnsi="Bookman Old Style"/>
          <w:color w:val="000000" w:themeColor="text1"/>
          <w:sz w:val="24"/>
          <w:u w:val="single"/>
        </w:rPr>
        <w:t>not concluded within 1 year from its commencement</w:t>
      </w:r>
      <w:r>
        <w:rPr>
          <w:rFonts w:ascii="Bookman Old Style" w:hAnsi="Bookman Old Style"/>
          <w:color w:val="000000" w:themeColor="text1"/>
          <w:sz w:val="24"/>
        </w:rPr>
        <w:t>, the liquidator shall file a statement w.r.t. the proceedings conducted and the position of the liquidation.</w:t>
      </w:r>
    </w:p>
    <w:p w:rsidR="001C74F0" w:rsidRDefault="001C74F0" w:rsidP="00845D8A">
      <w:pPr>
        <w:pStyle w:val="HANG"/>
        <w:numPr>
          <w:ilvl w:val="0"/>
          <w:numId w:val="43"/>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The statement shall be </w:t>
      </w:r>
      <w:r w:rsidRPr="00845D8A">
        <w:rPr>
          <w:rFonts w:ascii="Bookman Old Style" w:hAnsi="Bookman Old Style"/>
          <w:b/>
          <w:color w:val="000000" w:themeColor="text1"/>
          <w:sz w:val="24"/>
        </w:rPr>
        <w:t>duly audited</w:t>
      </w:r>
      <w:r>
        <w:rPr>
          <w:rFonts w:ascii="Bookman Old Style" w:hAnsi="Bookman Old Style"/>
          <w:color w:val="000000" w:themeColor="text1"/>
          <w:sz w:val="24"/>
        </w:rPr>
        <w:t xml:space="preserve"> by a person who is qualified to act as an auditor of a Company.</w:t>
      </w:r>
    </w:p>
    <w:p w:rsidR="001C74F0" w:rsidRDefault="001C74F0" w:rsidP="00845D8A">
      <w:pPr>
        <w:pStyle w:val="HANG"/>
        <w:numPr>
          <w:ilvl w:val="0"/>
          <w:numId w:val="43"/>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The statement shall be </w:t>
      </w:r>
      <w:r w:rsidRPr="00845D8A">
        <w:rPr>
          <w:rFonts w:ascii="Bookman Old Style" w:hAnsi="Bookman Old Style"/>
          <w:b/>
          <w:color w:val="000000" w:themeColor="text1"/>
          <w:sz w:val="24"/>
        </w:rPr>
        <w:t>filed within 2 months</w:t>
      </w:r>
      <w:r>
        <w:rPr>
          <w:rFonts w:ascii="Bookman Old Style" w:hAnsi="Bookman Old Style"/>
          <w:color w:val="000000" w:themeColor="text1"/>
          <w:sz w:val="24"/>
        </w:rPr>
        <w:t xml:space="preserve"> of the end of the year.</w:t>
      </w:r>
    </w:p>
    <w:p w:rsidR="001C74F0" w:rsidRPr="00845D8A" w:rsidRDefault="001C74F0" w:rsidP="00845D8A">
      <w:pPr>
        <w:pStyle w:val="HANG"/>
        <w:numPr>
          <w:ilvl w:val="0"/>
          <w:numId w:val="43"/>
        </w:numPr>
        <w:tabs>
          <w:tab w:val="left" w:pos="360"/>
        </w:tabs>
        <w:spacing w:line="240" w:lineRule="auto"/>
        <w:ind w:left="720"/>
        <w:rPr>
          <w:rFonts w:ascii="Bookman Old Style" w:hAnsi="Bookman Old Style"/>
          <w:b/>
          <w:color w:val="000000" w:themeColor="text1"/>
          <w:sz w:val="24"/>
        </w:rPr>
      </w:pPr>
      <w:r>
        <w:rPr>
          <w:rFonts w:ascii="Bookman Old Style" w:hAnsi="Bookman Old Style"/>
          <w:color w:val="000000" w:themeColor="text1"/>
          <w:sz w:val="24"/>
        </w:rPr>
        <w:t xml:space="preserve">The statement is to be </w:t>
      </w:r>
      <w:r w:rsidRPr="00845D8A">
        <w:rPr>
          <w:rFonts w:ascii="Bookman Old Style" w:hAnsi="Bookman Old Style"/>
          <w:b/>
          <w:color w:val="000000" w:themeColor="text1"/>
          <w:sz w:val="24"/>
        </w:rPr>
        <w:t xml:space="preserve">filed with </w:t>
      </w:r>
      <w:r w:rsidR="00845D8A" w:rsidRPr="00845D8A">
        <w:rPr>
          <w:rFonts w:ascii="Bookman Old Style" w:hAnsi="Bookman Old Style"/>
          <w:b/>
          <w:color w:val="000000" w:themeColor="text1"/>
          <w:sz w:val="24"/>
        </w:rPr>
        <w:t>the Court</w:t>
      </w:r>
      <w:r>
        <w:rPr>
          <w:rFonts w:ascii="Bookman Old Style" w:hAnsi="Bookman Old Style"/>
          <w:color w:val="000000" w:themeColor="text1"/>
          <w:sz w:val="24"/>
        </w:rPr>
        <w:t xml:space="preserve"> and a copy shall also be filed with the </w:t>
      </w:r>
      <w:r w:rsidRPr="00845D8A">
        <w:rPr>
          <w:rFonts w:ascii="Bookman Old Style" w:hAnsi="Bookman Old Style"/>
          <w:b/>
          <w:color w:val="000000" w:themeColor="text1"/>
          <w:sz w:val="24"/>
        </w:rPr>
        <w:t>registrar.</w:t>
      </w:r>
    </w:p>
    <w:p w:rsidR="00F0352A" w:rsidRDefault="001C74F0" w:rsidP="00D731A2">
      <w:pPr>
        <w:pStyle w:val="HANG"/>
        <w:tabs>
          <w:tab w:val="left" w:pos="360"/>
        </w:tabs>
        <w:spacing w:line="240" w:lineRule="auto"/>
        <w:ind w:left="274" w:firstLine="0"/>
        <w:contextualSpacing/>
        <w:rPr>
          <w:rFonts w:ascii="Bookman Old Style" w:hAnsi="Bookman Old Style"/>
          <w:color w:val="000000" w:themeColor="text1"/>
          <w:sz w:val="24"/>
        </w:rPr>
      </w:pPr>
      <w:r>
        <w:rPr>
          <w:rFonts w:ascii="Bookman Old Style" w:hAnsi="Bookman Old Style"/>
          <w:color w:val="000000" w:themeColor="text1"/>
          <w:sz w:val="24"/>
        </w:rPr>
        <w:t xml:space="preserve"> </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6191C" w:rsidRDefault="0016191C"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6191C" w:rsidRDefault="0016191C"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352A" w:rsidRPr="00230D46" w:rsidRDefault="00230D46" w:rsidP="00230D46">
      <w:pPr>
        <w:pStyle w:val="HANG"/>
        <w:spacing w:line="240" w:lineRule="auto"/>
        <w:ind w:left="0" w:firstLine="0"/>
        <w:contextualSpacing/>
        <w:rPr>
          <w:rFonts w:ascii="Copperplate Gothic Bold" w:hAnsi="Copperplate Gothic Bold"/>
          <w:b/>
          <w:color w:val="000000" w:themeColor="text1"/>
          <w:sz w:val="32"/>
          <w:u w:val="single"/>
        </w:rPr>
      </w:pPr>
      <w:r w:rsidRPr="00230D46">
        <w:rPr>
          <w:rFonts w:ascii="Copperplate Gothic Bold" w:hAnsi="Copperplate Gothic Bold"/>
          <w:b/>
          <w:color w:val="000000" w:themeColor="text1"/>
          <w:sz w:val="32"/>
          <w:u w:val="single"/>
        </w:rPr>
        <w:lastRenderedPageBreak/>
        <w:t>Powers of the Liquidator</w:t>
      </w:r>
    </w:p>
    <w:p w:rsidR="00230D46" w:rsidRDefault="00230D46"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352A" w:rsidRDefault="00230D46" w:rsidP="00D731A2">
      <w:pPr>
        <w:pStyle w:val="HANG"/>
        <w:tabs>
          <w:tab w:val="left" w:pos="360"/>
        </w:tabs>
        <w:spacing w:line="240" w:lineRule="auto"/>
        <w:ind w:left="274" w:firstLine="0"/>
        <w:contextualSpacing/>
        <w:rPr>
          <w:rFonts w:ascii="Bookman Old Style" w:hAnsi="Bookman Old Style"/>
          <w:color w:val="000000" w:themeColor="text1"/>
          <w:sz w:val="24"/>
        </w:rPr>
      </w:pPr>
      <w:r w:rsidRPr="0004707C">
        <w:rPr>
          <w:rFonts w:ascii="Bookman Old Style" w:hAnsi="Bookman Old Style"/>
          <w:color w:val="000000" w:themeColor="text1"/>
          <w:sz w:val="24"/>
          <w:u w:val="single"/>
        </w:rPr>
        <w:t xml:space="preserve">The Liquidator can exercise the following powers with the </w:t>
      </w:r>
      <w:r w:rsidR="0004707C" w:rsidRPr="0004707C">
        <w:rPr>
          <w:rFonts w:ascii="Bookman Old Style" w:hAnsi="Bookman Old Style"/>
          <w:b/>
          <w:color w:val="000000" w:themeColor="text1"/>
          <w:sz w:val="24"/>
          <w:u w:val="single"/>
        </w:rPr>
        <w:t>S</w:t>
      </w:r>
      <w:r w:rsidRPr="0004707C">
        <w:rPr>
          <w:rFonts w:ascii="Bookman Old Style" w:hAnsi="Bookman Old Style"/>
          <w:b/>
          <w:color w:val="000000" w:themeColor="text1"/>
          <w:sz w:val="24"/>
          <w:u w:val="single"/>
        </w:rPr>
        <w:t>anction of the Court</w:t>
      </w:r>
    </w:p>
    <w:p w:rsidR="00230D46" w:rsidRPr="00230D46" w:rsidRDefault="00230D46" w:rsidP="00D731A2">
      <w:pPr>
        <w:pStyle w:val="HANG"/>
        <w:tabs>
          <w:tab w:val="left" w:pos="360"/>
        </w:tabs>
        <w:spacing w:line="240" w:lineRule="auto"/>
        <w:ind w:left="274" w:firstLine="0"/>
        <w:contextualSpacing/>
        <w:rPr>
          <w:rFonts w:ascii="Bookman Old Style" w:hAnsi="Bookman Old Style"/>
          <w:color w:val="000000" w:themeColor="text1"/>
          <w:sz w:val="14"/>
        </w:rPr>
      </w:pP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carry on the business of the Company so far as may be necessary for the beneficial winding up</w:t>
      </w: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institute or defend any legal proceedings on behalf of the Company</w:t>
      </w: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sell immovable and movable property and actionable claims of the company by public auction or private contract</w:t>
      </w: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raise money on the security of the assets of the Company</w:t>
      </w: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disclaim onerous property</w:t>
      </w:r>
    </w:p>
    <w:p w:rsidR="00230D46" w:rsidRDefault="00230D46"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 xml:space="preserve">To do all such things as may be necessary for winding up affairs of the Company </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04707C" w:rsidRDefault="0004707C" w:rsidP="0004707C">
      <w:pPr>
        <w:pStyle w:val="HANG"/>
        <w:tabs>
          <w:tab w:val="left" w:pos="360"/>
        </w:tabs>
        <w:spacing w:line="240" w:lineRule="auto"/>
        <w:ind w:left="274" w:firstLine="0"/>
        <w:contextualSpacing/>
        <w:rPr>
          <w:rFonts w:ascii="Bookman Old Style" w:hAnsi="Bookman Old Style"/>
          <w:color w:val="000000" w:themeColor="text1"/>
          <w:sz w:val="24"/>
          <w:u w:val="single"/>
        </w:rPr>
      </w:pPr>
      <w:r w:rsidRPr="0004707C">
        <w:rPr>
          <w:rFonts w:ascii="Bookman Old Style" w:hAnsi="Bookman Old Style"/>
          <w:color w:val="000000" w:themeColor="text1"/>
          <w:sz w:val="24"/>
          <w:u w:val="single"/>
        </w:rPr>
        <w:t xml:space="preserve">The Liquidator </w:t>
      </w:r>
      <w:r>
        <w:rPr>
          <w:rFonts w:ascii="Bookman Old Style" w:hAnsi="Bookman Old Style"/>
          <w:color w:val="000000" w:themeColor="text1"/>
          <w:sz w:val="24"/>
          <w:u w:val="single"/>
        </w:rPr>
        <w:t>does not require any sanction of the Court for exercising any of the following powers:</w:t>
      </w:r>
    </w:p>
    <w:p w:rsidR="0004707C" w:rsidRDefault="0004707C"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do all acts and execute all documents on behalf of the Company and use the Company’s seal</w:t>
      </w:r>
    </w:p>
    <w:p w:rsidR="0004707C" w:rsidRDefault="0004707C"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inspect the records and returns of the Company on the files with the registrar without payment of any fee</w:t>
      </w:r>
    </w:p>
    <w:p w:rsidR="0004707C" w:rsidRDefault="0004707C"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draw, accept, make or endorse any bill of exchange, promissory note on behalf of the Company</w:t>
      </w:r>
    </w:p>
    <w:p w:rsidR="0004707C" w:rsidRDefault="0004707C" w:rsidP="0004707C">
      <w:pPr>
        <w:pStyle w:val="HANG"/>
        <w:numPr>
          <w:ilvl w:val="0"/>
          <w:numId w:val="44"/>
        </w:numPr>
        <w:tabs>
          <w:tab w:val="left" w:pos="360"/>
        </w:tabs>
        <w:spacing w:after="60" w:line="240" w:lineRule="auto"/>
        <w:rPr>
          <w:rFonts w:ascii="Bookman Old Style" w:hAnsi="Bookman Old Style"/>
          <w:color w:val="000000" w:themeColor="text1"/>
          <w:sz w:val="24"/>
        </w:rPr>
      </w:pPr>
      <w:r>
        <w:rPr>
          <w:rFonts w:ascii="Bookman Old Style" w:hAnsi="Bookman Old Style"/>
          <w:color w:val="000000" w:themeColor="text1"/>
          <w:sz w:val="24"/>
        </w:rPr>
        <w:t>To appoint an agent to do any business which he is unable to do himself</w:t>
      </w:r>
    </w:p>
    <w:p w:rsidR="0004707C" w:rsidRPr="0004707C" w:rsidRDefault="0004707C" w:rsidP="0004707C">
      <w:pPr>
        <w:pStyle w:val="HANG"/>
        <w:tabs>
          <w:tab w:val="left" w:pos="360"/>
        </w:tabs>
        <w:spacing w:line="240" w:lineRule="auto"/>
        <w:ind w:left="274" w:firstLine="0"/>
        <w:contextualSpacing/>
        <w:rPr>
          <w:rFonts w:ascii="Bookman Old Style" w:hAnsi="Bookman Old Style"/>
          <w:color w:val="000000" w:themeColor="text1"/>
          <w:sz w:val="24"/>
        </w:rPr>
      </w:pPr>
    </w:p>
    <w:p w:rsidR="00F0352A" w:rsidRPr="0004707C" w:rsidRDefault="0004707C" w:rsidP="0004707C">
      <w:pPr>
        <w:pStyle w:val="HANG"/>
        <w:spacing w:line="240" w:lineRule="auto"/>
        <w:ind w:left="0" w:firstLine="0"/>
        <w:contextualSpacing/>
        <w:rPr>
          <w:rFonts w:ascii="Copperplate Gothic Bold" w:hAnsi="Copperplate Gothic Bold"/>
          <w:b/>
          <w:color w:val="000000" w:themeColor="text1"/>
          <w:sz w:val="32"/>
          <w:u w:val="single"/>
        </w:rPr>
      </w:pPr>
      <w:r w:rsidRPr="0004707C">
        <w:rPr>
          <w:rFonts w:ascii="Copperplate Gothic Bold" w:hAnsi="Copperplate Gothic Bold"/>
          <w:b/>
          <w:color w:val="000000" w:themeColor="text1"/>
          <w:sz w:val="32"/>
          <w:u w:val="single"/>
        </w:rPr>
        <w:t xml:space="preserve">Powers of Liquidator to Disclaim Onerous Property </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04707C" w:rsidRDefault="0004707C" w:rsidP="0004707C">
      <w:pPr>
        <w:pStyle w:val="HANG"/>
        <w:numPr>
          <w:ilvl w:val="0"/>
          <w:numId w:val="45"/>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Onerous Property means a property which has ceased to be an asset and has become a liability. In other words, it refers to </w:t>
      </w:r>
      <w:r w:rsidRPr="0004707C">
        <w:rPr>
          <w:rFonts w:ascii="Bookman Old Style" w:hAnsi="Bookman Old Style"/>
          <w:color w:val="000000" w:themeColor="text1"/>
          <w:sz w:val="24"/>
        </w:rPr>
        <w:t>unprofitable contracts and to property that is unsaleable or not easily saleable or that might give rise to a continuing liability</w:t>
      </w:r>
      <w:r>
        <w:rPr>
          <w:rFonts w:ascii="Bookman Old Style" w:hAnsi="Bookman Old Style"/>
          <w:color w:val="000000" w:themeColor="text1"/>
          <w:sz w:val="24"/>
        </w:rPr>
        <w:t>.</w:t>
      </w:r>
    </w:p>
    <w:p w:rsidR="00F0352A" w:rsidRDefault="0004707C" w:rsidP="0004707C">
      <w:pPr>
        <w:pStyle w:val="HANG"/>
        <w:numPr>
          <w:ilvl w:val="0"/>
          <w:numId w:val="45"/>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Some examples of onerous property are as follows:</w:t>
      </w:r>
    </w:p>
    <w:p w:rsidR="0004707C" w:rsidRDefault="0004707C" w:rsidP="0004707C">
      <w:pPr>
        <w:pStyle w:val="HANG"/>
        <w:numPr>
          <w:ilvl w:val="0"/>
          <w:numId w:val="46"/>
        </w:numPr>
        <w:tabs>
          <w:tab w:val="left" w:pos="360"/>
        </w:tabs>
        <w:spacing w:after="60" w:line="240" w:lineRule="auto"/>
        <w:ind w:left="1526" w:hanging="446"/>
        <w:rPr>
          <w:rFonts w:ascii="Bookman Old Style" w:hAnsi="Bookman Old Style"/>
          <w:color w:val="000000" w:themeColor="text1"/>
          <w:sz w:val="24"/>
        </w:rPr>
      </w:pPr>
      <w:r>
        <w:rPr>
          <w:rFonts w:ascii="Bookman Old Style" w:hAnsi="Bookman Old Style"/>
          <w:color w:val="000000" w:themeColor="text1"/>
          <w:sz w:val="24"/>
        </w:rPr>
        <w:t>Land of any tenure, burdened with onerous covenants</w:t>
      </w:r>
    </w:p>
    <w:p w:rsidR="0004707C" w:rsidRDefault="0004707C" w:rsidP="0004707C">
      <w:pPr>
        <w:pStyle w:val="HANG"/>
        <w:numPr>
          <w:ilvl w:val="0"/>
          <w:numId w:val="46"/>
        </w:numPr>
        <w:tabs>
          <w:tab w:val="left" w:pos="360"/>
        </w:tabs>
        <w:spacing w:after="60" w:line="240" w:lineRule="auto"/>
        <w:ind w:left="1526" w:hanging="446"/>
        <w:rPr>
          <w:rFonts w:ascii="Bookman Old Style" w:hAnsi="Bookman Old Style"/>
          <w:color w:val="000000" w:themeColor="text1"/>
          <w:sz w:val="24"/>
        </w:rPr>
      </w:pPr>
      <w:r>
        <w:rPr>
          <w:rFonts w:ascii="Bookman Old Style" w:hAnsi="Bookman Old Style"/>
          <w:color w:val="000000" w:themeColor="text1"/>
          <w:sz w:val="24"/>
        </w:rPr>
        <w:t>Partly paid up shares of an unsuccessful Company e.g. where the Company may be liable as a contributory</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352A" w:rsidRDefault="0004707C" w:rsidP="00877F04">
      <w:pPr>
        <w:pStyle w:val="HANG"/>
        <w:numPr>
          <w:ilvl w:val="0"/>
          <w:numId w:val="45"/>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The disclaimer shall be in writing and signed by the liquidator.</w:t>
      </w:r>
    </w:p>
    <w:p w:rsidR="00877F04" w:rsidRDefault="0004707C" w:rsidP="00877F04">
      <w:pPr>
        <w:pStyle w:val="HANG"/>
        <w:numPr>
          <w:ilvl w:val="0"/>
          <w:numId w:val="45"/>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No disclaimer shall be made except with the leave of the Court.</w:t>
      </w:r>
      <w:r w:rsidR="00877F04">
        <w:rPr>
          <w:rFonts w:ascii="Bookman Old Style" w:hAnsi="Bookman Old Style"/>
          <w:color w:val="000000" w:themeColor="text1"/>
          <w:sz w:val="24"/>
        </w:rPr>
        <w:t xml:space="preserve"> The Court has absolute discretion to grant or refuse permission to disclaim an onerous property.</w:t>
      </w:r>
    </w:p>
    <w:p w:rsidR="0004707C" w:rsidRDefault="00877F04" w:rsidP="00877F04">
      <w:pPr>
        <w:pStyle w:val="HANG"/>
        <w:numPr>
          <w:ilvl w:val="0"/>
          <w:numId w:val="45"/>
        </w:numPr>
        <w:tabs>
          <w:tab w:val="left" w:pos="360"/>
        </w:tabs>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The liquidator may disclaim any onerous property within 12 months from the date of commencement of Winding Up. </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6191C" w:rsidRDefault="0016191C"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6191C" w:rsidRDefault="0016191C"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16191C" w:rsidRDefault="0016191C"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EC75F5" w:rsidRDefault="00EC75F5" w:rsidP="00EC75F5">
      <w:pPr>
        <w:pStyle w:val="HANG"/>
        <w:spacing w:line="276" w:lineRule="auto"/>
        <w:ind w:firstLine="0"/>
        <w:rPr>
          <w:rFonts w:ascii="Broadway" w:hAnsi="Broadway"/>
          <w:b/>
          <w:color w:val="FFFFFF" w:themeColor="background1"/>
          <w:sz w:val="40"/>
          <w:highlight w:val="black"/>
          <w:u w:val="single"/>
        </w:rPr>
      </w:pPr>
      <w:r>
        <w:rPr>
          <w:rFonts w:ascii="Broadway" w:hAnsi="Broadway"/>
          <w:b/>
          <w:color w:val="FFFFFF" w:themeColor="background1"/>
          <w:sz w:val="40"/>
          <w:highlight w:val="black"/>
          <w:u w:val="single"/>
        </w:rPr>
        <w:lastRenderedPageBreak/>
        <w:t>Voluntary</w:t>
      </w:r>
      <w:r w:rsidRPr="00EC75F5">
        <w:rPr>
          <w:rFonts w:ascii="Broadway" w:hAnsi="Broadway"/>
          <w:b/>
          <w:color w:val="FFFFFF" w:themeColor="background1"/>
          <w:sz w:val="40"/>
          <w:highlight w:val="black"/>
          <w:u w:val="single"/>
        </w:rPr>
        <w:t xml:space="preserve"> </w:t>
      </w:r>
      <w:r>
        <w:rPr>
          <w:rFonts w:ascii="Broadway" w:hAnsi="Broadway"/>
          <w:b/>
          <w:color w:val="FFFFFF" w:themeColor="background1"/>
          <w:sz w:val="40"/>
          <w:highlight w:val="black"/>
          <w:u w:val="single"/>
        </w:rPr>
        <w:t>Winding Up</w:t>
      </w:r>
    </w:p>
    <w:p w:rsidR="00EC75F5" w:rsidRDefault="00877F04" w:rsidP="00D35589">
      <w:pPr>
        <w:pStyle w:val="HANG"/>
        <w:numPr>
          <w:ilvl w:val="0"/>
          <w:numId w:val="48"/>
        </w:numPr>
        <w:spacing w:line="276" w:lineRule="auto"/>
        <w:ind w:left="720"/>
        <w:rPr>
          <w:rFonts w:ascii="Bookman Old Style" w:hAnsi="Bookman Old Style"/>
          <w:color w:val="000000" w:themeColor="text1"/>
          <w:sz w:val="24"/>
        </w:rPr>
      </w:pPr>
      <w:r w:rsidRPr="00877F04">
        <w:rPr>
          <w:rFonts w:ascii="Bookman Old Style" w:hAnsi="Bookman Old Style"/>
          <w:color w:val="000000" w:themeColor="text1"/>
          <w:sz w:val="24"/>
        </w:rPr>
        <w:t>Voluntary Winding Up means Winding Up at the instance of the members of the Company, without any interference of the Court.</w:t>
      </w:r>
    </w:p>
    <w:p w:rsidR="00877F04" w:rsidRDefault="00877F04" w:rsidP="00D35589">
      <w:pPr>
        <w:pStyle w:val="HANG"/>
        <w:numPr>
          <w:ilvl w:val="0"/>
          <w:numId w:val="48"/>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A Company may be wound up voluntarily – </w:t>
      </w:r>
    </w:p>
    <w:p w:rsidR="00877F04" w:rsidRDefault="00877F04" w:rsidP="00D35589">
      <w:pPr>
        <w:pStyle w:val="HANG"/>
        <w:numPr>
          <w:ilvl w:val="0"/>
          <w:numId w:val="47"/>
        </w:numPr>
        <w:spacing w:line="276" w:lineRule="auto"/>
        <w:rPr>
          <w:rFonts w:ascii="Bookman Old Style" w:hAnsi="Bookman Old Style"/>
          <w:color w:val="000000" w:themeColor="text1"/>
          <w:sz w:val="24"/>
        </w:rPr>
      </w:pPr>
      <w:r>
        <w:rPr>
          <w:rFonts w:ascii="Bookman Old Style" w:hAnsi="Bookman Old Style"/>
          <w:color w:val="000000" w:themeColor="text1"/>
          <w:sz w:val="24"/>
        </w:rPr>
        <w:t>If the duration specified in the Articles has expired and by passing a Ordinary Resolution.</w:t>
      </w:r>
    </w:p>
    <w:p w:rsidR="00877F04" w:rsidRDefault="00877F04" w:rsidP="00D35589">
      <w:pPr>
        <w:pStyle w:val="HANG"/>
        <w:numPr>
          <w:ilvl w:val="0"/>
          <w:numId w:val="47"/>
        </w:numPr>
        <w:spacing w:line="276" w:lineRule="auto"/>
        <w:rPr>
          <w:rFonts w:ascii="Bookman Old Style" w:hAnsi="Bookman Old Style"/>
          <w:color w:val="000000" w:themeColor="text1"/>
          <w:sz w:val="24"/>
        </w:rPr>
      </w:pPr>
      <w:r>
        <w:rPr>
          <w:rFonts w:ascii="Bookman Old Style" w:hAnsi="Bookman Old Style"/>
          <w:color w:val="000000" w:themeColor="text1"/>
          <w:sz w:val="24"/>
        </w:rPr>
        <w:t>On happening of an event specified in the Articles and by passing a Ordinary Resolution.</w:t>
      </w:r>
    </w:p>
    <w:p w:rsidR="00877F04" w:rsidRDefault="00877F04" w:rsidP="00D35589">
      <w:pPr>
        <w:pStyle w:val="HANG"/>
        <w:numPr>
          <w:ilvl w:val="0"/>
          <w:numId w:val="47"/>
        </w:numPr>
        <w:spacing w:line="276" w:lineRule="auto"/>
        <w:rPr>
          <w:rFonts w:ascii="Bookman Old Style" w:hAnsi="Bookman Old Style"/>
          <w:color w:val="000000" w:themeColor="text1"/>
          <w:sz w:val="24"/>
        </w:rPr>
      </w:pPr>
      <w:r>
        <w:rPr>
          <w:rFonts w:ascii="Bookman Old Style" w:hAnsi="Bookman Old Style"/>
          <w:color w:val="000000" w:themeColor="text1"/>
          <w:sz w:val="24"/>
        </w:rPr>
        <w:t>Company for any reason may be wound up by Special Resolution.</w:t>
      </w:r>
    </w:p>
    <w:p w:rsidR="00877F04" w:rsidRDefault="00877F04"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Voluntary Liquidation shall be deemed to commence from the date of passing of resolution. Corporate Status and Powers of the Company shall continue till the Company is dissolved.</w:t>
      </w:r>
    </w:p>
    <w:p w:rsidR="00877F04" w:rsidRDefault="003612CD"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If Solvency position can be established, </w:t>
      </w:r>
      <w:r w:rsidRPr="00877F04">
        <w:rPr>
          <w:rFonts w:ascii="Bookman Old Style" w:hAnsi="Bookman Old Style"/>
          <w:color w:val="000000" w:themeColor="text1"/>
          <w:sz w:val="24"/>
        </w:rPr>
        <w:t>Voluntary Winding Up</w:t>
      </w:r>
      <w:r>
        <w:rPr>
          <w:rFonts w:ascii="Bookman Old Style" w:hAnsi="Bookman Old Style"/>
          <w:color w:val="000000" w:themeColor="text1"/>
          <w:sz w:val="24"/>
        </w:rPr>
        <w:t xml:space="preserve"> takes form of Members </w:t>
      </w:r>
      <w:r w:rsidRPr="00877F04">
        <w:rPr>
          <w:rFonts w:ascii="Bookman Old Style" w:hAnsi="Bookman Old Style"/>
          <w:color w:val="000000" w:themeColor="text1"/>
          <w:sz w:val="24"/>
        </w:rPr>
        <w:t>Voluntary Winding Up</w:t>
      </w:r>
      <w:r>
        <w:rPr>
          <w:rFonts w:ascii="Bookman Old Style" w:hAnsi="Bookman Old Style"/>
          <w:color w:val="000000" w:themeColor="text1"/>
          <w:sz w:val="24"/>
        </w:rPr>
        <w:t>.</w:t>
      </w:r>
    </w:p>
    <w:p w:rsidR="003612CD" w:rsidRDefault="003612CD"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If Solvency position cannot be established i.e. insolvency position arises, </w:t>
      </w:r>
      <w:r w:rsidRPr="00877F04">
        <w:rPr>
          <w:rFonts w:ascii="Bookman Old Style" w:hAnsi="Bookman Old Style"/>
          <w:color w:val="000000" w:themeColor="text1"/>
          <w:sz w:val="24"/>
        </w:rPr>
        <w:t>Voluntary Winding Up</w:t>
      </w:r>
      <w:r>
        <w:rPr>
          <w:rFonts w:ascii="Bookman Old Style" w:hAnsi="Bookman Old Style"/>
          <w:color w:val="000000" w:themeColor="text1"/>
          <w:sz w:val="24"/>
        </w:rPr>
        <w:t xml:space="preserve"> takes form of Creditors </w:t>
      </w:r>
      <w:r w:rsidRPr="00877F04">
        <w:rPr>
          <w:rFonts w:ascii="Bookman Old Style" w:hAnsi="Bookman Old Style"/>
          <w:color w:val="000000" w:themeColor="text1"/>
          <w:sz w:val="24"/>
        </w:rPr>
        <w:t>Voluntary Winding Up</w:t>
      </w:r>
      <w:r>
        <w:rPr>
          <w:rFonts w:ascii="Bookman Old Style" w:hAnsi="Bookman Old Style"/>
          <w:color w:val="000000" w:themeColor="text1"/>
          <w:sz w:val="24"/>
        </w:rPr>
        <w:t>.</w:t>
      </w:r>
    </w:p>
    <w:p w:rsidR="003612CD" w:rsidRPr="00C75119" w:rsidRDefault="003612CD" w:rsidP="003612CD">
      <w:pPr>
        <w:pStyle w:val="HANG"/>
        <w:spacing w:line="276" w:lineRule="auto"/>
        <w:rPr>
          <w:rFonts w:ascii="Bookman Old Style" w:hAnsi="Bookman Old Style"/>
          <w:color w:val="000000" w:themeColor="text1"/>
          <w:sz w:val="12"/>
        </w:rPr>
      </w:pPr>
    </w:p>
    <w:p w:rsidR="003612CD" w:rsidRPr="003612CD" w:rsidRDefault="003612CD" w:rsidP="003612CD">
      <w:pPr>
        <w:pStyle w:val="HANG"/>
        <w:spacing w:line="240" w:lineRule="auto"/>
        <w:ind w:left="0" w:firstLine="360"/>
        <w:contextualSpacing/>
        <w:rPr>
          <w:rFonts w:ascii="Copperplate Gothic Bold" w:hAnsi="Copperplate Gothic Bold"/>
          <w:b/>
          <w:color w:val="000000" w:themeColor="text1"/>
          <w:sz w:val="32"/>
          <w:u w:val="single"/>
        </w:rPr>
      </w:pPr>
      <w:r w:rsidRPr="003612CD">
        <w:rPr>
          <w:rFonts w:ascii="Copperplate Gothic Bold" w:hAnsi="Copperplate Gothic Bold"/>
          <w:b/>
          <w:color w:val="000000" w:themeColor="text1"/>
          <w:sz w:val="32"/>
          <w:u w:val="single"/>
        </w:rPr>
        <w:t>Procedure for Member’s Voluntary Winding Up</w:t>
      </w:r>
    </w:p>
    <w:p w:rsidR="003612CD" w:rsidRPr="00C75119" w:rsidRDefault="003612CD" w:rsidP="003612CD">
      <w:pPr>
        <w:pStyle w:val="HANG"/>
        <w:spacing w:line="276" w:lineRule="auto"/>
        <w:ind w:left="720" w:firstLine="0"/>
        <w:rPr>
          <w:rFonts w:ascii="Bookman Old Style" w:hAnsi="Bookman Old Style"/>
          <w:color w:val="000000" w:themeColor="text1"/>
          <w:sz w:val="6"/>
        </w:rPr>
      </w:pPr>
    </w:p>
    <w:p w:rsidR="00877F04" w:rsidRDefault="003612CD" w:rsidP="00D35589">
      <w:pPr>
        <w:pStyle w:val="HANG"/>
        <w:numPr>
          <w:ilvl w:val="0"/>
          <w:numId w:val="50"/>
        </w:numPr>
        <w:spacing w:line="276" w:lineRule="auto"/>
        <w:ind w:left="720"/>
        <w:rPr>
          <w:rFonts w:ascii="Bookman Old Style" w:hAnsi="Bookman Old Style"/>
          <w:color w:val="000000" w:themeColor="text1"/>
          <w:sz w:val="24"/>
        </w:rPr>
      </w:pPr>
      <w:r w:rsidRPr="003612CD">
        <w:rPr>
          <w:rFonts w:ascii="Bookman Old Style" w:hAnsi="Bookman Old Style"/>
          <w:color w:val="000000" w:themeColor="text1"/>
          <w:sz w:val="24"/>
        </w:rPr>
        <w:t xml:space="preserve">Where a Company is </w:t>
      </w:r>
      <w:r>
        <w:rPr>
          <w:rFonts w:ascii="Bookman Old Style" w:hAnsi="Bookman Old Style"/>
          <w:color w:val="000000" w:themeColor="text1"/>
          <w:sz w:val="24"/>
        </w:rPr>
        <w:t>Solvent and can meet the liabilities in full and where such Declaration of Solvency is made by the Board, such liquidation is called Member’s Voluntary Winding Up.</w:t>
      </w:r>
    </w:p>
    <w:p w:rsidR="003612CD" w:rsidRPr="003612CD" w:rsidRDefault="003612CD" w:rsidP="00D35589">
      <w:pPr>
        <w:pStyle w:val="HANG"/>
        <w:numPr>
          <w:ilvl w:val="0"/>
          <w:numId w:val="50"/>
        </w:numPr>
        <w:spacing w:line="276" w:lineRule="auto"/>
        <w:ind w:left="720"/>
        <w:rPr>
          <w:rFonts w:ascii="Bookman Old Style" w:hAnsi="Bookman Old Style"/>
          <w:b/>
          <w:color w:val="000000" w:themeColor="text1"/>
          <w:sz w:val="24"/>
          <w:u w:val="single"/>
        </w:rPr>
      </w:pPr>
      <w:r w:rsidRPr="003612CD">
        <w:rPr>
          <w:rFonts w:ascii="Bookman Old Style" w:hAnsi="Bookman Old Style"/>
          <w:b/>
          <w:color w:val="000000" w:themeColor="text1"/>
          <w:sz w:val="24"/>
          <w:u w:val="single"/>
        </w:rPr>
        <w:t>Procedure:</w:t>
      </w:r>
    </w:p>
    <w:p w:rsidR="003612CD" w:rsidRDefault="003612CD"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 xml:space="preserve">Board of Directors at the Board Meeting should make a </w:t>
      </w:r>
      <w:r w:rsidRPr="00765FD4">
        <w:rPr>
          <w:rFonts w:ascii="Bookman Old Style" w:hAnsi="Bookman Old Style"/>
          <w:b/>
          <w:color w:val="000000" w:themeColor="text1"/>
          <w:sz w:val="24"/>
        </w:rPr>
        <w:t>Declaration of Solvency</w:t>
      </w:r>
      <w:r>
        <w:rPr>
          <w:rFonts w:ascii="Bookman Old Style" w:hAnsi="Bookman Old Style"/>
          <w:color w:val="000000" w:themeColor="text1"/>
          <w:sz w:val="24"/>
        </w:rPr>
        <w:t xml:space="preserve"> within a period of 3 Years from the Commencement of Winding Up.</w:t>
      </w:r>
    </w:p>
    <w:p w:rsidR="003612CD" w:rsidRDefault="003612CD"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 xml:space="preserve">Such Declaration should be made within 5 Weeks preceding the date of resolution </w:t>
      </w:r>
      <w:r w:rsidR="00765FD4">
        <w:rPr>
          <w:rFonts w:ascii="Bookman Old Style" w:hAnsi="Bookman Old Style"/>
          <w:color w:val="000000" w:themeColor="text1"/>
          <w:sz w:val="24"/>
        </w:rPr>
        <w:t>for winding up and shall be filed with ROC.</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For wrong declaration, directors are punishable with 6 months imprisonment or fine of Rs.5000</w:t>
      </w:r>
      <w:r w:rsidR="00804C1F">
        <w:rPr>
          <w:rFonts w:ascii="Bookman Old Style" w:hAnsi="Bookman Old Style"/>
          <w:color w:val="000000" w:themeColor="text1"/>
          <w:sz w:val="24"/>
        </w:rPr>
        <w:t>0 or both.</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sidRPr="00765FD4">
        <w:rPr>
          <w:rFonts w:ascii="Bookman Old Style" w:hAnsi="Bookman Old Style"/>
          <w:b/>
          <w:color w:val="000000" w:themeColor="text1"/>
          <w:sz w:val="24"/>
        </w:rPr>
        <w:t>General Meeting</w:t>
      </w:r>
      <w:r>
        <w:rPr>
          <w:rFonts w:ascii="Bookman Old Style" w:hAnsi="Bookman Old Style"/>
          <w:color w:val="000000" w:themeColor="text1"/>
          <w:sz w:val="24"/>
        </w:rPr>
        <w:t xml:space="preserve"> should be held and resolution for winding up be passed and liquidator shall be appointed with his remuneration fixed.</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 xml:space="preserve">File </w:t>
      </w:r>
      <w:r w:rsidRPr="00765FD4">
        <w:rPr>
          <w:rFonts w:ascii="Bookman Old Style" w:hAnsi="Bookman Old Style"/>
          <w:b/>
          <w:color w:val="000000" w:themeColor="text1"/>
          <w:sz w:val="24"/>
        </w:rPr>
        <w:t>Form No.23 with ROC</w:t>
      </w:r>
      <w:r>
        <w:rPr>
          <w:rFonts w:ascii="Bookman Old Style" w:hAnsi="Bookman Old Style"/>
          <w:color w:val="000000" w:themeColor="text1"/>
          <w:sz w:val="24"/>
        </w:rPr>
        <w:t xml:space="preserve"> for appointment of Liquidator within 30 days and Liquidator shall also inform ROC of his appointment within 10 days. </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 xml:space="preserve">Such information shall be </w:t>
      </w:r>
      <w:r w:rsidRPr="00765FD4">
        <w:rPr>
          <w:rFonts w:ascii="Bookman Old Style" w:hAnsi="Bookman Old Style"/>
          <w:b/>
          <w:color w:val="000000" w:themeColor="text1"/>
          <w:sz w:val="24"/>
        </w:rPr>
        <w:t>published in the Official Gazette</w:t>
      </w:r>
      <w:r>
        <w:rPr>
          <w:rFonts w:ascii="Bookman Old Style" w:hAnsi="Bookman Old Style"/>
          <w:color w:val="000000" w:themeColor="text1"/>
          <w:sz w:val="24"/>
        </w:rPr>
        <w:t xml:space="preserve"> within 14 days and shall also be informed to Income Tax Authorities.</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lastRenderedPageBreak/>
        <w:t>From the date of resolution appointing liquidator, the powers of the Board/MD/WTD/Manager/Secretary shall cease except for giving notice to ROC regarding appointment of liquidator.</w:t>
      </w:r>
    </w:p>
    <w:p w:rsidR="00765FD4" w:rsidRDefault="00765FD4" w:rsidP="00D35589">
      <w:pPr>
        <w:pStyle w:val="HANG"/>
        <w:numPr>
          <w:ilvl w:val="0"/>
          <w:numId w:val="51"/>
        </w:numPr>
        <w:spacing w:line="276" w:lineRule="auto"/>
        <w:ind w:left="720" w:hanging="540"/>
        <w:rPr>
          <w:rFonts w:ascii="Bookman Old Style" w:hAnsi="Bookman Old Style"/>
          <w:b/>
          <w:color w:val="000000" w:themeColor="text1"/>
          <w:sz w:val="24"/>
        </w:rPr>
      </w:pPr>
      <w:r>
        <w:rPr>
          <w:rFonts w:ascii="Bookman Old Style" w:hAnsi="Bookman Old Style"/>
          <w:color w:val="000000" w:themeColor="text1"/>
          <w:sz w:val="24"/>
        </w:rPr>
        <w:t xml:space="preserve">Liquidator is required to call </w:t>
      </w:r>
      <w:r w:rsidRPr="00765FD4">
        <w:rPr>
          <w:rFonts w:ascii="Bookman Old Style" w:hAnsi="Bookman Old Style"/>
          <w:b/>
          <w:color w:val="000000" w:themeColor="text1"/>
          <w:sz w:val="24"/>
        </w:rPr>
        <w:t>General Meeting of the Members</w:t>
      </w:r>
      <w:r>
        <w:rPr>
          <w:rFonts w:ascii="Bookman Old Style" w:hAnsi="Bookman Old Style"/>
          <w:color w:val="000000" w:themeColor="text1"/>
          <w:sz w:val="24"/>
        </w:rPr>
        <w:t xml:space="preserve"> at the end of the First Year from commencement of Winding Up and also at the end of Subsequent Years, within 3 months from the end of the Year and </w:t>
      </w:r>
      <w:r w:rsidRPr="00765FD4">
        <w:rPr>
          <w:rFonts w:ascii="Bookman Old Style" w:hAnsi="Bookman Old Style"/>
          <w:b/>
          <w:color w:val="000000" w:themeColor="text1"/>
          <w:sz w:val="24"/>
        </w:rPr>
        <w:t>lay before the meeting a statement of his acts and dealings.</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sidRPr="00765FD4">
        <w:rPr>
          <w:rFonts w:ascii="Bookman Old Style" w:hAnsi="Bookman Old Style"/>
          <w:color w:val="000000" w:themeColor="text1"/>
          <w:sz w:val="24"/>
        </w:rPr>
        <w:t xml:space="preserve">After </w:t>
      </w:r>
      <w:r>
        <w:rPr>
          <w:rFonts w:ascii="Bookman Old Style" w:hAnsi="Bookman Old Style"/>
          <w:color w:val="000000" w:themeColor="text1"/>
          <w:sz w:val="24"/>
        </w:rPr>
        <w:t xml:space="preserve">the affairs are wound up, the liquidator has to make an </w:t>
      </w:r>
      <w:r w:rsidR="006C6CD6" w:rsidRPr="006C6CD6">
        <w:rPr>
          <w:rFonts w:ascii="Bookman Old Style" w:hAnsi="Bookman Old Style"/>
          <w:b/>
          <w:color w:val="000000" w:themeColor="text1"/>
          <w:sz w:val="24"/>
        </w:rPr>
        <w:t>A</w:t>
      </w:r>
      <w:r w:rsidRPr="006C6CD6">
        <w:rPr>
          <w:rFonts w:ascii="Bookman Old Style" w:hAnsi="Bookman Old Style"/>
          <w:b/>
          <w:color w:val="000000" w:themeColor="text1"/>
          <w:sz w:val="24"/>
        </w:rPr>
        <w:t>ccount of winding up, summon general meeting</w:t>
      </w:r>
      <w:r>
        <w:rPr>
          <w:rFonts w:ascii="Bookman Old Style" w:hAnsi="Bookman Old Style"/>
          <w:color w:val="000000" w:themeColor="text1"/>
          <w:sz w:val="24"/>
        </w:rPr>
        <w:t xml:space="preserve"> at 1 Month Notice. Notice shall be published in the Official Gazette and also in Newspaper.</w:t>
      </w:r>
    </w:p>
    <w:p w:rsidR="00765FD4" w:rsidRDefault="00765FD4"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 xml:space="preserve">Within 1 Week of the Meeting, </w:t>
      </w:r>
      <w:r w:rsidRPr="006C6CD6">
        <w:rPr>
          <w:rFonts w:ascii="Bookman Old Style" w:hAnsi="Bookman Old Style"/>
          <w:b/>
          <w:color w:val="000000" w:themeColor="text1"/>
          <w:sz w:val="24"/>
        </w:rPr>
        <w:t>Copy of Account should be sent to the Registrar/Official Liquidator</w:t>
      </w:r>
      <w:r>
        <w:rPr>
          <w:rFonts w:ascii="Bookman Old Style" w:hAnsi="Bookman Old Style"/>
          <w:color w:val="000000" w:themeColor="text1"/>
          <w:sz w:val="24"/>
        </w:rPr>
        <w:t>. ROC shall register them on the basis of scrutiny made by the Official Liquidator.</w:t>
      </w:r>
    </w:p>
    <w:p w:rsidR="00765FD4" w:rsidRDefault="006C6CD6" w:rsidP="00D35589">
      <w:pPr>
        <w:pStyle w:val="HANG"/>
        <w:numPr>
          <w:ilvl w:val="0"/>
          <w:numId w:val="51"/>
        </w:numPr>
        <w:spacing w:line="276" w:lineRule="auto"/>
        <w:ind w:left="720" w:hanging="540"/>
        <w:rPr>
          <w:rFonts w:ascii="Bookman Old Style" w:hAnsi="Bookman Old Style"/>
          <w:color w:val="000000" w:themeColor="text1"/>
          <w:sz w:val="24"/>
        </w:rPr>
      </w:pPr>
      <w:r>
        <w:rPr>
          <w:rFonts w:ascii="Bookman Old Style" w:hAnsi="Bookman Old Style"/>
          <w:color w:val="000000" w:themeColor="text1"/>
          <w:sz w:val="24"/>
        </w:rPr>
        <w:t>From the date of submission of the report to the Court by the Official Liquidator, stating that the affairs have not been conducted in a manner prejudicial to public interest, Company shall be deemed to be dissolved.</w:t>
      </w:r>
    </w:p>
    <w:p w:rsidR="008C6B9A" w:rsidRDefault="008C6B9A" w:rsidP="008C6B9A">
      <w:pPr>
        <w:pStyle w:val="HANG"/>
        <w:spacing w:line="276" w:lineRule="auto"/>
        <w:rPr>
          <w:rFonts w:ascii="Bookman Old Style" w:hAnsi="Bookman Old Style"/>
          <w:color w:val="000000" w:themeColor="text1"/>
          <w:sz w:val="24"/>
        </w:rPr>
      </w:pPr>
    </w:p>
    <w:p w:rsidR="008C6B9A" w:rsidRPr="003612CD" w:rsidRDefault="008C6B9A" w:rsidP="008C6B9A">
      <w:pPr>
        <w:pStyle w:val="HANG"/>
        <w:spacing w:line="240" w:lineRule="auto"/>
        <w:ind w:left="0" w:firstLine="360"/>
        <w:contextualSpacing/>
        <w:rPr>
          <w:rFonts w:ascii="Copperplate Gothic Bold" w:hAnsi="Copperplate Gothic Bold"/>
          <w:b/>
          <w:color w:val="000000" w:themeColor="text1"/>
          <w:sz w:val="32"/>
          <w:u w:val="single"/>
        </w:rPr>
      </w:pPr>
      <w:r w:rsidRPr="003612CD">
        <w:rPr>
          <w:rFonts w:ascii="Copperplate Gothic Bold" w:hAnsi="Copperplate Gothic Bold"/>
          <w:b/>
          <w:color w:val="000000" w:themeColor="text1"/>
          <w:sz w:val="32"/>
          <w:u w:val="single"/>
        </w:rPr>
        <w:t xml:space="preserve">Procedure for </w:t>
      </w:r>
      <w:r>
        <w:rPr>
          <w:rFonts w:ascii="Copperplate Gothic Bold" w:hAnsi="Copperplate Gothic Bold"/>
          <w:b/>
          <w:color w:val="000000" w:themeColor="text1"/>
          <w:sz w:val="32"/>
          <w:u w:val="single"/>
        </w:rPr>
        <w:t xml:space="preserve">Creditor’s </w:t>
      </w:r>
      <w:r w:rsidRPr="003612CD">
        <w:rPr>
          <w:rFonts w:ascii="Copperplate Gothic Bold" w:hAnsi="Copperplate Gothic Bold"/>
          <w:b/>
          <w:color w:val="000000" w:themeColor="text1"/>
          <w:sz w:val="32"/>
          <w:u w:val="single"/>
        </w:rPr>
        <w:t>Voluntary Winding Up</w:t>
      </w:r>
    </w:p>
    <w:p w:rsidR="008C6B9A" w:rsidRDefault="008C6B9A" w:rsidP="008C6B9A">
      <w:pPr>
        <w:pStyle w:val="HANG"/>
        <w:spacing w:line="276" w:lineRule="auto"/>
        <w:rPr>
          <w:rFonts w:ascii="Bookman Old Style" w:hAnsi="Bookman Old Style"/>
          <w:color w:val="000000" w:themeColor="text1"/>
          <w:sz w:val="24"/>
        </w:rPr>
      </w:pPr>
    </w:p>
    <w:p w:rsidR="008C6B9A" w:rsidRPr="00885E66" w:rsidRDefault="008C6B9A" w:rsidP="00E352CE">
      <w:pPr>
        <w:pStyle w:val="HANG"/>
        <w:numPr>
          <w:ilvl w:val="0"/>
          <w:numId w:val="76"/>
        </w:numPr>
        <w:ind w:left="720" w:hanging="540"/>
        <w:rPr>
          <w:rFonts w:ascii="Bookman Old Style" w:hAnsi="Bookman Old Style"/>
          <w:color w:val="000000" w:themeColor="text1"/>
          <w:sz w:val="24"/>
        </w:rPr>
      </w:pPr>
      <w:r w:rsidRPr="00885E66">
        <w:rPr>
          <w:rFonts w:ascii="Bookman Old Style" w:hAnsi="Bookman Old Style"/>
          <w:color w:val="000000" w:themeColor="text1"/>
          <w:sz w:val="24"/>
          <w:lang w:val="en-GB"/>
        </w:rPr>
        <w:t xml:space="preserve">Where the Board of directors </w:t>
      </w:r>
      <w:r w:rsidRPr="00885E66">
        <w:rPr>
          <w:rFonts w:ascii="Bookman Old Style" w:hAnsi="Bookman Old Style"/>
          <w:color w:val="000000" w:themeColor="text1"/>
          <w:sz w:val="24"/>
          <w:u w:val="single"/>
          <w:lang w:val="en-GB"/>
        </w:rPr>
        <w:t>does not file a declaration</w:t>
      </w:r>
      <w:r w:rsidRPr="00885E66">
        <w:rPr>
          <w:rFonts w:ascii="Bookman Old Style" w:hAnsi="Bookman Old Style"/>
          <w:color w:val="000000" w:themeColor="text1"/>
          <w:sz w:val="24"/>
          <w:lang w:val="en-GB"/>
        </w:rPr>
        <w:t xml:space="preserve"> as to </w:t>
      </w:r>
      <w:r w:rsidRPr="00885E66">
        <w:rPr>
          <w:rFonts w:ascii="Bookman Old Style" w:hAnsi="Bookman Old Style"/>
          <w:color w:val="000000" w:themeColor="text1"/>
          <w:sz w:val="24"/>
          <w:u w:val="single"/>
          <w:lang w:val="en-GB"/>
        </w:rPr>
        <w:t>solvency of</w:t>
      </w:r>
      <w:r w:rsidRPr="00885E66">
        <w:rPr>
          <w:rFonts w:ascii="Bookman Old Style" w:hAnsi="Bookman Old Style"/>
          <w:color w:val="000000" w:themeColor="text1"/>
          <w:sz w:val="24"/>
          <w:lang w:val="en-GB"/>
        </w:rPr>
        <w:t xml:space="preserve">  the company, the voluntary winding up is called  the Creditors voluntary winding up. </w:t>
      </w:r>
    </w:p>
    <w:p w:rsidR="008C6B9A" w:rsidRPr="00885E66" w:rsidRDefault="008C6B9A" w:rsidP="00E352CE">
      <w:pPr>
        <w:pStyle w:val="HANG"/>
        <w:numPr>
          <w:ilvl w:val="0"/>
          <w:numId w:val="76"/>
        </w:numPr>
        <w:ind w:left="720" w:hanging="540"/>
        <w:rPr>
          <w:rFonts w:ascii="Bookman Old Style" w:hAnsi="Bookman Old Style"/>
          <w:color w:val="000000" w:themeColor="text1"/>
          <w:sz w:val="24"/>
        </w:rPr>
      </w:pPr>
      <w:r w:rsidRPr="00885E66">
        <w:rPr>
          <w:rFonts w:ascii="Bookman Old Style" w:hAnsi="Bookman Old Style"/>
          <w:color w:val="000000" w:themeColor="text1"/>
          <w:sz w:val="24"/>
          <w:lang w:val="en-GB"/>
        </w:rPr>
        <w:t>If the members and creditors nominate two different pe</w:t>
      </w:r>
      <w:r>
        <w:rPr>
          <w:rFonts w:ascii="Bookman Old Style" w:hAnsi="Bookman Old Style"/>
          <w:color w:val="000000" w:themeColor="text1"/>
          <w:sz w:val="24"/>
          <w:lang w:val="en-GB"/>
        </w:rPr>
        <w:t>rsons as liquidators, creditor’s</w:t>
      </w:r>
      <w:r w:rsidRPr="00885E66">
        <w:rPr>
          <w:rFonts w:ascii="Bookman Old Style" w:hAnsi="Bookman Old Style"/>
          <w:color w:val="000000" w:themeColor="text1"/>
          <w:sz w:val="24"/>
          <w:lang w:val="en-GB"/>
        </w:rPr>
        <w:t xml:space="preserve"> nominee shall become the liquidator of the company.</w:t>
      </w:r>
    </w:p>
    <w:p w:rsidR="008C6B9A" w:rsidRPr="00885E66" w:rsidRDefault="008C6B9A" w:rsidP="00E352CE">
      <w:pPr>
        <w:pStyle w:val="HANG"/>
        <w:numPr>
          <w:ilvl w:val="0"/>
          <w:numId w:val="76"/>
        </w:numPr>
        <w:ind w:left="720" w:hanging="540"/>
        <w:rPr>
          <w:rFonts w:ascii="Bookman Old Style" w:hAnsi="Bookman Old Style"/>
          <w:color w:val="000000" w:themeColor="text1"/>
          <w:sz w:val="24"/>
        </w:rPr>
      </w:pPr>
      <w:r w:rsidRPr="00885E66">
        <w:rPr>
          <w:rFonts w:ascii="Bookman Old Style" w:hAnsi="Bookman Old Style"/>
          <w:color w:val="000000" w:themeColor="text1"/>
          <w:sz w:val="24"/>
          <w:lang w:val="en-GB"/>
        </w:rPr>
        <w:t>Be</w:t>
      </w:r>
      <w:r>
        <w:rPr>
          <w:rFonts w:ascii="Bookman Old Style" w:hAnsi="Bookman Old Style"/>
          <w:color w:val="000000" w:themeColor="text1"/>
          <w:sz w:val="24"/>
          <w:lang w:val="en-GB"/>
        </w:rPr>
        <w:t>sides, in the case of creditors</w:t>
      </w:r>
      <w:r w:rsidRPr="00885E66">
        <w:rPr>
          <w:rFonts w:ascii="Bookman Old Style" w:hAnsi="Bookman Old Style"/>
          <w:color w:val="000000" w:themeColor="text1"/>
          <w:sz w:val="24"/>
          <w:lang w:val="en-GB"/>
        </w:rPr>
        <w:t xml:space="preserve"> winding up, if the creditors so wish,</w:t>
      </w:r>
      <w:r>
        <w:rPr>
          <w:rFonts w:ascii="Bookman Old Style" w:hAnsi="Bookman Old Style"/>
          <w:color w:val="000000" w:themeColor="text1"/>
          <w:sz w:val="24"/>
          <w:lang w:val="en-GB"/>
        </w:rPr>
        <w:t xml:space="preserve"> a committee of   inspection</w:t>
      </w:r>
      <w:r w:rsidRPr="00885E66">
        <w:rPr>
          <w:rFonts w:ascii="Bookman Old Style" w:hAnsi="Bookman Old Style"/>
          <w:color w:val="000000" w:themeColor="text1"/>
          <w:sz w:val="24"/>
          <w:lang w:val="en-GB"/>
        </w:rPr>
        <w:t xml:space="preserve"> may be appointed to work along with the liquidator's.</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Notice to registrar:</w:t>
      </w:r>
      <w:r w:rsidRPr="008C6B9A">
        <w:rPr>
          <w:rFonts w:ascii="Bookman Old Style" w:hAnsi="Bookman Old Style"/>
          <w:color w:val="000000" w:themeColor="text1"/>
          <w:sz w:val="24"/>
          <w:lang w:val="en-GB"/>
        </w:rPr>
        <w:t xml:space="preserve"> A company of any resolution passed at the creditors meeting must be filed with the registrar within 10 days of the passing thereof. Otherwise fine of 500 Rs per day </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Appointment of liquidator:</w:t>
      </w:r>
      <w:r w:rsidRPr="008C6B9A">
        <w:rPr>
          <w:rFonts w:ascii="Bookman Old Style" w:hAnsi="Bookman Old Style"/>
          <w:color w:val="000000" w:themeColor="text1"/>
          <w:sz w:val="24"/>
          <w:lang w:val="en-GB"/>
        </w:rPr>
        <w:t xml:space="preserve"> the creditors and the members at their respective first meeting may nominate a person to be liquidator but should take the board of directors into considerations.</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Committee of inspection:</w:t>
      </w:r>
      <w:r w:rsidRPr="008C6B9A">
        <w:rPr>
          <w:rFonts w:ascii="Bookman Old Style" w:hAnsi="Bookman Old Style"/>
          <w:color w:val="000000" w:themeColor="text1"/>
          <w:sz w:val="24"/>
          <w:lang w:val="en-GB"/>
        </w:rPr>
        <w:t xml:space="preserve"> The creditors at their first or any subsequent meeting appoint a committee of inspection of not more than 5 members.</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Fixing of liquidator’s remuneration:</w:t>
      </w:r>
      <w:r w:rsidRPr="008C6B9A">
        <w:rPr>
          <w:rFonts w:ascii="Bookman Old Style" w:hAnsi="Bookman Old Style"/>
          <w:color w:val="000000" w:themeColor="text1"/>
          <w:sz w:val="24"/>
          <w:lang w:val="en-GB"/>
        </w:rPr>
        <w:t xml:space="preserve"> the remuneration of the liquidator is fixed by the committee of inspection.</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Board’s power to cease on appointment of liquidator</w:t>
      </w:r>
      <w:r w:rsidRPr="008C6B9A">
        <w:rPr>
          <w:rFonts w:ascii="Bookman Old Style" w:hAnsi="Bookman Old Style"/>
          <w:color w:val="000000" w:themeColor="text1"/>
          <w:sz w:val="24"/>
          <w:lang w:val="en-GB"/>
        </w:rPr>
        <w:t>: all the powers of the directors should go to the liquidator.</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b/>
          <w:color w:val="000000" w:themeColor="text1"/>
          <w:sz w:val="24"/>
          <w:u w:val="single"/>
          <w:lang w:val="en-GB"/>
        </w:rPr>
        <w:t>Duty of liquidator to call meeting of company and creditors at the end of each year:</w:t>
      </w:r>
      <w:r w:rsidRPr="008C6B9A">
        <w:rPr>
          <w:rFonts w:ascii="Bookman Old Style" w:hAnsi="Bookman Old Style"/>
          <w:color w:val="000000" w:themeColor="text1"/>
          <w:sz w:val="24"/>
          <w:lang w:val="en-GB"/>
        </w:rPr>
        <w:t xml:space="preserve"> within 3 months from the end of the year.</w:t>
      </w:r>
    </w:p>
    <w:p w:rsidR="008C6B9A" w:rsidRPr="008C6B9A" w:rsidRDefault="008C6B9A" w:rsidP="00E352CE">
      <w:pPr>
        <w:pStyle w:val="HANG"/>
        <w:numPr>
          <w:ilvl w:val="0"/>
          <w:numId w:val="76"/>
        </w:numPr>
        <w:ind w:left="720" w:hanging="540"/>
        <w:rPr>
          <w:rFonts w:ascii="Bookman Old Style" w:hAnsi="Bookman Old Style"/>
          <w:color w:val="000000" w:themeColor="text1"/>
          <w:sz w:val="24"/>
          <w:lang w:val="en-GB"/>
        </w:rPr>
      </w:pPr>
      <w:r w:rsidRPr="008C6B9A">
        <w:rPr>
          <w:rFonts w:ascii="Bookman Old Style" w:hAnsi="Bookman Old Style"/>
          <w:color w:val="000000" w:themeColor="text1"/>
          <w:sz w:val="24"/>
          <w:lang w:val="en-GB"/>
        </w:rPr>
        <w:t>Final meeting and dissolution</w:t>
      </w:r>
    </w:p>
    <w:p w:rsidR="008C6B9A" w:rsidRDefault="008C6B9A" w:rsidP="008C6B9A">
      <w:pPr>
        <w:pStyle w:val="HANG"/>
        <w:spacing w:line="240" w:lineRule="auto"/>
        <w:ind w:left="0" w:firstLine="360"/>
        <w:contextualSpacing/>
        <w:rPr>
          <w:rFonts w:ascii="Copperplate Gothic Bold" w:hAnsi="Copperplate Gothic Bold"/>
          <w:b/>
          <w:color w:val="000000" w:themeColor="text1"/>
          <w:sz w:val="32"/>
          <w:u w:val="single"/>
        </w:rPr>
      </w:pPr>
      <w:r>
        <w:rPr>
          <w:rFonts w:ascii="Copperplate Gothic Bold" w:hAnsi="Copperplate Gothic Bold"/>
          <w:b/>
          <w:color w:val="000000" w:themeColor="text1"/>
          <w:sz w:val="32"/>
          <w:u w:val="single"/>
        </w:rPr>
        <w:lastRenderedPageBreak/>
        <w:t>C</w:t>
      </w:r>
      <w:r w:rsidRPr="00885E66">
        <w:rPr>
          <w:rFonts w:ascii="Copperplate Gothic Bold" w:hAnsi="Copperplate Gothic Bold"/>
          <w:b/>
          <w:color w:val="000000" w:themeColor="text1"/>
          <w:sz w:val="32"/>
          <w:u w:val="single"/>
        </w:rPr>
        <w:t>ommittee</w:t>
      </w:r>
      <w:r>
        <w:rPr>
          <w:rFonts w:ascii="Copperplate Gothic Bold" w:hAnsi="Copperplate Gothic Bold"/>
          <w:b/>
          <w:color w:val="000000" w:themeColor="text1"/>
          <w:sz w:val="32"/>
          <w:u w:val="single"/>
        </w:rPr>
        <w:t xml:space="preserve"> of Inspection</w:t>
      </w:r>
    </w:p>
    <w:p w:rsidR="008C6B9A" w:rsidRPr="008C6B9A" w:rsidRDefault="008C6B9A" w:rsidP="008C6B9A">
      <w:pPr>
        <w:pStyle w:val="HANG"/>
        <w:spacing w:line="240" w:lineRule="auto"/>
        <w:ind w:left="0" w:firstLine="360"/>
        <w:contextualSpacing/>
        <w:rPr>
          <w:rFonts w:ascii="Copperplate Gothic Bold" w:hAnsi="Copperplate Gothic Bold"/>
          <w:b/>
          <w:color w:val="000000" w:themeColor="text1"/>
          <w:sz w:val="32"/>
          <w:u w:val="single"/>
        </w:rPr>
      </w:pPr>
    </w:p>
    <w:p w:rsidR="008C6B9A" w:rsidRP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Court may, at the time of making an order for the winding up of a company or at any time thereafter, direct that there shall be appointed a committee of inspection to act with the liquidator. </w:t>
      </w:r>
    </w:p>
    <w:p w:rsidR="008C6B9A" w:rsidRPr="00885E66"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liquidator shall then within 2 months from the date of such direction convene a meeting of the creditors of the company for the purpose of determining the membership of the committee. </w:t>
      </w:r>
    </w:p>
    <w:p w:rsidR="008C6B9A" w:rsidRP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Within 14 days of the creditor</w:t>
      </w:r>
      <w:r w:rsidRPr="008C6B9A">
        <w:rPr>
          <w:rFonts w:ascii="Bookman Old Style" w:hAnsi="Bookman Old Style"/>
          <w:color w:val="000000" w:themeColor="text1"/>
          <w:sz w:val="24"/>
        </w:rPr>
        <w:t>’</w:t>
      </w:r>
      <w:r w:rsidRPr="00885E66">
        <w:rPr>
          <w:rFonts w:ascii="Bookman Old Style" w:hAnsi="Bookman Old Style"/>
          <w:color w:val="000000" w:themeColor="text1"/>
          <w:sz w:val="24"/>
        </w:rPr>
        <w:t xml:space="preserve">s meeting, the liquidator shall call a meeting of the contributories to consider the decision of the creditors with respect to the membership of the committee. </w:t>
      </w:r>
    </w:p>
    <w:p w:rsidR="008C6B9A" w:rsidRPr="00885E66"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contributories may accept the decision of the creditors with or without modification or reject it. If the contributories do not accept the decision of the creditors, the liquidator shall apply to the Court for directions as to what shall be the composition of the committee and who shall be its members. </w:t>
      </w:r>
    </w:p>
    <w:p w:rsidR="008C6B9A" w:rsidRPr="008C6B9A" w:rsidRDefault="008C6B9A" w:rsidP="008C6B9A">
      <w:pPr>
        <w:spacing w:before="100" w:beforeAutospacing="1" w:after="120" w:line="240" w:lineRule="auto"/>
        <w:ind w:firstLine="720"/>
        <w:jc w:val="both"/>
        <w:rPr>
          <w:rFonts w:ascii="Bookman Old Style" w:eastAsia="Times New Roman" w:hAnsi="Bookman Old Style" w:cs="Times New Roman"/>
          <w:b/>
          <w:color w:val="000000" w:themeColor="text1"/>
          <w:spacing w:val="4"/>
          <w:sz w:val="24"/>
          <w:szCs w:val="24"/>
          <w:u w:val="single"/>
        </w:rPr>
      </w:pPr>
      <w:r w:rsidRPr="00885E66">
        <w:rPr>
          <w:rFonts w:ascii="Bookman Old Style" w:eastAsia="Times New Roman" w:hAnsi="Bookman Old Style" w:cs="Times New Roman"/>
          <w:b/>
          <w:color w:val="000000" w:themeColor="text1"/>
          <w:spacing w:val="4"/>
          <w:sz w:val="24"/>
          <w:szCs w:val="24"/>
          <w:u w:val="single"/>
        </w:rPr>
        <w:t xml:space="preserve">Constitution and proceedings of the </w:t>
      </w:r>
      <w:r w:rsidRPr="008C6B9A">
        <w:rPr>
          <w:rFonts w:ascii="Bookman Old Style" w:eastAsia="Times New Roman" w:hAnsi="Bookman Old Style" w:cs="Times New Roman"/>
          <w:b/>
          <w:color w:val="000000" w:themeColor="text1"/>
          <w:spacing w:val="4"/>
          <w:sz w:val="24"/>
          <w:szCs w:val="24"/>
          <w:u w:val="single"/>
        </w:rPr>
        <w:t>C</w:t>
      </w:r>
      <w:r w:rsidRPr="00885E66">
        <w:rPr>
          <w:rFonts w:ascii="Bookman Old Style" w:eastAsia="Times New Roman" w:hAnsi="Bookman Old Style" w:cs="Times New Roman"/>
          <w:b/>
          <w:color w:val="000000" w:themeColor="text1"/>
          <w:spacing w:val="4"/>
          <w:sz w:val="24"/>
          <w:szCs w:val="24"/>
          <w:u w:val="single"/>
        </w:rPr>
        <w:t>ommittee</w:t>
      </w:r>
      <w:r>
        <w:rPr>
          <w:rFonts w:ascii="Bookman Old Style" w:eastAsia="Times New Roman" w:hAnsi="Bookman Old Style" w:cs="Times New Roman"/>
          <w:b/>
          <w:color w:val="000000" w:themeColor="text1"/>
          <w:spacing w:val="4"/>
          <w:sz w:val="24"/>
          <w:szCs w:val="24"/>
          <w:u w:val="single"/>
        </w:rPr>
        <w:t xml:space="preserve"> </w:t>
      </w:r>
    </w:p>
    <w:p w:rsid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committee of inspection shall not have more than 12 members. The members shall be creditors and contributories of the company in such proportions as may be agreed on by the meetings of creditors and contributories. </w:t>
      </w:r>
    </w:p>
    <w:p w:rsidR="008C6B9A" w:rsidRPr="00885E66" w:rsidRDefault="008C6B9A" w:rsidP="008C6B9A">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I</w:t>
      </w:r>
      <w:r w:rsidRPr="00885E66">
        <w:rPr>
          <w:rFonts w:ascii="Bookman Old Style" w:hAnsi="Bookman Old Style"/>
          <w:color w:val="000000" w:themeColor="text1"/>
          <w:sz w:val="24"/>
        </w:rPr>
        <w:t>n case of difference of opinion between creditors and contributories, the proportion shall be determined by the Court.</w:t>
      </w:r>
    </w:p>
    <w:p w:rsidR="008C6B9A" w:rsidRP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committee of inspection shall have the right to inspect the accounts of the liquidator at all reasonable times. It shall meet at appointed times. </w:t>
      </w:r>
    </w:p>
    <w:p w:rsidR="008C6B9A" w:rsidRP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liquidator or any member of the committee may also call its meeting as and when he thinks necessary. </w:t>
      </w:r>
    </w:p>
    <w:p w:rsidR="008C6B9A" w:rsidRPr="008C6B9A"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 xml:space="preserve">The quorum of its meeting shall be 1/3rd of the total number of the members or 2 whichever is higher. </w:t>
      </w:r>
    </w:p>
    <w:p w:rsidR="008C6B9A" w:rsidRPr="00885E66" w:rsidRDefault="008C6B9A" w:rsidP="008C6B9A">
      <w:pPr>
        <w:pStyle w:val="HANG"/>
        <w:numPr>
          <w:ilvl w:val="0"/>
          <w:numId w:val="49"/>
        </w:numPr>
        <w:spacing w:line="276" w:lineRule="auto"/>
        <w:ind w:left="720"/>
        <w:rPr>
          <w:rFonts w:ascii="Bookman Old Style" w:hAnsi="Bookman Old Style"/>
          <w:color w:val="000000" w:themeColor="text1"/>
          <w:sz w:val="24"/>
        </w:rPr>
      </w:pPr>
      <w:r w:rsidRPr="00885E66">
        <w:rPr>
          <w:rFonts w:ascii="Bookman Old Style" w:hAnsi="Bookman Old Style"/>
          <w:color w:val="000000" w:themeColor="text1"/>
          <w:sz w:val="24"/>
        </w:rPr>
        <w:t>It may act by a majority of its members present at a meeting, but it shall not act unless a quorum is present.</w:t>
      </w:r>
    </w:p>
    <w:p w:rsidR="008C6B9A" w:rsidRDefault="008C6B9A" w:rsidP="008C6B9A">
      <w:pPr>
        <w:pStyle w:val="HANG"/>
        <w:spacing w:line="276" w:lineRule="auto"/>
        <w:rPr>
          <w:rFonts w:ascii="Bookman Old Style" w:hAnsi="Bookman Old Style"/>
          <w:color w:val="000000" w:themeColor="text1"/>
          <w:sz w:val="24"/>
        </w:rPr>
      </w:pPr>
    </w:p>
    <w:p w:rsidR="006C6CD6" w:rsidRPr="006C6CD6" w:rsidRDefault="006C6CD6" w:rsidP="006C6CD6">
      <w:pPr>
        <w:pStyle w:val="HANG"/>
        <w:spacing w:line="240" w:lineRule="auto"/>
        <w:ind w:left="0" w:firstLine="360"/>
        <w:contextualSpacing/>
        <w:rPr>
          <w:rFonts w:ascii="Copperplate Gothic Bold" w:hAnsi="Copperplate Gothic Bold"/>
          <w:b/>
          <w:color w:val="000000" w:themeColor="text1"/>
          <w:sz w:val="32"/>
          <w:u w:val="single"/>
        </w:rPr>
      </w:pPr>
      <w:r w:rsidRPr="006C6CD6">
        <w:rPr>
          <w:rFonts w:ascii="Copperplate Gothic Bold" w:hAnsi="Copperplate Gothic Bold"/>
          <w:b/>
          <w:color w:val="000000" w:themeColor="text1"/>
          <w:sz w:val="32"/>
          <w:u w:val="single"/>
        </w:rPr>
        <w:t>Declaration of Solvency</w:t>
      </w:r>
    </w:p>
    <w:p w:rsidR="00F0352A" w:rsidRDefault="00F0352A" w:rsidP="00D731A2">
      <w:pPr>
        <w:pStyle w:val="HANG"/>
        <w:tabs>
          <w:tab w:val="left" w:pos="360"/>
        </w:tabs>
        <w:spacing w:line="240" w:lineRule="auto"/>
        <w:ind w:left="274" w:firstLine="0"/>
        <w:contextualSpacing/>
        <w:rPr>
          <w:rFonts w:ascii="Bookman Old Style" w:hAnsi="Bookman Old Style"/>
          <w:color w:val="000000" w:themeColor="text1"/>
          <w:sz w:val="24"/>
        </w:rPr>
      </w:pPr>
    </w:p>
    <w:p w:rsidR="006C6CD6" w:rsidRPr="006C6CD6" w:rsidRDefault="006C6CD6" w:rsidP="00D35589">
      <w:pPr>
        <w:pStyle w:val="HANG"/>
        <w:numPr>
          <w:ilvl w:val="0"/>
          <w:numId w:val="49"/>
        </w:numPr>
        <w:spacing w:line="276" w:lineRule="auto"/>
        <w:ind w:left="720"/>
        <w:rPr>
          <w:rFonts w:ascii="Bookman Old Style" w:hAnsi="Bookman Old Style"/>
          <w:color w:val="000000" w:themeColor="text1"/>
          <w:sz w:val="24"/>
        </w:rPr>
      </w:pPr>
      <w:r w:rsidRPr="006C6CD6">
        <w:rPr>
          <w:rFonts w:ascii="Bookman Old Style" w:hAnsi="Bookman Old Style"/>
          <w:color w:val="000000" w:themeColor="text1"/>
          <w:sz w:val="24"/>
        </w:rPr>
        <w:t>Declaration of Solvency shall be made by a majority of the Directors or all of the Directors if there are only 2 directors.</w:t>
      </w:r>
      <w:r>
        <w:rPr>
          <w:rFonts w:ascii="Bookman Old Style" w:hAnsi="Bookman Old Style"/>
          <w:color w:val="000000" w:themeColor="text1"/>
          <w:sz w:val="24"/>
        </w:rPr>
        <w:t xml:space="preserve"> </w:t>
      </w:r>
      <w:r w:rsidRPr="006C6CD6">
        <w:rPr>
          <w:rFonts w:ascii="Bookman Old Style" w:hAnsi="Bookman Old Style"/>
          <w:color w:val="000000" w:themeColor="text1"/>
          <w:sz w:val="24"/>
        </w:rPr>
        <w:t>It shall be verified by an affidavit.</w:t>
      </w:r>
    </w:p>
    <w:p w:rsidR="006C6CD6" w:rsidRDefault="006C6CD6"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The declaration must specify that the directors have made a full enquiry into the affairs of the Company.</w:t>
      </w:r>
    </w:p>
    <w:p w:rsidR="006C6CD6" w:rsidRDefault="006C6CD6"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lastRenderedPageBreak/>
        <w:t>It shall be made within 5 Weeks immediately preceding the date of passing of resolution for Voluntary Winding Up.</w:t>
      </w:r>
    </w:p>
    <w:p w:rsidR="006C6CD6" w:rsidRDefault="006C6CD6"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It shall be accompanied by a copy of Auditor’s Report on the P&amp;L Account and Balance Sheet.</w:t>
      </w:r>
    </w:p>
    <w:p w:rsidR="006C6CD6" w:rsidRDefault="006C6CD6"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The Report shall also contain a statement of assets and liabilities of the Company as on the latest practicable date immediately before the date of declaration of solvency.</w:t>
      </w:r>
    </w:p>
    <w:p w:rsidR="006C6CD6" w:rsidRDefault="006C6CD6" w:rsidP="00D35589">
      <w:pPr>
        <w:pStyle w:val="HANG"/>
        <w:numPr>
          <w:ilvl w:val="0"/>
          <w:numId w:val="49"/>
        </w:numPr>
        <w:spacing w:line="276"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Where the </w:t>
      </w:r>
      <w:r w:rsidRPr="006C6CD6">
        <w:rPr>
          <w:rFonts w:ascii="Bookman Old Style" w:hAnsi="Bookman Old Style"/>
          <w:color w:val="000000" w:themeColor="text1"/>
          <w:sz w:val="24"/>
        </w:rPr>
        <w:t>Declaration of Solvency</w:t>
      </w:r>
      <w:r>
        <w:rPr>
          <w:rFonts w:ascii="Bookman Old Style" w:hAnsi="Bookman Old Style"/>
          <w:color w:val="000000" w:themeColor="text1"/>
          <w:sz w:val="24"/>
        </w:rPr>
        <w:t xml:space="preserve"> is not made in accordance with the law, the resolution for winding up and all subsequent proceedings will be null and Void.</w:t>
      </w:r>
    </w:p>
    <w:p w:rsidR="0016191C" w:rsidRDefault="0016191C" w:rsidP="00AB097A">
      <w:pPr>
        <w:pStyle w:val="HANG"/>
        <w:spacing w:line="240" w:lineRule="auto"/>
        <w:ind w:left="0" w:firstLine="720"/>
        <w:contextualSpacing/>
        <w:rPr>
          <w:rFonts w:ascii="Copperplate Gothic Bold" w:hAnsi="Copperplate Gothic Bold"/>
          <w:b/>
          <w:color w:val="000000" w:themeColor="text1"/>
          <w:sz w:val="32"/>
          <w:u w:val="single"/>
        </w:rPr>
      </w:pPr>
    </w:p>
    <w:p w:rsidR="00804C1F" w:rsidRDefault="00804C1F" w:rsidP="00AB097A">
      <w:pPr>
        <w:pStyle w:val="HANG"/>
        <w:spacing w:line="240" w:lineRule="auto"/>
        <w:ind w:left="0" w:firstLine="720"/>
        <w:contextualSpacing/>
        <w:rPr>
          <w:rFonts w:ascii="Copperplate Gothic Bold" w:hAnsi="Copperplate Gothic Bold"/>
          <w:b/>
          <w:color w:val="000000" w:themeColor="text1"/>
          <w:sz w:val="32"/>
          <w:u w:val="single"/>
        </w:rPr>
      </w:pPr>
      <w:r w:rsidRPr="00AB097A">
        <w:rPr>
          <w:rFonts w:ascii="Copperplate Gothic Bold" w:hAnsi="Copperplate Gothic Bold"/>
          <w:b/>
          <w:color w:val="000000" w:themeColor="text1"/>
          <w:sz w:val="32"/>
          <w:u w:val="single"/>
        </w:rPr>
        <w:t>Contributory</w:t>
      </w:r>
    </w:p>
    <w:p w:rsidR="00AB097A" w:rsidRPr="00AB097A" w:rsidRDefault="00AB097A" w:rsidP="00AB097A">
      <w:pPr>
        <w:pStyle w:val="HANG"/>
        <w:spacing w:line="240" w:lineRule="auto"/>
        <w:ind w:left="0" w:firstLine="720"/>
        <w:contextualSpacing/>
        <w:rPr>
          <w:rFonts w:ascii="Copperplate Gothic Bold" w:hAnsi="Copperplate Gothic Bold"/>
          <w:b/>
          <w:color w:val="000000" w:themeColor="text1"/>
          <w:sz w:val="18"/>
          <w:u w:val="single"/>
        </w:rPr>
      </w:pPr>
    </w:p>
    <w:p w:rsidR="00AB097A" w:rsidRDefault="00804C1F" w:rsidP="00804C1F">
      <w:pPr>
        <w:pStyle w:val="HANG"/>
        <w:numPr>
          <w:ilvl w:val="0"/>
          <w:numId w:val="9"/>
        </w:numPr>
        <w:tabs>
          <w:tab w:val="left" w:pos="360"/>
        </w:tabs>
        <w:spacing w:line="240" w:lineRule="auto"/>
        <w:ind w:left="720" w:hanging="446"/>
        <w:rPr>
          <w:rFonts w:ascii="Bookman Old Style" w:hAnsi="Bookman Old Style"/>
          <w:color w:val="000000" w:themeColor="text1"/>
          <w:sz w:val="24"/>
        </w:rPr>
      </w:pPr>
      <w:r>
        <w:rPr>
          <w:rFonts w:ascii="Bookman Old Style" w:hAnsi="Bookman Old Style"/>
          <w:color w:val="000000" w:themeColor="text1"/>
          <w:sz w:val="24"/>
        </w:rPr>
        <w:t>The term Contributory means every person liable to contribute to the assets of the Company in the event of its being wound up</w:t>
      </w:r>
      <w:r w:rsidR="00AB097A">
        <w:rPr>
          <w:rFonts w:ascii="Bookman Old Style" w:hAnsi="Bookman Old Style"/>
          <w:color w:val="000000" w:themeColor="text1"/>
          <w:sz w:val="24"/>
        </w:rPr>
        <w:t>.</w:t>
      </w:r>
    </w:p>
    <w:p w:rsidR="00AB097A" w:rsidRDefault="00AB097A" w:rsidP="00804C1F">
      <w:pPr>
        <w:pStyle w:val="HANG"/>
        <w:numPr>
          <w:ilvl w:val="0"/>
          <w:numId w:val="9"/>
        </w:numPr>
        <w:tabs>
          <w:tab w:val="left" w:pos="360"/>
        </w:tabs>
        <w:spacing w:line="240" w:lineRule="auto"/>
        <w:ind w:left="720" w:hanging="446"/>
        <w:rPr>
          <w:rFonts w:ascii="Bookman Old Style" w:hAnsi="Bookman Old Style"/>
          <w:color w:val="000000" w:themeColor="text1"/>
          <w:sz w:val="24"/>
        </w:rPr>
      </w:pPr>
      <w:r>
        <w:rPr>
          <w:rFonts w:ascii="Bookman Old Style" w:hAnsi="Bookman Old Style"/>
          <w:color w:val="000000" w:themeColor="text1"/>
          <w:sz w:val="24"/>
        </w:rPr>
        <w:t xml:space="preserve">It </w:t>
      </w:r>
      <w:r w:rsidR="00804C1F">
        <w:rPr>
          <w:rFonts w:ascii="Bookman Old Style" w:hAnsi="Bookman Old Style"/>
          <w:color w:val="000000" w:themeColor="text1"/>
          <w:sz w:val="24"/>
        </w:rPr>
        <w:t>includes</w:t>
      </w:r>
      <w:r>
        <w:rPr>
          <w:rFonts w:ascii="Bookman Old Style" w:hAnsi="Bookman Old Style"/>
          <w:color w:val="000000" w:themeColor="text1"/>
          <w:sz w:val="24"/>
        </w:rPr>
        <w:t xml:space="preserve"> – </w:t>
      </w:r>
    </w:p>
    <w:p w:rsidR="00804C1F" w:rsidRDefault="00AB097A" w:rsidP="00D35589">
      <w:pPr>
        <w:pStyle w:val="HANG"/>
        <w:numPr>
          <w:ilvl w:val="0"/>
          <w:numId w:val="52"/>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T</w:t>
      </w:r>
      <w:r w:rsidR="00804C1F">
        <w:rPr>
          <w:rFonts w:ascii="Bookman Old Style" w:hAnsi="Bookman Old Style"/>
          <w:color w:val="000000" w:themeColor="text1"/>
          <w:sz w:val="24"/>
        </w:rPr>
        <w:t>he holder of fully paid shares.</w:t>
      </w:r>
    </w:p>
    <w:p w:rsidR="00AB097A" w:rsidRDefault="00AB097A" w:rsidP="00D35589">
      <w:pPr>
        <w:pStyle w:val="HANG"/>
        <w:numPr>
          <w:ilvl w:val="0"/>
          <w:numId w:val="52"/>
        </w:numPr>
        <w:tabs>
          <w:tab w:val="left" w:pos="360"/>
        </w:tabs>
        <w:spacing w:line="240" w:lineRule="auto"/>
        <w:rPr>
          <w:rFonts w:ascii="Bookman Old Style" w:hAnsi="Bookman Old Style"/>
          <w:color w:val="000000" w:themeColor="text1"/>
          <w:sz w:val="24"/>
        </w:rPr>
      </w:pPr>
      <w:r>
        <w:rPr>
          <w:rFonts w:ascii="Bookman Old Style" w:hAnsi="Bookman Old Style"/>
          <w:color w:val="000000" w:themeColor="text1"/>
          <w:sz w:val="24"/>
        </w:rPr>
        <w:t>An alleged Contributory for the purpose of proceedings prior to final determination of persons who are to be deemed as contributories.</w:t>
      </w:r>
    </w:p>
    <w:p w:rsidR="00AB097A" w:rsidRPr="00AB097A" w:rsidRDefault="00AB097A" w:rsidP="00804C1F">
      <w:pPr>
        <w:pStyle w:val="HANG"/>
        <w:tabs>
          <w:tab w:val="left" w:pos="360"/>
        </w:tabs>
        <w:spacing w:line="240" w:lineRule="auto"/>
        <w:ind w:left="720" w:firstLine="0"/>
        <w:rPr>
          <w:rFonts w:ascii="Bookman Old Style" w:hAnsi="Bookman Old Style"/>
          <w:b/>
          <w:color w:val="000000" w:themeColor="text1"/>
          <w:sz w:val="10"/>
          <w:u w:val="single"/>
        </w:rPr>
      </w:pPr>
    </w:p>
    <w:p w:rsidR="00804C1F" w:rsidRDefault="00804C1F" w:rsidP="00804C1F">
      <w:pPr>
        <w:pStyle w:val="HANG"/>
        <w:tabs>
          <w:tab w:val="left" w:pos="360"/>
        </w:tabs>
        <w:spacing w:line="240" w:lineRule="auto"/>
        <w:ind w:left="720" w:firstLine="0"/>
        <w:rPr>
          <w:rFonts w:ascii="Bookman Old Style" w:hAnsi="Bookman Old Style"/>
          <w:color w:val="000000" w:themeColor="text1"/>
          <w:sz w:val="24"/>
        </w:rPr>
      </w:pPr>
      <w:r w:rsidRPr="00804C1F">
        <w:rPr>
          <w:rFonts w:ascii="Bookman Old Style" w:hAnsi="Bookman Old Style"/>
          <w:b/>
          <w:color w:val="000000" w:themeColor="text1"/>
          <w:sz w:val="24"/>
          <w:u w:val="single"/>
        </w:rPr>
        <w:t>LIST A Contributory:</w:t>
      </w:r>
      <w:r>
        <w:rPr>
          <w:rFonts w:ascii="Bookman Old Style" w:hAnsi="Bookman Old Style"/>
          <w:color w:val="000000" w:themeColor="text1"/>
          <w:sz w:val="24"/>
        </w:rPr>
        <w:t xml:space="preserve"> It contains the names of the present members of the Company i.e. persons whose names appears in the Register of Members as on the date of commencement of winding up of the Company.</w:t>
      </w:r>
    </w:p>
    <w:p w:rsidR="00804C1F" w:rsidRDefault="00804C1F" w:rsidP="00804C1F">
      <w:pPr>
        <w:pStyle w:val="HANG"/>
        <w:tabs>
          <w:tab w:val="left" w:pos="360"/>
        </w:tabs>
        <w:spacing w:line="240" w:lineRule="auto"/>
        <w:ind w:left="720" w:firstLine="0"/>
        <w:rPr>
          <w:rFonts w:ascii="Bookman Old Style" w:hAnsi="Bookman Old Style"/>
          <w:color w:val="000000" w:themeColor="text1"/>
          <w:sz w:val="24"/>
        </w:rPr>
      </w:pPr>
      <w:r w:rsidRPr="00804C1F">
        <w:rPr>
          <w:rFonts w:ascii="Bookman Old Style" w:hAnsi="Bookman Old Style"/>
          <w:b/>
          <w:color w:val="000000" w:themeColor="text1"/>
          <w:sz w:val="24"/>
          <w:u w:val="single"/>
        </w:rPr>
        <w:t>LIST B Contributory:</w:t>
      </w:r>
      <w:r>
        <w:rPr>
          <w:rFonts w:ascii="Bookman Old Style" w:hAnsi="Bookman Old Style"/>
          <w:color w:val="000000" w:themeColor="text1"/>
          <w:sz w:val="24"/>
        </w:rPr>
        <w:t xml:space="preserve"> It contains the names of the past members of the Company</w:t>
      </w:r>
      <w:r w:rsidRPr="00804C1F">
        <w:rPr>
          <w:rFonts w:ascii="Bookman Old Style" w:hAnsi="Bookman Old Style"/>
          <w:b/>
          <w:color w:val="000000" w:themeColor="text1"/>
          <w:sz w:val="24"/>
          <w:u w:val="single"/>
        </w:rPr>
        <w:t xml:space="preserve"> </w:t>
      </w:r>
      <w:r w:rsidRPr="00804C1F">
        <w:rPr>
          <w:rFonts w:ascii="Bookman Old Style" w:hAnsi="Bookman Old Style"/>
          <w:color w:val="000000" w:themeColor="text1"/>
          <w:sz w:val="24"/>
        </w:rPr>
        <w:t xml:space="preserve">i.e. members who ceased to be members within 1 year preceding the </w:t>
      </w:r>
      <w:r>
        <w:rPr>
          <w:rFonts w:ascii="Bookman Old Style" w:hAnsi="Bookman Old Style"/>
          <w:color w:val="000000" w:themeColor="text1"/>
          <w:sz w:val="24"/>
        </w:rPr>
        <w:t>commencement of winding up of the Company.</w:t>
      </w:r>
    </w:p>
    <w:p w:rsidR="00AB097A" w:rsidRDefault="00AB097A" w:rsidP="00D35589">
      <w:pPr>
        <w:pStyle w:val="HANG"/>
        <w:numPr>
          <w:ilvl w:val="0"/>
          <w:numId w:val="53"/>
        </w:numPr>
        <w:tabs>
          <w:tab w:val="left" w:pos="36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Liability of LIST A Member is primary and absolute. He cannot escape his  liability on the ground that the allotment of shares to him was void.</w:t>
      </w:r>
    </w:p>
    <w:p w:rsidR="00AB097A" w:rsidRDefault="00AB097A" w:rsidP="00D35589">
      <w:pPr>
        <w:pStyle w:val="HANG"/>
        <w:numPr>
          <w:ilvl w:val="0"/>
          <w:numId w:val="53"/>
        </w:numPr>
        <w:tabs>
          <w:tab w:val="left" w:pos="360"/>
        </w:tabs>
        <w:spacing w:line="240" w:lineRule="auto"/>
        <w:ind w:left="720" w:hanging="450"/>
        <w:rPr>
          <w:rFonts w:ascii="Bookman Old Style" w:hAnsi="Bookman Old Style"/>
          <w:color w:val="000000" w:themeColor="text1"/>
          <w:sz w:val="24"/>
        </w:rPr>
      </w:pPr>
      <w:r>
        <w:rPr>
          <w:rFonts w:ascii="Bookman Old Style" w:hAnsi="Bookman Old Style"/>
          <w:color w:val="000000" w:themeColor="text1"/>
          <w:sz w:val="24"/>
        </w:rPr>
        <w:t>Liability of LIST B Member is secondary and arises only when present members are unable to pay.</w:t>
      </w:r>
    </w:p>
    <w:p w:rsidR="00AB097A" w:rsidRDefault="00AB097A" w:rsidP="00AB097A">
      <w:pPr>
        <w:pStyle w:val="HANG"/>
        <w:tabs>
          <w:tab w:val="left" w:pos="360"/>
        </w:tabs>
        <w:spacing w:line="240" w:lineRule="auto"/>
        <w:rPr>
          <w:rFonts w:ascii="Bookman Old Style" w:hAnsi="Bookman Old Style"/>
          <w:color w:val="000000" w:themeColor="text1"/>
          <w:sz w:val="24"/>
        </w:rPr>
      </w:pPr>
    </w:p>
    <w:p w:rsidR="00AB097A" w:rsidRPr="00AB097A" w:rsidRDefault="00AB097A" w:rsidP="00AB097A">
      <w:pPr>
        <w:pStyle w:val="HANG"/>
        <w:spacing w:line="240" w:lineRule="auto"/>
        <w:ind w:left="0" w:firstLine="720"/>
        <w:contextualSpacing/>
        <w:rPr>
          <w:rFonts w:ascii="Copperplate Gothic Bold" w:hAnsi="Copperplate Gothic Bold"/>
          <w:b/>
          <w:color w:val="000000" w:themeColor="text1"/>
          <w:sz w:val="32"/>
          <w:u w:val="single"/>
        </w:rPr>
      </w:pPr>
      <w:r w:rsidRPr="00AB097A">
        <w:rPr>
          <w:rFonts w:ascii="Copperplate Gothic Bold" w:hAnsi="Copperplate Gothic Bold"/>
          <w:b/>
          <w:color w:val="000000" w:themeColor="text1"/>
          <w:sz w:val="32"/>
          <w:u w:val="single"/>
        </w:rPr>
        <w:t xml:space="preserve">No </w:t>
      </w:r>
      <w:r w:rsidR="008C6B9A">
        <w:rPr>
          <w:rFonts w:ascii="Copperplate Gothic Bold" w:hAnsi="Copperplate Gothic Bold"/>
          <w:b/>
          <w:color w:val="000000" w:themeColor="text1"/>
          <w:sz w:val="32"/>
          <w:u w:val="single"/>
        </w:rPr>
        <w:t xml:space="preserve"> L</w:t>
      </w:r>
      <w:r w:rsidRPr="00AB097A">
        <w:rPr>
          <w:rFonts w:ascii="Copperplate Gothic Bold" w:hAnsi="Copperplate Gothic Bold"/>
          <w:b/>
          <w:color w:val="000000" w:themeColor="text1"/>
          <w:sz w:val="32"/>
          <w:u w:val="single"/>
        </w:rPr>
        <w:t xml:space="preserve">iability </w:t>
      </w:r>
      <w:r w:rsidR="008C6B9A">
        <w:rPr>
          <w:rFonts w:ascii="Copperplate Gothic Bold" w:hAnsi="Copperplate Gothic Bold"/>
          <w:b/>
          <w:color w:val="000000" w:themeColor="text1"/>
          <w:sz w:val="32"/>
          <w:u w:val="single"/>
        </w:rPr>
        <w:t>O</w:t>
      </w:r>
      <w:r w:rsidRPr="00AB097A">
        <w:rPr>
          <w:rFonts w:ascii="Copperplate Gothic Bold" w:hAnsi="Copperplate Gothic Bold"/>
          <w:b/>
          <w:color w:val="000000" w:themeColor="text1"/>
          <w:sz w:val="32"/>
          <w:u w:val="single"/>
        </w:rPr>
        <w:t xml:space="preserve">f a Past Member </w:t>
      </w:r>
    </w:p>
    <w:p w:rsidR="00804C1F" w:rsidRDefault="00804C1F" w:rsidP="00D731A2">
      <w:pPr>
        <w:pStyle w:val="HANG"/>
        <w:spacing w:line="276" w:lineRule="auto"/>
      </w:pPr>
    </w:p>
    <w:p w:rsidR="00804C1F" w:rsidRPr="00AB097A" w:rsidRDefault="00AB097A" w:rsidP="00D35589">
      <w:pPr>
        <w:pStyle w:val="HANG"/>
        <w:numPr>
          <w:ilvl w:val="0"/>
          <w:numId w:val="54"/>
        </w:numPr>
        <w:spacing w:line="276" w:lineRule="auto"/>
        <w:rPr>
          <w:rFonts w:ascii="Bookman Old Style" w:hAnsi="Bookman Old Style"/>
          <w:color w:val="000000" w:themeColor="text1"/>
          <w:sz w:val="24"/>
        </w:rPr>
      </w:pPr>
      <w:r w:rsidRPr="00AB097A">
        <w:rPr>
          <w:rFonts w:ascii="Bookman Old Style" w:hAnsi="Bookman Old Style"/>
          <w:color w:val="000000" w:themeColor="text1"/>
          <w:sz w:val="24"/>
        </w:rPr>
        <w:t xml:space="preserve">A Past Member shall not be liable to contribute – </w:t>
      </w:r>
    </w:p>
    <w:p w:rsidR="00AB097A" w:rsidRPr="00AB097A" w:rsidRDefault="00AB097A" w:rsidP="00D35589">
      <w:pPr>
        <w:pStyle w:val="HANG"/>
        <w:numPr>
          <w:ilvl w:val="0"/>
          <w:numId w:val="55"/>
        </w:numPr>
        <w:spacing w:line="276" w:lineRule="auto"/>
        <w:rPr>
          <w:rFonts w:ascii="Bookman Old Style" w:hAnsi="Bookman Old Style"/>
          <w:color w:val="000000" w:themeColor="text1"/>
          <w:sz w:val="24"/>
        </w:rPr>
      </w:pPr>
      <w:r w:rsidRPr="00AB097A">
        <w:rPr>
          <w:rFonts w:ascii="Bookman Old Style" w:hAnsi="Bookman Old Style"/>
          <w:color w:val="000000" w:themeColor="text1"/>
          <w:sz w:val="24"/>
        </w:rPr>
        <w:t>If he has ceased to be a member for 1 year or upwards before the commencement of winding up.</w:t>
      </w:r>
    </w:p>
    <w:p w:rsidR="00AB097A" w:rsidRPr="00AB097A" w:rsidRDefault="00AB097A" w:rsidP="00D35589">
      <w:pPr>
        <w:pStyle w:val="HANG"/>
        <w:numPr>
          <w:ilvl w:val="0"/>
          <w:numId w:val="55"/>
        </w:numPr>
        <w:spacing w:line="276" w:lineRule="auto"/>
        <w:rPr>
          <w:rFonts w:ascii="Bookman Old Style" w:hAnsi="Bookman Old Style"/>
          <w:color w:val="000000" w:themeColor="text1"/>
          <w:sz w:val="24"/>
        </w:rPr>
      </w:pPr>
      <w:r w:rsidRPr="00AB097A">
        <w:rPr>
          <w:rFonts w:ascii="Bookman Old Style" w:hAnsi="Bookman Old Style"/>
          <w:color w:val="000000" w:themeColor="text1"/>
          <w:sz w:val="24"/>
        </w:rPr>
        <w:t>In respect of any debt or liability of the Company contracted after he ceased to be a member.</w:t>
      </w:r>
    </w:p>
    <w:p w:rsidR="00AB097A" w:rsidRDefault="00AB097A" w:rsidP="00D35589">
      <w:pPr>
        <w:pStyle w:val="HANG"/>
        <w:numPr>
          <w:ilvl w:val="0"/>
          <w:numId w:val="55"/>
        </w:numPr>
        <w:spacing w:line="276" w:lineRule="auto"/>
        <w:rPr>
          <w:rFonts w:ascii="Bookman Old Style" w:hAnsi="Bookman Old Style"/>
          <w:color w:val="000000" w:themeColor="text1"/>
          <w:sz w:val="24"/>
        </w:rPr>
      </w:pPr>
      <w:r w:rsidRPr="00AB097A">
        <w:rPr>
          <w:rFonts w:ascii="Bookman Old Style" w:hAnsi="Bookman Old Style"/>
          <w:color w:val="000000" w:themeColor="text1"/>
          <w:sz w:val="24"/>
        </w:rPr>
        <w:t>Unless it appears to the Court that the present members are unable to satisfy the contributions required to be made by them.</w:t>
      </w:r>
    </w:p>
    <w:p w:rsidR="00AB097A" w:rsidRDefault="00AB097A" w:rsidP="00D35589">
      <w:pPr>
        <w:pStyle w:val="HANG"/>
        <w:numPr>
          <w:ilvl w:val="0"/>
          <w:numId w:val="56"/>
        </w:numPr>
        <w:spacing w:line="276" w:lineRule="auto"/>
        <w:rPr>
          <w:rFonts w:ascii="Bookman Old Style" w:hAnsi="Bookman Old Style"/>
          <w:color w:val="000000" w:themeColor="text1"/>
          <w:sz w:val="24"/>
        </w:rPr>
      </w:pPr>
      <w:r>
        <w:rPr>
          <w:rFonts w:ascii="Bookman Old Style" w:hAnsi="Bookman Old Style"/>
          <w:color w:val="000000" w:themeColor="text1"/>
          <w:sz w:val="24"/>
        </w:rPr>
        <w:lastRenderedPageBreak/>
        <w:t>Legal Representative of a Deceased Member shall be liable for the debts of the deceased limited to the extent of assets of deceased member.</w:t>
      </w:r>
    </w:p>
    <w:p w:rsidR="00AB097A" w:rsidRDefault="00AB097A" w:rsidP="00D35589">
      <w:pPr>
        <w:pStyle w:val="HANG"/>
        <w:numPr>
          <w:ilvl w:val="0"/>
          <w:numId w:val="56"/>
        </w:numPr>
        <w:spacing w:line="276" w:lineRule="auto"/>
        <w:rPr>
          <w:rFonts w:ascii="Bookman Old Style" w:hAnsi="Bookman Old Style"/>
          <w:color w:val="000000" w:themeColor="text1"/>
          <w:sz w:val="24"/>
        </w:rPr>
      </w:pPr>
      <w:r>
        <w:rPr>
          <w:rFonts w:ascii="Bookman Old Style" w:hAnsi="Bookman Old Style"/>
          <w:color w:val="000000" w:themeColor="text1"/>
          <w:sz w:val="24"/>
        </w:rPr>
        <w:t>Where a Contributory is adjudged insolvent, his official assignee shall be liable to pay the debts of insolvent contributory.</w:t>
      </w:r>
    </w:p>
    <w:p w:rsidR="00AB097A" w:rsidRDefault="00AB097A" w:rsidP="00D35589">
      <w:pPr>
        <w:pStyle w:val="HANG"/>
        <w:numPr>
          <w:ilvl w:val="0"/>
          <w:numId w:val="56"/>
        </w:numPr>
        <w:spacing w:line="276" w:lineRule="auto"/>
        <w:rPr>
          <w:rFonts w:ascii="Bookman Old Style" w:hAnsi="Bookman Old Style"/>
          <w:color w:val="000000" w:themeColor="text1"/>
          <w:sz w:val="24"/>
        </w:rPr>
      </w:pPr>
      <w:r>
        <w:rPr>
          <w:rFonts w:ascii="Bookman Old Style" w:hAnsi="Bookman Old Style"/>
          <w:color w:val="000000" w:themeColor="text1"/>
          <w:sz w:val="24"/>
        </w:rPr>
        <w:t>Where a Body Corporate is a contributory and is ordered to be wound up, liquidator of such Body Corporate shall be treated as a Contributory.</w:t>
      </w:r>
    </w:p>
    <w:p w:rsidR="00C75119" w:rsidRDefault="00C75119" w:rsidP="00C75119">
      <w:pPr>
        <w:pStyle w:val="HANG"/>
        <w:spacing w:line="240" w:lineRule="auto"/>
        <w:ind w:left="0" w:firstLine="720"/>
        <w:contextualSpacing/>
        <w:rPr>
          <w:rFonts w:ascii="Copperplate Gothic Bold" w:hAnsi="Copperplate Gothic Bold"/>
          <w:b/>
          <w:color w:val="000000" w:themeColor="text1"/>
          <w:sz w:val="32"/>
          <w:u w:val="single"/>
        </w:rPr>
      </w:pPr>
    </w:p>
    <w:p w:rsidR="00AB097A" w:rsidRDefault="00C75119" w:rsidP="00C75119">
      <w:pPr>
        <w:pStyle w:val="HANG"/>
        <w:spacing w:line="240" w:lineRule="auto"/>
        <w:ind w:left="0" w:firstLine="720"/>
        <w:contextualSpacing/>
        <w:rPr>
          <w:rFonts w:ascii="Copperplate Gothic Bold" w:hAnsi="Copperplate Gothic Bold"/>
          <w:b/>
          <w:color w:val="000000" w:themeColor="text1"/>
          <w:sz w:val="32"/>
          <w:u w:val="single"/>
        </w:rPr>
      </w:pPr>
      <w:r w:rsidRPr="00C75119">
        <w:rPr>
          <w:rFonts w:ascii="Copperplate Gothic Bold" w:hAnsi="Copperplate Gothic Bold"/>
          <w:b/>
          <w:color w:val="000000" w:themeColor="text1"/>
          <w:sz w:val="32"/>
          <w:u w:val="single"/>
        </w:rPr>
        <w:t>Set Off</w:t>
      </w:r>
    </w:p>
    <w:p w:rsidR="00C75119" w:rsidRPr="00C75119" w:rsidRDefault="00C75119" w:rsidP="00C75119">
      <w:pPr>
        <w:pStyle w:val="HANG"/>
        <w:spacing w:line="240" w:lineRule="auto"/>
        <w:ind w:left="0" w:firstLine="720"/>
        <w:contextualSpacing/>
        <w:rPr>
          <w:rFonts w:ascii="Bookman Old Style" w:hAnsi="Bookman Old Style"/>
          <w:color w:val="000000" w:themeColor="text1"/>
          <w:sz w:val="24"/>
        </w:rPr>
      </w:pPr>
    </w:p>
    <w:p w:rsidR="00C75119" w:rsidRDefault="00C75119" w:rsidP="00D35589">
      <w:pPr>
        <w:pStyle w:val="HANG"/>
        <w:numPr>
          <w:ilvl w:val="0"/>
          <w:numId w:val="57"/>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A Member who is a Creditor of the Company cannot set-off his debt against any liability for calls. </w:t>
      </w:r>
    </w:p>
    <w:p w:rsidR="00C75119" w:rsidRDefault="00C75119" w:rsidP="00D35589">
      <w:pPr>
        <w:pStyle w:val="HANG"/>
        <w:numPr>
          <w:ilvl w:val="0"/>
          <w:numId w:val="57"/>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Thus, a member or a contributory has no right of set-off where he is also a creditor of the Company.</w:t>
      </w:r>
    </w:p>
    <w:p w:rsidR="00C75119" w:rsidRDefault="00C75119" w:rsidP="00C75119">
      <w:pPr>
        <w:pStyle w:val="HANG"/>
        <w:spacing w:line="240" w:lineRule="auto"/>
        <w:ind w:left="720" w:firstLine="0"/>
        <w:contextualSpacing/>
        <w:rPr>
          <w:rFonts w:ascii="Bookman Old Style" w:hAnsi="Bookman Old Style"/>
          <w:color w:val="000000" w:themeColor="text1"/>
          <w:sz w:val="24"/>
        </w:rPr>
      </w:pPr>
    </w:p>
    <w:p w:rsidR="00C75119" w:rsidRDefault="00C75119" w:rsidP="00C75119">
      <w:pPr>
        <w:pStyle w:val="HANG"/>
        <w:spacing w:line="240" w:lineRule="auto"/>
        <w:ind w:left="0" w:firstLine="720"/>
        <w:contextualSpacing/>
        <w:rPr>
          <w:rFonts w:ascii="Copperplate Gothic Bold" w:hAnsi="Copperplate Gothic Bold"/>
          <w:b/>
          <w:color w:val="000000" w:themeColor="text1"/>
          <w:sz w:val="32"/>
          <w:u w:val="single"/>
        </w:rPr>
      </w:pPr>
      <w:r w:rsidRPr="00C75119">
        <w:rPr>
          <w:rFonts w:ascii="Copperplate Gothic Bold" w:hAnsi="Copperplate Gothic Bold"/>
          <w:b/>
          <w:color w:val="000000" w:themeColor="text1"/>
          <w:sz w:val="32"/>
          <w:u w:val="single"/>
        </w:rPr>
        <w:t>Exceptions to Set-Off (i.e. SET-OFF PERMISSIBLE)</w:t>
      </w:r>
    </w:p>
    <w:p w:rsidR="00C75119" w:rsidRPr="00C75119" w:rsidRDefault="00C75119" w:rsidP="00C75119">
      <w:pPr>
        <w:pStyle w:val="HANG"/>
        <w:spacing w:line="240" w:lineRule="auto"/>
        <w:ind w:left="0" w:firstLine="720"/>
        <w:contextualSpacing/>
        <w:rPr>
          <w:rFonts w:ascii="Copperplate Gothic Bold" w:hAnsi="Copperplate Gothic Bold"/>
          <w:b/>
          <w:color w:val="000000" w:themeColor="text1"/>
          <w:sz w:val="18"/>
          <w:u w:val="single"/>
        </w:rPr>
      </w:pPr>
    </w:p>
    <w:p w:rsidR="00C75119" w:rsidRDefault="00C75119" w:rsidP="00C75119">
      <w:pPr>
        <w:pStyle w:val="HANG"/>
        <w:spacing w:line="240" w:lineRule="auto"/>
        <w:ind w:left="0" w:firstLine="720"/>
        <w:contextualSpacing/>
        <w:rPr>
          <w:rFonts w:ascii="Bookman Old Style" w:hAnsi="Bookman Old Style"/>
          <w:color w:val="000000" w:themeColor="text1"/>
          <w:sz w:val="24"/>
        </w:rPr>
      </w:pPr>
      <w:r>
        <w:rPr>
          <w:rFonts w:ascii="Bookman Old Style" w:hAnsi="Bookman Old Style"/>
          <w:color w:val="000000" w:themeColor="text1"/>
          <w:sz w:val="24"/>
        </w:rPr>
        <w:t>In the following cases, a Contributory shall have the right of Set-Off.</w:t>
      </w:r>
    </w:p>
    <w:p w:rsidR="00C75119" w:rsidRDefault="00C75119" w:rsidP="00C75119">
      <w:pPr>
        <w:pStyle w:val="HANG"/>
        <w:spacing w:line="240" w:lineRule="auto"/>
        <w:ind w:left="0" w:firstLine="720"/>
        <w:contextualSpacing/>
        <w:rPr>
          <w:rFonts w:ascii="Bookman Old Style" w:hAnsi="Bookman Old Style"/>
          <w:color w:val="000000" w:themeColor="text1"/>
          <w:sz w:val="24"/>
        </w:rPr>
      </w:pPr>
    </w:p>
    <w:p w:rsidR="00C75119" w:rsidRDefault="00C75119" w:rsidP="00D35589">
      <w:pPr>
        <w:pStyle w:val="HANG"/>
        <w:numPr>
          <w:ilvl w:val="0"/>
          <w:numId w:val="59"/>
        </w:numPr>
        <w:spacing w:line="240" w:lineRule="auto"/>
        <w:contextualSpacing/>
        <w:rPr>
          <w:rFonts w:ascii="Bookman Old Style" w:hAnsi="Bookman Old Style"/>
          <w:b/>
          <w:color w:val="000000" w:themeColor="text1"/>
          <w:sz w:val="24"/>
          <w:u w:val="single"/>
        </w:rPr>
      </w:pPr>
      <w:r w:rsidRPr="00C75119">
        <w:rPr>
          <w:rFonts w:ascii="Bookman Old Style" w:hAnsi="Bookman Old Style"/>
          <w:b/>
          <w:color w:val="000000" w:themeColor="text1"/>
          <w:sz w:val="24"/>
          <w:u w:val="single"/>
        </w:rPr>
        <w:t>In case of a Limited Company:</w:t>
      </w:r>
    </w:p>
    <w:p w:rsidR="00C75119" w:rsidRPr="00C75119" w:rsidRDefault="00C75119" w:rsidP="00C75119">
      <w:pPr>
        <w:pStyle w:val="HANG"/>
        <w:spacing w:line="240" w:lineRule="auto"/>
        <w:ind w:left="0" w:firstLine="720"/>
        <w:contextualSpacing/>
        <w:rPr>
          <w:rFonts w:ascii="Bookman Old Style" w:hAnsi="Bookman Old Style"/>
          <w:b/>
          <w:color w:val="000000" w:themeColor="text1"/>
          <w:sz w:val="16"/>
          <w:u w:val="single"/>
        </w:rPr>
      </w:pPr>
    </w:p>
    <w:p w:rsidR="00C75119" w:rsidRDefault="00C75119" w:rsidP="00D35589">
      <w:pPr>
        <w:pStyle w:val="HANG"/>
        <w:numPr>
          <w:ilvl w:val="0"/>
          <w:numId w:val="58"/>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Court may allow set-off in respect of any money due to a Director or Manager whose liability is unlimited,</w:t>
      </w:r>
    </w:p>
    <w:p w:rsidR="00C75119" w:rsidRDefault="00C75119" w:rsidP="00D35589">
      <w:pPr>
        <w:pStyle w:val="HANG"/>
        <w:numPr>
          <w:ilvl w:val="0"/>
          <w:numId w:val="58"/>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On account of any independent dealing or contract between Company and such Director/Manager.</w:t>
      </w:r>
    </w:p>
    <w:p w:rsidR="00C75119" w:rsidRPr="0016191C" w:rsidRDefault="00C75119" w:rsidP="00C75119">
      <w:pPr>
        <w:pStyle w:val="HANG"/>
        <w:spacing w:after="60" w:line="240" w:lineRule="auto"/>
        <w:rPr>
          <w:rFonts w:ascii="Bookman Old Style" w:hAnsi="Bookman Old Style"/>
          <w:color w:val="000000" w:themeColor="text1"/>
          <w:sz w:val="18"/>
        </w:rPr>
      </w:pPr>
    </w:p>
    <w:p w:rsidR="00C75119" w:rsidRPr="00C75119" w:rsidRDefault="00C75119" w:rsidP="00D35589">
      <w:pPr>
        <w:pStyle w:val="HANG"/>
        <w:numPr>
          <w:ilvl w:val="0"/>
          <w:numId w:val="59"/>
        </w:numPr>
        <w:spacing w:after="60" w:line="240" w:lineRule="auto"/>
        <w:rPr>
          <w:rFonts w:ascii="Bookman Old Style" w:hAnsi="Bookman Old Style"/>
          <w:color w:val="000000" w:themeColor="text1"/>
          <w:sz w:val="24"/>
        </w:rPr>
      </w:pPr>
      <w:r>
        <w:rPr>
          <w:rFonts w:ascii="Bookman Old Style" w:hAnsi="Bookman Old Style"/>
          <w:b/>
          <w:color w:val="000000" w:themeColor="text1"/>
          <w:sz w:val="24"/>
          <w:u w:val="single"/>
        </w:rPr>
        <w:t>In case of an Unlimited Company:</w:t>
      </w:r>
    </w:p>
    <w:p w:rsidR="00C75119" w:rsidRDefault="00C75119" w:rsidP="00C75119">
      <w:pPr>
        <w:pStyle w:val="HANG"/>
        <w:spacing w:after="60" w:line="240" w:lineRule="auto"/>
        <w:ind w:left="1080" w:firstLine="0"/>
        <w:rPr>
          <w:rFonts w:ascii="Bookman Old Style" w:hAnsi="Bookman Old Style"/>
          <w:color w:val="000000" w:themeColor="text1"/>
          <w:sz w:val="24"/>
        </w:rPr>
      </w:pPr>
      <w:r>
        <w:rPr>
          <w:rFonts w:ascii="Bookman Old Style" w:hAnsi="Bookman Old Style"/>
          <w:color w:val="000000" w:themeColor="text1"/>
          <w:sz w:val="24"/>
        </w:rPr>
        <w:t>Court may allow set-off in respect of any money due to a Contributory on account of any independent dealing or contract between Company and such Contributory.</w:t>
      </w:r>
    </w:p>
    <w:p w:rsidR="00C75119" w:rsidRPr="0016191C" w:rsidRDefault="00C75119" w:rsidP="00C75119">
      <w:pPr>
        <w:pStyle w:val="HANG"/>
        <w:spacing w:after="60" w:line="240" w:lineRule="auto"/>
        <w:ind w:left="1080" w:firstLine="0"/>
        <w:rPr>
          <w:rFonts w:ascii="Bookman Old Style" w:hAnsi="Bookman Old Style"/>
          <w:color w:val="000000" w:themeColor="text1"/>
          <w:sz w:val="16"/>
        </w:rPr>
      </w:pPr>
    </w:p>
    <w:p w:rsidR="00C75119" w:rsidRPr="00C75119" w:rsidRDefault="00C75119" w:rsidP="00D35589">
      <w:pPr>
        <w:pStyle w:val="HANG"/>
        <w:numPr>
          <w:ilvl w:val="0"/>
          <w:numId w:val="59"/>
        </w:numPr>
        <w:spacing w:after="60" w:line="240" w:lineRule="auto"/>
        <w:rPr>
          <w:rFonts w:ascii="Bookman Old Style" w:hAnsi="Bookman Old Style"/>
          <w:b/>
          <w:color w:val="000000" w:themeColor="text1"/>
          <w:sz w:val="24"/>
          <w:u w:val="single"/>
        </w:rPr>
      </w:pPr>
      <w:r w:rsidRPr="00C75119">
        <w:rPr>
          <w:rFonts w:ascii="Bookman Old Style" w:hAnsi="Bookman Old Style"/>
          <w:b/>
          <w:color w:val="000000" w:themeColor="text1"/>
          <w:sz w:val="24"/>
          <w:u w:val="single"/>
        </w:rPr>
        <w:t>In case of any Company:</w:t>
      </w:r>
    </w:p>
    <w:p w:rsidR="00C75119" w:rsidRPr="00C75119" w:rsidRDefault="00C75119" w:rsidP="00C75119">
      <w:pPr>
        <w:pStyle w:val="HANG"/>
        <w:spacing w:after="60" w:line="240" w:lineRule="auto"/>
        <w:ind w:left="1080" w:firstLine="0"/>
        <w:rPr>
          <w:rFonts w:ascii="Bookman Old Style" w:hAnsi="Bookman Old Style"/>
          <w:color w:val="000000" w:themeColor="text1"/>
          <w:sz w:val="24"/>
        </w:rPr>
      </w:pPr>
      <w:r>
        <w:rPr>
          <w:rFonts w:ascii="Bookman Old Style" w:hAnsi="Bookman Old Style"/>
          <w:color w:val="000000" w:themeColor="text1"/>
          <w:sz w:val="24"/>
        </w:rPr>
        <w:t>When all the Creditors have been paid in full, any money due to a Contributory may be allowed to be Set-Off against any subsequent call.</w:t>
      </w:r>
    </w:p>
    <w:p w:rsidR="00C75119" w:rsidRDefault="00C75119" w:rsidP="00C75119">
      <w:pPr>
        <w:pStyle w:val="HANG"/>
        <w:spacing w:line="240" w:lineRule="auto"/>
        <w:ind w:left="0" w:firstLine="720"/>
        <w:contextualSpacing/>
        <w:rPr>
          <w:rFonts w:ascii="Bookman Old Style" w:hAnsi="Bookman Old Style"/>
          <w:color w:val="000000" w:themeColor="text1"/>
          <w:sz w:val="24"/>
        </w:rPr>
      </w:pPr>
    </w:p>
    <w:p w:rsidR="008C6B9A" w:rsidRPr="00C75119" w:rsidRDefault="008C6B9A" w:rsidP="00C75119">
      <w:pPr>
        <w:pStyle w:val="HANG"/>
        <w:spacing w:line="240" w:lineRule="auto"/>
        <w:ind w:left="0" w:firstLine="720"/>
        <w:contextualSpacing/>
        <w:rPr>
          <w:rFonts w:ascii="Bookman Old Style" w:hAnsi="Bookman Old Style"/>
          <w:color w:val="000000" w:themeColor="text1"/>
          <w:sz w:val="24"/>
        </w:rPr>
      </w:pPr>
    </w:p>
    <w:p w:rsidR="00C75119" w:rsidRPr="0088086C" w:rsidRDefault="0088086C" w:rsidP="00C75119">
      <w:pPr>
        <w:pStyle w:val="HANG"/>
        <w:spacing w:line="240" w:lineRule="auto"/>
        <w:ind w:left="0" w:firstLine="720"/>
        <w:contextualSpacing/>
        <w:rPr>
          <w:rFonts w:ascii="Copperplate Gothic Bold" w:hAnsi="Copperplate Gothic Bold"/>
          <w:b/>
          <w:color w:val="000000" w:themeColor="text1"/>
          <w:sz w:val="32"/>
          <w:u w:val="single"/>
        </w:rPr>
      </w:pPr>
      <w:r w:rsidRPr="0088086C">
        <w:rPr>
          <w:rFonts w:ascii="Copperplate Gothic Bold" w:hAnsi="Copperplate Gothic Bold"/>
          <w:b/>
          <w:color w:val="000000" w:themeColor="text1"/>
          <w:sz w:val="32"/>
          <w:u w:val="single"/>
        </w:rPr>
        <w:t>Secured Creditors</w:t>
      </w:r>
    </w:p>
    <w:p w:rsidR="0088086C" w:rsidRPr="008306EF" w:rsidRDefault="0088086C" w:rsidP="00C75119">
      <w:pPr>
        <w:pStyle w:val="HANG"/>
        <w:spacing w:line="240" w:lineRule="auto"/>
        <w:ind w:left="0" w:firstLine="720"/>
        <w:contextualSpacing/>
        <w:rPr>
          <w:rFonts w:ascii="Copperplate Gothic Bold" w:hAnsi="Copperplate Gothic Bold"/>
          <w:b/>
          <w:color w:val="000000" w:themeColor="text1"/>
          <w:u w:val="single"/>
        </w:rPr>
      </w:pPr>
    </w:p>
    <w:p w:rsidR="00C75119" w:rsidRDefault="0088086C" w:rsidP="0088086C">
      <w:pPr>
        <w:pStyle w:val="HANG"/>
        <w:numPr>
          <w:ilvl w:val="0"/>
          <w:numId w:val="57"/>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Secured Creditors means a person who holds a security in the form of mortgage, charge or lien on Company’s property either fully or in part for the debt due to him from the Company.</w:t>
      </w:r>
    </w:p>
    <w:p w:rsidR="0088086C" w:rsidRDefault="0088086C" w:rsidP="0088086C">
      <w:pPr>
        <w:pStyle w:val="HANG"/>
        <w:numPr>
          <w:ilvl w:val="0"/>
          <w:numId w:val="57"/>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Secured Creditors has three options:</w:t>
      </w:r>
    </w:p>
    <w:p w:rsidR="0088086C" w:rsidRDefault="0088086C" w:rsidP="0088086C">
      <w:pPr>
        <w:pStyle w:val="HANG"/>
        <w:numPr>
          <w:ilvl w:val="0"/>
          <w:numId w:val="60"/>
        </w:numPr>
        <w:spacing w:line="240" w:lineRule="auto"/>
        <w:rPr>
          <w:rFonts w:ascii="Bookman Old Style" w:hAnsi="Bookman Old Style"/>
          <w:color w:val="000000" w:themeColor="text1"/>
          <w:sz w:val="24"/>
        </w:rPr>
      </w:pPr>
      <w:r>
        <w:rPr>
          <w:rFonts w:ascii="Bookman Old Style" w:hAnsi="Bookman Old Style"/>
          <w:color w:val="000000" w:themeColor="text1"/>
          <w:sz w:val="24"/>
        </w:rPr>
        <w:t>Rely on security and ignore liquidation altogether. This option is generally exercised when the security is adequate to cover the entire debts.</w:t>
      </w:r>
    </w:p>
    <w:p w:rsidR="0088086C" w:rsidRDefault="0088086C" w:rsidP="0088086C">
      <w:pPr>
        <w:pStyle w:val="HANG"/>
        <w:numPr>
          <w:ilvl w:val="0"/>
          <w:numId w:val="60"/>
        </w:numPr>
        <w:spacing w:line="240" w:lineRule="auto"/>
        <w:rPr>
          <w:rFonts w:ascii="Bookman Old Style" w:hAnsi="Bookman Old Style"/>
          <w:color w:val="000000" w:themeColor="text1"/>
          <w:sz w:val="24"/>
        </w:rPr>
      </w:pPr>
      <w:r>
        <w:rPr>
          <w:rFonts w:ascii="Bookman Old Style" w:hAnsi="Bookman Old Style"/>
          <w:color w:val="000000" w:themeColor="text1"/>
          <w:sz w:val="24"/>
        </w:rPr>
        <w:lastRenderedPageBreak/>
        <w:t>Value the security and stand as unsecured creditor for the balance after providing his debt</w:t>
      </w:r>
    </w:p>
    <w:p w:rsidR="0088086C" w:rsidRDefault="0088086C" w:rsidP="0088086C">
      <w:pPr>
        <w:pStyle w:val="HANG"/>
        <w:numPr>
          <w:ilvl w:val="0"/>
          <w:numId w:val="60"/>
        </w:numPr>
        <w:spacing w:line="240" w:lineRule="auto"/>
        <w:rPr>
          <w:rFonts w:ascii="Bookman Old Style" w:hAnsi="Bookman Old Style"/>
          <w:color w:val="000000" w:themeColor="text1"/>
          <w:sz w:val="24"/>
        </w:rPr>
      </w:pPr>
      <w:r>
        <w:rPr>
          <w:rFonts w:ascii="Bookman Old Style" w:hAnsi="Bookman Old Style"/>
          <w:color w:val="000000" w:themeColor="text1"/>
          <w:sz w:val="24"/>
        </w:rPr>
        <w:t>Give up the security and prove the whole amount as unsecured creditors.</w:t>
      </w:r>
    </w:p>
    <w:p w:rsidR="0088086C" w:rsidRDefault="0088086C" w:rsidP="0088086C">
      <w:pPr>
        <w:pStyle w:val="HANG"/>
        <w:numPr>
          <w:ilvl w:val="0"/>
          <w:numId w:val="61"/>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Security of Secured Creditors deemed to be </w:t>
      </w:r>
      <w:r w:rsidRPr="008306EF">
        <w:rPr>
          <w:rFonts w:ascii="Bookman Old Style" w:hAnsi="Bookman Old Style"/>
          <w:b/>
          <w:color w:val="000000" w:themeColor="text1"/>
          <w:sz w:val="24"/>
        </w:rPr>
        <w:t>pari passu</w:t>
      </w:r>
      <w:r w:rsidR="008306EF">
        <w:rPr>
          <w:rFonts w:ascii="Bookman Old Style" w:hAnsi="Bookman Old Style"/>
          <w:color w:val="000000" w:themeColor="text1"/>
          <w:sz w:val="24"/>
        </w:rPr>
        <w:t xml:space="preserve"> </w:t>
      </w:r>
      <w:r>
        <w:rPr>
          <w:rFonts w:ascii="Bookman Old Style" w:hAnsi="Bookman Old Style"/>
          <w:color w:val="000000" w:themeColor="text1"/>
          <w:sz w:val="24"/>
        </w:rPr>
        <w:t>(equal in all respects) charge in favour of workmen to the extent of their dues.</w:t>
      </w:r>
    </w:p>
    <w:p w:rsidR="0088086C" w:rsidRDefault="0088086C" w:rsidP="0088086C">
      <w:pPr>
        <w:pStyle w:val="HANG"/>
        <w:numPr>
          <w:ilvl w:val="0"/>
          <w:numId w:val="61"/>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If the assets are insufficient to meet the liabilities of Secured Creditors and Preferential Creditors in full, such assets should be distributed in equal proportion to the Secured Creditors and Workmen Dues.(over-riding Preferential Creditors)</w:t>
      </w:r>
    </w:p>
    <w:p w:rsidR="008306EF" w:rsidRDefault="008306EF" w:rsidP="008306EF">
      <w:pPr>
        <w:pStyle w:val="HANG"/>
        <w:spacing w:line="240" w:lineRule="auto"/>
        <w:rPr>
          <w:rFonts w:ascii="Bookman Old Style" w:hAnsi="Bookman Old Style"/>
          <w:color w:val="000000" w:themeColor="text1"/>
          <w:sz w:val="24"/>
        </w:rPr>
      </w:pPr>
    </w:p>
    <w:p w:rsidR="008306EF" w:rsidRDefault="008306EF" w:rsidP="008306EF">
      <w:pPr>
        <w:pStyle w:val="HANG"/>
        <w:spacing w:line="240" w:lineRule="auto"/>
        <w:ind w:left="0" w:firstLine="720"/>
        <w:contextualSpacing/>
        <w:rPr>
          <w:rFonts w:ascii="Copperplate Gothic Bold" w:hAnsi="Copperplate Gothic Bold"/>
          <w:b/>
          <w:color w:val="000000" w:themeColor="text1"/>
          <w:sz w:val="32"/>
          <w:u w:val="single"/>
        </w:rPr>
      </w:pPr>
      <w:r w:rsidRPr="008306EF">
        <w:rPr>
          <w:rFonts w:ascii="Copperplate Gothic Bold" w:hAnsi="Copperplate Gothic Bold"/>
          <w:b/>
          <w:color w:val="000000" w:themeColor="text1"/>
          <w:sz w:val="32"/>
          <w:u w:val="single"/>
        </w:rPr>
        <w:t>Order of Priority of Debts</w:t>
      </w:r>
    </w:p>
    <w:p w:rsidR="008306EF" w:rsidRPr="008306EF" w:rsidRDefault="008306EF" w:rsidP="008306EF">
      <w:pPr>
        <w:pStyle w:val="HANG"/>
        <w:spacing w:line="240" w:lineRule="auto"/>
        <w:ind w:left="0" w:firstLine="720"/>
        <w:contextualSpacing/>
        <w:rPr>
          <w:rFonts w:ascii="Bookman Old Style" w:hAnsi="Bookman Old Style"/>
          <w:color w:val="000000" w:themeColor="text1"/>
          <w:sz w:val="24"/>
        </w:rPr>
      </w:pP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Secured Creditors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Worksmen’s Dues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Liquidator’s Expenses &amp; Remuneration</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Preferential Creditors</w:t>
      </w:r>
      <w:r w:rsidRPr="008306EF">
        <w:rPr>
          <w:rFonts w:ascii="Bookman Old Style" w:hAnsi="Bookman Old Style"/>
          <w:b/>
          <w:color w:val="000000" w:themeColor="text1"/>
          <w:sz w:val="28"/>
        </w:rPr>
        <w:t>*</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Floating Charges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Unsecured Creditors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Preference Shareholders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color w:val="000000" w:themeColor="text1"/>
          <w:sz w:val="24"/>
        </w:rPr>
        <w:t>Equity Shareholders</w:t>
      </w:r>
    </w:p>
    <w:p w:rsidR="008306EF" w:rsidRDefault="008306EF" w:rsidP="008306EF">
      <w:pPr>
        <w:pStyle w:val="HANG"/>
        <w:numPr>
          <w:ilvl w:val="0"/>
          <w:numId w:val="62"/>
        </w:numPr>
        <w:spacing w:after="60" w:line="240" w:lineRule="auto"/>
        <w:rPr>
          <w:rFonts w:ascii="Bookman Old Style" w:hAnsi="Bookman Old Style"/>
          <w:color w:val="000000" w:themeColor="text1"/>
          <w:sz w:val="24"/>
        </w:rPr>
      </w:pPr>
      <w:r>
        <w:rPr>
          <w:rFonts w:ascii="Bookman Old Style" w:hAnsi="Bookman Old Style"/>
          <w:noProof/>
          <w:color w:val="000000" w:themeColor="text1"/>
          <w:sz w:val="24"/>
        </w:rPr>
        <w:pict>
          <v:rect id="_x0000_s1026" style="position:absolute;left:0;text-align:left;margin-left:69pt;margin-top:.25pt;width:456pt;height:13.5pt;z-index:-251658240"/>
        </w:pict>
      </w:r>
      <w:r w:rsidRPr="008306EF">
        <w:rPr>
          <w:rFonts w:ascii="Bookman Old Style" w:hAnsi="Bookman Old Style"/>
          <w:color w:val="000000" w:themeColor="text1"/>
          <w:sz w:val="24"/>
        </w:rPr>
        <w:t>Still Surplus Available – Equity Shareholders and Preference Shareholders</w:t>
      </w:r>
    </w:p>
    <w:p w:rsidR="008306EF" w:rsidRDefault="008306EF" w:rsidP="008306EF">
      <w:pPr>
        <w:pStyle w:val="HANG"/>
        <w:spacing w:after="60" w:line="240" w:lineRule="auto"/>
        <w:rPr>
          <w:rFonts w:ascii="Bookman Old Style" w:hAnsi="Bookman Old Style"/>
          <w:color w:val="000000" w:themeColor="text1"/>
          <w:sz w:val="24"/>
        </w:rPr>
      </w:pPr>
    </w:p>
    <w:p w:rsidR="008306EF" w:rsidRDefault="008306EF" w:rsidP="008306EF">
      <w:pPr>
        <w:pStyle w:val="HANG"/>
        <w:spacing w:after="60" w:line="240" w:lineRule="auto"/>
        <w:ind w:firstLine="0"/>
        <w:rPr>
          <w:rFonts w:ascii="Bookman Old Style" w:hAnsi="Bookman Old Style"/>
          <w:b/>
          <w:color w:val="000000" w:themeColor="text1"/>
          <w:sz w:val="24"/>
          <w:u w:val="single"/>
        </w:rPr>
      </w:pPr>
      <w:r w:rsidRPr="008306EF">
        <w:rPr>
          <w:rFonts w:ascii="Bookman Old Style" w:hAnsi="Bookman Old Style"/>
          <w:b/>
          <w:color w:val="000000" w:themeColor="text1"/>
          <w:sz w:val="24"/>
          <w:u w:val="single"/>
        </w:rPr>
        <w:t>NOTE:</w:t>
      </w:r>
    </w:p>
    <w:p w:rsidR="008306EF" w:rsidRDefault="008306EF" w:rsidP="008306EF">
      <w:pPr>
        <w:pStyle w:val="HANG"/>
        <w:spacing w:after="60" w:line="240" w:lineRule="auto"/>
        <w:ind w:firstLine="0"/>
        <w:rPr>
          <w:rFonts w:ascii="Bookman Old Style" w:hAnsi="Bookman Old Style"/>
          <w:b/>
          <w:color w:val="000000" w:themeColor="text1"/>
          <w:sz w:val="24"/>
          <w:u w:val="single"/>
        </w:rPr>
      </w:pPr>
      <w:r>
        <w:rPr>
          <w:rFonts w:ascii="Bookman Old Style" w:hAnsi="Bookman Old Style"/>
          <w:b/>
          <w:noProof/>
          <w:color w:val="000000" w:themeColor="text1"/>
          <w:sz w:val="24"/>
          <w:u w:val="single"/>
        </w:rPr>
        <w:pict>
          <v:rect id="_x0000_s1027" style="position:absolute;left:0;text-align:left;margin-left:25.5pt;margin-top:10.4pt;width:528pt;height:54.75pt;z-index:-251657216" fillcolor="#d99594 [1941]" strokecolor="#d99594 [1941]" strokeweight="1pt">
            <v:fill color2="#f2dbdb [661]" angle="-45" focus="-50%" type="gradient"/>
            <v:shadow on="t" type="perspective" color="#622423 [1605]" opacity=".5" offset="1pt" offset2="-3pt"/>
          </v:rect>
        </w:pict>
      </w:r>
    </w:p>
    <w:p w:rsidR="008306EF" w:rsidRDefault="008306EF" w:rsidP="008306EF">
      <w:pPr>
        <w:pStyle w:val="HANG"/>
        <w:numPr>
          <w:ilvl w:val="0"/>
          <w:numId w:val="63"/>
        </w:numPr>
        <w:spacing w:after="60" w:line="240" w:lineRule="auto"/>
        <w:rPr>
          <w:rFonts w:ascii="Bookman Old Style" w:hAnsi="Bookman Old Style"/>
          <w:color w:val="000000" w:themeColor="text1"/>
          <w:sz w:val="24"/>
        </w:rPr>
      </w:pPr>
      <w:r w:rsidRPr="008306EF">
        <w:rPr>
          <w:rFonts w:ascii="Bookman Old Style" w:hAnsi="Bookman Old Style"/>
          <w:color w:val="000000" w:themeColor="text1"/>
          <w:sz w:val="24"/>
        </w:rPr>
        <w:t>In case of insufficiency of assets, liquidator’s remuneration and expenses shall be first paid and the balance proportionately distributed between Secured Creditors and Worksmen Dues.</w:t>
      </w:r>
      <w:r w:rsidRPr="008306EF">
        <w:rPr>
          <w:rFonts w:ascii="Bookman Old Style" w:hAnsi="Bookman Old Style"/>
          <w:color w:val="000000" w:themeColor="text1"/>
          <w:sz w:val="24"/>
        </w:rPr>
        <w:tab/>
      </w:r>
    </w:p>
    <w:p w:rsidR="008306EF" w:rsidRDefault="008306EF" w:rsidP="008306EF">
      <w:pPr>
        <w:pStyle w:val="HANG"/>
        <w:spacing w:after="60" w:line="240" w:lineRule="auto"/>
        <w:rPr>
          <w:rFonts w:ascii="Bookman Old Style" w:hAnsi="Bookman Old Style"/>
          <w:color w:val="000000" w:themeColor="text1"/>
          <w:sz w:val="24"/>
        </w:rPr>
      </w:pPr>
    </w:p>
    <w:p w:rsidR="008C6B9A" w:rsidRDefault="008C6B9A" w:rsidP="00F159B8">
      <w:pPr>
        <w:pStyle w:val="HANG"/>
        <w:spacing w:line="240" w:lineRule="auto"/>
        <w:ind w:left="0" w:firstLine="720"/>
        <w:contextualSpacing/>
        <w:rPr>
          <w:rFonts w:ascii="Copperplate Gothic Bold" w:hAnsi="Copperplate Gothic Bold"/>
          <w:b/>
          <w:color w:val="000000" w:themeColor="text1"/>
          <w:sz w:val="32"/>
          <w:u w:val="single"/>
        </w:rPr>
      </w:pPr>
    </w:p>
    <w:p w:rsidR="008306EF" w:rsidRDefault="00F159B8" w:rsidP="00F159B8">
      <w:pPr>
        <w:pStyle w:val="HANG"/>
        <w:spacing w:line="240" w:lineRule="auto"/>
        <w:ind w:left="0" w:firstLine="720"/>
        <w:contextualSpacing/>
        <w:rPr>
          <w:rFonts w:ascii="Copperplate Gothic Bold" w:hAnsi="Copperplate Gothic Bold"/>
          <w:b/>
          <w:color w:val="000000" w:themeColor="text1"/>
          <w:sz w:val="32"/>
          <w:u w:val="single"/>
        </w:rPr>
      </w:pPr>
      <w:r w:rsidRPr="00F159B8">
        <w:rPr>
          <w:rFonts w:ascii="Copperplate Gothic Bold" w:hAnsi="Copperplate Gothic Bold"/>
          <w:b/>
          <w:color w:val="000000" w:themeColor="text1"/>
          <w:sz w:val="32"/>
          <w:u w:val="single"/>
        </w:rPr>
        <w:t>Preferential Creditors</w:t>
      </w:r>
    </w:p>
    <w:p w:rsidR="00F159B8" w:rsidRPr="00F159B8" w:rsidRDefault="00F159B8" w:rsidP="00F159B8">
      <w:pPr>
        <w:pStyle w:val="HANG"/>
        <w:spacing w:line="240" w:lineRule="auto"/>
        <w:ind w:left="0" w:firstLine="720"/>
        <w:contextualSpacing/>
        <w:rPr>
          <w:rFonts w:ascii="Copperplate Gothic Bold" w:hAnsi="Copperplate Gothic Bold"/>
          <w:b/>
          <w:color w:val="000000" w:themeColor="text1"/>
          <w:sz w:val="18"/>
          <w:u w:val="single"/>
        </w:rPr>
      </w:pPr>
    </w:p>
    <w:p w:rsidR="00F159B8" w:rsidRDefault="00F159B8" w:rsidP="00F159B8">
      <w:pPr>
        <w:pStyle w:val="HANG"/>
        <w:numPr>
          <w:ilvl w:val="0"/>
          <w:numId w:val="64"/>
        </w:numPr>
        <w:spacing w:line="240" w:lineRule="auto"/>
        <w:ind w:left="720"/>
        <w:contextualSpacing/>
        <w:rPr>
          <w:rFonts w:ascii="Bookman Old Style" w:hAnsi="Bookman Old Style"/>
          <w:color w:val="000000" w:themeColor="text1"/>
          <w:sz w:val="24"/>
        </w:rPr>
      </w:pPr>
      <w:r w:rsidRPr="00F159B8">
        <w:rPr>
          <w:rFonts w:ascii="Bookman Old Style" w:hAnsi="Bookman Old Style"/>
          <w:color w:val="000000" w:themeColor="text1"/>
          <w:sz w:val="24"/>
        </w:rPr>
        <w:t xml:space="preserve">Subject to </w:t>
      </w:r>
      <w:r w:rsidR="00567B0D">
        <w:rPr>
          <w:rFonts w:ascii="Bookman Old Style" w:hAnsi="Bookman Old Style"/>
          <w:color w:val="000000" w:themeColor="text1"/>
          <w:sz w:val="24"/>
        </w:rPr>
        <w:t>provisions of Section 530</w:t>
      </w:r>
      <w:r>
        <w:rPr>
          <w:rFonts w:ascii="Bookman Old Style" w:hAnsi="Bookman Old Style"/>
          <w:color w:val="000000" w:themeColor="text1"/>
          <w:sz w:val="24"/>
        </w:rPr>
        <w:t xml:space="preserve"> relating to Preferential payments, the following </w:t>
      </w:r>
      <w:r w:rsidR="00567B0D">
        <w:rPr>
          <w:rFonts w:ascii="Bookman Old Style" w:hAnsi="Bookman Old Style"/>
          <w:color w:val="000000" w:themeColor="text1"/>
          <w:sz w:val="24"/>
        </w:rPr>
        <w:t xml:space="preserve">Unsecured </w:t>
      </w:r>
      <w:r>
        <w:rPr>
          <w:rFonts w:ascii="Bookman Old Style" w:hAnsi="Bookman Old Style"/>
          <w:color w:val="000000" w:themeColor="text1"/>
          <w:sz w:val="24"/>
        </w:rPr>
        <w:t>debts shall be paid in priority to all other</w:t>
      </w:r>
      <w:r w:rsidR="00567B0D">
        <w:rPr>
          <w:rFonts w:ascii="Bookman Old Style" w:hAnsi="Bookman Old Style"/>
          <w:color w:val="000000" w:themeColor="text1"/>
          <w:sz w:val="24"/>
        </w:rPr>
        <w:t xml:space="preserve"> Unsecured</w:t>
      </w:r>
      <w:r>
        <w:rPr>
          <w:rFonts w:ascii="Bookman Old Style" w:hAnsi="Bookman Old Style"/>
          <w:color w:val="000000" w:themeColor="text1"/>
          <w:sz w:val="24"/>
        </w:rPr>
        <w:t xml:space="preserve"> debts:</w:t>
      </w:r>
    </w:p>
    <w:p w:rsidR="00567B0D" w:rsidRDefault="00567B0D" w:rsidP="00567B0D">
      <w:pPr>
        <w:pStyle w:val="HANG"/>
        <w:spacing w:line="240" w:lineRule="auto"/>
        <w:ind w:left="720" w:firstLine="0"/>
        <w:contextualSpacing/>
        <w:rPr>
          <w:rFonts w:ascii="Bookman Old Style" w:hAnsi="Bookman Old Style"/>
          <w:color w:val="000000" w:themeColor="text1"/>
          <w:sz w:val="24"/>
        </w:rPr>
      </w:pP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 xml:space="preserve">All revenues, taxes, cesses &amp; rates which have become due and payable to Govt or Local Authority </w:t>
      </w:r>
      <w:r w:rsidRPr="00567B0D">
        <w:rPr>
          <w:rFonts w:ascii="Bookman Old Style" w:hAnsi="Bookman Old Style"/>
          <w:i/>
          <w:color w:val="000000" w:themeColor="text1"/>
          <w:sz w:val="24"/>
          <w:u w:val="single"/>
        </w:rPr>
        <w:t>within 12 Months before the date of Commencement of Winding Up.</w:t>
      </w:r>
    </w:p>
    <w:p w:rsid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 xml:space="preserve">All Wages &amp; Salaries of any Employee in respect of services rendered to the Company and due from it for a </w:t>
      </w:r>
      <w:r w:rsidRPr="00567B0D">
        <w:rPr>
          <w:rFonts w:ascii="Bookman Old Style" w:hAnsi="Bookman Old Style"/>
          <w:i/>
          <w:color w:val="000000" w:themeColor="text1"/>
          <w:sz w:val="24"/>
          <w:u w:val="single"/>
        </w:rPr>
        <w:t>period not exceeding 4 Months, within 12 Months before the dat</w:t>
      </w:r>
      <w:r>
        <w:rPr>
          <w:rFonts w:ascii="Bookman Old Style" w:hAnsi="Bookman Old Style"/>
          <w:i/>
          <w:color w:val="000000" w:themeColor="text1"/>
          <w:sz w:val="24"/>
          <w:u w:val="single"/>
        </w:rPr>
        <w:t>e of Commencement of Winding Up, not exceeding Rs.20,000 to each Employee.</w:t>
      </w: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All accrued holiday remuneration becoming payable to any Employee on account of Winding Up.</w:t>
      </w: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lastRenderedPageBreak/>
        <w:t xml:space="preserve">All amounts due, in respect of Contributories payable by the Company as an employer under any law for the time being in force. The amount should have become payable </w:t>
      </w:r>
      <w:r w:rsidRPr="00567B0D">
        <w:rPr>
          <w:rFonts w:ascii="Bookman Old Style" w:hAnsi="Bookman Old Style"/>
          <w:i/>
          <w:color w:val="000000" w:themeColor="text1"/>
          <w:sz w:val="24"/>
          <w:u w:val="single"/>
        </w:rPr>
        <w:t>within 12 Months before the date of Commencement of Winding Up.</w:t>
      </w: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Any Compensation due under the Workmen’s Compensation Act on account of death or disablement of any employee.</w:t>
      </w: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All sums due to any employee from a provident fund, a pension fund, a gratuity fund or any other fund for the welfare of the employees maintained by the Company.</w:t>
      </w:r>
    </w:p>
    <w:p w:rsidR="00567B0D" w:rsidRPr="00567B0D" w:rsidRDefault="00567B0D" w:rsidP="00567B0D">
      <w:pPr>
        <w:pStyle w:val="HANG"/>
        <w:numPr>
          <w:ilvl w:val="0"/>
          <w:numId w:val="65"/>
        </w:numPr>
        <w:spacing w:after="140" w:line="240" w:lineRule="auto"/>
        <w:ind w:left="1454" w:hanging="547"/>
        <w:rPr>
          <w:rFonts w:ascii="Bookman Old Style" w:hAnsi="Bookman Old Style"/>
          <w:i/>
          <w:color w:val="000000" w:themeColor="text1"/>
          <w:sz w:val="24"/>
          <w:u w:val="single"/>
        </w:rPr>
      </w:pPr>
      <w:r>
        <w:rPr>
          <w:rFonts w:ascii="Bookman Old Style" w:hAnsi="Bookman Old Style"/>
          <w:color w:val="000000" w:themeColor="text1"/>
          <w:sz w:val="24"/>
        </w:rPr>
        <w:t xml:space="preserve">Expenses of any investigation U/s. 235 or 237 </w:t>
      </w:r>
    </w:p>
    <w:p w:rsidR="008C6B9A" w:rsidRDefault="008C6B9A" w:rsidP="00083D78">
      <w:pPr>
        <w:pStyle w:val="HANG"/>
        <w:spacing w:line="240" w:lineRule="auto"/>
        <w:ind w:left="0" w:firstLine="720"/>
        <w:contextualSpacing/>
        <w:rPr>
          <w:rFonts w:ascii="Copperplate Gothic Bold" w:hAnsi="Copperplate Gothic Bold"/>
          <w:b/>
          <w:color w:val="000000" w:themeColor="text1"/>
          <w:sz w:val="32"/>
          <w:u w:val="single"/>
        </w:rPr>
      </w:pPr>
    </w:p>
    <w:p w:rsidR="00567B0D" w:rsidRPr="00083D78" w:rsidRDefault="00083D78" w:rsidP="00083D78">
      <w:pPr>
        <w:pStyle w:val="HANG"/>
        <w:spacing w:line="240" w:lineRule="auto"/>
        <w:ind w:left="0" w:firstLine="720"/>
        <w:contextualSpacing/>
        <w:rPr>
          <w:rFonts w:ascii="Copperplate Gothic Bold" w:hAnsi="Copperplate Gothic Bold"/>
          <w:b/>
          <w:color w:val="000000" w:themeColor="text1"/>
          <w:sz w:val="32"/>
          <w:u w:val="single"/>
        </w:rPr>
      </w:pPr>
      <w:r w:rsidRPr="00083D78">
        <w:rPr>
          <w:rFonts w:ascii="Copperplate Gothic Bold" w:hAnsi="Copperplate Gothic Bold"/>
          <w:b/>
          <w:color w:val="000000" w:themeColor="text1"/>
          <w:sz w:val="32"/>
          <w:u w:val="single"/>
        </w:rPr>
        <w:t>Over-riding Preferential Payments Sec 529A</w:t>
      </w:r>
    </w:p>
    <w:p w:rsidR="00F159B8" w:rsidRDefault="00F159B8" w:rsidP="00567B0D">
      <w:pPr>
        <w:pStyle w:val="HANG"/>
        <w:spacing w:after="140" w:line="240" w:lineRule="auto"/>
        <w:ind w:left="1454" w:firstLine="0"/>
        <w:rPr>
          <w:rFonts w:ascii="Bookman Old Style" w:hAnsi="Bookman Old Style"/>
          <w:color w:val="000000" w:themeColor="text1"/>
          <w:sz w:val="24"/>
        </w:rPr>
      </w:pPr>
    </w:p>
    <w:p w:rsidR="00083D78" w:rsidRDefault="00083D78" w:rsidP="00083D78">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The purpose of Sec 529A is to protect the rights of Workmen so that they are not deprived of their legitimate claims in the event of winding up.</w:t>
      </w:r>
    </w:p>
    <w:p w:rsidR="00083D78" w:rsidRDefault="00083D78" w:rsidP="00083D78">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As per 529A, following debts shall be paid in priority to all other debts – </w:t>
      </w:r>
    </w:p>
    <w:p w:rsidR="00083D78" w:rsidRDefault="00083D78" w:rsidP="00083D78">
      <w:pPr>
        <w:pStyle w:val="HANG"/>
        <w:numPr>
          <w:ilvl w:val="0"/>
          <w:numId w:val="66"/>
        </w:numPr>
        <w:spacing w:line="240" w:lineRule="auto"/>
        <w:rPr>
          <w:rFonts w:ascii="Bookman Old Style" w:hAnsi="Bookman Old Style"/>
          <w:color w:val="000000" w:themeColor="text1"/>
          <w:sz w:val="24"/>
        </w:rPr>
      </w:pPr>
      <w:r>
        <w:rPr>
          <w:rFonts w:ascii="Bookman Old Style" w:hAnsi="Bookman Old Style"/>
          <w:color w:val="000000" w:themeColor="text1"/>
          <w:sz w:val="24"/>
        </w:rPr>
        <w:t>Workmen’s Dues</w:t>
      </w:r>
    </w:p>
    <w:p w:rsidR="00083D78" w:rsidRDefault="00083D78" w:rsidP="00083D78">
      <w:pPr>
        <w:pStyle w:val="HANG"/>
        <w:numPr>
          <w:ilvl w:val="0"/>
          <w:numId w:val="66"/>
        </w:numPr>
        <w:spacing w:line="240" w:lineRule="auto"/>
        <w:rPr>
          <w:rFonts w:ascii="Bookman Old Style" w:hAnsi="Bookman Old Style"/>
          <w:color w:val="000000" w:themeColor="text1"/>
          <w:sz w:val="24"/>
        </w:rPr>
      </w:pPr>
      <w:r>
        <w:rPr>
          <w:rFonts w:ascii="Bookman Old Style" w:hAnsi="Bookman Old Style"/>
          <w:color w:val="000000" w:themeColor="text1"/>
          <w:sz w:val="24"/>
        </w:rPr>
        <w:t>Debts due to Secured Creditors to the extent such debts rank pari passu with Workmen’s Dues.</w:t>
      </w:r>
    </w:p>
    <w:p w:rsidR="00083D78" w:rsidRDefault="00083D78" w:rsidP="00083D78">
      <w:pPr>
        <w:pStyle w:val="HANG"/>
        <w:numPr>
          <w:ilvl w:val="0"/>
          <w:numId w:val="67"/>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These debts shall be paid in full unless the assets are insufficient to meet them and in which case they shall be proportionately distributed.</w:t>
      </w:r>
    </w:p>
    <w:p w:rsidR="00083D78" w:rsidRDefault="00083D78" w:rsidP="00083D78">
      <w:pPr>
        <w:pStyle w:val="HANG"/>
        <w:spacing w:line="240" w:lineRule="auto"/>
        <w:rPr>
          <w:rFonts w:ascii="Bookman Old Style" w:hAnsi="Bookman Old Style"/>
          <w:color w:val="000000" w:themeColor="text1"/>
          <w:sz w:val="24"/>
        </w:rPr>
      </w:pPr>
    </w:p>
    <w:p w:rsidR="002B6908" w:rsidRPr="002B6908" w:rsidRDefault="002B6908" w:rsidP="002B6908">
      <w:pPr>
        <w:pStyle w:val="HANG"/>
        <w:spacing w:line="240" w:lineRule="auto"/>
        <w:ind w:left="0" w:firstLine="720"/>
        <w:contextualSpacing/>
        <w:rPr>
          <w:rFonts w:ascii="Copperplate Gothic Bold" w:hAnsi="Copperplate Gothic Bold"/>
          <w:b/>
          <w:color w:val="000000" w:themeColor="text1"/>
          <w:sz w:val="32"/>
          <w:u w:val="single"/>
        </w:rPr>
      </w:pPr>
      <w:r w:rsidRPr="002B6908">
        <w:rPr>
          <w:rFonts w:ascii="Copperplate Gothic Bold" w:hAnsi="Copperplate Gothic Bold"/>
          <w:b/>
          <w:color w:val="000000" w:themeColor="text1"/>
          <w:sz w:val="32"/>
          <w:u w:val="single"/>
        </w:rPr>
        <w:t>Workmen’s Dues</w:t>
      </w:r>
    </w:p>
    <w:p w:rsidR="00083D78" w:rsidRDefault="00083D78" w:rsidP="00083D78">
      <w:pPr>
        <w:pStyle w:val="HANG"/>
        <w:spacing w:line="240" w:lineRule="auto"/>
        <w:rPr>
          <w:rFonts w:ascii="Bookman Old Style" w:hAnsi="Bookman Old Style"/>
          <w:color w:val="000000" w:themeColor="text1"/>
          <w:sz w:val="24"/>
        </w:rPr>
      </w:pPr>
    </w:p>
    <w:p w:rsidR="00083D78" w:rsidRDefault="002B6908" w:rsidP="002B6908">
      <w:pPr>
        <w:pStyle w:val="HANG"/>
        <w:spacing w:after="140" w:line="240" w:lineRule="auto"/>
        <w:ind w:left="720" w:firstLine="0"/>
        <w:rPr>
          <w:rFonts w:ascii="Bookman Old Style" w:hAnsi="Bookman Old Style"/>
          <w:color w:val="000000" w:themeColor="text1"/>
          <w:sz w:val="24"/>
        </w:rPr>
      </w:pPr>
      <w:r>
        <w:rPr>
          <w:rFonts w:ascii="Bookman Old Style" w:hAnsi="Bookman Old Style"/>
          <w:color w:val="000000" w:themeColor="text1"/>
          <w:sz w:val="24"/>
        </w:rPr>
        <w:t>Workmen’s Dues means the aggregate of the following sums due from the Company to its Workmen:</w:t>
      </w:r>
    </w:p>
    <w:p w:rsidR="002B6908" w:rsidRDefault="002B6908" w:rsidP="00E352CE">
      <w:pPr>
        <w:pStyle w:val="HANG"/>
        <w:numPr>
          <w:ilvl w:val="0"/>
          <w:numId w:val="68"/>
        </w:numPr>
        <w:spacing w:after="140" w:line="240" w:lineRule="auto"/>
        <w:ind w:left="1620" w:hanging="450"/>
        <w:rPr>
          <w:rFonts w:ascii="Bookman Old Style" w:hAnsi="Bookman Old Style"/>
          <w:color w:val="000000" w:themeColor="text1"/>
          <w:sz w:val="24"/>
        </w:rPr>
      </w:pPr>
      <w:r>
        <w:rPr>
          <w:rFonts w:ascii="Bookman Old Style" w:hAnsi="Bookman Old Style"/>
          <w:color w:val="000000" w:themeColor="text1"/>
          <w:sz w:val="24"/>
        </w:rPr>
        <w:t>All wages, salaries &amp; commission earned including any compensation payable to Workmen under the Industrial Disputes Act</w:t>
      </w:r>
    </w:p>
    <w:p w:rsidR="002B6908" w:rsidRDefault="002B6908" w:rsidP="00E352CE">
      <w:pPr>
        <w:pStyle w:val="HANG"/>
        <w:numPr>
          <w:ilvl w:val="0"/>
          <w:numId w:val="68"/>
        </w:numPr>
        <w:spacing w:after="140" w:line="240" w:lineRule="auto"/>
        <w:ind w:left="1620" w:hanging="450"/>
        <w:rPr>
          <w:rFonts w:ascii="Bookman Old Style" w:hAnsi="Bookman Old Style"/>
          <w:color w:val="000000" w:themeColor="text1"/>
          <w:sz w:val="24"/>
        </w:rPr>
      </w:pPr>
      <w:r>
        <w:rPr>
          <w:rFonts w:ascii="Bookman Old Style" w:hAnsi="Bookman Old Style"/>
          <w:color w:val="000000" w:themeColor="text1"/>
          <w:sz w:val="24"/>
        </w:rPr>
        <w:t>All accrued holiday remuneration becoming payable to any Workmen</w:t>
      </w:r>
    </w:p>
    <w:p w:rsidR="002B6908" w:rsidRDefault="002B6908" w:rsidP="00E352CE">
      <w:pPr>
        <w:pStyle w:val="HANG"/>
        <w:numPr>
          <w:ilvl w:val="0"/>
          <w:numId w:val="68"/>
        </w:numPr>
        <w:spacing w:after="140" w:line="240" w:lineRule="auto"/>
        <w:ind w:left="1620" w:hanging="450"/>
        <w:rPr>
          <w:rFonts w:ascii="Bookman Old Style" w:hAnsi="Bookman Old Style"/>
          <w:color w:val="000000" w:themeColor="text1"/>
          <w:sz w:val="24"/>
        </w:rPr>
      </w:pPr>
      <w:r>
        <w:rPr>
          <w:rFonts w:ascii="Bookman Old Style" w:hAnsi="Bookman Old Style"/>
          <w:color w:val="000000" w:themeColor="text1"/>
          <w:sz w:val="24"/>
        </w:rPr>
        <w:t>Any Compensation due under the Workmen’s Compensation Act</w:t>
      </w:r>
    </w:p>
    <w:p w:rsidR="002B6908" w:rsidRPr="00567B0D" w:rsidRDefault="002B6908" w:rsidP="00E352CE">
      <w:pPr>
        <w:pStyle w:val="HANG"/>
        <w:numPr>
          <w:ilvl w:val="0"/>
          <w:numId w:val="68"/>
        </w:numPr>
        <w:spacing w:after="140" w:line="240" w:lineRule="auto"/>
        <w:ind w:left="1620" w:hanging="450"/>
        <w:rPr>
          <w:rFonts w:ascii="Bookman Old Style" w:hAnsi="Bookman Old Style"/>
          <w:i/>
          <w:color w:val="000000" w:themeColor="text1"/>
          <w:sz w:val="24"/>
          <w:u w:val="single"/>
        </w:rPr>
      </w:pPr>
      <w:r>
        <w:rPr>
          <w:rFonts w:ascii="Bookman Old Style" w:hAnsi="Bookman Old Style"/>
          <w:color w:val="000000" w:themeColor="text1"/>
          <w:sz w:val="24"/>
        </w:rPr>
        <w:t>All sums due to any Wrokmen from a provident fund, a pension fund, a gratuity fund or any other fund for the welfare of the employees maintained by the Company.</w:t>
      </w:r>
    </w:p>
    <w:p w:rsidR="0016191C" w:rsidRDefault="0016191C" w:rsidP="00284FAC">
      <w:pPr>
        <w:pStyle w:val="HANG"/>
        <w:spacing w:line="240" w:lineRule="auto"/>
        <w:ind w:left="0" w:firstLine="720"/>
        <w:contextualSpacing/>
        <w:rPr>
          <w:rFonts w:ascii="Copperplate Gothic Bold" w:hAnsi="Copperplate Gothic Bold"/>
          <w:b/>
          <w:color w:val="000000" w:themeColor="text1"/>
          <w:sz w:val="32"/>
          <w:u w:val="single"/>
        </w:rPr>
      </w:pPr>
    </w:p>
    <w:p w:rsidR="00284FAC" w:rsidRDefault="00284FAC" w:rsidP="00284FAC">
      <w:pPr>
        <w:pStyle w:val="HANG"/>
        <w:spacing w:line="240" w:lineRule="auto"/>
        <w:ind w:left="0" w:firstLine="720"/>
        <w:contextualSpacing/>
        <w:rPr>
          <w:rFonts w:ascii="Copperplate Gothic Bold" w:hAnsi="Copperplate Gothic Bold"/>
          <w:b/>
          <w:color w:val="000000" w:themeColor="text1"/>
          <w:sz w:val="32"/>
          <w:u w:val="single"/>
        </w:rPr>
      </w:pPr>
      <w:r w:rsidRPr="00284FAC">
        <w:rPr>
          <w:rFonts w:ascii="Copperplate Gothic Bold" w:hAnsi="Copperplate Gothic Bold"/>
          <w:b/>
          <w:color w:val="000000" w:themeColor="text1"/>
          <w:sz w:val="32"/>
          <w:u w:val="single"/>
        </w:rPr>
        <w:t>Fraudulent Preference Sec 531</w:t>
      </w:r>
    </w:p>
    <w:p w:rsidR="00284FAC" w:rsidRPr="00284FAC" w:rsidRDefault="00284FAC" w:rsidP="00284FAC">
      <w:pPr>
        <w:pStyle w:val="HANG"/>
        <w:spacing w:line="240" w:lineRule="auto"/>
        <w:ind w:left="0" w:firstLine="720"/>
        <w:contextualSpacing/>
        <w:rPr>
          <w:rFonts w:ascii="Bookman Old Style" w:hAnsi="Bookman Old Style"/>
          <w:color w:val="000000" w:themeColor="text1"/>
          <w:sz w:val="24"/>
        </w:rPr>
      </w:pPr>
    </w:p>
    <w:p w:rsidR="00284FAC" w:rsidRDefault="00284FAC" w:rsidP="00284FAC">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Fraudulent Preference means giving an improper benefit or favou</w:t>
      </w:r>
      <w:r w:rsidR="002F4526">
        <w:rPr>
          <w:rFonts w:ascii="Bookman Old Style" w:hAnsi="Bookman Old Style"/>
          <w:color w:val="000000" w:themeColor="text1"/>
          <w:sz w:val="24"/>
        </w:rPr>
        <w:t>r</w:t>
      </w:r>
      <w:r>
        <w:rPr>
          <w:rFonts w:ascii="Bookman Old Style" w:hAnsi="Bookman Old Style"/>
          <w:color w:val="000000" w:themeColor="text1"/>
          <w:sz w:val="24"/>
        </w:rPr>
        <w:t xml:space="preserve">able treatment to some of the Creditors. </w:t>
      </w:r>
    </w:p>
    <w:p w:rsidR="00284FAC" w:rsidRPr="00284FAC" w:rsidRDefault="00284FAC" w:rsidP="00284FAC">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The object of avoidance of fraudulent preference is to grant protection to the Creditors of the Company.  </w:t>
      </w:r>
    </w:p>
    <w:p w:rsidR="00284FAC" w:rsidRPr="00284FAC" w:rsidRDefault="00284FAC" w:rsidP="00284FAC">
      <w:pPr>
        <w:pStyle w:val="HANG"/>
        <w:numPr>
          <w:ilvl w:val="0"/>
          <w:numId w:val="64"/>
        </w:numPr>
        <w:spacing w:line="240" w:lineRule="auto"/>
        <w:ind w:left="720"/>
        <w:rPr>
          <w:rFonts w:ascii="Bookman Old Style" w:hAnsi="Bookman Old Style"/>
          <w:b/>
          <w:color w:val="000000" w:themeColor="text1"/>
          <w:sz w:val="24"/>
        </w:rPr>
      </w:pPr>
      <w:r>
        <w:rPr>
          <w:rFonts w:ascii="Bookman Old Style" w:hAnsi="Bookman Old Style"/>
          <w:color w:val="000000" w:themeColor="text1"/>
          <w:sz w:val="24"/>
        </w:rPr>
        <w:lastRenderedPageBreak/>
        <w:t xml:space="preserve">A transaction shall be deemed to be fraudulent preference if </w:t>
      </w:r>
      <w:r w:rsidRPr="00284FAC">
        <w:rPr>
          <w:rFonts w:ascii="Bookman Old Style" w:hAnsi="Bookman Old Style"/>
          <w:b/>
          <w:color w:val="000000" w:themeColor="text1"/>
          <w:sz w:val="24"/>
        </w:rPr>
        <w:t>all of the following conditions are satisfied:</w:t>
      </w:r>
    </w:p>
    <w:p w:rsidR="00284FAC" w:rsidRDefault="00284FAC" w:rsidP="00E352CE">
      <w:pPr>
        <w:pStyle w:val="HANG"/>
        <w:numPr>
          <w:ilvl w:val="0"/>
          <w:numId w:val="69"/>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The Transaction relates to transfer of property, delivery of goods, payment of money or other act relating to the property of the Company.</w:t>
      </w:r>
    </w:p>
    <w:p w:rsidR="00284FAC" w:rsidRDefault="00284FAC" w:rsidP="00E352CE">
      <w:pPr>
        <w:pStyle w:val="HANG"/>
        <w:numPr>
          <w:ilvl w:val="0"/>
          <w:numId w:val="69"/>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It took place within 6 months before the commencement of winding up of the Company.</w:t>
      </w:r>
    </w:p>
    <w:p w:rsidR="00284FAC" w:rsidRDefault="00284FAC" w:rsidP="00E352CE">
      <w:pPr>
        <w:pStyle w:val="HANG"/>
        <w:numPr>
          <w:ilvl w:val="0"/>
          <w:numId w:val="69"/>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It was an entirely voluntary act and not made under any pressure.</w:t>
      </w:r>
    </w:p>
    <w:p w:rsidR="00284FAC" w:rsidRDefault="00284FAC" w:rsidP="00E352CE">
      <w:pPr>
        <w:pStyle w:val="HANG"/>
        <w:numPr>
          <w:ilvl w:val="0"/>
          <w:numId w:val="69"/>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The dominant motive was to give a creditor a preference over other creditors.</w:t>
      </w:r>
    </w:p>
    <w:p w:rsidR="00284FAC" w:rsidRPr="00284FAC" w:rsidRDefault="00284FAC" w:rsidP="00284FAC">
      <w:pPr>
        <w:pStyle w:val="HANG"/>
        <w:spacing w:line="240" w:lineRule="auto"/>
        <w:ind w:left="720" w:firstLine="0"/>
        <w:rPr>
          <w:rFonts w:ascii="Bookman Old Style" w:hAnsi="Bookman Old Style"/>
          <w:color w:val="000000" w:themeColor="text1"/>
          <w:sz w:val="24"/>
        </w:rPr>
      </w:pPr>
    </w:p>
    <w:p w:rsidR="00284FAC" w:rsidRPr="00284FAC" w:rsidRDefault="00284FAC" w:rsidP="00284FAC">
      <w:pPr>
        <w:pStyle w:val="HANG"/>
        <w:spacing w:line="240" w:lineRule="auto"/>
        <w:ind w:left="0" w:firstLine="720"/>
        <w:contextualSpacing/>
        <w:rPr>
          <w:rFonts w:ascii="Copperplate Gothic Bold" w:hAnsi="Copperplate Gothic Bold"/>
          <w:b/>
          <w:color w:val="000000" w:themeColor="text1"/>
          <w:sz w:val="32"/>
          <w:u w:val="single"/>
        </w:rPr>
      </w:pPr>
      <w:r w:rsidRPr="00284FAC">
        <w:rPr>
          <w:rFonts w:ascii="Copperplate Gothic Bold" w:hAnsi="Copperplate Gothic Bold"/>
          <w:b/>
          <w:color w:val="000000" w:themeColor="text1"/>
          <w:sz w:val="32"/>
          <w:u w:val="single"/>
        </w:rPr>
        <w:t>Voluntary Transfer</w:t>
      </w:r>
      <w:r>
        <w:rPr>
          <w:rFonts w:ascii="Copperplate Gothic Bold" w:hAnsi="Copperplate Gothic Bold"/>
          <w:b/>
          <w:color w:val="000000" w:themeColor="text1"/>
          <w:sz w:val="32"/>
          <w:u w:val="single"/>
        </w:rPr>
        <w:t xml:space="preserve">  Sec 531A</w:t>
      </w:r>
    </w:p>
    <w:p w:rsidR="002F4526" w:rsidRDefault="002F4526" w:rsidP="00284FAC">
      <w:pPr>
        <w:pStyle w:val="HANG"/>
        <w:spacing w:line="240" w:lineRule="auto"/>
        <w:ind w:left="0" w:firstLine="720"/>
        <w:contextualSpacing/>
        <w:rPr>
          <w:rFonts w:ascii="Bookman Old Style" w:hAnsi="Bookman Old Style"/>
          <w:color w:val="000000" w:themeColor="text1"/>
          <w:sz w:val="24"/>
        </w:rPr>
      </w:pPr>
    </w:p>
    <w:p w:rsidR="002F4526" w:rsidRDefault="002F4526" w:rsidP="002F4526">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Any transfer of property or delivery of goods made by a Company shall be void against the liquidator if it is made within a period of 1 year before the commencement of winding up of the Company.</w:t>
      </w:r>
    </w:p>
    <w:p w:rsidR="002F4526" w:rsidRDefault="002F4526" w:rsidP="002F4526">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Following transactions shall remain valid even if made</w:t>
      </w:r>
      <w:r w:rsidRPr="002F4526">
        <w:rPr>
          <w:rFonts w:ascii="Bookman Old Style" w:hAnsi="Bookman Old Style"/>
          <w:color w:val="000000" w:themeColor="text1"/>
          <w:sz w:val="24"/>
        </w:rPr>
        <w:t xml:space="preserve"> </w:t>
      </w:r>
      <w:r>
        <w:rPr>
          <w:rFonts w:ascii="Bookman Old Style" w:hAnsi="Bookman Old Style"/>
          <w:color w:val="000000" w:themeColor="text1"/>
          <w:sz w:val="24"/>
        </w:rPr>
        <w:t>within a period of 1 year before the commencement of winding up :</w:t>
      </w:r>
    </w:p>
    <w:p w:rsidR="002F4526" w:rsidRDefault="002F4526" w:rsidP="00E352CE">
      <w:pPr>
        <w:pStyle w:val="HANG"/>
        <w:numPr>
          <w:ilvl w:val="0"/>
          <w:numId w:val="70"/>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Any transfer of property or delivery of goods made in the ordinary course of business.</w:t>
      </w:r>
    </w:p>
    <w:p w:rsidR="002F4526" w:rsidRDefault="002F4526" w:rsidP="00E352CE">
      <w:pPr>
        <w:pStyle w:val="HANG"/>
        <w:numPr>
          <w:ilvl w:val="0"/>
          <w:numId w:val="70"/>
        </w:numPr>
        <w:spacing w:line="240" w:lineRule="auto"/>
        <w:ind w:left="1620" w:hanging="540"/>
        <w:rPr>
          <w:rFonts w:ascii="Bookman Old Style" w:hAnsi="Bookman Old Style"/>
          <w:color w:val="000000" w:themeColor="text1"/>
          <w:sz w:val="24"/>
        </w:rPr>
      </w:pPr>
      <w:r>
        <w:rPr>
          <w:rFonts w:ascii="Bookman Old Style" w:hAnsi="Bookman Old Style"/>
          <w:color w:val="000000" w:themeColor="text1"/>
          <w:sz w:val="24"/>
        </w:rPr>
        <w:t>Any transfer of property or delivery of goods made in favour of a purchaser or encumbrancer in good faith and for valuable consideration.</w:t>
      </w:r>
    </w:p>
    <w:p w:rsidR="008C6B9A" w:rsidRPr="00284FAC" w:rsidRDefault="008C6B9A" w:rsidP="00284FAC">
      <w:pPr>
        <w:pStyle w:val="HANG"/>
        <w:spacing w:line="240" w:lineRule="auto"/>
        <w:ind w:left="0" w:firstLine="720"/>
        <w:contextualSpacing/>
        <w:rPr>
          <w:rFonts w:ascii="Bookman Old Style" w:hAnsi="Bookman Old Style"/>
          <w:color w:val="000000" w:themeColor="text1"/>
          <w:sz w:val="24"/>
        </w:rPr>
      </w:pPr>
    </w:p>
    <w:p w:rsidR="00284FAC" w:rsidRPr="002F4526" w:rsidRDefault="002F4526" w:rsidP="00284FAC">
      <w:pPr>
        <w:pStyle w:val="HANG"/>
        <w:spacing w:line="240" w:lineRule="auto"/>
        <w:ind w:left="0" w:firstLine="720"/>
        <w:contextualSpacing/>
        <w:rPr>
          <w:rFonts w:ascii="Copperplate Gothic Bold" w:hAnsi="Copperplate Gothic Bold"/>
          <w:b/>
          <w:color w:val="000000" w:themeColor="text1"/>
          <w:sz w:val="32"/>
          <w:u w:val="single"/>
        </w:rPr>
      </w:pPr>
      <w:r w:rsidRPr="002F4526">
        <w:rPr>
          <w:rFonts w:ascii="Copperplate Gothic Bold" w:hAnsi="Copperplate Gothic Bold"/>
          <w:b/>
          <w:color w:val="000000" w:themeColor="text1"/>
          <w:sz w:val="32"/>
          <w:u w:val="single"/>
        </w:rPr>
        <w:t>Floating Charge  Sec 534</w:t>
      </w:r>
    </w:p>
    <w:p w:rsidR="002F4526" w:rsidRDefault="002F4526" w:rsidP="00284FAC">
      <w:pPr>
        <w:pStyle w:val="HANG"/>
        <w:spacing w:line="240" w:lineRule="auto"/>
        <w:ind w:left="0" w:firstLine="720"/>
        <w:contextualSpacing/>
        <w:rPr>
          <w:rFonts w:ascii="Bookman Old Style" w:hAnsi="Bookman Old Style"/>
          <w:color w:val="000000" w:themeColor="text1"/>
          <w:sz w:val="24"/>
        </w:rPr>
      </w:pPr>
    </w:p>
    <w:p w:rsidR="002F4526" w:rsidRDefault="002F4526" w:rsidP="002F4526">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A Floating Charge created by the Company within 12 months preceding the commencement of winding up shall be invalid. </w:t>
      </w:r>
    </w:p>
    <w:p w:rsidR="002F4526" w:rsidRPr="002F4526" w:rsidRDefault="002F4526" w:rsidP="002F4526">
      <w:pPr>
        <w:pStyle w:val="HANG"/>
        <w:numPr>
          <w:ilvl w:val="0"/>
          <w:numId w:val="64"/>
        </w:numPr>
        <w:spacing w:line="240" w:lineRule="auto"/>
        <w:ind w:left="720"/>
        <w:rPr>
          <w:rFonts w:ascii="Bookman Old Style" w:hAnsi="Bookman Old Style"/>
          <w:b/>
          <w:color w:val="000000" w:themeColor="text1"/>
          <w:sz w:val="24"/>
          <w:u w:val="single"/>
        </w:rPr>
      </w:pPr>
      <w:r w:rsidRPr="002F4526">
        <w:rPr>
          <w:rFonts w:ascii="Bookman Old Style" w:hAnsi="Bookman Old Style"/>
          <w:b/>
          <w:color w:val="000000" w:themeColor="text1"/>
          <w:sz w:val="24"/>
          <w:u w:val="single"/>
        </w:rPr>
        <w:t>Exceptions:</w:t>
      </w:r>
    </w:p>
    <w:p w:rsidR="002F4526" w:rsidRDefault="002F4526" w:rsidP="00E352CE">
      <w:pPr>
        <w:pStyle w:val="HANG"/>
        <w:numPr>
          <w:ilvl w:val="0"/>
          <w:numId w:val="71"/>
        </w:numPr>
        <w:spacing w:line="240" w:lineRule="auto"/>
        <w:rPr>
          <w:rFonts w:ascii="Bookman Old Style" w:hAnsi="Bookman Old Style"/>
          <w:color w:val="000000" w:themeColor="text1"/>
          <w:sz w:val="24"/>
        </w:rPr>
      </w:pPr>
      <w:r>
        <w:rPr>
          <w:rFonts w:ascii="Bookman Old Style" w:hAnsi="Bookman Old Style"/>
          <w:color w:val="000000" w:themeColor="text1"/>
          <w:sz w:val="24"/>
        </w:rPr>
        <w:t>Shall not be invalid if it is proved that the Company was solvent immediately after the creation of charge.</w:t>
      </w:r>
    </w:p>
    <w:p w:rsidR="00284FAC" w:rsidRPr="00284FAC" w:rsidRDefault="002F4526" w:rsidP="00E352CE">
      <w:pPr>
        <w:pStyle w:val="HANG"/>
        <w:numPr>
          <w:ilvl w:val="0"/>
          <w:numId w:val="71"/>
        </w:numPr>
        <w:spacing w:line="240" w:lineRule="auto"/>
        <w:rPr>
          <w:rFonts w:ascii="Bookman Old Style" w:hAnsi="Bookman Old Style"/>
          <w:color w:val="000000" w:themeColor="text1"/>
          <w:sz w:val="24"/>
        </w:rPr>
      </w:pPr>
      <w:r>
        <w:rPr>
          <w:rFonts w:ascii="Bookman Old Style" w:hAnsi="Bookman Old Style"/>
          <w:color w:val="000000" w:themeColor="text1"/>
          <w:sz w:val="24"/>
        </w:rPr>
        <w:t xml:space="preserve">Shall be valid upto the amount of any cash paid to the Company as a consideration for the charge. Also interest shall be allowed on that amount @5% p.a. or such rate as notified by Central Govt.  </w:t>
      </w:r>
    </w:p>
    <w:p w:rsidR="00284FAC" w:rsidRPr="00284FAC" w:rsidRDefault="00284FAC" w:rsidP="00284FAC">
      <w:pPr>
        <w:pStyle w:val="HANG"/>
        <w:spacing w:line="240" w:lineRule="auto"/>
        <w:ind w:left="0" w:firstLine="720"/>
        <w:contextualSpacing/>
        <w:rPr>
          <w:rFonts w:ascii="Bookman Old Style" w:hAnsi="Bookman Old Style"/>
          <w:color w:val="000000" w:themeColor="text1"/>
          <w:sz w:val="24"/>
        </w:rPr>
      </w:pPr>
    </w:p>
    <w:p w:rsidR="00284FAC" w:rsidRDefault="007F718A" w:rsidP="00284FAC">
      <w:pPr>
        <w:pStyle w:val="HANG"/>
        <w:spacing w:line="240" w:lineRule="auto"/>
        <w:ind w:left="0" w:firstLine="720"/>
        <w:contextualSpacing/>
        <w:rPr>
          <w:rFonts w:ascii="Copperplate Gothic Bold" w:hAnsi="Copperplate Gothic Bold"/>
          <w:b/>
          <w:color w:val="000000" w:themeColor="text1"/>
          <w:sz w:val="32"/>
          <w:u w:val="single"/>
        </w:rPr>
      </w:pPr>
      <w:r w:rsidRPr="007F718A">
        <w:rPr>
          <w:rFonts w:ascii="Copperplate Gothic Bold" w:hAnsi="Copperplate Gothic Bold"/>
          <w:b/>
          <w:color w:val="000000" w:themeColor="text1"/>
          <w:sz w:val="32"/>
          <w:u w:val="single"/>
        </w:rPr>
        <w:t>Action against Deliquent Directors  Sec 543</w:t>
      </w:r>
    </w:p>
    <w:p w:rsidR="007F718A" w:rsidRPr="007F718A" w:rsidRDefault="007F718A" w:rsidP="00284FAC">
      <w:pPr>
        <w:pStyle w:val="HANG"/>
        <w:spacing w:line="240" w:lineRule="auto"/>
        <w:ind w:left="0" w:firstLine="720"/>
        <w:contextualSpacing/>
        <w:rPr>
          <w:rFonts w:ascii="Copperplate Gothic Bold" w:hAnsi="Copperplate Gothic Bold"/>
          <w:b/>
          <w:color w:val="000000" w:themeColor="text1"/>
          <w:sz w:val="32"/>
          <w:u w:val="single"/>
        </w:rPr>
      </w:pPr>
    </w:p>
    <w:p w:rsidR="00284FAC" w:rsidRDefault="007F718A" w:rsidP="00267E3E">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Misconduct covers any breach of duty </w:t>
      </w:r>
      <w:r w:rsidR="00267E3E">
        <w:rPr>
          <w:rFonts w:ascii="Bookman Old Style" w:hAnsi="Bookman Old Style"/>
          <w:color w:val="000000" w:themeColor="text1"/>
          <w:sz w:val="24"/>
        </w:rPr>
        <w:t>resulting in misapplication of the assets or property of the Company.</w:t>
      </w:r>
    </w:p>
    <w:p w:rsidR="00267E3E" w:rsidRDefault="00267E3E" w:rsidP="00267E3E">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Conduct would amount to misfeasance if there is dishonesty or fraud or culpable negligence, or there is an improper exercise of a lawful authority.</w:t>
      </w:r>
    </w:p>
    <w:p w:rsidR="00267E3E" w:rsidRDefault="00267E3E" w:rsidP="00267E3E">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Sec 543 applies where a Company is wound up and it appears to the Court that any person who has taken part in the promotion or formation of the Company, or any past or present Director. Manager or other Officer of the Company – </w:t>
      </w:r>
    </w:p>
    <w:p w:rsidR="00267E3E" w:rsidRDefault="00267E3E" w:rsidP="00E352CE">
      <w:pPr>
        <w:pStyle w:val="HANG"/>
        <w:numPr>
          <w:ilvl w:val="0"/>
          <w:numId w:val="72"/>
        </w:numPr>
        <w:spacing w:line="240" w:lineRule="auto"/>
        <w:rPr>
          <w:rFonts w:ascii="Bookman Old Style" w:hAnsi="Bookman Old Style"/>
          <w:color w:val="000000" w:themeColor="text1"/>
          <w:sz w:val="24"/>
        </w:rPr>
      </w:pPr>
      <w:r>
        <w:rPr>
          <w:rFonts w:ascii="Bookman Old Style" w:hAnsi="Bookman Old Style"/>
          <w:color w:val="000000" w:themeColor="text1"/>
          <w:sz w:val="24"/>
        </w:rPr>
        <w:lastRenderedPageBreak/>
        <w:t>Has misapplied or retained or became liable or accountable for any money or property of the Company; or</w:t>
      </w:r>
    </w:p>
    <w:p w:rsidR="00267E3E" w:rsidRPr="00284FAC" w:rsidRDefault="00267E3E" w:rsidP="00E352CE">
      <w:pPr>
        <w:pStyle w:val="HANG"/>
        <w:numPr>
          <w:ilvl w:val="0"/>
          <w:numId w:val="72"/>
        </w:numPr>
        <w:spacing w:line="240" w:lineRule="auto"/>
        <w:rPr>
          <w:rFonts w:ascii="Bookman Old Style" w:hAnsi="Bookman Old Style"/>
          <w:color w:val="000000" w:themeColor="text1"/>
          <w:sz w:val="24"/>
        </w:rPr>
      </w:pPr>
      <w:r>
        <w:rPr>
          <w:rFonts w:ascii="Bookman Old Style" w:hAnsi="Bookman Old Style"/>
          <w:color w:val="000000" w:themeColor="text1"/>
          <w:sz w:val="24"/>
        </w:rPr>
        <w:t>Has been guilty of any misfeasance or breach of trust in relation to the Company</w:t>
      </w:r>
    </w:p>
    <w:p w:rsidR="00284FAC" w:rsidRPr="00284FAC" w:rsidRDefault="00284FAC" w:rsidP="00284FAC">
      <w:pPr>
        <w:pStyle w:val="HANG"/>
        <w:spacing w:line="240" w:lineRule="auto"/>
        <w:ind w:left="0" w:firstLine="720"/>
        <w:contextualSpacing/>
        <w:rPr>
          <w:rFonts w:ascii="Bookman Old Style" w:hAnsi="Bookman Old Style"/>
          <w:color w:val="000000" w:themeColor="text1"/>
          <w:sz w:val="24"/>
        </w:rPr>
      </w:pPr>
    </w:p>
    <w:p w:rsidR="00284FAC" w:rsidRDefault="00BA2E21" w:rsidP="00284FAC">
      <w:pPr>
        <w:pStyle w:val="HANG"/>
        <w:spacing w:line="240" w:lineRule="auto"/>
        <w:ind w:left="0" w:firstLine="720"/>
        <w:contextualSpacing/>
        <w:rPr>
          <w:rFonts w:ascii="Copperplate Gothic Bold" w:hAnsi="Copperplate Gothic Bold"/>
          <w:b/>
          <w:color w:val="000000" w:themeColor="text1"/>
          <w:sz w:val="32"/>
          <w:u w:val="single"/>
        </w:rPr>
      </w:pPr>
      <w:r w:rsidRPr="007F718A">
        <w:rPr>
          <w:rFonts w:ascii="Copperplate Gothic Bold" w:hAnsi="Copperplate Gothic Bold"/>
          <w:b/>
          <w:color w:val="000000" w:themeColor="text1"/>
          <w:sz w:val="32"/>
          <w:u w:val="single"/>
        </w:rPr>
        <w:t xml:space="preserve">Action against </w:t>
      </w:r>
      <w:r>
        <w:rPr>
          <w:rFonts w:ascii="Copperplate Gothic Bold" w:hAnsi="Copperplate Gothic Bold"/>
          <w:b/>
          <w:color w:val="000000" w:themeColor="text1"/>
          <w:sz w:val="32"/>
          <w:u w:val="single"/>
        </w:rPr>
        <w:t>Auditor of a Company</w:t>
      </w:r>
    </w:p>
    <w:p w:rsidR="00BA2E21" w:rsidRPr="00BA2E21" w:rsidRDefault="00BA2E21" w:rsidP="00284FAC">
      <w:pPr>
        <w:pStyle w:val="HANG"/>
        <w:spacing w:line="240" w:lineRule="auto"/>
        <w:ind w:left="0" w:firstLine="720"/>
        <w:contextualSpacing/>
        <w:rPr>
          <w:rFonts w:ascii="Bookman Old Style" w:hAnsi="Bookman Old Style"/>
          <w:color w:val="000000" w:themeColor="text1"/>
          <w:sz w:val="24"/>
        </w:rPr>
      </w:pPr>
    </w:p>
    <w:p w:rsidR="00BA2E21" w:rsidRDefault="00BA2E21" w:rsidP="00BA2E21">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In case of unsatisfactory performance of duties by the auditors in relation to audit of accounts resulting in loss to the Company, the auditor can be held liable for misfeasance or breach of trust and consequently liable.</w:t>
      </w:r>
    </w:p>
    <w:p w:rsidR="00BA2E21" w:rsidRDefault="00BA2E21" w:rsidP="00BA2E21">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Court shall examine the conduct of such person and may compel such person to repay or restore the money or property or any part thereof, with interest. </w:t>
      </w:r>
    </w:p>
    <w:p w:rsidR="00BA2E21" w:rsidRPr="00BA2E21" w:rsidRDefault="00BA2E21" w:rsidP="00BA2E21">
      <w:pPr>
        <w:pStyle w:val="HANG"/>
        <w:numPr>
          <w:ilvl w:val="0"/>
          <w:numId w:val="64"/>
        </w:numPr>
        <w:spacing w:line="240" w:lineRule="auto"/>
        <w:ind w:left="720"/>
        <w:rPr>
          <w:rFonts w:ascii="Bookman Old Style" w:hAnsi="Bookman Old Style"/>
          <w:b/>
          <w:color w:val="000000" w:themeColor="text1"/>
          <w:sz w:val="24"/>
          <w:u w:val="single"/>
        </w:rPr>
      </w:pPr>
      <w:r w:rsidRPr="00BA2E21">
        <w:rPr>
          <w:rFonts w:ascii="Bookman Old Style" w:hAnsi="Bookman Old Style"/>
          <w:b/>
          <w:color w:val="000000" w:themeColor="text1"/>
          <w:sz w:val="24"/>
          <w:u w:val="single"/>
        </w:rPr>
        <w:t>Who can make Application</w:t>
      </w:r>
    </w:p>
    <w:p w:rsidR="00BA2E21" w:rsidRDefault="00BA2E21" w:rsidP="00E352CE">
      <w:pPr>
        <w:pStyle w:val="HANG"/>
        <w:numPr>
          <w:ilvl w:val="0"/>
          <w:numId w:val="73"/>
        </w:numPr>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By Official Liquidator</w:t>
      </w:r>
    </w:p>
    <w:p w:rsidR="00BA2E21" w:rsidRDefault="00BA2E21" w:rsidP="00E352CE">
      <w:pPr>
        <w:pStyle w:val="HANG"/>
        <w:numPr>
          <w:ilvl w:val="0"/>
          <w:numId w:val="73"/>
        </w:numPr>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By Liquidator</w:t>
      </w:r>
    </w:p>
    <w:p w:rsidR="00BA2E21" w:rsidRDefault="00BA2E21" w:rsidP="00E352CE">
      <w:pPr>
        <w:pStyle w:val="HANG"/>
        <w:numPr>
          <w:ilvl w:val="0"/>
          <w:numId w:val="73"/>
        </w:numPr>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By Any Creditor</w:t>
      </w:r>
    </w:p>
    <w:p w:rsidR="00BA2E21" w:rsidRDefault="00BA2E21" w:rsidP="00E352CE">
      <w:pPr>
        <w:pStyle w:val="HANG"/>
        <w:numPr>
          <w:ilvl w:val="0"/>
          <w:numId w:val="73"/>
        </w:numPr>
        <w:spacing w:line="240" w:lineRule="auto"/>
        <w:contextualSpacing/>
        <w:rPr>
          <w:rFonts w:ascii="Bookman Old Style" w:hAnsi="Bookman Old Style"/>
          <w:color w:val="000000" w:themeColor="text1"/>
          <w:sz w:val="24"/>
        </w:rPr>
      </w:pPr>
      <w:r>
        <w:rPr>
          <w:rFonts w:ascii="Bookman Old Style" w:hAnsi="Bookman Old Style"/>
          <w:color w:val="000000" w:themeColor="text1"/>
          <w:sz w:val="24"/>
        </w:rPr>
        <w:t>By Contributory</w:t>
      </w:r>
    </w:p>
    <w:p w:rsidR="005339A2" w:rsidRDefault="005339A2" w:rsidP="005339A2">
      <w:pPr>
        <w:pStyle w:val="HANG"/>
        <w:spacing w:line="240" w:lineRule="auto"/>
        <w:ind w:left="1440" w:firstLine="0"/>
        <w:contextualSpacing/>
        <w:rPr>
          <w:rFonts w:ascii="Bookman Old Style" w:hAnsi="Bookman Old Style"/>
          <w:color w:val="000000" w:themeColor="text1"/>
          <w:sz w:val="24"/>
        </w:rPr>
      </w:pPr>
    </w:p>
    <w:p w:rsidR="00BA2E21" w:rsidRPr="00DC7181" w:rsidRDefault="005339A2" w:rsidP="00E352CE">
      <w:pPr>
        <w:pStyle w:val="HANG"/>
        <w:numPr>
          <w:ilvl w:val="0"/>
          <w:numId w:val="74"/>
        </w:numPr>
        <w:spacing w:line="240" w:lineRule="auto"/>
        <w:ind w:left="720"/>
        <w:contextualSpacing/>
        <w:rPr>
          <w:rFonts w:ascii="Bookman Old Style" w:hAnsi="Bookman Old Style"/>
          <w:b/>
          <w:color w:val="000000" w:themeColor="text1"/>
          <w:sz w:val="24"/>
          <w:u w:val="single"/>
        </w:rPr>
      </w:pPr>
      <w:r w:rsidRPr="00DC7181">
        <w:rPr>
          <w:rFonts w:ascii="Bookman Old Style" w:hAnsi="Bookman Old Style"/>
          <w:b/>
          <w:color w:val="000000" w:themeColor="text1"/>
          <w:sz w:val="24"/>
          <w:u w:val="single"/>
        </w:rPr>
        <w:t>Time limit for making application</w:t>
      </w:r>
    </w:p>
    <w:p w:rsidR="00284FAC" w:rsidRDefault="00DC7181" w:rsidP="00DC7181">
      <w:pPr>
        <w:pStyle w:val="HANG"/>
        <w:spacing w:line="240" w:lineRule="auto"/>
        <w:ind w:left="720" w:firstLine="0"/>
        <w:contextualSpacing/>
        <w:rPr>
          <w:rFonts w:ascii="Bookman Old Style" w:hAnsi="Bookman Old Style"/>
          <w:color w:val="000000" w:themeColor="text1"/>
          <w:sz w:val="24"/>
        </w:rPr>
      </w:pPr>
      <w:r>
        <w:rPr>
          <w:rFonts w:ascii="Bookman Old Style" w:hAnsi="Bookman Old Style"/>
          <w:color w:val="000000" w:themeColor="text1"/>
          <w:sz w:val="24"/>
        </w:rPr>
        <w:t>Within 5 years from the date of Order of winding up or first appointment of liquidator or misfeasance or breach of trust, whichever is longer.</w:t>
      </w:r>
    </w:p>
    <w:p w:rsidR="00DC7181" w:rsidRDefault="00DC7181" w:rsidP="00DC7181">
      <w:pPr>
        <w:pStyle w:val="HANG"/>
        <w:spacing w:line="240" w:lineRule="auto"/>
        <w:ind w:left="720" w:firstLine="0"/>
        <w:contextualSpacing/>
        <w:rPr>
          <w:rFonts w:ascii="Bookman Old Style" w:hAnsi="Bookman Old Style"/>
          <w:color w:val="000000" w:themeColor="text1"/>
          <w:sz w:val="24"/>
        </w:rPr>
      </w:pPr>
    </w:p>
    <w:p w:rsidR="008C6B9A" w:rsidRPr="00284FAC" w:rsidRDefault="008C6B9A" w:rsidP="00DC7181">
      <w:pPr>
        <w:pStyle w:val="HANG"/>
        <w:spacing w:line="240" w:lineRule="auto"/>
        <w:ind w:left="720" w:firstLine="0"/>
        <w:contextualSpacing/>
        <w:rPr>
          <w:rFonts w:ascii="Bookman Old Style" w:hAnsi="Bookman Old Style"/>
          <w:color w:val="000000" w:themeColor="text1"/>
          <w:sz w:val="24"/>
        </w:rPr>
      </w:pPr>
    </w:p>
    <w:p w:rsidR="00DC7181" w:rsidRPr="00DC7181" w:rsidRDefault="00DC7181" w:rsidP="00284FAC">
      <w:pPr>
        <w:pStyle w:val="HANG"/>
        <w:spacing w:line="240" w:lineRule="auto"/>
        <w:ind w:left="0" w:firstLine="720"/>
        <w:contextualSpacing/>
        <w:rPr>
          <w:rFonts w:ascii="Copperplate Gothic Bold" w:hAnsi="Copperplate Gothic Bold"/>
          <w:b/>
          <w:color w:val="000000" w:themeColor="text1"/>
          <w:sz w:val="32"/>
          <w:u w:val="single"/>
        </w:rPr>
      </w:pPr>
      <w:r w:rsidRPr="00DC7181">
        <w:rPr>
          <w:rFonts w:ascii="Copperplate Gothic Bold" w:hAnsi="Copperplate Gothic Bold"/>
          <w:b/>
          <w:color w:val="000000" w:themeColor="text1"/>
          <w:sz w:val="32"/>
          <w:u w:val="single"/>
        </w:rPr>
        <w:t>Failure to keep Statutory Books</w:t>
      </w:r>
    </w:p>
    <w:p w:rsidR="00DC7181" w:rsidRDefault="00DC7181" w:rsidP="00284FAC">
      <w:pPr>
        <w:pStyle w:val="HANG"/>
        <w:spacing w:line="240" w:lineRule="auto"/>
        <w:ind w:left="0" w:firstLine="720"/>
        <w:contextualSpacing/>
        <w:rPr>
          <w:rFonts w:ascii="Bookman Old Style" w:hAnsi="Bookman Old Style"/>
          <w:color w:val="000000" w:themeColor="text1"/>
          <w:sz w:val="24"/>
        </w:rPr>
      </w:pPr>
    </w:p>
    <w:p w:rsidR="00DC7181" w:rsidRDefault="00DC7181" w:rsidP="00DC7181">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If proper books have not been kept throughout the 2 years immediately preceding the commencement of winding up, every Officer in default is liable to imprisonment upto 1 year, unless he can prove that he acted honestly and was excusable.</w:t>
      </w:r>
    </w:p>
    <w:p w:rsidR="00DC7181" w:rsidRDefault="00DC7181" w:rsidP="00DC7181">
      <w:pPr>
        <w:pStyle w:val="HANG"/>
        <w:numPr>
          <w:ilvl w:val="0"/>
          <w:numId w:val="64"/>
        </w:numPr>
        <w:spacing w:line="240" w:lineRule="auto"/>
        <w:ind w:left="720"/>
        <w:rPr>
          <w:rFonts w:ascii="Bookman Old Style" w:hAnsi="Bookman Old Style"/>
          <w:color w:val="000000" w:themeColor="text1"/>
          <w:sz w:val="24"/>
        </w:rPr>
      </w:pPr>
      <w:r>
        <w:rPr>
          <w:rFonts w:ascii="Bookman Old Style" w:hAnsi="Bookman Old Style"/>
          <w:color w:val="000000" w:themeColor="text1"/>
          <w:sz w:val="24"/>
        </w:rPr>
        <w:t xml:space="preserve">Proper Books means books which exhibit and explain the transactions &amp; financial position of the business, </w:t>
      </w:r>
    </w:p>
    <w:p w:rsidR="00DC7181" w:rsidRDefault="00DC7181" w:rsidP="00E352CE">
      <w:pPr>
        <w:pStyle w:val="HANG"/>
        <w:numPr>
          <w:ilvl w:val="0"/>
          <w:numId w:val="75"/>
        </w:numPr>
        <w:spacing w:line="240" w:lineRule="auto"/>
        <w:rPr>
          <w:rFonts w:ascii="Bookman Old Style" w:hAnsi="Bookman Old Style"/>
          <w:color w:val="000000" w:themeColor="text1"/>
          <w:sz w:val="24"/>
        </w:rPr>
      </w:pPr>
      <w:r>
        <w:rPr>
          <w:rFonts w:ascii="Bookman Old Style" w:hAnsi="Bookman Old Style"/>
          <w:color w:val="000000" w:themeColor="text1"/>
          <w:sz w:val="24"/>
        </w:rPr>
        <w:t xml:space="preserve">including books containing entries made from day to day of all cash received and paid, sufficient detail and </w:t>
      </w:r>
    </w:p>
    <w:p w:rsidR="00284FAC" w:rsidRPr="00284FAC" w:rsidRDefault="00DC7181" w:rsidP="00E352CE">
      <w:pPr>
        <w:pStyle w:val="HANG"/>
        <w:numPr>
          <w:ilvl w:val="0"/>
          <w:numId w:val="75"/>
        </w:numPr>
        <w:spacing w:line="240" w:lineRule="auto"/>
        <w:rPr>
          <w:rFonts w:ascii="Bookman Old Style" w:hAnsi="Bookman Old Style"/>
          <w:color w:val="000000" w:themeColor="text1"/>
          <w:sz w:val="24"/>
        </w:rPr>
      </w:pPr>
      <w:r>
        <w:rPr>
          <w:rFonts w:ascii="Bookman Old Style" w:hAnsi="Bookman Old Style"/>
          <w:color w:val="000000" w:themeColor="text1"/>
          <w:sz w:val="24"/>
        </w:rPr>
        <w:t xml:space="preserve">where goods are dealt in, statement of annual stock taking and of all goods sold and purchased showing the goods and identity of buyers and sellers except in the case of ordinary retail sale.   </w:t>
      </w:r>
    </w:p>
    <w:p w:rsidR="00284FAC" w:rsidRPr="00284FAC" w:rsidRDefault="00284FAC" w:rsidP="00284FAC">
      <w:pPr>
        <w:pStyle w:val="HANG"/>
        <w:spacing w:line="240" w:lineRule="auto"/>
        <w:ind w:left="0" w:firstLine="720"/>
        <w:contextualSpacing/>
        <w:rPr>
          <w:rFonts w:ascii="Bookman Old Style" w:hAnsi="Bookman Old Style"/>
          <w:color w:val="000000" w:themeColor="text1"/>
          <w:sz w:val="24"/>
        </w:rPr>
      </w:pPr>
    </w:p>
    <w:sectPr w:rsidR="00284FAC" w:rsidRPr="00284FAC" w:rsidSect="00E46994">
      <w:type w:val="continuous"/>
      <w:pgSz w:w="12240" w:h="15840"/>
      <w:pgMar w:top="270" w:right="720" w:bottom="360" w:left="720" w:header="45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2CE" w:rsidRDefault="00E352CE" w:rsidP="00D96227">
      <w:pPr>
        <w:spacing w:after="0" w:line="240" w:lineRule="auto"/>
      </w:pPr>
      <w:r>
        <w:separator/>
      </w:r>
    </w:p>
  </w:endnote>
  <w:endnote w:type="continuationSeparator" w:id="1">
    <w:p w:rsidR="00E352CE" w:rsidRDefault="00E352CE" w:rsidP="00D96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sterV">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96" w:type="pct"/>
      <w:tblInd w:w="-245" w:type="dxa"/>
      <w:tblCellMar>
        <w:top w:w="72" w:type="dxa"/>
        <w:left w:w="115" w:type="dxa"/>
        <w:bottom w:w="72" w:type="dxa"/>
        <w:right w:w="115" w:type="dxa"/>
      </w:tblCellMar>
      <w:tblLook w:val="04A0"/>
    </w:tblPr>
    <w:tblGrid>
      <w:gridCol w:w="8325"/>
      <w:gridCol w:w="2476"/>
    </w:tblGrid>
    <w:tr w:rsidR="00284FAC" w:rsidRPr="00F30CB8" w:rsidTr="00847F35">
      <w:trPr>
        <w:trHeight w:val="6"/>
      </w:trPr>
      <w:tc>
        <w:tcPr>
          <w:tcW w:w="3854" w:type="pct"/>
          <w:tcBorders>
            <w:top w:val="single" w:sz="4" w:space="0" w:color="000000" w:themeColor="text1"/>
          </w:tcBorders>
        </w:tcPr>
        <w:p w:rsidR="00284FAC" w:rsidRDefault="00284FAC" w:rsidP="00F553CE">
          <w:pPr>
            <w:pStyle w:val="Footer"/>
          </w:pPr>
        </w:p>
      </w:tc>
      <w:tc>
        <w:tcPr>
          <w:tcW w:w="1146" w:type="pct"/>
          <w:tcBorders>
            <w:top w:val="single" w:sz="4" w:space="0" w:color="C0504D" w:themeColor="accent2"/>
          </w:tcBorders>
          <w:shd w:val="clear" w:color="auto" w:fill="943634" w:themeFill="accent2" w:themeFillShade="BF"/>
        </w:tcPr>
        <w:p w:rsidR="00284FAC" w:rsidRPr="00847F35" w:rsidRDefault="00284FAC" w:rsidP="00847F35">
          <w:pPr>
            <w:pStyle w:val="Header"/>
            <w:jc w:val="center"/>
            <w:rPr>
              <w:rFonts w:ascii="Bauhaus 93" w:hAnsi="Bauhaus 93"/>
              <w:color w:val="FFFFFF" w:themeColor="background1"/>
              <w:sz w:val="24"/>
            </w:rPr>
          </w:pPr>
          <w:r w:rsidRPr="00847F35">
            <w:rPr>
              <w:rFonts w:ascii="Broadway" w:hAnsi="Broadway"/>
              <w:color w:val="FFFFFF" w:themeColor="background1"/>
              <w:sz w:val="24"/>
            </w:rPr>
            <w:t>RAHUL JAIN</w:t>
          </w:r>
        </w:p>
      </w:tc>
    </w:tr>
  </w:tbl>
  <w:p w:rsidR="00284FAC" w:rsidRDefault="0028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2CE" w:rsidRDefault="00E352CE" w:rsidP="00D96227">
      <w:pPr>
        <w:spacing w:after="0" w:line="240" w:lineRule="auto"/>
      </w:pPr>
      <w:r>
        <w:separator/>
      </w:r>
    </w:p>
  </w:footnote>
  <w:footnote w:type="continuationSeparator" w:id="1">
    <w:p w:rsidR="00E352CE" w:rsidRDefault="00E352CE" w:rsidP="00D96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4892"/>
      <w:docPartObj>
        <w:docPartGallery w:val="Page Numbers (Top of Page)"/>
        <w:docPartUnique/>
      </w:docPartObj>
    </w:sdtPr>
    <w:sdtContent>
      <w:p w:rsidR="00284FAC" w:rsidRDefault="00284FAC">
        <w:pPr>
          <w:pStyle w:val="Header"/>
          <w:ind w:right="-864"/>
          <w:jc w:val="right"/>
        </w:pPr>
        <w:r w:rsidRPr="00042580">
          <w:rPr>
            <w:color w:val="76923C" w:themeColor="accent3" w:themeShade="BF"/>
          </w:rPr>
        </w:r>
        <w:r w:rsidRPr="00042580">
          <w:rPr>
            <w:color w:val="76923C" w:themeColor="accent3" w:themeShade="BF"/>
          </w:rPr>
          <w:pict>
            <v:group id="_x0000_s18433" style="width:43.2pt;height:18.7pt;mso-position-horizontal-relative:char;mso-position-vertical-relative:line" coordorigin="614,660" coordsize="864,374" o:allowincell="f">
              <v:roundrect id="_x0000_s18434" style="position:absolute;left:859;top:415;width:374;height:864;rotation:-90" arcsize="10923f" strokecolor="#c4bc96 [2414]"/>
              <v:roundrect id="_x0000_s18435"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8436" type="#_x0000_t202" style="position:absolute;left:732;top:716;width:659;height:288" filled="f" stroked="f">
                <v:textbox style="mso-next-textbox:#_x0000_s18436" inset="0,0,0,0">
                  <w:txbxContent>
                    <w:p w:rsidR="00284FAC" w:rsidRPr="00EF74C0" w:rsidRDefault="00284FAC">
                      <w:fldSimple w:instr=" PAGE    \* MERGEFORMAT ">
                        <w:r w:rsidR="0016191C" w:rsidRPr="0016191C">
                          <w:rPr>
                            <w:b/>
                            <w:noProof/>
                          </w:rPr>
                          <w:t>20</w:t>
                        </w:r>
                      </w:fldSimple>
                    </w:p>
                  </w:txbxContent>
                </v:textbox>
              </v:shape>
              <w10:wrap type="none" anchorx="page" anchory="margin"/>
              <w10:anchorlock/>
            </v:group>
          </w:pict>
        </w:r>
      </w:p>
    </w:sdtContent>
  </w:sdt>
  <w:p w:rsidR="00284FAC" w:rsidRDefault="00284FAC">
    <w:pPr>
      <w:pStyle w:val="Header"/>
    </w:pPr>
    <w:r w:rsidRPr="00042580">
      <w:rPr>
        <w:noProof/>
        <w:color w:val="76923C" w:themeColor="accent3" w:themeShade="BF"/>
      </w:rPr>
      <w:pict>
        <v:shapetype id="_x0000_t32" coordsize="21600,21600" o:spt="32" o:oned="t" path="m,l21600,21600e" filled="f">
          <v:path arrowok="t" fillok="f" o:connecttype="none"/>
          <o:lock v:ext="edit" shapetype="t"/>
        </v:shapetype>
        <v:shape id="_x0000_s18438" type="#_x0000_t32" style="position:absolute;margin-left:-18.25pt;margin-top:4.85pt;width:563.1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29F"/>
    <w:multiLevelType w:val="hybridMultilevel"/>
    <w:tmpl w:val="A35A2F9A"/>
    <w:lvl w:ilvl="0" w:tplc="9060346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
    <w:nsid w:val="0136299C"/>
    <w:multiLevelType w:val="hybridMultilevel"/>
    <w:tmpl w:val="E80E0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C2290C"/>
    <w:multiLevelType w:val="hybridMultilevel"/>
    <w:tmpl w:val="D50AA156"/>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B7EF4"/>
    <w:multiLevelType w:val="hybridMultilevel"/>
    <w:tmpl w:val="526A3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7578D5"/>
    <w:multiLevelType w:val="hybridMultilevel"/>
    <w:tmpl w:val="89F4D1D4"/>
    <w:lvl w:ilvl="0" w:tplc="FC3C317C">
      <w:start w:val="17"/>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BE1D52"/>
    <w:multiLevelType w:val="hybridMultilevel"/>
    <w:tmpl w:val="24C2AE36"/>
    <w:lvl w:ilvl="0" w:tplc="A104C3F4">
      <w:start w:val="1"/>
      <w:numFmt w:val="decimal"/>
      <w:lvlText w:val="%1."/>
      <w:lvlJc w:val="left"/>
      <w:pPr>
        <w:ind w:left="630" w:hanging="360"/>
      </w:pPr>
      <w:rPr>
        <w:rFonts w:hint="default"/>
        <w:b/>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C1A6735"/>
    <w:multiLevelType w:val="hybridMultilevel"/>
    <w:tmpl w:val="57EA2A34"/>
    <w:lvl w:ilvl="0" w:tplc="FC3C317C">
      <w:start w:val="17"/>
      <w:numFmt w:val="bullet"/>
      <w:lvlText w:val="-"/>
      <w:lvlJc w:val="left"/>
      <w:pPr>
        <w:ind w:left="1890" w:hanging="360"/>
      </w:pPr>
      <w:rPr>
        <w:rFonts w:ascii="Bookman Old Style" w:eastAsia="Times New Roman" w:hAnsi="Bookman Old Style"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0C217FF7"/>
    <w:multiLevelType w:val="hybridMultilevel"/>
    <w:tmpl w:val="DEA4E84E"/>
    <w:lvl w:ilvl="0" w:tplc="FC3C317C">
      <w:start w:val="17"/>
      <w:numFmt w:val="bullet"/>
      <w:lvlText w:val="-"/>
      <w:lvlJc w:val="left"/>
      <w:pPr>
        <w:ind w:left="1440" w:hanging="360"/>
      </w:pPr>
      <w:rPr>
        <w:rFonts w:ascii="Bookman Old Style" w:eastAsia="Times New Roman" w:hAnsi="Bookman Old Style" w:cs="Times New Roman" w:hint="default"/>
      </w:rPr>
    </w:lvl>
    <w:lvl w:ilvl="1" w:tplc="FC3C317C">
      <w:start w:val="17"/>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F22032"/>
    <w:multiLevelType w:val="hybridMultilevel"/>
    <w:tmpl w:val="9D4E60AE"/>
    <w:lvl w:ilvl="0" w:tplc="FC3C317C">
      <w:start w:val="17"/>
      <w:numFmt w:val="bullet"/>
      <w:lvlText w:val="-"/>
      <w:lvlJc w:val="left"/>
      <w:pPr>
        <w:ind w:left="1354" w:hanging="360"/>
      </w:pPr>
      <w:rPr>
        <w:rFonts w:ascii="Bookman Old Style" w:eastAsia="Times New Roman" w:hAnsi="Bookman Old Style"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9">
    <w:nsid w:val="10763302"/>
    <w:multiLevelType w:val="hybridMultilevel"/>
    <w:tmpl w:val="251C210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nsid w:val="110A5C0D"/>
    <w:multiLevelType w:val="hybridMultilevel"/>
    <w:tmpl w:val="6FDA695E"/>
    <w:lvl w:ilvl="0" w:tplc="FC3C317C">
      <w:start w:val="17"/>
      <w:numFmt w:val="bullet"/>
      <w:lvlText w:val="-"/>
      <w:lvlJc w:val="left"/>
      <w:pPr>
        <w:ind w:left="1152" w:hanging="360"/>
      </w:pPr>
      <w:rPr>
        <w:rFonts w:ascii="Bookman Old Style" w:eastAsia="Times New Roman" w:hAnsi="Bookman Old Style"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3CF3110"/>
    <w:multiLevelType w:val="hybridMultilevel"/>
    <w:tmpl w:val="F5AA43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46F2068"/>
    <w:multiLevelType w:val="hybridMultilevel"/>
    <w:tmpl w:val="FB3E3904"/>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5A30F7"/>
    <w:multiLevelType w:val="hybridMultilevel"/>
    <w:tmpl w:val="5CA47EA0"/>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A44046"/>
    <w:multiLevelType w:val="hybridMultilevel"/>
    <w:tmpl w:val="49F82A78"/>
    <w:lvl w:ilvl="0" w:tplc="8786B6EC">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1B19500E"/>
    <w:multiLevelType w:val="hybridMultilevel"/>
    <w:tmpl w:val="DAD6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1D2C76"/>
    <w:multiLevelType w:val="hybridMultilevel"/>
    <w:tmpl w:val="E4203552"/>
    <w:lvl w:ilvl="0" w:tplc="FC3C317C">
      <w:start w:val="17"/>
      <w:numFmt w:val="bullet"/>
      <w:lvlText w:val="-"/>
      <w:lvlJc w:val="left"/>
      <w:pPr>
        <w:ind w:left="2340" w:hanging="360"/>
      </w:pPr>
      <w:rPr>
        <w:rFonts w:ascii="Bookman Old Style" w:eastAsia="Times New Roman" w:hAnsi="Bookman Old Style"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1FAA79E4"/>
    <w:multiLevelType w:val="hybridMultilevel"/>
    <w:tmpl w:val="DB6695BA"/>
    <w:lvl w:ilvl="0" w:tplc="FC3C317C">
      <w:start w:val="17"/>
      <w:numFmt w:val="bullet"/>
      <w:lvlText w:val="-"/>
      <w:lvlJc w:val="left"/>
      <w:pPr>
        <w:ind w:left="1440" w:hanging="360"/>
      </w:pPr>
      <w:rPr>
        <w:rFonts w:ascii="Bookman Old Style" w:eastAsia="Times New Roman" w:hAnsi="Bookman Old Style" w:cs="Times New Roman" w:hint="default"/>
      </w:rPr>
    </w:lvl>
    <w:lvl w:ilvl="1" w:tplc="FC3C317C">
      <w:start w:val="17"/>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CB548C"/>
    <w:multiLevelType w:val="hybridMultilevel"/>
    <w:tmpl w:val="AD2E5646"/>
    <w:lvl w:ilvl="0" w:tplc="FC3C317C">
      <w:start w:val="17"/>
      <w:numFmt w:val="bullet"/>
      <w:lvlText w:val="-"/>
      <w:lvlJc w:val="left"/>
      <w:pPr>
        <w:ind w:left="1260" w:hanging="360"/>
      </w:pPr>
      <w:rPr>
        <w:rFonts w:ascii="Bookman Old Style" w:eastAsia="Times New Roman" w:hAnsi="Bookman Old Style"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4DF44A3"/>
    <w:multiLevelType w:val="hybridMultilevel"/>
    <w:tmpl w:val="C9EAC1CC"/>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246C2E"/>
    <w:multiLevelType w:val="hybridMultilevel"/>
    <w:tmpl w:val="8294FBB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nsid w:val="266A7499"/>
    <w:multiLevelType w:val="hybridMultilevel"/>
    <w:tmpl w:val="EEEA237C"/>
    <w:lvl w:ilvl="0" w:tplc="B05AE662">
      <w:start w:val="1"/>
      <w:numFmt w:val="decimal"/>
      <w:lvlText w:val="%1."/>
      <w:lvlJc w:val="left"/>
      <w:pPr>
        <w:ind w:left="630"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2">
    <w:nsid w:val="2702287A"/>
    <w:multiLevelType w:val="hybridMultilevel"/>
    <w:tmpl w:val="BE147F48"/>
    <w:lvl w:ilvl="0" w:tplc="8842CFD2">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773148B"/>
    <w:multiLevelType w:val="hybridMultilevel"/>
    <w:tmpl w:val="79205D6A"/>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7C608E2"/>
    <w:multiLevelType w:val="hybridMultilevel"/>
    <w:tmpl w:val="F8BA8D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2A680B5A"/>
    <w:multiLevelType w:val="hybridMultilevel"/>
    <w:tmpl w:val="77601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BCF6E41"/>
    <w:multiLevelType w:val="hybridMultilevel"/>
    <w:tmpl w:val="1F3A79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2E2C0CE8"/>
    <w:multiLevelType w:val="hybridMultilevel"/>
    <w:tmpl w:val="AA52A29C"/>
    <w:lvl w:ilvl="0" w:tplc="FC3C317C">
      <w:start w:val="17"/>
      <w:numFmt w:val="bullet"/>
      <w:lvlText w:val="-"/>
      <w:lvlJc w:val="left"/>
      <w:pPr>
        <w:ind w:left="720" w:hanging="360"/>
      </w:pPr>
      <w:rPr>
        <w:rFonts w:ascii="Bookman Old Style" w:eastAsia="Times New Roman" w:hAnsi="Bookman Old Style" w:cs="Times New Roman" w:hint="default"/>
      </w:rPr>
    </w:lvl>
    <w:lvl w:ilvl="1" w:tplc="FC3C317C">
      <w:start w:val="17"/>
      <w:numFmt w:val="bullet"/>
      <w:lvlText w:val="-"/>
      <w:lvlJc w:val="left"/>
      <w:pPr>
        <w:ind w:left="1440" w:hanging="360"/>
      </w:pPr>
      <w:rPr>
        <w:rFonts w:ascii="Bookman Old Style" w:eastAsia="Times New Roman" w:hAnsi="Bookman Old Styl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2B7AD7"/>
    <w:multiLevelType w:val="hybridMultilevel"/>
    <w:tmpl w:val="CCF8DAF2"/>
    <w:lvl w:ilvl="0" w:tplc="9E64E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8A723E"/>
    <w:multiLevelType w:val="hybridMultilevel"/>
    <w:tmpl w:val="0E043564"/>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4F904B2"/>
    <w:multiLevelType w:val="hybridMultilevel"/>
    <w:tmpl w:val="7B4A6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C5E19D2"/>
    <w:multiLevelType w:val="hybridMultilevel"/>
    <w:tmpl w:val="685C1158"/>
    <w:lvl w:ilvl="0" w:tplc="A768D4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D629A7"/>
    <w:multiLevelType w:val="hybridMultilevel"/>
    <w:tmpl w:val="22021B4A"/>
    <w:lvl w:ilvl="0" w:tplc="488ECE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633530"/>
    <w:multiLevelType w:val="hybridMultilevel"/>
    <w:tmpl w:val="5EDED4E0"/>
    <w:lvl w:ilvl="0" w:tplc="04090003">
      <w:start w:val="1"/>
      <w:numFmt w:val="bullet"/>
      <w:lvlText w:val="o"/>
      <w:lvlJc w:val="left"/>
      <w:pPr>
        <w:ind w:left="994" w:hanging="360"/>
      </w:pPr>
      <w:rPr>
        <w:rFonts w:ascii="Courier New" w:hAnsi="Courier New" w:cs="Courier New"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4">
    <w:nsid w:val="41756B96"/>
    <w:multiLevelType w:val="hybridMultilevel"/>
    <w:tmpl w:val="372CDF78"/>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1AD5706"/>
    <w:multiLevelType w:val="hybridMultilevel"/>
    <w:tmpl w:val="B0FA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DD63B0"/>
    <w:multiLevelType w:val="hybridMultilevel"/>
    <w:tmpl w:val="1B2AA344"/>
    <w:lvl w:ilvl="0" w:tplc="11D2FC3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3B5479D"/>
    <w:multiLevelType w:val="hybridMultilevel"/>
    <w:tmpl w:val="4708905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8">
    <w:nsid w:val="43D919E1"/>
    <w:multiLevelType w:val="hybridMultilevel"/>
    <w:tmpl w:val="E9C24092"/>
    <w:lvl w:ilvl="0" w:tplc="0409000D">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nsid w:val="44BE0003"/>
    <w:multiLevelType w:val="hybridMultilevel"/>
    <w:tmpl w:val="F16EBC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463E6A33"/>
    <w:multiLevelType w:val="hybridMultilevel"/>
    <w:tmpl w:val="011A9A48"/>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92A0D71"/>
    <w:multiLevelType w:val="hybridMultilevel"/>
    <w:tmpl w:val="CF4AC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9AB6218"/>
    <w:multiLevelType w:val="hybridMultilevel"/>
    <w:tmpl w:val="18A6F5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A833CEF"/>
    <w:multiLevelType w:val="hybridMultilevel"/>
    <w:tmpl w:val="0844549E"/>
    <w:lvl w:ilvl="0" w:tplc="DC0083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AEC01C7"/>
    <w:multiLevelType w:val="hybridMultilevel"/>
    <w:tmpl w:val="BA504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F0D7294"/>
    <w:multiLevelType w:val="hybridMultilevel"/>
    <w:tmpl w:val="CCE88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4FF531BE"/>
    <w:multiLevelType w:val="hybridMultilevel"/>
    <w:tmpl w:val="F36C2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18F2D70"/>
    <w:multiLevelType w:val="hybridMultilevel"/>
    <w:tmpl w:val="BB02D68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nsid w:val="51D3536C"/>
    <w:multiLevelType w:val="hybridMultilevel"/>
    <w:tmpl w:val="45B0DBDE"/>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3331AD7"/>
    <w:multiLevelType w:val="hybridMultilevel"/>
    <w:tmpl w:val="C0D8A4B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0">
    <w:nsid w:val="5425445F"/>
    <w:multiLevelType w:val="hybridMultilevel"/>
    <w:tmpl w:val="19C4C876"/>
    <w:lvl w:ilvl="0" w:tplc="0F104FB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56A0343"/>
    <w:multiLevelType w:val="hybridMultilevel"/>
    <w:tmpl w:val="AFDAE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A471AB4"/>
    <w:multiLevelType w:val="hybridMultilevel"/>
    <w:tmpl w:val="2CE222BA"/>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3">
    <w:nsid w:val="5A79242F"/>
    <w:multiLevelType w:val="hybridMultilevel"/>
    <w:tmpl w:val="976A34A0"/>
    <w:lvl w:ilvl="0" w:tplc="FC3C317C">
      <w:start w:val="17"/>
      <w:numFmt w:val="bullet"/>
      <w:lvlText w:val="-"/>
      <w:lvlJc w:val="left"/>
      <w:pPr>
        <w:ind w:left="994" w:hanging="360"/>
      </w:pPr>
      <w:rPr>
        <w:rFonts w:ascii="Bookman Old Style" w:eastAsia="Times New Roman" w:hAnsi="Bookman Old Style"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4">
    <w:nsid w:val="5B62754E"/>
    <w:multiLevelType w:val="hybridMultilevel"/>
    <w:tmpl w:val="EC52A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C922940"/>
    <w:multiLevelType w:val="hybridMultilevel"/>
    <w:tmpl w:val="5AC0FD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CCA0C1E"/>
    <w:multiLevelType w:val="hybridMultilevel"/>
    <w:tmpl w:val="07F244B4"/>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D666634"/>
    <w:multiLevelType w:val="hybridMultilevel"/>
    <w:tmpl w:val="6A5CC8CC"/>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EBC2FFF"/>
    <w:multiLevelType w:val="hybridMultilevel"/>
    <w:tmpl w:val="0592F7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01C5CA8"/>
    <w:multiLevelType w:val="hybridMultilevel"/>
    <w:tmpl w:val="C8DE9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3C33F8"/>
    <w:multiLevelType w:val="hybridMultilevel"/>
    <w:tmpl w:val="E20A1D92"/>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5734731"/>
    <w:multiLevelType w:val="hybridMultilevel"/>
    <w:tmpl w:val="E86AE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4A67EC"/>
    <w:multiLevelType w:val="hybridMultilevel"/>
    <w:tmpl w:val="4CB64688"/>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3">
    <w:nsid w:val="66B800E8"/>
    <w:multiLevelType w:val="hybridMultilevel"/>
    <w:tmpl w:val="44DE75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7CD02F7"/>
    <w:multiLevelType w:val="hybridMultilevel"/>
    <w:tmpl w:val="FE4E8BAC"/>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65">
    <w:nsid w:val="68D3308E"/>
    <w:multiLevelType w:val="hybridMultilevel"/>
    <w:tmpl w:val="08E471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91878E6"/>
    <w:multiLevelType w:val="hybridMultilevel"/>
    <w:tmpl w:val="ACEA1F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A30FEB"/>
    <w:multiLevelType w:val="hybridMultilevel"/>
    <w:tmpl w:val="A772294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F92C06"/>
    <w:multiLevelType w:val="hybridMultilevel"/>
    <w:tmpl w:val="21E8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1593097"/>
    <w:multiLevelType w:val="hybridMultilevel"/>
    <w:tmpl w:val="A92EC91E"/>
    <w:lvl w:ilvl="0" w:tplc="408CB00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33208F3"/>
    <w:multiLevelType w:val="hybridMultilevel"/>
    <w:tmpl w:val="F2B47A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58408C5"/>
    <w:multiLevelType w:val="hybridMultilevel"/>
    <w:tmpl w:val="151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B61AFD"/>
    <w:multiLevelType w:val="hybridMultilevel"/>
    <w:tmpl w:val="33B64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600F3F"/>
    <w:multiLevelType w:val="hybridMultilevel"/>
    <w:tmpl w:val="38EAE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75372B2"/>
    <w:multiLevelType w:val="hybridMultilevel"/>
    <w:tmpl w:val="C176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A747779"/>
    <w:multiLevelType w:val="hybridMultilevel"/>
    <w:tmpl w:val="135ACF16"/>
    <w:lvl w:ilvl="0" w:tplc="2A880FB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62"/>
  </w:num>
  <w:num w:numId="4">
    <w:abstractNumId w:val="53"/>
  </w:num>
  <w:num w:numId="5">
    <w:abstractNumId w:val="21"/>
  </w:num>
  <w:num w:numId="6">
    <w:abstractNumId w:val="11"/>
  </w:num>
  <w:num w:numId="7">
    <w:abstractNumId w:val="49"/>
  </w:num>
  <w:num w:numId="8">
    <w:abstractNumId w:val="47"/>
  </w:num>
  <w:num w:numId="9">
    <w:abstractNumId w:val="39"/>
  </w:num>
  <w:num w:numId="10">
    <w:abstractNumId w:val="18"/>
  </w:num>
  <w:num w:numId="11">
    <w:abstractNumId w:val="0"/>
  </w:num>
  <w:num w:numId="12">
    <w:abstractNumId w:val="8"/>
  </w:num>
  <w:num w:numId="13">
    <w:abstractNumId w:val="28"/>
  </w:num>
  <w:num w:numId="14">
    <w:abstractNumId w:val="67"/>
  </w:num>
  <w:num w:numId="15">
    <w:abstractNumId w:val="31"/>
  </w:num>
  <w:num w:numId="16">
    <w:abstractNumId w:val="50"/>
  </w:num>
  <w:num w:numId="17">
    <w:abstractNumId w:val="23"/>
  </w:num>
  <w:num w:numId="18">
    <w:abstractNumId w:val="61"/>
  </w:num>
  <w:num w:numId="19">
    <w:abstractNumId w:val="70"/>
  </w:num>
  <w:num w:numId="20">
    <w:abstractNumId w:val="60"/>
  </w:num>
  <w:num w:numId="21">
    <w:abstractNumId w:val="5"/>
  </w:num>
  <w:num w:numId="22">
    <w:abstractNumId w:val="75"/>
  </w:num>
  <w:num w:numId="23">
    <w:abstractNumId w:val="4"/>
  </w:num>
  <w:num w:numId="24">
    <w:abstractNumId w:val="22"/>
  </w:num>
  <w:num w:numId="25">
    <w:abstractNumId w:val="25"/>
  </w:num>
  <w:num w:numId="26">
    <w:abstractNumId w:val="7"/>
  </w:num>
  <w:num w:numId="27">
    <w:abstractNumId w:val="71"/>
  </w:num>
  <w:num w:numId="28">
    <w:abstractNumId w:val="63"/>
  </w:num>
  <w:num w:numId="29">
    <w:abstractNumId w:val="6"/>
  </w:num>
  <w:num w:numId="30">
    <w:abstractNumId w:val="55"/>
  </w:num>
  <w:num w:numId="31">
    <w:abstractNumId w:val="58"/>
  </w:num>
  <w:num w:numId="32">
    <w:abstractNumId w:val="72"/>
  </w:num>
  <w:num w:numId="33">
    <w:abstractNumId w:val="19"/>
  </w:num>
  <w:num w:numId="34">
    <w:abstractNumId w:val="52"/>
  </w:num>
  <w:num w:numId="35">
    <w:abstractNumId w:val="13"/>
  </w:num>
  <w:num w:numId="36">
    <w:abstractNumId w:val="42"/>
  </w:num>
  <w:num w:numId="37">
    <w:abstractNumId w:val="16"/>
  </w:num>
  <w:num w:numId="38">
    <w:abstractNumId w:val="37"/>
  </w:num>
  <w:num w:numId="39">
    <w:abstractNumId w:val="38"/>
  </w:num>
  <w:num w:numId="40">
    <w:abstractNumId w:val="73"/>
  </w:num>
  <w:num w:numId="41">
    <w:abstractNumId w:val="17"/>
  </w:num>
  <w:num w:numId="42">
    <w:abstractNumId w:val="36"/>
  </w:num>
  <w:num w:numId="43">
    <w:abstractNumId w:val="9"/>
  </w:num>
  <w:num w:numId="44">
    <w:abstractNumId w:val="33"/>
  </w:num>
  <w:num w:numId="45">
    <w:abstractNumId w:val="20"/>
  </w:num>
  <w:num w:numId="46">
    <w:abstractNumId w:val="64"/>
  </w:num>
  <w:num w:numId="47">
    <w:abstractNumId w:val="10"/>
  </w:num>
  <w:num w:numId="48">
    <w:abstractNumId w:val="26"/>
  </w:num>
  <w:num w:numId="49">
    <w:abstractNumId w:val="24"/>
  </w:num>
  <w:num w:numId="50">
    <w:abstractNumId w:val="35"/>
  </w:num>
  <w:num w:numId="51">
    <w:abstractNumId w:val="14"/>
  </w:num>
  <w:num w:numId="52">
    <w:abstractNumId w:val="48"/>
  </w:num>
  <w:num w:numId="53">
    <w:abstractNumId w:val="51"/>
  </w:num>
  <w:num w:numId="54">
    <w:abstractNumId w:val="15"/>
  </w:num>
  <w:num w:numId="55">
    <w:abstractNumId w:val="65"/>
  </w:num>
  <w:num w:numId="56">
    <w:abstractNumId w:val="59"/>
  </w:num>
  <w:num w:numId="57">
    <w:abstractNumId w:val="68"/>
  </w:num>
  <w:num w:numId="58">
    <w:abstractNumId w:val="2"/>
  </w:num>
  <w:num w:numId="59">
    <w:abstractNumId w:val="32"/>
  </w:num>
  <w:num w:numId="60">
    <w:abstractNumId w:val="12"/>
  </w:num>
  <w:num w:numId="61">
    <w:abstractNumId w:val="74"/>
  </w:num>
  <w:num w:numId="62">
    <w:abstractNumId w:val="1"/>
  </w:num>
  <w:num w:numId="63">
    <w:abstractNumId w:val="43"/>
  </w:num>
  <w:num w:numId="64">
    <w:abstractNumId w:val="3"/>
  </w:num>
  <w:num w:numId="65">
    <w:abstractNumId w:val="66"/>
  </w:num>
  <w:num w:numId="66">
    <w:abstractNumId w:val="57"/>
  </w:num>
  <w:num w:numId="67">
    <w:abstractNumId w:val="30"/>
  </w:num>
  <w:num w:numId="68">
    <w:abstractNumId w:val="69"/>
  </w:num>
  <w:num w:numId="69">
    <w:abstractNumId w:val="54"/>
  </w:num>
  <w:num w:numId="70">
    <w:abstractNumId w:val="46"/>
  </w:num>
  <w:num w:numId="71">
    <w:abstractNumId w:val="29"/>
  </w:num>
  <w:num w:numId="72">
    <w:abstractNumId w:val="34"/>
  </w:num>
  <w:num w:numId="73">
    <w:abstractNumId w:val="56"/>
  </w:num>
  <w:num w:numId="74">
    <w:abstractNumId w:val="45"/>
  </w:num>
  <w:num w:numId="75">
    <w:abstractNumId w:val="40"/>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formatting="1" w:enforcement="0"/>
  <w:defaultTabStop w:val="720"/>
  <w:drawingGridHorizontalSpacing w:val="110"/>
  <w:displayHorizontalDrawingGridEvery w:val="2"/>
  <w:characterSpacingControl w:val="doNotCompress"/>
  <w:hdrShapeDefaults>
    <o:shapedefaults v:ext="edit" spidmax="49154" fillcolor="white">
      <v:fill color="white"/>
      <o:colormenu v:ext="edit" fillcolor="none [3213]"/>
    </o:shapedefaults>
    <o:shapelayout v:ext="edit">
      <o:idmap v:ext="edit" data="18"/>
      <o:rules v:ext="edit">
        <o:r id="V:Rule2" type="connector" idref="#_x0000_s18438"/>
      </o:rules>
    </o:shapelayout>
  </w:hdrShapeDefaults>
  <w:footnotePr>
    <w:footnote w:id="0"/>
    <w:footnote w:id="1"/>
  </w:footnotePr>
  <w:endnotePr>
    <w:endnote w:id="0"/>
    <w:endnote w:id="1"/>
  </w:endnotePr>
  <w:compat>
    <w:useFELayout/>
  </w:compat>
  <w:rsids>
    <w:rsidRoot w:val="008134E2"/>
    <w:rsid w:val="000008A8"/>
    <w:rsid w:val="00000E32"/>
    <w:rsid w:val="000014DC"/>
    <w:rsid w:val="00001652"/>
    <w:rsid w:val="00001D80"/>
    <w:rsid w:val="000024A9"/>
    <w:rsid w:val="00002751"/>
    <w:rsid w:val="0000315C"/>
    <w:rsid w:val="0000475C"/>
    <w:rsid w:val="00005873"/>
    <w:rsid w:val="00005AE4"/>
    <w:rsid w:val="00006AE4"/>
    <w:rsid w:val="00006B06"/>
    <w:rsid w:val="00006E6F"/>
    <w:rsid w:val="00006FFE"/>
    <w:rsid w:val="00007897"/>
    <w:rsid w:val="00007F89"/>
    <w:rsid w:val="000107F9"/>
    <w:rsid w:val="00010818"/>
    <w:rsid w:val="00011733"/>
    <w:rsid w:val="000128A9"/>
    <w:rsid w:val="000129D8"/>
    <w:rsid w:val="0001336A"/>
    <w:rsid w:val="000139ED"/>
    <w:rsid w:val="000152E6"/>
    <w:rsid w:val="0001678A"/>
    <w:rsid w:val="000167BB"/>
    <w:rsid w:val="00016CF5"/>
    <w:rsid w:val="00016FCA"/>
    <w:rsid w:val="00017362"/>
    <w:rsid w:val="00017CB7"/>
    <w:rsid w:val="00017E35"/>
    <w:rsid w:val="000203E9"/>
    <w:rsid w:val="0002109C"/>
    <w:rsid w:val="000219D7"/>
    <w:rsid w:val="00022BAE"/>
    <w:rsid w:val="00022F92"/>
    <w:rsid w:val="00023377"/>
    <w:rsid w:val="000234AE"/>
    <w:rsid w:val="00023AA4"/>
    <w:rsid w:val="00024708"/>
    <w:rsid w:val="000249CB"/>
    <w:rsid w:val="000252D4"/>
    <w:rsid w:val="00026F06"/>
    <w:rsid w:val="000277E6"/>
    <w:rsid w:val="00027CBC"/>
    <w:rsid w:val="00027E5C"/>
    <w:rsid w:val="00030742"/>
    <w:rsid w:val="00030D90"/>
    <w:rsid w:val="000323E8"/>
    <w:rsid w:val="00032B61"/>
    <w:rsid w:val="00034430"/>
    <w:rsid w:val="00034803"/>
    <w:rsid w:val="00034A3E"/>
    <w:rsid w:val="00035147"/>
    <w:rsid w:val="0003516D"/>
    <w:rsid w:val="00035BC4"/>
    <w:rsid w:val="00036426"/>
    <w:rsid w:val="000374AE"/>
    <w:rsid w:val="000376ED"/>
    <w:rsid w:val="000405AD"/>
    <w:rsid w:val="0004067D"/>
    <w:rsid w:val="00040899"/>
    <w:rsid w:val="000408E2"/>
    <w:rsid w:val="00040922"/>
    <w:rsid w:val="00041EED"/>
    <w:rsid w:val="000423C8"/>
    <w:rsid w:val="00042580"/>
    <w:rsid w:val="0004358B"/>
    <w:rsid w:val="000435BE"/>
    <w:rsid w:val="00043ADD"/>
    <w:rsid w:val="00043E5B"/>
    <w:rsid w:val="000446C2"/>
    <w:rsid w:val="00044CE4"/>
    <w:rsid w:val="00044DE4"/>
    <w:rsid w:val="00045E64"/>
    <w:rsid w:val="000467CB"/>
    <w:rsid w:val="00046B07"/>
    <w:rsid w:val="00046B4E"/>
    <w:rsid w:val="0004707C"/>
    <w:rsid w:val="000477C9"/>
    <w:rsid w:val="00047A86"/>
    <w:rsid w:val="000507F6"/>
    <w:rsid w:val="0005125A"/>
    <w:rsid w:val="00051294"/>
    <w:rsid w:val="00051750"/>
    <w:rsid w:val="00052822"/>
    <w:rsid w:val="00052ACF"/>
    <w:rsid w:val="000536B3"/>
    <w:rsid w:val="00053DE9"/>
    <w:rsid w:val="0005446E"/>
    <w:rsid w:val="0005488B"/>
    <w:rsid w:val="00054E3A"/>
    <w:rsid w:val="000554A1"/>
    <w:rsid w:val="00056BC3"/>
    <w:rsid w:val="00056F82"/>
    <w:rsid w:val="000572B1"/>
    <w:rsid w:val="000572C5"/>
    <w:rsid w:val="0006030C"/>
    <w:rsid w:val="00060CDA"/>
    <w:rsid w:val="000616D3"/>
    <w:rsid w:val="0006208B"/>
    <w:rsid w:val="000630AA"/>
    <w:rsid w:val="00063378"/>
    <w:rsid w:val="00064146"/>
    <w:rsid w:val="00064374"/>
    <w:rsid w:val="0006482F"/>
    <w:rsid w:val="00064B47"/>
    <w:rsid w:val="00064BC3"/>
    <w:rsid w:val="00064D5E"/>
    <w:rsid w:val="00065800"/>
    <w:rsid w:val="000658A7"/>
    <w:rsid w:val="00065952"/>
    <w:rsid w:val="00065CBC"/>
    <w:rsid w:val="00066077"/>
    <w:rsid w:val="0006641E"/>
    <w:rsid w:val="00066D52"/>
    <w:rsid w:val="000670A4"/>
    <w:rsid w:val="000672AF"/>
    <w:rsid w:val="000674F6"/>
    <w:rsid w:val="0006776F"/>
    <w:rsid w:val="000677E2"/>
    <w:rsid w:val="00070266"/>
    <w:rsid w:val="00070359"/>
    <w:rsid w:val="000704CD"/>
    <w:rsid w:val="00071ACB"/>
    <w:rsid w:val="00073619"/>
    <w:rsid w:val="000737A8"/>
    <w:rsid w:val="0007420C"/>
    <w:rsid w:val="00076C16"/>
    <w:rsid w:val="0007751B"/>
    <w:rsid w:val="0007770E"/>
    <w:rsid w:val="0007784C"/>
    <w:rsid w:val="00077914"/>
    <w:rsid w:val="00080DE4"/>
    <w:rsid w:val="00080E55"/>
    <w:rsid w:val="00081761"/>
    <w:rsid w:val="00081FF5"/>
    <w:rsid w:val="00082B45"/>
    <w:rsid w:val="0008386C"/>
    <w:rsid w:val="00083D78"/>
    <w:rsid w:val="00087093"/>
    <w:rsid w:val="00087C02"/>
    <w:rsid w:val="00087F80"/>
    <w:rsid w:val="000911C0"/>
    <w:rsid w:val="000919B9"/>
    <w:rsid w:val="00091B55"/>
    <w:rsid w:val="00091F68"/>
    <w:rsid w:val="00092283"/>
    <w:rsid w:val="000935DE"/>
    <w:rsid w:val="000942B9"/>
    <w:rsid w:val="00094A7D"/>
    <w:rsid w:val="00094DAE"/>
    <w:rsid w:val="00095366"/>
    <w:rsid w:val="00095876"/>
    <w:rsid w:val="00095D30"/>
    <w:rsid w:val="000963F8"/>
    <w:rsid w:val="00096734"/>
    <w:rsid w:val="0009685E"/>
    <w:rsid w:val="000969F2"/>
    <w:rsid w:val="00097105"/>
    <w:rsid w:val="00097CFB"/>
    <w:rsid w:val="000A05DD"/>
    <w:rsid w:val="000A07E4"/>
    <w:rsid w:val="000A092F"/>
    <w:rsid w:val="000A19E7"/>
    <w:rsid w:val="000A1FA8"/>
    <w:rsid w:val="000A3253"/>
    <w:rsid w:val="000A3565"/>
    <w:rsid w:val="000A3BD5"/>
    <w:rsid w:val="000A4BFA"/>
    <w:rsid w:val="000A4F4D"/>
    <w:rsid w:val="000A5A80"/>
    <w:rsid w:val="000A5D37"/>
    <w:rsid w:val="000A5D8B"/>
    <w:rsid w:val="000A645E"/>
    <w:rsid w:val="000B0A27"/>
    <w:rsid w:val="000B0C70"/>
    <w:rsid w:val="000B1A3E"/>
    <w:rsid w:val="000B2E41"/>
    <w:rsid w:val="000B2FFF"/>
    <w:rsid w:val="000B35EF"/>
    <w:rsid w:val="000B39C8"/>
    <w:rsid w:val="000B443F"/>
    <w:rsid w:val="000B5EED"/>
    <w:rsid w:val="000B5FB6"/>
    <w:rsid w:val="000B5FC0"/>
    <w:rsid w:val="000B61AC"/>
    <w:rsid w:val="000B623D"/>
    <w:rsid w:val="000B636D"/>
    <w:rsid w:val="000B63F1"/>
    <w:rsid w:val="000B64E2"/>
    <w:rsid w:val="000B6D86"/>
    <w:rsid w:val="000B76D7"/>
    <w:rsid w:val="000B7B02"/>
    <w:rsid w:val="000C0EB3"/>
    <w:rsid w:val="000C104A"/>
    <w:rsid w:val="000C158F"/>
    <w:rsid w:val="000C184C"/>
    <w:rsid w:val="000C19F8"/>
    <w:rsid w:val="000C2460"/>
    <w:rsid w:val="000C2640"/>
    <w:rsid w:val="000C2864"/>
    <w:rsid w:val="000C2F21"/>
    <w:rsid w:val="000C3754"/>
    <w:rsid w:val="000C3DCF"/>
    <w:rsid w:val="000C4582"/>
    <w:rsid w:val="000C5867"/>
    <w:rsid w:val="000C598A"/>
    <w:rsid w:val="000D0394"/>
    <w:rsid w:val="000D0466"/>
    <w:rsid w:val="000D0613"/>
    <w:rsid w:val="000D0D5A"/>
    <w:rsid w:val="000D1782"/>
    <w:rsid w:val="000D1FB3"/>
    <w:rsid w:val="000D1FC6"/>
    <w:rsid w:val="000D20A8"/>
    <w:rsid w:val="000D2BF5"/>
    <w:rsid w:val="000D3524"/>
    <w:rsid w:val="000D3C75"/>
    <w:rsid w:val="000D4A07"/>
    <w:rsid w:val="000D4E09"/>
    <w:rsid w:val="000D55A6"/>
    <w:rsid w:val="000D5ABF"/>
    <w:rsid w:val="000D6377"/>
    <w:rsid w:val="000D7431"/>
    <w:rsid w:val="000D75D5"/>
    <w:rsid w:val="000D7AA4"/>
    <w:rsid w:val="000E038B"/>
    <w:rsid w:val="000E0836"/>
    <w:rsid w:val="000E0903"/>
    <w:rsid w:val="000E0928"/>
    <w:rsid w:val="000E0F0F"/>
    <w:rsid w:val="000E2BF9"/>
    <w:rsid w:val="000E3016"/>
    <w:rsid w:val="000E302B"/>
    <w:rsid w:val="000E315C"/>
    <w:rsid w:val="000E330A"/>
    <w:rsid w:val="000E343C"/>
    <w:rsid w:val="000E4542"/>
    <w:rsid w:val="000E45C9"/>
    <w:rsid w:val="000E4742"/>
    <w:rsid w:val="000E4FC5"/>
    <w:rsid w:val="000E54E0"/>
    <w:rsid w:val="000E5A09"/>
    <w:rsid w:val="000E5A5F"/>
    <w:rsid w:val="000E6801"/>
    <w:rsid w:val="000F18DD"/>
    <w:rsid w:val="000F197E"/>
    <w:rsid w:val="000F2658"/>
    <w:rsid w:val="000F2811"/>
    <w:rsid w:val="000F2D21"/>
    <w:rsid w:val="000F3991"/>
    <w:rsid w:val="000F3A7B"/>
    <w:rsid w:val="000F3F98"/>
    <w:rsid w:val="000F4B76"/>
    <w:rsid w:val="000F4EAA"/>
    <w:rsid w:val="000F563B"/>
    <w:rsid w:val="000F59D9"/>
    <w:rsid w:val="000F5C59"/>
    <w:rsid w:val="000F5E8E"/>
    <w:rsid w:val="000F657B"/>
    <w:rsid w:val="000F7DEB"/>
    <w:rsid w:val="00100B6B"/>
    <w:rsid w:val="0010105E"/>
    <w:rsid w:val="00101C95"/>
    <w:rsid w:val="00101E85"/>
    <w:rsid w:val="001023DF"/>
    <w:rsid w:val="00103CA2"/>
    <w:rsid w:val="00104656"/>
    <w:rsid w:val="001048FB"/>
    <w:rsid w:val="00104F68"/>
    <w:rsid w:val="00105581"/>
    <w:rsid w:val="0010610B"/>
    <w:rsid w:val="00106524"/>
    <w:rsid w:val="00106868"/>
    <w:rsid w:val="00106CCE"/>
    <w:rsid w:val="00110580"/>
    <w:rsid w:val="001108FD"/>
    <w:rsid w:val="00112362"/>
    <w:rsid w:val="0011293C"/>
    <w:rsid w:val="00112F75"/>
    <w:rsid w:val="001132DC"/>
    <w:rsid w:val="001137E9"/>
    <w:rsid w:val="00113E9F"/>
    <w:rsid w:val="00113EC0"/>
    <w:rsid w:val="00114B3E"/>
    <w:rsid w:val="001156CE"/>
    <w:rsid w:val="001156CF"/>
    <w:rsid w:val="001169AB"/>
    <w:rsid w:val="00116A4E"/>
    <w:rsid w:val="00116E36"/>
    <w:rsid w:val="00117673"/>
    <w:rsid w:val="00120A37"/>
    <w:rsid w:val="0012183A"/>
    <w:rsid w:val="0012228A"/>
    <w:rsid w:val="00122802"/>
    <w:rsid w:val="00123665"/>
    <w:rsid w:val="001236CE"/>
    <w:rsid w:val="00123FD9"/>
    <w:rsid w:val="00126009"/>
    <w:rsid w:val="00126F36"/>
    <w:rsid w:val="00127557"/>
    <w:rsid w:val="00127917"/>
    <w:rsid w:val="00127AD4"/>
    <w:rsid w:val="00131327"/>
    <w:rsid w:val="00132164"/>
    <w:rsid w:val="001332BF"/>
    <w:rsid w:val="00133500"/>
    <w:rsid w:val="00133527"/>
    <w:rsid w:val="00133843"/>
    <w:rsid w:val="00133970"/>
    <w:rsid w:val="00133E62"/>
    <w:rsid w:val="00134E0D"/>
    <w:rsid w:val="00135424"/>
    <w:rsid w:val="00135CD9"/>
    <w:rsid w:val="00136697"/>
    <w:rsid w:val="00137100"/>
    <w:rsid w:val="0013734F"/>
    <w:rsid w:val="00137766"/>
    <w:rsid w:val="00137BD1"/>
    <w:rsid w:val="001402BF"/>
    <w:rsid w:val="00140486"/>
    <w:rsid w:val="001408A1"/>
    <w:rsid w:val="00140BEC"/>
    <w:rsid w:val="00140C61"/>
    <w:rsid w:val="001415A1"/>
    <w:rsid w:val="00141695"/>
    <w:rsid w:val="00141801"/>
    <w:rsid w:val="0014199B"/>
    <w:rsid w:val="00141A1A"/>
    <w:rsid w:val="00141B27"/>
    <w:rsid w:val="001420F6"/>
    <w:rsid w:val="0014293D"/>
    <w:rsid w:val="00142D63"/>
    <w:rsid w:val="00143906"/>
    <w:rsid w:val="00144A71"/>
    <w:rsid w:val="00144F0D"/>
    <w:rsid w:val="00144F9D"/>
    <w:rsid w:val="00145553"/>
    <w:rsid w:val="0014561A"/>
    <w:rsid w:val="0014573B"/>
    <w:rsid w:val="00145960"/>
    <w:rsid w:val="00145DFD"/>
    <w:rsid w:val="00146091"/>
    <w:rsid w:val="00147F8E"/>
    <w:rsid w:val="00150A80"/>
    <w:rsid w:val="00150C8A"/>
    <w:rsid w:val="00150C8D"/>
    <w:rsid w:val="001519E3"/>
    <w:rsid w:val="001520A1"/>
    <w:rsid w:val="001526A8"/>
    <w:rsid w:val="00152A9B"/>
    <w:rsid w:val="00152D96"/>
    <w:rsid w:val="00152DE3"/>
    <w:rsid w:val="00153B25"/>
    <w:rsid w:val="00154000"/>
    <w:rsid w:val="0015407D"/>
    <w:rsid w:val="00154381"/>
    <w:rsid w:val="00154610"/>
    <w:rsid w:val="001551CD"/>
    <w:rsid w:val="00156D19"/>
    <w:rsid w:val="001577E5"/>
    <w:rsid w:val="00160013"/>
    <w:rsid w:val="0016006B"/>
    <w:rsid w:val="00160F14"/>
    <w:rsid w:val="001615E6"/>
    <w:rsid w:val="0016191C"/>
    <w:rsid w:val="00163B54"/>
    <w:rsid w:val="001641EC"/>
    <w:rsid w:val="001649CE"/>
    <w:rsid w:val="00165566"/>
    <w:rsid w:val="00166B26"/>
    <w:rsid w:val="00166E04"/>
    <w:rsid w:val="00170026"/>
    <w:rsid w:val="00170432"/>
    <w:rsid w:val="00170B5D"/>
    <w:rsid w:val="00171117"/>
    <w:rsid w:val="00171422"/>
    <w:rsid w:val="001736A0"/>
    <w:rsid w:val="00173E32"/>
    <w:rsid w:val="00173FDC"/>
    <w:rsid w:val="00174F81"/>
    <w:rsid w:val="0017540D"/>
    <w:rsid w:val="00180185"/>
    <w:rsid w:val="001806F4"/>
    <w:rsid w:val="00180789"/>
    <w:rsid w:val="00180C74"/>
    <w:rsid w:val="00181469"/>
    <w:rsid w:val="00181A90"/>
    <w:rsid w:val="00182594"/>
    <w:rsid w:val="001827B7"/>
    <w:rsid w:val="001829C5"/>
    <w:rsid w:val="00182B95"/>
    <w:rsid w:val="001837A3"/>
    <w:rsid w:val="00183BFF"/>
    <w:rsid w:val="00185B16"/>
    <w:rsid w:val="001873F5"/>
    <w:rsid w:val="001875E5"/>
    <w:rsid w:val="00187F55"/>
    <w:rsid w:val="00190374"/>
    <w:rsid w:val="001903D0"/>
    <w:rsid w:val="00190FDD"/>
    <w:rsid w:val="00191510"/>
    <w:rsid w:val="00191E0E"/>
    <w:rsid w:val="00192755"/>
    <w:rsid w:val="00193018"/>
    <w:rsid w:val="001937FE"/>
    <w:rsid w:val="00194B25"/>
    <w:rsid w:val="0019550C"/>
    <w:rsid w:val="00195957"/>
    <w:rsid w:val="00196185"/>
    <w:rsid w:val="0019669A"/>
    <w:rsid w:val="001974F7"/>
    <w:rsid w:val="00197949"/>
    <w:rsid w:val="00197B5D"/>
    <w:rsid w:val="001A06D4"/>
    <w:rsid w:val="001A1012"/>
    <w:rsid w:val="001A2EDA"/>
    <w:rsid w:val="001A304D"/>
    <w:rsid w:val="001A3C02"/>
    <w:rsid w:val="001A3EC1"/>
    <w:rsid w:val="001A4B11"/>
    <w:rsid w:val="001A4EDB"/>
    <w:rsid w:val="001A5108"/>
    <w:rsid w:val="001A5763"/>
    <w:rsid w:val="001A5E8F"/>
    <w:rsid w:val="001A6AFD"/>
    <w:rsid w:val="001A6BE6"/>
    <w:rsid w:val="001A7BAB"/>
    <w:rsid w:val="001B1618"/>
    <w:rsid w:val="001B1935"/>
    <w:rsid w:val="001B1B42"/>
    <w:rsid w:val="001B1EA2"/>
    <w:rsid w:val="001B1EDF"/>
    <w:rsid w:val="001B2716"/>
    <w:rsid w:val="001B373B"/>
    <w:rsid w:val="001B38F7"/>
    <w:rsid w:val="001B3F43"/>
    <w:rsid w:val="001B453E"/>
    <w:rsid w:val="001B50A0"/>
    <w:rsid w:val="001B5613"/>
    <w:rsid w:val="001B5F14"/>
    <w:rsid w:val="001B654C"/>
    <w:rsid w:val="001B68D1"/>
    <w:rsid w:val="001B6F8E"/>
    <w:rsid w:val="001B7243"/>
    <w:rsid w:val="001B7B05"/>
    <w:rsid w:val="001C04DA"/>
    <w:rsid w:val="001C2796"/>
    <w:rsid w:val="001C28C1"/>
    <w:rsid w:val="001C2FEC"/>
    <w:rsid w:val="001C327C"/>
    <w:rsid w:val="001C3611"/>
    <w:rsid w:val="001C3647"/>
    <w:rsid w:val="001C369B"/>
    <w:rsid w:val="001C4163"/>
    <w:rsid w:val="001C4373"/>
    <w:rsid w:val="001C4967"/>
    <w:rsid w:val="001C5198"/>
    <w:rsid w:val="001C53BE"/>
    <w:rsid w:val="001C53CA"/>
    <w:rsid w:val="001C5F4A"/>
    <w:rsid w:val="001C680C"/>
    <w:rsid w:val="001C74F0"/>
    <w:rsid w:val="001C750B"/>
    <w:rsid w:val="001C784A"/>
    <w:rsid w:val="001C789B"/>
    <w:rsid w:val="001D080D"/>
    <w:rsid w:val="001D08C4"/>
    <w:rsid w:val="001D0F6A"/>
    <w:rsid w:val="001D1329"/>
    <w:rsid w:val="001D1C7A"/>
    <w:rsid w:val="001D1E5B"/>
    <w:rsid w:val="001D1E65"/>
    <w:rsid w:val="001D2857"/>
    <w:rsid w:val="001D2B0B"/>
    <w:rsid w:val="001D2D1A"/>
    <w:rsid w:val="001D313D"/>
    <w:rsid w:val="001D36F1"/>
    <w:rsid w:val="001D3E1A"/>
    <w:rsid w:val="001D463B"/>
    <w:rsid w:val="001D4887"/>
    <w:rsid w:val="001D509F"/>
    <w:rsid w:val="001D59B6"/>
    <w:rsid w:val="001D5A65"/>
    <w:rsid w:val="001D5CA7"/>
    <w:rsid w:val="001D5D85"/>
    <w:rsid w:val="001D6346"/>
    <w:rsid w:val="001D6822"/>
    <w:rsid w:val="001D6DED"/>
    <w:rsid w:val="001D74C2"/>
    <w:rsid w:val="001D7A44"/>
    <w:rsid w:val="001D7AA2"/>
    <w:rsid w:val="001E013C"/>
    <w:rsid w:val="001E0187"/>
    <w:rsid w:val="001E01AC"/>
    <w:rsid w:val="001E03BC"/>
    <w:rsid w:val="001E10E7"/>
    <w:rsid w:val="001E14CF"/>
    <w:rsid w:val="001E14DD"/>
    <w:rsid w:val="001E1D4F"/>
    <w:rsid w:val="001E1EC8"/>
    <w:rsid w:val="001E2482"/>
    <w:rsid w:val="001E30B2"/>
    <w:rsid w:val="001E3791"/>
    <w:rsid w:val="001E3A54"/>
    <w:rsid w:val="001E3E23"/>
    <w:rsid w:val="001E3E9D"/>
    <w:rsid w:val="001E427C"/>
    <w:rsid w:val="001E4524"/>
    <w:rsid w:val="001E4937"/>
    <w:rsid w:val="001E4AA0"/>
    <w:rsid w:val="001E59EA"/>
    <w:rsid w:val="001E6314"/>
    <w:rsid w:val="001E650B"/>
    <w:rsid w:val="001E6B1D"/>
    <w:rsid w:val="001E74E2"/>
    <w:rsid w:val="001F07A9"/>
    <w:rsid w:val="001F0871"/>
    <w:rsid w:val="001F09F5"/>
    <w:rsid w:val="001F0CAB"/>
    <w:rsid w:val="001F1257"/>
    <w:rsid w:val="001F1533"/>
    <w:rsid w:val="001F1B03"/>
    <w:rsid w:val="001F234E"/>
    <w:rsid w:val="001F2CA1"/>
    <w:rsid w:val="001F30A2"/>
    <w:rsid w:val="001F31B4"/>
    <w:rsid w:val="001F3D8F"/>
    <w:rsid w:val="001F3EF1"/>
    <w:rsid w:val="001F44D2"/>
    <w:rsid w:val="001F6D95"/>
    <w:rsid w:val="002000BB"/>
    <w:rsid w:val="00200CE9"/>
    <w:rsid w:val="0020241B"/>
    <w:rsid w:val="00202C68"/>
    <w:rsid w:val="00202EFF"/>
    <w:rsid w:val="00204BAB"/>
    <w:rsid w:val="002050C9"/>
    <w:rsid w:val="002050E5"/>
    <w:rsid w:val="0020534C"/>
    <w:rsid w:val="00205FA0"/>
    <w:rsid w:val="002062C0"/>
    <w:rsid w:val="00206C89"/>
    <w:rsid w:val="00206D89"/>
    <w:rsid w:val="00206FDC"/>
    <w:rsid w:val="002072FE"/>
    <w:rsid w:val="0021080D"/>
    <w:rsid w:val="00211C5E"/>
    <w:rsid w:val="00212134"/>
    <w:rsid w:val="002122A0"/>
    <w:rsid w:val="00213748"/>
    <w:rsid w:val="00213EAF"/>
    <w:rsid w:val="002143F8"/>
    <w:rsid w:val="002150FA"/>
    <w:rsid w:val="002154FC"/>
    <w:rsid w:val="00215D0F"/>
    <w:rsid w:val="002165BB"/>
    <w:rsid w:val="00216C3D"/>
    <w:rsid w:val="002172EE"/>
    <w:rsid w:val="00220009"/>
    <w:rsid w:val="0022030C"/>
    <w:rsid w:val="002206D5"/>
    <w:rsid w:val="002211CD"/>
    <w:rsid w:val="002215BD"/>
    <w:rsid w:val="00221929"/>
    <w:rsid w:val="00221FE2"/>
    <w:rsid w:val="00222391"/>
    <w:rsid w:val="0022253D"/>
    <w:rsid w:val="002226F8"/>
    <w:rsid w:val="002235E1"/>
    <w:rsid w:val="002236CB"/>
    <w:rsid w:val="00223AA1"/>
    <w:rsid w:val="00223DA4"/>
    <w:rsid w:val="00223E03"/>
    <w:rsid w:val="00223E2F"/>
    <w:rsid w:val="00223F92"/>
    <w:rsid w:val="0022409A"/>
    <w:rsid w:val="0022425F"/>
    <w:rsid w:val="0022474A"/>
    <w:rsid w:val="0022535A"/>
    <w:rsid w:val="00225784"/>
    <w:rsid w:val="00226AF1"/>
    <w:rsid w:val="00226C22"/>
    <w:rsid w:val="00227138"/>
    <w:rsid w:val="00230062"/>
    <w:rsid w:val="002300E2"/>
    <w:rsid w:val="00230B76"/>
    <w:rsid w:val="00230D46"/>
    <w:rsid w:val="00232203"/>
    <w:rsid w:val="00233062"/>
    <w:rsid w:val="00235441"/>
    <w:rsid w:val="002354B8"/>
    <w:rsid w:val="00235D91"/>
    <w:rsid w:val="00235F3E"/>
    <w:rsid w:val="002361A8"/>
    <w:rsid w:val="00236DC2"/>
    <w:rsid w:val="00237828"/>
    <w:rsid w:val="002378AB"/>
    <w:rsid w:val="00237F57"/>
    <w:rsid w:val="00240D63"/>
    <w:rsid w:val="00242301"/>
    <w:rsid w:val="002424ED"/>
    <w:rsid w:val="0024268B"/>
    <w:rsid w:val="002427D6"/>
    <w:rsid w:val="00242BD9"/>
    <w:rsid w:val="00242EF4"/>
    <w:rsid w:val="00244628"/>
    <w:rsid w:val="00245BFD"/>
    <w:rsid w:val="00246210"/>
    <w:rsid w:val="002479F6"/>
    <w:rsid w:val="00247A67"/>
    <w:rsid w:val="00247C0D"/>
    <w:rsid w:val="0025046C"/>
    <w:rsid w:val="00250DBC"/>
    <w:rsid w:val="00251563"/>
    <w:rsid w:val="00251BAD"/>
    <w:rsid w:val="00251FDA"/>
    <w:rsid w:val="002533B5"/>
    <w:rsid w:val="002536FE"/>
    <w:rsid w:val="0025393C"/>
    <w:rsid w:val="002542C4"/>
    <w:rsid w:val="00254F64"/>
    <w:rsid w:val="00255659"/>
    <w:rsid w:val="002556D8"/>
    <w:rsid w:val="00255E45"/>
    <w:rsid w:val="002567DD"/>
    <w:rsid w:val="0025789F"/>
    <w:rsid w:val="00260109"/>
    <w:rsid w:val="00260F49"/>
    <w:rsid w:val="002613A2"/>
    <w:rsid w:val="002617DE"/>
    <w:rsid w:val="00261984"/>
    <w:rsid w:val="00262ADC"/>
    <w:rsid w:val="00262FBF"/>
    <w:rsid w:val="0026416F"/>
    <w:rsid w:val="00264413"/>
    <w:rsid w:val="00264BAB"/>
    <w:rsid w:val="00265C4F"/>
    <w:rsid w:val="00265F01"/>
    <w:rsid w:val="00266023"/>
    <w:rsid w:val="00266540"/>
    <w:rsid w:val="00267BDA"/>
    <w:rsid w:val="00267E3E"/>
    <w:rsid w:val="0027056B"/>
    <w:rsid w:val="0027061D"/>
    <w:rsid w:val="00270CEC"/>
    <w:rsid w:val="00270D8E"/>
    <w:rsid w:val="00271381"/>
    <w:rsid w:val="002727D2"/>
    <w:rsid w:val="00272D7E"/>
    <w:rsid w:val="00273186"/>
    <w:rsid w:val="00273EA8"/>
    <w:rsid w:val="00274DF8"/>
    <w:rsid w:val="002752A3"/>
    <w:rsid w:val="002753AB"/>
    <w:rsid w:val="0027545B"/>
    <w:rsid w:val="00275C38"/>
    <w:rsid w:val="00276D24"/>
    <w:rsid w:val="00280948"/>
    <w:rsid w:val="00281F6D"/>
    <w:rsid w:val="002822DD"/>
    <w:rsid w:val="00283084"/>
    <w:rsid w:val="002842A7"/>
    <w:rsid w:val="0028442E"/>
    <w:rsid w:val="002847C4"/>
    <w:rsid w:val="00284C63"/>
    <w:rsid w:val="00284E52"/>
    <w:rsid w:val="00284FAC"/>
    <w:rsid w:val="002851F0"/>
    <w:rsid w:val="00286C86"/>
    <w:rsid w:val="002870FC"/>
    <w:rsid w:val="00287801"/>
    <w:rsid w:val="00290104"/>
    <w:rsid w:val="00290423"/>
    <w:rsid w:val="00290D47"/>
    <w:rsid w:val="002911E0"/>
    <w:rsid w:val="002917E8"/>
    <w:rsid w:val="00293909"/>
    <w:rsid w:val="00294816"/>
    <w:rsid w:val="00294D83"/>
    <w:rsid w:val="00294E62"/>
    <w:rsid w:val="002959C2"/>
    <w:rsid w:val="00295FBE"/>
    <w:rsid w:val="00296A9B"/>
    <w:rsid w:val="002976D0"/>
    <w:rsid w:val="0029788A"/>
    <w:rsid w:val="00297B31"/>
    <w:rsid w:val="00297B89"/>
    <w:rsid w:val="00297D6A"/>
    <w:rsid w:val="002A04DF"/>
    <w:rsid w:val="002A08E8"/>
    <w:rsid w:val="002A0C42"/>
    <w:rsid w:val="002A16F2"/>
    <w:rsid w:val="002A198F"/>
    <w:rsid w:val="002A1D33"/>
    <w:rsid w:val="002A2C67"/>
    <w:rsid w:val="002A33CD"/>
    <w:rsid w:val="002A4C17"/>
    <w:rsid w:val="002A4C1E"/>
    <w:rsid w:val="002A5297"/>
    <w:rsid w:val="002A5620"/>
    <w:rsid w:val="002A5924"/>
    <w:rsid w:val="002A6031"/>
    <w:rsid w:val="002A7633"/>
    <w:rsid w:val="002A785A"/>
    <w:rsid w:val="002A7887"/>
    <w:rsid w:val="002A7B74"/>
    <w:rsid w:val="002A7BB4"/>
    <w:rsid w:val="002A7F51"/>
    <w:rsid w:val="002B06C2"/>
    <w:rsid w:val="002B11BF"/>
    <w:rsid w:val="002B1401"/>
    <w:rsid w:val="002B383D"/>
    <w:rsid w:val="002B42B4"/>
    <w:rsid w:val="002B4C13"/>
    <w:rsid w:val="002B59CB"/>
    <w:rsid w:val="002B5F2F"/>
    <w:rsid w:val="002B6908"/>
    <w:rsid w:val="002B78A6"/>
    <w:rsid w:val="002C0143"/>
    <w:rsid w:val="002C0C6F"/>
    <w:rsid w:val="002C2AFA"/>
    <w:rsid w:val="002C3BB2"/>
    <w:rsid w:val="002C3C6A"/>
    <w:rsid w:val="002C403D"/>
    <w:rsid w:val="002C43CA"/>
    <w:rsid w:val="002C4407"/>
    <w:rsid w:val="002C4779"/>
    <w:rsid w:val="002C6443"/>
    <w:rsid w:val="002C7064"/>
    <w:rsid w:val="002C7D2E"/>
    <w:rsid w:val="002D03EB"/>
    <w:rsid w:val="002D04B7"/>
    <w:rsid w:val="002D17EF"/>
    <w:rsid w:val="002D2127"/>
    <w:rsid w:val="002D22D5"/>
    <w:rsid w:val="002D3484"/>
    <w:rsid w:val="002D37F3"/>
    <w:rsid w:val="002D3946"/>
    <w:rsid w:val="002D3F26"/>
    <w:rsid w:val="002D409C"/>
    <w:rsid w:val="002D4D93"/>
    <w:rsid w:val="002D5662"/>
    <w:rsid w:val="002D5B09"/>
    <w:rsid w:val="002D5BDB"/>
    <w:rsid w:val="002D5E52"/>
    <w:rsid w:val="002D6866"/>
    <w:rsid w:val="002D6902"/>
    <w:rsid w:val="002D73D0"/>
    <w:rsid w:val="002D78D2"/>
    <w:rsid w:val="002E015F"/>
    <w:rsid w:val="002E021C"/>
    <w:rsid w:val="002E062C"/>
    <w:rsid w:val="002E266A"/>
    <w:rsid w:val="002E28D9"/>
    <w:rsid w:val="002E2D3C"/>
    <w:rsid w:val="002E2E72"/>
    <w:rsid w:val="002E3F2B"/>
    <w:rsid w:val="002E3FD7"/>
    <w:rsid w:val="002E4035"/>
    <w:rsid w:val="002E448F"/>
    <w:rsid w:val="002E45C5"/>
    <w:rsid w:val="002E4B0D"/>
    <w:rsid w:val="002E5116"/>
    <w:rsid w:val="002E59A3"/>
    <w:rsid w:val="002E5E06"/>
    <w:rsid w:val="002E63E3"/>
    <w:rsid w:val="002E6A5E"/>
    <w:rsid w:val="002E6C9D"/>
    <w:rsid w:val="002E6F12"/>
    <w:rsid w:val="002E784D"/>
    <w:rsid w:val="002E7999"/>
    <w:rsid w:val="002F0883"/>
    <w:rsid w:val="002F0F09"/>
    <w:rsid w:val="002F194C"/>
    <w:rsid w:val="002F1BA3"/>
    <w:rsid w:val="002F278F"/>
    <w:rsid w:val="002F2D6F"/>
    <w:rsid w:val="002F390C"/>
    <w:rsid w:val="002F4526"/>
    <w:rsid w:val="002F455E"/>
    <w:rsid w:val="002F49C4"/>
    <w:rsid w:val="002F4AE0"/>
    <w:rsid w:val="002F5865"/>
    <w:rsid w:val="002F693E"/>
    <w:rsid w:val="003008DF"/>
    <w:rsid w:val="00300E6E"/>
    <w:rsid w:val="00301757"/>
    <w:rsid w:val="003035C6"/>
    <w:rsid w:val="00303B2A"/>
    <w:rsid w:val="0030447C"/>
    <w:rsid w:val="003045A1"/>
    <w:rsid w:val="00304742"/>
    <w:rsid w:val="00304FEE"/>
    <w:rsid w:val="00305083"/>
    <w:rsid w:val="0030569E"/>
    <w:rsid w:val="003057C1"/>
    <w:rsid w:val="00305BCD"/>
    <w:rsid w:val="00306977"/>
    <w:rsid w:val="0030722D"/>
    <w:rsid w:val="003073F2"/>
    <w:rsid w:val="003076B5"/>
    <w:rsid w:val="003077AF"/>
    <w:rsid w:val="00307BB2"/>
    <w:rsid w:val="00307FCF"/>
    <w:rsid w:val="003100D5"/>
    <w:rsid w:val="00310392"/>
    <w:rsid w:val="00311707"/>
    <w:rsid w:val="003117B2"/>
    <w:rsid w:val="00312506"/>
    <w:rsid w:val="00313429"/>
    <w:rsid w:val="003136C1"/>
    <w:rsid w:val="003148F9"/>
    <w:rsid w:val="0031499A"/>
    <w:rsid w:val="003157EB"/>
    <w:rsid w:val="00315A5D"/>
    <w:rsid w:val="003163AD"/>
    <w:rsid w:val="00317187"/>
    <w:rsid w:val="0031730B"/>
    <w:rsid w:val="003175BD"/>
    <w:rsid w:val="00317BA8"/>
    <w:rsid w:val="003200E3"/>
    <w:rsid w:val="00320EEA"/>
    <w:rsid w:val="00321449"/>
    <w:rsid w:val="00322027"/>
    <w:rsid w:val="003223E5"/>
    <w:rsid w:val="0032297E"/>
    <w:rsid w:val="00322C1B"/>
    <w:rsid w:val="00322F12"/>
    <w:rsid w:val="00323CD3"/>
    <w:rsid w:val="00324535"/>
    <w:rsid w:val="00326D66"/>
    <w:rsid w:val="00327EE4"/>
    <w:rsid w:val="0033020D"/>
    <w:rsid w:val="003307BE"/>
    <w:rsid w:val="00331905"/>
    <w:rsid w:val="00331FCD"/>
    <w:rsid w:val="0033290A"/>
    <w:rsid w:val="003336B7"/>
    <w:rsid w:val="00333705"/>
    <w:rsid w:val="00333ACB"/>
    <w:rsid w:val="00336231"/>
    <w:rsid w:val="00336625"/>
    <w:rsid w:val="003367AC"/>
    <w:rsid w:val="00336C3C"/>
    <w:rsid w:val="003375A7"/>
    <w:rsid w:val="00337FB6"/>
    <w:rsid w:val="00340CDF"/>
    <w:rsid w:val="0034243F"/>
    <w:rsid w:val="00342E60"/>
    <w:rsid w:val="00343769"/>
    <w:rsid w:val="003442AF"/>
    <w:rsid w:val="00344883"/>
    <w:rsid w:val="00344F91"/>
    <w:rsid w:val="00345069"/>
    <w:rsid w:val="003462C3"/>
    <w:rsid w:val="003468D2"/>
    <w:rsid w:val="00346E1E"/>
    <w:rsid w:val="00351EA1"/>
    <w:rsid w:val="003522BE"/>
    <w:rsid w:val="00352E5F"/>
    <w:rsid w:val="00352E81"/>
    <w:rsid w:val="00352E8F"/>
    <w:rsid w:val="0035308A"/>
    <w:rsid w:val="003533C9"/>
    <w:rsid w:val="003536AE"/>
    <w:rsid w:val="003550BA"/>
    <w:rsid w:val="00355A40"/>
    <w:rsid w:val="00355E4D"/>
    <w:rsid w:val="00355FD6"/>
    <w:rsid w:val="00356526"/>
    <w:rsid w:val="00356C23"/>
    <w:rsid w:val="00356F1D"/>
    <w:rsid w:val="00357DF9"/>
    <w:rsid w:val="0036123F"/>
    <w:rsid w:val="003612CD"/>
    <w:rsid w:val="00361570"/>
    <w:rsid w:val="003622AE"/>
    <w:rsid w:val="003622D5"/>
    <w:rsid w:val="00362403"/>
    <w:rsid w:val="00362F2E"/>
    <w:rsid w:val="00362F8A"/>
    <w:rsid w:val="003635F8"/>
    <w:rsid w:val="00363A07"/>
    <w:rsid w:val="00363B44"/>
    <w:rsid w:val="00363E4D"/>
    <w:rsid w:val="003642E3"/>
    <w:rsid w:val="00364594"/>
    <w:rsid w:val="00364771"/>
    <w:rsid w:val="00364835"/>
    <w:rsid w:val="00364AE1"/>
    <w:rsid w:val="00364BC2"/>
    <w:rsid w:val="00365417"/>
    <w:rsid w:val="00365C3F"/>
    <w:rsid w:val="0036636A"/>
    <w:rsid w:val="00366A45"/>
    <w:rsid w:val="00366D79"/>
    <w:rsid w:val="00367DD0"/>
    <w:rsid w:val="003700B4"/>
    <w:rsid w:val="00370779"/>
    <w:rsid w:val="00371D6B"/>
    <w:rsid w:val="00371F21"/>
    <w:rsid w:val="003722DA"/>
    <w:rsid w:val="0037278C"/>
    <w:rsid w:val="00374265"/>
    <w:rsid w:val="00374C02"/>
    <w:rsid w:val="00375708"/>
    <w:rsid w:val="00375C31"/>
    <w:rsid w:val="003762B6"/>
    <w:rsid w:val="0038048E"/>
    <w:rsid w:val="003807A3"/>
    <w:rsid w:val="003807FF"/>
    <w:rsid w:val="00381181"/>
    <w:rsid w:val="00382E48"/>
    <w:rsid w:val="00383079"/>
    <w:rsid w:val="003845F6"/>
    <w:rsid w:val="00385AF4"/>
    <w:rsid w:val="00386865"/>
    <w:rsid w:val="003875CC"/>
    <w:rsid w:val="00390B26"/>
    <w:rsid w:val="00390B8D"/>
    <w:rsid w:val="00390D10"/>
    <w:rsid w:val="003925EF"/>
    <w:rsid w:val="003930C7"/>
    <w:rsid w:val="003949B6"/>
    <w:rsid w:val="003955F6"/>
    <w:rsid w:val="0039587E"/>
    <w:rsid w:val="00395909"/>
    <w:rsid w:val="0039602C"/>
    <w:rsid w:val="0039634F"/>
    <w:rsid w:val="0039638E"/>
    <w:rsid w:val="0039688A"/>
    <w:rsid w:val="00396BC7"/>
    <w:rsid w:val="00397E55"/>
    <w:rsid w:val="00397FFB"/>
    <w:rsid w:val="003A0BC3"/>
    <w:rsid w:val="003A10FB"/>
    <w:rsid w:val="003A17E4"/>
    <w:rsid w:val="003A1B9B"/>
    <w:rsid w:val="003A1F25"/>
    <w:rsid w:val="003A1F2A"/>
    <w:rsid w:val="003A2404"/>
    <w:rsid w:val="003A2D75"/>
    <w:rsid w:val="003A3611"/>
    <w:rsid w:val="003A3A51"/>
    <w:rsid w:val="003A4390"/>
    <w:rsid w:val="003A4F4B"/>
    <w:rsid w:val="003A5505"/>
    <w:rsid w:val="003A5D9D"/>
    <w:rsid w:val="003A5DB5"/>
    <w:rsid w:val="003A6AA5"/>
    <w:rsid w:val="003A70F7"/>
    <w:rsid w:val="003A7874"/>
    <w:rsid w:val="003A7C31"/>
    <w:rsid w:val="003B1139"/>
    <w:rsid w:val="003B1677"/>
    <w:rsid w:val="003B16CD"/>
    <w:rsid w:val="003B1814"/>
    <w:rsid w:val="003B1AD6"/>
    <w:rsid w:val="003B1BAA"/>
    <w:rsid w:val="003B27B4"/>
    <w:rsid w:val="003B30C3"/>
    <w:rsid w:val="003B5494"/>
    <w:rsid w:val="003B599B"/>
    <w:rsid w:val="003B5A70"/>
    <w:rsid w:val="003B7062"/>
    <w:rsid w:val="003B74F3"/>
    <w:rsid w:val="003C0189"/>
    <w:rsid w:val="003C0468"/>
    <w:rsid w:val="003C0AEB"/>
    <w:rsid w:val="003C18A2"/>
    <w:rsid w:val="003C1BD6"/>
    <w:rsid w:val="003C1E65"/>
    <w:rsid w:val="003C26DC"/>
    <w:rsid w:val="003C36A4"/>
    <w:rsid w:val="003C3A2F"/>
    <w:rsid w:val="003C5871"/>
    <w:rsid w:val="003C5FBE"/>
    <w:rsid w:val="003C6393"/>
    <w:rsid w:val="003D03CB"/>
    <w:rsid w:val="003D0A7D"/>
    <w:rsid w:val="003D0E9B"/>
    <w:rsid w:val="003D1B65"/>
    <w:rsid w:val="003D2171"/>
    <w:rsid w:val="003D21CB"/>
    <w:rsid w:val="003D3387"/>
    <w:rsid w:val="003D51D4"/>
    <w:rsid w:val="003D5B97"/>
    <w:rsid w:val="003D7108"/>
    <w:rsid w:val="003D74C4"/>
    <w:rsid w:val="003E0338"/>
    <w:rsid w:val="003E0E67"/>
    <w:rsid w:val="003E1761"/>
    <w:rsid w:val="003E19EB"/>
    <w:rsid w:val="003E37DE"/>
    <w:rsid w:val="003E4766"/>
    <w:rsid w:val="003E4C39"/>
    <w:rsid w:val="003E5879"/>
    <w:rsid w:val="003E5894"/>
    <w:rsid w:val="003E5A76"/>
    <w:rsid w:val="003E7265"/>
    <w:rsid w:val="003E7CFF"/>
    <w:rsid w:val="003E7E09"/>
    <w:rsid w:val="003F0E12"/>
    <w:rsid w:val="003F3C51"/>
    <w:rsid w:val="003F3C97"/>
    <w:rsid w:val="003F4527"/>
    <w:rsid w:val="003F46E6"/>
    <w:rsid w:val="003F4729"/>
    <w:rsid w:val="003F4AE7"/>
    <w:rsid w:val="003F4D3B"/>
    <w:rsid w:val="003F4F4C"/>
    <w:rsid w:val="003F50DD"/>
    <w:rsid w:val="003F574B"/>
    <w:rsid w:val="003F58FF"/>
    <w:rsid w:val="003F59A1"/>
    <w:rsid w:val="003F626F"/>
    <w:rsid w:val="003F6DD4"/>
    <w:rsid w:val="003F7168"/>
    <w:rsid w:val="003F7D41"/>
    <w:rsid w:val="0040001B"/>
    <w:rsid w:val="00400BB7"/>
    <w:rsid w:val="00400E08"/>
    <w:rsid w:val="0040110A"/>
    <w:rsid w:val="004011D8"/>
    <w:rsid w:val="004011E6"/>
    <w:rsid w:val="00401312"/>
    <w:rsid w:val="004017F9"/>
    <w:rsid w:val="0040245E"/>
    <w:rsid w:val="00402E13"/>
    <w:rsid w:val="00403B67"/>
    <w:rsid w:val="004042D8"/>
    <w:rsid w:val="004048DF"/>
    <w:rsid w:val="00404991"/>
    <w:rsid w:val="0040591B"/>
    <w:rsid w:val="00405CDD"/>
    <w:rsid w:val="0040610C"/>
    <w:rsid w:val="0040791C"/>
    <w:rsid w:val="00410E60"/>
    <w:rsid w:val="004114BC"/>
    <w:rsid w:val="00411BE4"/>
    <w:rsid w:val="004123F3"/>
    <w:rsid w:val="0041298A"/>
    <w:rsid w:val="00412A5A"/>
    <w:rsid w:val="004130F2"/>
    <w:rsid w:val="0041334C"/>
    <w:rsid w:val="00413677"/>
    <w:rsid w:val="00414191"/>
    <w:rsid w:val="004158CC"/>
    <w:rsid w:val="00415932"/>
    <w:rsid w:val="00415A6A"/>
    <w:rsid w:val="004162A4"/>
    <w:rsid w:val="004169F5"/>
    <w:rsid w:val="00417698"/>
    <w:rsid w:val="0041778C"/>
    <w:rsid w:val="00417823"/>
    <w:rsid w:val="0042177A"/>
    <w:rsid w:val="004217F4"/>
    <w:rsid w:val="00421875"/>
    <w:rsid w:val="00421CE8"/>
    <w:rsid w:val="00421E9B"/>
    <w:rsid w:val="00421E9C"/>
    <w:rsid w:val="00421FFB"/>
    <w:rsid w:val="004221F7"/>
    <w:rsid w:val="0042280C"/>
    <w:rsid w:val="004232AF"/>
    <w:rsid w:val="00423560"/>
    <w:rsid w:val="00423CA5"/>
    <w:rsid w:val="00424152"/>
    <w:rsid w:val="00424D09"/>
    <w:rsid w:val="00425A98"/>
    <w:rsid w:val="00425D3B"/>
    <w:rsid w:val="0042692D"/>
    <w:rsid w:val="00427901"/>
    <w:rsid w:val="004302AE"/>
    <w:rsid w:val="004302CA"/>
    <w:rsid w:val="00430661"/>
    <w:rsid w:val="00430729"/>
    <w:rsid w:val="00431988"/>
    <w:rsid w:val="00431EAE"/>
    <w:rsid w:val="00432607"/>
    <w:rsid w:val="00433B41"/>
    <w:rsid w:val="00433D4A"/>
    <w:rsid w:val="00433E2D"/>
    <w:rsid w:val="004346D6"/>
    <w:rsid w:val="00434818"/>
    <w:rsid w:val="0043557C"/>
    <w:rsid w:val="004359A0"/>
    <w:rsid w:val="00435CAA"/>
    <w:rsid w:val="004365E8"/>
    <w:rsid w:val="004406F3"/>
    <w:rsid w:val="00442B7D"/>
    <w:rsid w:val="00443189"/>
    <w:rsid w:val="00443349"/>
    <w:rsid w:val="0044368A"/>
    <w:rsid w:val="0044444F"/>
    <w:rsid w:val="00444951"/>
    <w:rsid w:val="00444AB4"/>
    <w:rsid w:val="00445771"/>
    <w:rsid w:val="00446015"/>
    <w:rsid w:val="004462F8"/>
    <w:rsid w:val="0044644D"/>
    <w:rsid w:val="0044672E"/>
    <w:rsid w:val="00446CCA"/>
    <w:rsid w:val="00446D45"/>
    <w:rsid w:val="00446ED2"/>
    <w:rsid w:val="004473E5"/>
    <w:rsid w:val="004475DC"/>
    <w:rsid w:val="0044762E"/>
    <w:rsid w:val="004477FA"/>
    <w:rsid w:val="00447F22"/>
    <w:rsid w:val="00447FCA"/>
    <w:rsid w:val="004501F9"/>
    <w:rsid w:val="004517CB"/>
    <w:rsid w:val="00452358"/>
    <w:rsid w:val="00452B72"/>
    <w:rsid w:val="0045352A"/>
    <w:rsid w:val="00453D7D"/>
    <w:rsid w:val="00454306"/>
    <w:rsid w:val="00454E78"/>
    <w:rsid w:val="004551CA"/>
    <w:rsid w:val="004565CE"/>
    <w:rsid w:val="00456A51"/>
    <w:rsid w:val="00456F3F"/>
    <w:rsid w:val="00456F62"/>
    <w:rsid w:val="00457167"/>
    <w:rsid w:val="004607C8"/>
    <w:rsid w:val="00460F7E"/>
    <w:rsid w:val="00461C5E"/>
    <w:rsid w:val="00462164"/>
    <w:rsid w:val="00462D76"/>
    <w:rsid w:val="00463541"/>
    <w:rsid w:val="00463B00"/>
    <w:rsid w:val="0046461F"/>
    <w:rsid w:val="00464AB8"/>
    <w:rsid w:val="004651A3"/>
    <w:rsid w:val="0046559A"/>
    <w:rsid w:val="004657DF"/>
    <w:rsid w:val="00466A64"/>
    <w:rsid w:val="00466DF2"/>
    <w:rsid w:val="00467432"/>
    <w:rsid w:val="004710F3"/>
    <w:rsid w:val="00471594"/>
    <w:rsid w:val="004726CA"/>
    <w:rsid w:val="00472D20"/>
    <w:rsid w:val="004735CE"/>
    <w:rsid w:val="00474195"/>
    <w:rsid w:val="004742D9"/>
    <w:rsid w:val="004757A3"/>
    <w:rsid w:val="00475963"/>
    <w:rsid w:val="00475ECB"/>
    <w:rsid w:val="004766E3"/>
    <w:rsid w:val="00477176"/>
    <w:rsid w:val="004772A7"/>
    <w:rsid w:val="00477AC4"/>
    <w:rsid w:val="00477C81"/>
    <w:rsid w:val="0048007C"/>
    <w:rsid w:val="00480FF2"/>
    <w:rsid w:val="004819BE"/>
    <w:rsid w:val="00482A41"/>
    <w:rsid w:val="00483607"/>
    <w:rsid w:val="00483990"/>
    <w:rsid w:val="00484196"/>
    <w:rsid w:val="0048449B"/>
    <w:rsid w:val="00484F92"/>
    <w:rsid w:val="00485926"/>
    <w:rsid w:val="00485AEE"/>
    <w:rsid w:val="00485C7E"/>
    <w:rsid w:val="0048613C"/>
    <w:rsid w:val="0048646D"/>
    <w:rsid w:val="00486842"/>
    <w:rsid w:val="00486EBD"/>
    <w:rsid w:val="00486ECD"/>
    <w:rsid w:val="004870E7"/>
    <w:rsid w:val="00490250"/>
    <w:rsid w:val="00490259"/>
    <w:rsid w:val="00491CF6"/>
    <w:rsid w:val="004924CE"/>
    <w:rsid w:val="004936A9"/>
    <w:rsid w:val="00493A9C"/>
    <w:rsid w:val="004949A5"/>
    <w:rsid w:val="00494E79"/>
    <w:rsid w:val="0049544A"/>
    <w:rsid w:val="0049555A"/>
    <w:rsid w:val="00495A4B"/>
    <w:rsid w:val="00496148"/>
    <w:rsid w:val="00496C00"/>
    <w:rsid w:val="00497291"/>
    <w:rsid w:val="00497707"/>
    <w:rsid w:val="00497C0A"/>
    <w:rsid w:val="004A00E4"/>
    <w:rsid w:val="004A0B80"/>
    <w:rsid w:val="004A1A28"/>
    <w:rsid w:val="004A21A9"/>
    <w:rsid w:val="004A225C"/>
    <w:rsid w:val="004A2ED0"/>
    <w:rsid w:val="004A3009"/>
    <w:rsid w:val="004A3AB2"/>
    <w:rsid w:val="004A3B51"/>
    <w:rsid w:val="004A4172"/>
    <w:rsid w:val="004A4255"/>
    <w:rsid w:val="004A44B5"/>
    <w:rsid w:val="004A4637"/>
    <w:rsid w:val="004A473A"/>
    <w:rsid w:val="004A4B26"/>
    <w:rsid w:val="004A4BEE"/>
    <w:rsid w:val="004A5478"/>
    <w:rsid w:val="004A5729"/>
    <w:rsid w:val="004A7746"/>
    <w:rsid w:val="004A7826"/>
    <w:rsid w:val="004A7EFA"/>
    <w:rsid w:val="004B02BD"/>
    <w:rsid w:val="004B0F16"/>
    <w:rsid w:val="004B1BB8"/>
    <w:rsid w:val="004B218D"/>
    <w:rsid w:val="004B3877"/>
    <w:rsid w:val="004B3F36"/>
    <w:rsid w:val="004B404B"/>
    <w:rsid w:val="004B4453"/>
    <w:rsid w:val="004B5396"/>
    <w:rsid w:val="004B57F0"/>
    <w:rsid w:val="004B589B"/>
    <w:rsid w:val="004B5B66"/>
    <w:rsid w:val="004B5B9C"/>
    <w:rsid w:val="004B7362"/>
    <w:rsid w:val="004B7C17"/>
    <w:rsid w:val="004B7C40"/>
    <w:rsid w:val="004C051B"/>
    <w:rsid w:val="004C0840"/>
    <w:rsid w:val="004C0C4A"/>
    <w:rsid w:val="004C1F20"/>
    <w:rsid w:val="004C2082"/>
    <w:rsid w:val="004C2BD2"/>
    <w:rsid w:val="004C2D62"/>
    <w:rsid w:val="004C2D8F"/>
    <w:rsid w:val="004C31B4"/>
    <w:rsid w:val="004C3C8B"/>
    <w:rsid w:val="004C3E12"/>
    <w:rsid w:val="004C5F79"/>
    <w:rsid w:val="004C6738"/>
    <w:rsid w:val="004C6E15"/>
    <w:rsid w:val="004C7160"/>
    <w:rsid w:val="004C7C8A"/>
    <w:rsid w:val="004C7E8A"/>
    <w:rsid w:val="004D1365"/>
    <w:rsid w:val="004D13D9"/>
    <w:rsid w:val="004D1907"/>
    <w:rsid w:val="004D1B3D"/>
    <w:rsid w:val="004D1C2C"/>
    <w:rsid w:val="004D1C4E"/>
    <w:rsid w:val="004D3E79"/>
    <w:rsid w:val="004D4C85"/>
    <w:rsid w:val="004D4D94"/>
    <w:rsid w:val="004D5944"/>
    <w:rsid w:val="004D5EA2"/>
    <w:rsid w:val="004D6555"/>
    <w:rsid w:val="004D6734"/>
    <w:rsid w:val="004D6EC7"/>
    <w:rsid w:val="004D6F79"/>
    <w:rsid w:val="004D7A4B"/>
    <w:rsid w:val="004D7D2A"/>
    <w:rsid w:val="004E0072"/>
    <w:rsid w:val="004E0A01"/>
    <w:rsid w:val="004E102A"/>
    <w:rsid w:val="004E26D0"/>
    <w:rsid w:val="004E286F"/>
    <w:rsid w:val="004E384B"/>
    <w:rsid w:val="004E459A"/>
    <w:rsid w:val="004E4858"/>
    <w:rsid w:val="004E48F9"/>
    <w:rsid w:val="004E5062"/>
    <w:rsid w:val="004E55F9"/>
    <w:rsid w:val="004E7222"/>
    <w:rsid w:val="004E7EF5"/>
    <w:rsid w:val="004F06CA"/>
    <w:rsid w:val="004F0754"/>
    <w:rsid w:val="004F076B"/>
    <w:rsid w:val="004F0BDE"/>
    <w:rsid w:val="004F0EA0"/>
    <w:rsid w:val="004F2F65"/>
    <w:rsid w:val="004F3050"/>
    <w:rsid w:val="004F3225"/>
    <w:rsid w:val="004F3550"/>
    <w:rsid w:val="004F3E8D"/>
    <w:rsid w:val="004F4C9A"/>
    <w:rsid w:val="004F4DD9"/>
    <w:rsid w:val="004F507D"/>
    <w:rsid w:val="004F51C6"/>
    <w:rsid w:val="004F55D9"/>
    <w:rsid w:val="004F6C2B"/>
    <w:rsid w:val="004F6CCB"/>
    <w:rsid w:val="004F71B8"/>
    <w:rsid w:val="004F7ED6"/>
    <w:rsid w:val="0050073C"/>
    <w:rsid w:val="00500C16"/>
    <w:rsid w:val="0050157B"/>
    <w:rsid w:val="0050187F"/>
    <w:rsid w:val="00502573"/>
    <w:rsid w:val="005030EB"/>
    <w:rsid w:val="00504307"/>
    <w:rsid w:val="00504616"/>
    <w:rsid w:val="0050613F"/>
    <w:rsid w:val="0050639C"/>
    <w:rsid w:val="005066D2"/>
    <w:rsid w:val="00506E93"/>
    <w:rsid w:val="0050715F"/>
    <w:rsid w:val="005077FE"/>
    <w:rsid w:val="00507810"/>
    <w:rsid w:val="00507859"/>
    <w:rsid w:val="00511A64"/>
    <w:rsid w:val="00512447"/>
    <w:rsid w:val="0051264C"/>
    <w:rsid w:val="00512792"/>
    <w:rsid w:val="00512913"/>
    <w:rsid w:val="005136CE"/>
    <w:rsid w:val="00513A03"/>
    <w:rsid w:val="00513BD4"/>
    <w:rsid w:val="00514178"/>
    <w:rsid w:val="0051418E"/>
    <w:rsid w:val="00514CCA"/>
    <w:rsid w:val="0051521B"/>
    <w:rsid w:val="00515798"/>
    <w:rsid w:val="00515DEA"/>
    <w:rsid w:val="00516171"/>
    <w:rsid w:val="005161ED"/>
    <w:rsid w:val="00516265"/>
    <w:rsid w:val="00516FC8"/>
    <w:rsid w:val="005209C4"/>
    <w:rsid w:val="00520CB0"/>
    <w:rsid w:val="0052115C"/>
    <w:rsid w:val="00522DD0"/>
    <w:rsid w:val="00523D0A"/>
    <w:rsid w:val="00524E6D"/>
    <w:rsid w:val="0052657C"/>
    <w:rsid w:val="00526EF2"/>
    <w:rsid w:val="00527339"/>
    <w:rsid w:val="00527E48"/>
    <w:rsid w:val="005312C8"/>
    <w:rsid w:val="00532D8E"/>
    <w:rsid w:val="00533002"/>
    <w:rsid w:val="005339A2"/>
    <w:rsid w:val="005339C9"/>
    <w:rsid w:val="00533B2A"/>
    <w:rsid w:val="0053441C"/>
    <w:rsid w:val="005347B0"/>
    <w:rsid w:val="00534DBF"/>
    <w:rsid w:val="00535A3D"/>
    <w:rsid w:val="00536687"/>
    <w:rsid w:val="00540079"/>
    <w:rsid w:val="005409A0"/>
    <w:rsid w:val="00540ED4"/>
    <w:rsid w:val="00541524"/>
    <w:rsid w:val="00541EFF"/>
    <w:rsid w:val="0054258F"/>
    <w:rsid w:val="00543024"/>
    <w:rsid w:val="005436AA"/>
    <w:rsid w:val="00546514"/>
    <w:rsid w:val="00546F30"/>
    <w:rsid w:val="00547136"/>
    <w:rsid w:val="00547261"/>
    <w:rsid w:val="00547335"/>
    <w:rsid w:val="00547E3C"/>
    <w:rsid w:val="00547E4D"/>
    <w:rsid w:val="00550089"/>
    <w:rsid w:val="00550ECD"/>
    <w:rsid w:val="00551064"/>
    <w:rsid w:val="00551678"/>
    <w:rsid w:val="00551D4E"/>
    <w:rsid w:val="00552154"/>
    <w:rsid w:val="00552187"/>
    <w:rsid w:val="00552197"/>
    <w:rsid w:val="005538A6"/>
    <w:rsid w:val="005539F0"/>
    <w:rsid w:val="00554BE5"/>
    <w:rsid w:val="00555230"/>
    <w:rsid w:val="00555324"/>
    <w:rsid w:val="00555440"/>
    <w:rsid w:val="00555950"/>
    <w:rsid w:val="00555A19"/>
    <w:rsid w:val="00555DC6"/>
    <w:rsid w:val="0055624A"/>
    <w:rsid w:val="005562BB"/>
    <w:rsid w:val="00556662"/>
    <w:rsid w:val="00556AF3"/>
    <w:rsid w:val="00556E91"/>
    <w:rsid w:val="00557EB0"/>
    <w:rsid w:val="00560057"/>
    <w:rsid w:val="005605AD"/>
    <w:rsid w:val="00560619"/>
    <w:rsid w:val="00560ED2"/>
    <w:rsid w:val="00560FD0"/>
    <w:rsid w:val="005617F7"/>
    <w:rsid w:val="00561A41"/>
    <w:rsid w:val="00562419"/>
    <w:rsid w:val="00562A76"/>
    <w:rsid w:val="00562BB3"/>
    <w:rsid w:val="00562DF7"/>
    <w:rsid w:val="00563FCE"/>
    <w:rsid w:val="005645C3"/>
    <w:rsid w:val="005646DC"/>
    <w:rsid w:val="00564C23"/>
    <w:rsid w:val="00565919"/>
    <w:rsid w:val="00565E67"/>
    <w:rsid w:val="00566121"/>
    <w:rsid w:val="0056685E"/>
    <w:rsid w:val="00567B0D"/>
    <w:rsid w:val="00567E07"/>
    <w:rsid w:val="00567FC8"/>
    <w:rsid w:val="0057117B"/>
    <w:rsid w:val="005717C4"/>
    <w:rsid w:val="00571D18"/>
    <w:rsid w:val="00571FA6"/>
    <w:rsid w:val="00572871"/>
    <w:rsid w:val="00572B24"/>
    <w:rsid w:val="00572FCA"/>
    <w:rsid w:val="00573040"/>
    <w:rsid w:val="00573D00"/>
    <w:rsid w:val="00573F29"/>
    <w:rsid w:val="00575198"/>
    <w:rsid w:val="005769FA"/>
    <w:rsid w:val="00577947"/>
    <w:rsid w:val="00577F5C"/>
    <w:rsid w:val="00581ECD"/>
    <w:rsid w:val="005825FB"/>
    <w:rsid w:val="00582D54"/>
    <w:rsid w:val="0058309D"/>
    <w:rsid w:val="005843CA"/>
    <w:rsid w:val="005845EB"/>
    <w:rsid w:val="00584CBE"/>
    <w:rsid w:val="00584E94"/>
    <w:rsid w:val="005856A1"/>
    <w:rsid w:val="00585EF5"/>
    <w:rsid w:val="00586F2A"/>
    <w:rsid w:val="0058717D"/>
    <w:rsid w:val="00587350"/>
    <w:rsid w:val="00590B81"/>
    <w:rsid w:val="00592C26"/>
    <w:rsid w:val="005930FB"/>
    <w:rsid w:val="00593174"/>
    <w:rsid w:val="00593229"/>
    <w:rsid w:val="00593510"/>
    <w:rsid w:val="00593B11"/>
    <w:rsid w:val="00593F49"/>
    <w:rsid w:val="00594F47"/>
    <w:rsid w:val="0059526A"/>
    <w:rsid w:val="00595F8D"/>
    <w:rsid w:val="00595FFC"/>
    <w:rsid w:val="00596209"/>
    <w:rsid w:val="00596660"/>
    <w:rsid w:val="00596C09"/>
    <w:rsid w:val="00597014"/>
    <w:rsid w:val="005973F2"/>
    <w:rsid w:val="005979A3"/>
    <w:rsid w:val="005A0084"/>
    <w:rsid w:val="005A083A"/>
    <w:rsid w:val="005A153C"/>
    <w:rsid w:val="005A24E3"/>
    <w:rsid w:val="005A2DA1"/>
    <w:rsid w:val="005A2F57"/>
    <w:rsid w:val="005A356A"/>
    <w:rsid w:val="005A38AB"/>
    <w:rsid w:val="005A38CD"/>
    <w:rsid w:val="005A3A49"/>
    <w:rsid w:val="005A3E43"/>
    <w:rsid w:val="005A460F"/>
    <w:rsid w:val="005A5B5B"/>
    <w:rsid w:val="005A6804"/>
    <w:rsid w:val="005A6F56"/>
    <w:rsid w:val="005A7391"/>
    <w:rsid w:val="005A793C"/>
    <w:rsid w:val="005B1810"/>
    <w:rsid w:val="005B1D9A"/>
    <w:rsid w:val="005B2EC8"/>
    <w:rsid w:val="005B3A95"/>
    <w:rsid w:val="005B3F1D"/>
    <w:rsid w:val="005B3F30"/>
    <w:rsid w:val="005B4005"/>
    <w:rsid w:val="005B41DC"/>
    <w:rsid w:val="005B6492"/>
    <w:rsid w:val="005B676E"/>
    <w:rsid w:val="005B691E"/>
    <w:rsid w:val="005B719A"/>
    <w:rsid w:val="005B7556"/>
    <w:rsid w:val="005B78FE"/>
    <w:rsid w:val="005B79AF"/>
    <w:rsid w:val="005C08A9"/>
    <w:rsid w:val="005C120D"/>
    <w:rsid w:val="005C122D"/>
    <w:rsid w:val="005C12D7"/>
    <w:rsid w:val="005C1C96"/>
    <w:rsid w:val="005C2203"/>
    <w:rsid w:val="005C2674"/>
    <w:rsid w:val="005C3024"/>
    <w:rsid w:val="005C3165"/>
    <w:rsid w:val="005C3A63"/>
    <w:rsid w:val="005C3F8B"/>
    <w:rsid w:val="005C5263"/>
    <w:rsid w:val="005C5528"/>
    <w:rsid w:val="005C5592"/>
    <w:rsid w:val="005C69A6"/>
    <w:rsid w:val="005C6FC0"/>
    <w:rsid w:val="005C71B1"/>
    <w:rsid w:val="005C72BC"/>
    <w:rsid w:val="005D04DC"/>
    <w:rsid w:val="005D05CF"/>
    <w:rsid w:val="005D1C8C"/>
    <w:rsid w:val="005D22EE"/>
    <w:rsid w:val="005D2474"/>
    <w:rsid w:val="005D26DE"/>
    <w:rsid w:val="005D301B"/>
    <w:rsid w:val="005D3C86"/>
    <w:rsid w:val="005D41FF"/>
    <w:rsid w:val="005D45F7"/>
    <w:rsid w:val="005D542A"/>
    <w:rsid w:val="005D58D8"/>
    <w:rsid w:val="005D5A47"/>
    <w:rsid w:val="005D5BF2"/>
    <w:rsid w:val="005D6FE6"/>
    <w:rsid w:val="005D7FB9"/>
    <w:rsid w:val="005E0117"/>
    <w:rsid w:val="005E02D8"/>
    <w:rsid w:val="005E0F37"/>
    <w:rsid w:val="005E1F86"/>
    <w:rsid w:val="005E21F7"/>
    <w:rsid w:val="005E2458"/>
    <w:rsid w:val="005E2531"/>
    <w:rsid w:val="005E2E97"/>
    <w:rsid w:val="005E2ECC"/>
    <w:rsid w:val="005E2EFC"/>
    <w:rsid w:val="005E3AD5"/>
    <w:rsid w:val="005E490B"/>
    <w:rsid w:val="005E4E2E"/>
    <w:rsid w:val="005E557F"/>
    <w:rsid w:val="005E588B"/>
    <w:rsid w:val="005E7F4B"/>
    <w:rsid w:val="005F1031"/>
    <w:rsid w:val="005F1B83"/>
    <w:rsid w:val="005F1DAE"/>
    <w:rsid w:val="005F269D"/>
    <w:rsid w:val="005F27F2"/>
    <w:rsid w:val="005F3DAF"/>
    <w:rsid w:val="005F486A"/>
    <w:rsid w:val="005F4954"/>
    <w:rsid w:val="005F628B"/>
    <w:rsid w:val="005F64B6"/>
    <w:rsid w:val="006006E4"/>
    <w:rsid w:val="00601465"/>
    <w:rsid w:val="00601E02"/>
    <w:rsid w:val="00603B17"/>
    <w:rsid w:val="00603CC2"/>
    <w:rsid w:val="00604631"/>
    <w:rsid w:val="00604CD2"/>
    <w:rsid w:val="00604D80"/>
    <w:rsid w:val="00607B9A"/>
    <w:rsid w:val="00610185"/>
    <w:rsid w:val="0061089D"/>
    <w:rsid w:val="006112F9"/>
    <w:rsid w:val="00611C81"/>
    <w:rsid w:val="0061256D"/>
    <w:rsid w:val="00612863"/>
    <w:rsid w:val="00613489"/>
    <w:rsid w:val="006134B1"/>
    <w:rsid w:val="00613A95"/>
    <w:rsid w:val="00613DE2"/>
    <w:rsid w:val="00615F6E"/>
    <w:rsid w:val="00616D89"/>
    <w:rsid w:val="00616E78"/>
    <w:rsid w:val="0061709A"/>
    <w:rsid w:val="0061729A"/>
    <w:rsid w:val="00617E85"/>
    <w:rsid w:val="00620D69"/>
    <w:rsid w:val="00622615"/>
    <w:rsid w:val="00623A0F"/>
    <w:rsid w:val="00623E9B"/>
    <w:rsid w:val="0062430C"/>
    <w:rsid w:val="0062534D"/>
    <w:rsid w:val="00625593"/>
    <w:rsid w:val="006264A6"/>
    <w:rsid w:val="006302D9"/>
    <w:rsid w:val="00630850"/>
    <w:rsid w:val="006311D0"/>
    <w:rsid w:val="00631255"/>
    <w:rsid w:val="00631BF8"/>
    <w:rsid w:val="00631C58"/>
    <w:rsid w:val="0063247F"/>
    <w:rsid w:val="006326A3"/>
    <w:rsid w:val="006328C2"/>
    <w:rsid w:val="00633B05"/>
    <w:rsid w:val="00633DBB"/>
    <w:rsid w:val="00633E45"/>
    <w:rsid w:val="006342C6"/>
    <w:rsid w:val="006352C9"/>
    <w:rsid w:val="006355D8"/>
    <w:rsid w:val="00635AEB"/>
    <w:rsid w:val="00637289"/>
    <w:rsid w:val="00637C8D"/>
    <w:rsid w:val="006404A6"/>
    <w:rsid w:val="00640606"/>
    <w:rsid w:val="006406AC"/>
    <w:rsid w:val="00641582"/>
    <w:rsid w:val="0064176A"/>
    <w:rsid w:val="0064243D"/>
    <w:rsid w:val="00642715"/>
    <w:rsid w:val="006427E3"/>
    <w:rsid w:val="00642A49"/>
    <w:rsid w:val="00643D92"/>
    <w:rsid w:val="0064412B"/>
    <w:rsid w:val="00644840"/>
    <w:rsid w:val="00644EED"/>
    <w:rsid w:val="00644FDE"/>
    <w:rsid w:val="00645E95"/>
    <w:rsid w:val="00646495"/>
    <w:rsid w:val="00646605"/>
    <w:rsid w:val="00646F97"/>
    <w:rsid w:val="00647781"/>
    <w:rsid w:val="006504EC"/>
    <w:rsid w:val="00651B7A"/>
    <w:rsid w:val="00651EA0"/>
    <w:rsid w:val="00651FD4"/>
    <w:rsid w:val="006522CA"/>
    <w:rsid w:val="00652A28"/>
    <w:rsid w:val="00653DA5"/>
    <w:rsid w:val="006544E6"/>
    <w:rsid w:val="00654F42"/>
    <w:rsid w:val="00655067"/>
    <w:rsid w:val="0065614F"/>
    <w:rsid w:val="00656245"/>
    <w:rsid w:val="006562E9"/>
    <w:rsid w:val="00656D14"/>
    <w:rsid w:val="00656F2E"/>
    <w:rsid w:val="00657363"/>
    <w:rsid w:val="00657815"/>
    <w:rsid w:val="006603B2"/>
    <w:rsid w:val="00660B7E"/>
    <w:rsid w:val="00661687"/>
    <w:rsid w:val="006616B8"/>
    <w:rsid w:val="0066246B"/>
    <w:rsid w:val="00663053"/>
    <w:rsid w:val="006631BA"/>
    <w:rsid w:val="00663D97"/>
    <w:rsid w:val="00664448"/>
    <w:rsid w:val="0066571C"/>
    <w:rsid w:val="00665C5F"/>
    <w:rsid w:val="00666197"/>
    <w:rsid w:val="00667247"/>
    <w:rsid w:val="00667B2D"/>
    <w:rsid w:val="00667B6F"/>
    <w:rsid w:val="00667F84"/>
    <w:rsid w:val="006702D6"/>
    <w:rsid w:val="006704E7"/>
    <w:rsid w:val="00670B43"/>
    <w:rsid w:val="00670DE5"/>
    <w:rsid w:val="00671590"/>
    <w:rsid w:val="006719AC"/>
    <w:rsid w:val="00672097"/>
    <w:rsid w:val="00672C60"/>
    <w:rsid w:val="00672F20"/>
    <w:rsid w:val="0067394C"/>
    <w:rsid w:val="00673A9F"/>
    <w:rsid w:val="00674D78"/>
    <w:rsid w:val="006752A6"/>
    <w:rsid w:val="0067592F"/>
    <w:rsid w:val="006759EA"/>
    <w:rsid w:val="00676952"/>
    <w:rsid w:val="00676DC0"/>
    <w:rsid w:val="00676E8D"/>
    <w:rsid w:val="006804C5"/>
    <w:rsid w:val="00681108"/>
    <w:rsid w:val="006811EA"/>
    <w:rsid w:val="00683E0C"/>
    <w:rsid w:val="00684827"/>
    <w:rsid w:val="00685419"/>
    <w:rsid w:val="00685CF2"/>
    <w:rsid w:val="00687E02"/>
    <w:rsid w:val="006900AE"/>
    <w:rsid w:val="0069030B"/>
    <w:rsid w:val="00690BD9"/>
    <w:rsid w:val="006912F7"/>
    <w:rsid w:val="0069156B"/>
    <w:rsid w:val="00692070"/>
    <w:rsid w:val="00692254"/>
    <w:rsid w:val="0069246F"/>
    <w:rsid w:val="00692809"/>
    <w:rsid w:val="00692B65"/>
    <w:rsid w:val="00693F92"/>
    <w:rsid w:val="0069435E"/>
    <w:rsid w:val="006943AA"/>
    <w:rsid w:val="006943E5"/>
    <w:rsid w:val="00694EC0"/>
    <w:rsid w:val="006950B6"/>
    <w:rsid w:val="0069619B"/>
    <w:rsid w:val="006A00D0"/>
    <w:rsid w:val="006A02EC"/>
    <w:rsid w:val="006A0829"/>
    <w:rsid w:val="006A1B19"/>
    <w:rsid w:val="006A2110"/>
    <w:rsid w:val="006A2F8B"/>
    <w:rsid w:val="006A4388"/>
    <w:rsid w:val="006A4E5F"/>
    <w:rsid w:val="006A5686"/>
    <w:rsid w:val="006A605A"/>
    <w:rsid w:val="006A60AE"/>
    <w:rsid w:val="006A794C"/>
    <w:rsid w:val="006A7FE4"/>
    <w:rsid w:val="006B035E"/>
    <w:rsid w:val="006B03A4"/>
    <w:rsid w:val="006B0B47"/>
    <w:rsid w:val="006B12D6"/>
    <w:rsid w:val="006B15F1"/>
    <w:rsid w:val="006B1A0F"/>
    <w:rsid w:val="006B213D"/>
    <w:rsid w:val="006B22D7"/>
    <w:rsid w:val="006B30CF"/>
    <w:rsid w:val="006B39D3"/>
    <w:rsid w:val="006B3BC0"/>
    <w:rsid w:val="006B3F6B"/>
    <w:rsid w:val="006B41B5"/>
    <w:rsid w:val="006B4C02"/>
    <w:rsid w:val="006B5C3B"/>
    <w:rsid w:val="006B65C6"/>
    <w:rsid w:val="006B67CB"/>
    <w:rsid w:val="006B7459"/>
    <w:rsid w:val="006B7507"/>
    <w:rsid w:val="006B7E75"/>
    <w:rsid w:val="006C05AD"/>
    <w:rsid w:val="006C0CA6"/>
    <w:rsid w:val="006C0FA0"/>
    <w:rsid w:val="006C26C2"/>
    <w:rsid w:val="006C2C95"/>
    <w:rsid w:val="006C2ECF"/>
    <w:rsid w:val="006C31D5"/>
    <w:rsid w:val="006C3323"/>
    <w:rsid w:val="006C33FA"/>
    <w:rsid w:val="006C38DF"/>
    <w:rsid w:val="006C62D4"/>
    <w:rsid w:val="006C6CD6"/>
    <w:rsid w:val="006C6EF5"/>
    <w:rsid w:val="006C7423"/>
    <w:rsid w:val="006C7C12"/>
    <w:rsid w:val="006D0265"/>
    <w:rsid w:val="006D19B9"/>
    <w:rsid w:val="006D1AC2"/>
    <w:rsid w:val="006D2A55"/>
    <w:rsid w:val="006D2C0C"/>
    <w:rsid w:val="006D2D40"/>
    <w:rsid w:val="006D3AEF"/>
    <w:rsid w:val="006D4944"/>
    <w:rsid w:val="006D4F8D"/>
    <w:rsid w:val="006D58D3"/>
    <w:rsid w:val="006D5AB4"/>
    <w:rsid w:val="006E00E6"/>
    <w:rsid w:val="006E12B8"/>
    <w:rsid w:val="006E1701"/>
    <w:rsid w:val="006E190E"/>
    <w:rsid w:val="006E21C1"/>
    <w:rsid w:val="006E2691"/>
    <w:rsid w:val="006E29B1"/>
    <w:rsid w:val="006E2DDC"/>
    <w:rsid w:val="006E36E2"/>
    <w:rsid w:val="006E40B6"/>
    <w:rsid w:val="006E448F"/>
    <w:rsid w:val="006E4612"/>
    <w:rsid w:val="006E4B31"/>
    <w:rsid w:val="006E5BBE"/>
    <w:rsid w:val="006E6051"/>
    <w:rsid w:val="006E62AF"/>
    <w:rsid w:val="006F0111"/>
    <w:rsid w:val="006F0714"/>
    <w:rsid w:val="006F077F"/>
    <w:rsid w:val="006F0FA6"/>
    <w:rsid w:val="006F1392"/>
    <w:rsid w:val="006F1442"/>
    <w:rsid w:val="006F1636"/>
    <w:rsid w:val="006F1FBA"/>
    <w:rsid w:val="006F3BA4"/>
    <w:rsid w:val="006F3C52"/>
    <w:rsid w:val="006F3E13"/>
    <w:rsid w:val="006F5216"/>
    <w:rsid w:val="006F52DB"/>
    <w:rsid w:val="006F6E5A"/>
    <w:rsid w:val="006F7AF6"/>
    <w:rsid w:val="007016EC"/>
    <w:rsid w:val="0070294A"/>
    <w:rsid w:val="00702F1E"/>
    <w:rsid w:val="00704271"/>
    <w:rsid w:val="0070438C"/>
    <w:rsid w:val="0070447F"/>
    <w:rsid w:val="007047B5"/>
    <w:rsid w:val="00704F67"/>
    <w:rsid w:val="007051DB"/>
    <w:rsid w:val="00705C90"/>
    <w:rsid w:val="00705D2D"/>
    <w:rsid w:val="00705E14"/>
    <w:rsid w:val="0070616A"/>
    <w:rsid w:val="0070655D"/>
    <w:rsid w:val="007067CF"/>
    <w:rsid w:val="00707B94"/>
    <w:rsid w:val="00707FC9"/>
    <w:rsid w:val="007105B3"/>
    <w:rsid w:val="00710AE8"/>
    <w:rsid w:val="007114F2"/>
    <w:rsid w:val="00711737"/>
    <w:rsid w:val="00712127"/>
    <w:rsid w:val="00712345"/>
    <w:rsid w:val="007125C4"/>
    <w:rsid w:val="0071262C"/>
    <w:rsid w:val="00713B75"/>
    <w:rsid w:val="0071406B"/>
    <w:rsid w:val="00714F62"/>
    <w:rsid w:val="00714F6B"/>
    <w:rsid w:val="0071598D"/>
    <w:rsid w:val="007165AE"/>
    <w:rsid w:val="00717387"/>
    <w:rsid w:val="00720A91"/>
    <w:rsid w:val="00720AE4"/>
    <w:rsid w:val="00721206"/>
    <w:rsid w:val="0072145A"/>
    <w:rsid w:val="00721C1B"/>
    <w:rsid w:val="00721D1A"/>
    <w:rsid w:val="00721F2C"/>
    <w:rsid w:val="00721F70"/>
    <w:rsid w:val="0072246D"/>
    <w:rsid w:val="007225ED"/>
    <w:rsid w:val="00722C5F"/>
    <w:rsid w:val="00724608"/>
    <w:rsid w:val="00724968"/>
    <w:rsid w:val="00725642"/>
    <w:rsid w:val="00725ED4"/>
    <w:rsid w:val="0072708F"/>
    <w:rsid w:val="007275E7"/>
    <w:rsid w:val="00730781"/>
    <w:rsid w:val="00730922"/>
    <w:rsid w:val="007312A9"/>
    <w:rsid w:val="007319AC"/>
    <w:rsid w:val="00731B6C"/>
    <w:rsid w:val="00732462"/>
    <w:rsid w:val="00732741"/>
    <w:rsid w:val="00732C9D"/>
    <w:rsid w:val="00732E27"/>
    <w:rsid w:val="00732E8F"/>
    <w:rsid w:val="00733867"/>
    <w:rsid w:val="00735FFE"/>
    <w:rsid w:val="00736D25"/>
    <w:rsid w:val="00736DA2"/>
    <w:rsid w:val="00737487"/>
    <w:rsid w:val="00737DD2"/>
    <w:rsid w:val="00740562"/>
    <w:rsid w:val="00740FDA"/>
    <w:rsid w:val="00741469"/>
    <w:rsid w:val="00741578"/>
    <w:rsid w:val="007417D5"/>
    <w:rsid w:val="00742335"/>
    <w:rsid w:val="007423C9"/>
    <w:rsid w:val="00742CD7"/>
    <w:rsid w:val="00743197"/>
    <w:rsid w:val="00743831"/>
    <w:rsid w:val="00743863"/>
    <w:rsid w:val="00743976"/>
    <w:rsid w:val="00743CA5"/>
    <w:rsid w:val="00744BA9"/>
    <w:rsid w:val="007464DA"/>
    <w:rsid w:val="007470DF"/>
    <w:rsid w:val="007473B4"/>
    <w:rsid w:val="0074781C"/>
    <w:rsid w:val="00747ACE"/>
    <w:rsid w:val="00750570"/>
    <w:rsid w:val="007509F0"/>
    <w:rsid w:val="00750B56"/>
    <w:rsid w:val="0075103B"/>
    <w:rsid w:val="00751443"/>
    <w:rsid w:val="007518D2"/>
    <w:rsid w:val="0075210F"/>
    <w:rsid w:val="0075250E"/>
    <w:rsid w:val="0075296D"/>
    <w:rsid w:val="00752A24"/>
    <w:rsid w:val="007535FE"/>
    <w:rsid w:val="00754158"/>
    <w:rsid w:val="00754D27"/>
    <w:rsid w:val="00755209"/>
    <w:rsid w:val="00755936"/>
    <w:rsid w:val="0075730D"/>
    <w:rsid w:val="007574E9"/>
    <w:rsid w:val="00757524"/>
    <w:rsid w:val="00757C53"/>
    <w:rsid w:val="00757F24"/>
    <w:rsid w:val="00760485"/>
    <w:rsid w:val="00761245"/>
    <w:rsid w:val="007628E4"/>
    <w:rsid w:val="007629E3"/>
    <w:rsid w:val="007637DF"/>
    <w:rsid w:val="00764C8E"/>
    <w:rsid w:val="0076598E"/>
    <w:rsid w:val="00765FD4"/>
    <w:rsid w:val="00766584"/>
    <w:rsid w:val="007667D4"/>
    <w:rsid w:val="00767003"/>
    <w:rsid w:val="0076719B"/>
    <w:rsid w:val="00767920"/>
    <w:rsid w:val="0077025D"/>
    <w:rsid w:val="00770E7C"/>
    <w:rsid w:val="0077104C"/>
    <w:rsid w:val="0077137A"/>
    <w:rsid w:val="00771698"/>
    <w:rsid w:val="007719A5"/>
    <w:rsid w:val="00771D65"/>
    <w:rsid w:val="0077269A"/>
    <w:rsid w:val="00772946"/>
    <w:rsid w:val="007731C3"/>
    <w:rsid w:val="0077386B"/>
    <w:rsid w:val="00774621"/>
    <w:rsid w:val="00774C14"/>
    <w:rsid w:val="007768C8"/>
    <w:rsid w:val="007769F7"/>
    <w:rsid w:val="00776EE2"/>
    <w:rsid w:val="007777E7"/>
    <w:rsid w:val="00777EA1"/>
    <w:rsid w:val="00781B5C"/>
    <w:rsid w:val="00781CAA"/>
    <w:rsid w:val="00781CDD"/>
    <w:rsid w:val="00781EB2"/>
    <w:rsid w:val="00782423"/>
    <w:rsid w:val="007833B4"/>
    <w:rsid w:val="00783C60"/>
    <w:rsid w:val="007845DD"/>
    <w:rsid w:val="00784B2C"/>
    <w:rsid w:val="00784F3E"/>
    <w:rsid w:val="00784F43"/>
    <w:rsid w:val="007852CD"/>
    <w:rsid w:val="00786101"/>
    <w:rsid w:val="007862A5"/>
    <w:rsid w:val="00787184"/>
    <w:rsid w:val="00791301"/>
    <w:rsid w:val="007926E5"/>
    <w:rsid w:val="00792CFD"/>
    <w:rsid w:val="00793E23"/>
    <w:rsid w:val="00794B04"/>
    <w:rsid w:val="007951B1"/>
    <w:rsid w:val="007954D1"/>
    <w:rsid w:val="007958F7"/>
    <w:rsid w:val="007962D9"/>
    <w:rsid w:val="00796458"/>
    <w:rsid w:val="0079648C"/>
    <w:rsid w:val="0079674C"/>
    <w:rsid w:val="00796859"/>
    <w:rsid w:val="00796A80"/>
    <w:rsid w:val="00797373"/>
    <w:rsid w:val="007A02C6"/>
    <w:rsid w:val="007A04A3"/>
    <w:rsid w:val="007A0C51"/>
    <w:rsid w:val="007A0D06"/>
    <w:rsid w:val="007A23A4"/>
    <w:rsid w:val="007A2C71"/>
    <w:rsid w:val="007A3946"/>
    <w:rsid w:val="007A4984"/>
    <w:rsid w:val="007A4E9D"/>
    <w:rsid w:val="007A5520"/>
    <w:rsid w:val="007A5F41"/>
    <w:rsid w:val="007A6CD3"/>
    <w:rsid w:val="007A799C"/>
    <w:rsid w:val="007B09B4"/>
    <w:rsid w:val="007B1655"/>
    <w:rsid w:val="007B1933"/>
    <w:rsid w:val="007B1C0B"/>
    <w:rsid w:val="007B336C"/>
    <w:rsid w:val="007B3658"/>
    <w:rsid w:val="007B3DE3"/>
    <w:rsid w:val="007B4F03"/>
    <w:rsid w:val="007B66FA"/>
    <w:rsid w:val="007B68E8"/>
    <w:rsid w:val="007C020F"/>
    <w:rsid w:val="007C0923"/>
    <w:rsid w:val="007C194E"/>
    <w:rsid w:val="007C28A6"/>
    <w:rsid w:val="007C28ED"/>
    <w:rsid w:val="007C38E6"/>
    <w:rsid w:val="007C3BEA"/>
    <w:rsid w:val="007C3CE2"/>
    <w:rsid w:val="007C3D4F"/>
    <w:rsid w:val="007C457D"/>
    <w:rsid w:val="007C4973"/>
    <w:rsid w:val="007C49AE"/>
    <w:rsid w:val="007C4E64"/>
    <w:rsid w:val="007C50A4"/>
    <w:rsid w:val="007C512C"/>
    <w:rsid w:val="007C52CF"/>
    <w:rsid w:val="007C6C1A"/>
    <w:rsid w:val="007C746F"/>
    <w:rsid w:val="007D0CF4"/>
    <w:rsid w:val="007D25D1"/>
    <w:rsid w:val="007D2B0E"/>
    <w:rsid w:val="007D2C6E"/>
    <w:rsid w:val="007D2CED"/>
    <w:rsid w:val="007D37D6"/>
    <w:rsid w:val="007D38F3"/>
    <w:rsid w:val="007D3D7C"/>
    <w:rsid w:val="007D4376"/>
    <w:rsid w:val="007D4DC2"/>
    <w:rsid w:val="007D4EF2"/>
    <w:rsid w:val="007D50B9"/>
    <w:rsid w:val="007D57FE"/>
    <w:rsid w:val="007D61A0"/>
    <w:rsid w:val="007D6582"/>
    <w:rsid w:val="007D65D7"/>
    <w:rsid w:val="007D6F3A"/>
    <w:rsid w:val="007E01A7"/>
    <w:rsid w:val="007E07BD"/>
    <w:rsid w:val="007E099C"/>
    <w:rsid w:val="007E0A7E"/>
    <w:rsid w:val="007E22EA"/>
    <w:rsid w:val="007E276B"/>
    <w:rsid w:val="007E3031"/>
    <w:rsid w:val="007E43B3"/>
    <w:rsid w:val="007E4CB7"/>
    <w:rsid w:val="007E5236"/>
    <w:rsid w:val="007E571D"/>
    <w:rsid w:val="007E7464"/>
    <w:rsid w:val="007E7BEC"/>
    <w:rsid w:val="007F0657"/>
    <w:rsid w:val="007F0A7D"/>
    <w:rsid w:val="007F0C74"/>
    <w:rsid w:val="007F0D89"/>
    <w:rsid w:val="007F1A0A"/>
    <w:rsid w:val="007F1A42"/>
    <w:rsid w:val="007F27D6"/>
    <w:rsid w:val="007F2918"/>
    <w:rsid w:val="007F447D"/>
    <w:rsid w:val="007F45CB"/>
    <w:rsid w:val="007F5A86"/>
    <w:rsid w:val="007F718A"/>
    <w:rsid w:val="00800729"/>
    <w:rsid w:val="00800EAA"/>
    <w:rsid w:val="0080181B"/>
    <w:rsid w:val="00803408"/>
    <w:rsid w:val="00803CD1"/>
    <w:rsid w:val="0080488C"/>
    <w:rsid w:val="00804C1F"/>
    <w:rsid w:val="00805EB4"/>
    <w:rsid w:val="008060D4"/>
    <w:rsid w:val="0080639B"/>
    <w:rsid w:val="00806974"/>
    <w:rsid w:val="00810FC1"/>
    <w:rsid w:val="008118F1"/>
    <w:rsid w:val="00812631"/>
    <w:rsid w:val="00812ECE"/>
    <w:rsid w:val="00812F57"/>
    <w:rsid w:val="008134E2"/>
    <w:rsid w:val="008139EF"/>
    <w:rsid w:val="00813E1C"/>
    <w:rsid w:val="00814545"/>
    <w:rsid w:val="008146EA"/>
    <w:rsid w:val="0081471F"/>
    <w:rsid w:val="00816C21"/>
    <w:rsid w:val="0081728B"/>
    <w:rsid w:val="00817798"/>
    <w:rsid w:val="00817DEA"/>
    <w:rsid w:val="00817EC1"/>
    <w:rsid w:val="00820110"/>
    <w:rsid w:val="00820D05"/>
    <w:rsid w:val="008211EB"/>
    <w:rsid w:val="00821FF5"/>
    <w:rsid w:val="00822311"/>
    <w:rsid w:val="00822915"/>
    <w:rsid w:val="00822D70"/>
    <w:rsid w:val="00823917"/>
    <w:rsid w:val="00823BEA"/>
    <w:rsid w:val="0082421E"/>
    <w:rsid w:val="008245CA"/>
    <w:rsid w:val="008247A2"/>
    <w:rsid w:val="00824A96"/>
    <w:rsid w:val="008270E8"/>
    <w:rsid w:val="008306EF"/>
    <w:rsid w:val="00830E51"/>
    <w:rsid w:val="00831AB2"/>
    <w:rsid w:val="00832208"/>
    <w:rsid w:val="00832499"/>
    <w:rsid w:val="00832C9B"/>
    <w:rsid w:val="008343C0"/>
    <w:rsid w:val="00835115"/>
    <w:rsid w:val="00835CE8"/>
    <w:rsid w:val="00836243"/>
    <w:rsid w:val="00836E42"/>
    <w:rsid w:val="008406F3"/>
    <w:rsid w:val="00840CE1"/>
    <w:rsid w:val="008416AD"/>
    <w:rsid w:val="008421EA"/>
    <w:rsid w:val="00843F74"/>
    <w:rsid w:val="00844082"/>
    <w:rsid w:val="0084522B"/>
    <w:rsid w:val="00845D8A"/>
    <w:rsid w:val="0084682B"/>
    <w:rsid w:val="00846DD1"/>
    <w:rsid w:val="008477F1"/>
    <w:rsid w:val="00847F35"/>
    <w:rsid w:val="0085087D"/>
    <w:rsid w:val="00850CB6"/>
    <w:rsid w:val="00850E00"/>
    <w:rsid w:val="0085167D"/>
    <w:rsid w:val="00851757"/>
    <w:rsid w:val="00851F7F"/>
    <w:rsid w:val="008520DF"/>
    <w:rsid w:val="0085245B"/>
    <w:rsid w:val="008527BD"/>
    <w:rsid w:val="00854524"/>
    <w:rsid w:val="00854F4B"/>
    <w:rsid w:val="008555D8"/>
    <w:rsid w:val="00855A43"/>
    <w:rsid w:val="00855C94"/>
    <w:rsid w:val="0085655F"/>
    <w:rsid w:val="00856C3C"/>
    <w:rsid w:val="00857371"/>
    <w:rsid w:val="00860728"/>
    <w:rsid w:val="00860BA2"/>
    <w:rsid w:val="00860F66"/>
    <w:rsid w:val="00861647"/>
    <w:rsid w:val="008616DD"/>
    <w:rsid w:val="00861B5D"/>
    <w:rsid w:val="008625D0"/>
    <w:rsid w:val="00862845"/>
    <w:rsid w:val="00862C26"/>
    <w:rsid w:val="00862F2D"/>
    <w:rsid w:val="00865605"/>
    <w:rsid w:val="0086593C"/>
    <w:rsid w:val="00865CA1"/>
    <w:rsid w:val="00867789"/>
    <w:rsid w:val="008678F2"/>
    <w:rsid w:val="00867D1B"/>
    <w:rsid w:val="00867E5B"/>
    <w:rsid w:val="00870008"/>
    <w:rsid w:val="00871C58"/>
    <w:rsid w:val="008723B5"/>
    <w:rsid w:val="008726FA"/>
    <w:rsid w:val="008737B6"/>
    <w:rsid w:val="0087423E"/>
    <w:rsid w:val="008742A0"/>
    <w:rsid w:val="008746EF"/>
    <w:rsid w:val="00875621"/>
    <w:rsid w:val="00876338"/>
    <w:rsid w:val="008765BB"/>
    <w:rsid w:val="00876BCF"/>
    <w:rsid w:val="00877E95"/>
    <w:rsid w:val="00877F04"/>
    <w:rsid w:val="0088086C"/>
    <w:rsid w:val="00880EBC"/>
    <w:rsid w:val="00882729"/>
    <w:rsid w:val="0088289E"/>
    <w:rsid w:val="00883680"/>
    <w:rsid w:val="00883EF3"/>
    <w:rsid w:val="008843F5"/>
    <w:rsid w:val="00884A7D"/>
    <w:rsid w:val="008855A4"/>
    <w:rsid w:val="00885E66"/>
    <w:rsid w:val="008865C1"/>
    <w:rsid w:val="00886C76"/>
    <w:rsid w:val="008872AA"/>
    <w:rsid w:val="00887CF5"/>
    <w:rsid w:val="008903EA"/>
    <w:rsid w:val="00890419"/>
    <w:rsid w:val="00890752"/>
    <w:rsid w:val="008907B4"/>
    <w:rsid w:val="00890817"/>
    <w:rsid w:val="00890C8D"/>
    <w:rsid w:val="00890FEE"/>
    <w:rsid w:val="00891385"/>
    <w:rsid w:val="00892606"/>
    <w:rsid w:val="00892D11"/>
    <w:rsid w:val="00893371"/>
    <w:rsid w:val="0089378D"/>
    <w:rsid w:val="00894243"/>
    <w:rsid w:val="00894758"/>
    <w:rsid w:val="00894838"/>
    <w:rsid w:val="00895664"/>
    <w:rsid w:val="00895982"/>
    <w:rsid w:val="008962DF"/>
    <w:rsid w:val="008963F1"/>
    <w:rsid w:val="008968C7"/>
    <w:rsid w:val="00897134"/>
    <w:rsid w:val="00897341"/>
    <w:rsid w:val="008A0475"/>
    <w:rsid w:val="008A0B46"/>
    <w:rsid w:val="008A0D8D"/>
    <w:rsid w:val="008A1304"/>
    <w:rsid w:val="008A175B"/>
    <w:rsid w:val="008A18F2"/>
    <w:rsid w:val="008A1AC0"/>
    <w:rsid w:val="008A1E50"/>
    <w:rsid w:val="008A2B81"/>
    <w:rsid w:val="008A2F32"/>
    <w:rsid w:val="008A33F7"/>
    <w:rsid w:val="008A3696"/>
    <w:rsid w:val="008A3F09"/>
    <w:rsid w:val="008A430F"/>
    <w:rsid w:val="008A4E94"/>
    <w:rsid w:val="008A538C"/>
    <w:rsid w:val="008A539F"/>
    <w:rsid w:val="008A5785"/>
    <w:rsid w:val="008A7B2F"/>
    <w:rsid w:val="008B00FB"/>
    <w:rsid w:val="008B058D"/>
    <w:rsid w:val="008B21C4"/>
    <w:rsid w:val="008B24B5"/>
    <w:rsid w:val="008B2593"/>
    <w:rsid w:val="008B2F7E"/>
    <w:rsid w:val="008B30AE"/>
    <w:rsid w:val="008B38BB"/>
    <w:rsid w:val="008B3A08"/>
    <w:rsid w:val="008B3ACD"/>
    <w:rsid w:val="008B3DA5"/>
    <w:rsid w:val="008B3EFE"/>
    <w:rsid w:val="008B4036"/>
    <w:rsid w:val="008B4314"/>
    <w:rsid w:val="008B47D5"/>
    <w:rsid w:val="008B520F"/>
    <w:rsid w:val="008B5489"/>
    <w:rsid w:val="008B5664"/>
    <w:rsid w:val="008C00AC"/>
    <w:rsid w:val="008C02E4"/>
    <w:rsid w:val="008C0690"/>
    <w:rsid w:val="008C06DE"/>
    <w:rsid w:val="008C0B53"/>
    <w:rsid w:val="008C0C98"/>
    <w:rsid w:val="008C0D6E"/>
    <w:rsid w:val="008C1229"/>
    <w:rsid w:val="008C1EA9"/>
    <w:rsid w:val="008C2237"/>
    <w:rsid w:val="008C309A"/>
    <w:rsid w:val="008C30C6"/>
    <w:rsid w:val="008C314B"/>
    <w:rsid w:val="008C3150"/>
    <w:rsid w:val="008C3EDC"/>
    <w:rsid w:val="008C4222"/>
    <w:rsid w:val="008C464C"/>
    <w:rsid w:val="008C4D91"/>
    <w:rsid w:val="008C5DD2"/>
    <w:rsid w:val="008C6B9A"/>
    <w:rsid w:val="008C6E01"/>
    <w:rsid w:val="008D08A8"/>
    <w:rsid w:val="008D0909"/>
    <w:rsid w:val="008D1732"/>
    <w:rsid w:val="008D1A0B"/>
    <w:rsid w:val="008D22FD"/>
    <w:rsid w:val="008D26B1"/>
    <w:rsid w:val="008D2E7D"/>
    <w:rsid w:val="008D308A"/>
    <w:rsid w:val="008D336C"/>
    <w:rsid w:val="008D3DD5"/>
    <w:rsid w:val="008D43C5"/>
    <w:rsid w:val="008D45AF"/>
    <w:rsid w:val="008D4943"/>
    <w:rsid w:val="008D49CF"/>
    <w:rsid w:val="008D4C2F"/>
    <w:rsid w:val="008D4DC6"/>
    <w:rsid w:val="008D5420"/>
    <w:rsid w:val="008D56C0"/>
    <w:rsid w:val="008D5C52"/>
    <w:rsid w:val="008D7525"/>
    <w:rsid w:val="008E0F68"/>
    <w:rsid w:val="008E15AF"/>
    <w:rsid w:val="008E2721"/>
    <w:rsid w:val="008E3C26"/>
    <w:rsid w:val="008E493E"/>
    <w:rsid w:val="008E5457"/>
    <w:rsid w:val="008E54D5"/>
    <w:rsid w:val="008E686C"/>
    <w:rsid w:val="008E6ACB"/>
    <w:rsid w:val="008E749C"/>
    <w:rsid w:val="008F00E6"/>
    <w:rsid w:val="008F016B"/>
    <w:rsid w:val="008F0D30"/>
    <w:rsid w:val="008F2EC9"/>
    <w:rsid w:val="008F3C3F"/>
    <w:rsid w:val="008F547A"/>
    <w:rsid w:val="008F61BB"/>
    <w:rsid w:val="008F63EC"/>
    <w:rsid w:val="008F6419"/>
    <w:rsid w:val="008F6EC6"/>
    <w:rsid w:val="008F6ED4"/>
    <w:rsid w:val="008F7395"/>
    <w:rsid w:val="00900160"/>
    <w:rsid w:val="00900DF3"/>
    <w:rsid w:val="00901E04"/>
    <w:rsid w:val="00903EDB"/>
    <w:rsid w:val="009042B5"/>
    <w:rsid w:val="00904FDD"/>
    <w:rsid w:val="00905551"/>
    <w:rsid w:val="00905DB4"/>
    <w:rsid w:val="00906007"/>
    <w:rsid w:val="009060B2"/>
    <w:rsid w:val="0090622C"/>
    <w:rsid w:val="009065A7"/>
    <w:rsid w:val="00906C51"/>
    <w:rsid w:val="009079FF"/>
    <w:rsid w:val="00911C5A"/>
    <w:rsid w:val="00911CFD"/>
    <w:rsid w:val="009122C0"/>
    <w:rsid w:val="00912784"/>
    <w:rsid w:val="00913575"/>
    <w:rsid w:val="00913789"/>
    <w:rsid w:val="0091439E"/>
    <w:rsid w:val="009157E6"/>
    <w:rsid w:val="00916B39"/>
    <w:rsid w:val="00916C47"/>
    <w:rsid w:val="00917491"/>
    <w:rsid w:val="009175EA"/>
    <w:rsid w:val="00920450"/>
    <w:rsid w:val="0092070A"/>
    <w:rsid w:val="0092235A"/>
    <w:rsid w:val="0092373C"/>
    <w:rsid w:val="00924606"/>
    <w:rsid w:val="009248BA"/>
    <w:rsid w:val="00924927"/>
    <w:rsid w:val="00925133"/>
    <w:rsid w:val="009260C9"/>
    <w:rsid w:val="00926623"/>
    <w:rsid w:val="009267A6"/>
    <w:rsid w:val="00930556"/>
    <w:rsid w:val="00931C5A"/>
    <w:rsid w:val="00932BD6"/>
    <w:rsid w:val="00933045"/>
    <w:rsid w:val="0093350A"/>
    <w:rsid w:val="0093384A"/>
    <w:rsid w:val="00934879"/>
    <w:rsid w:val="009353DE"/>
    <w:rsid w:val="0093607A"/>
    <w:rsid w:val="009364EF"/>
    <w:rsid w:val="00936793"/>
    <w:rsid w:val="00940141"/>
    <w:rsid w:val="00940208"/>
    <w:rsid w:val="009406EB"/>
    <w:rsid w:val="00940C14"/>
    <w:rsid w:val="00941BE8"/>
    <w:rsid w:val="00941E03"/>
    <w:rsid w:val="009420E7"/>
    <w:rsid w:val="00942654"/>
    <w:rsid w:val="00943632"/>
    <w:rsid w:val="00943B6E"/>
    <w:rsid w:val="00943C1A"/>
    <w:rsid w:val="00943C5E"/>
    <w:rsid w:val="0094460D"/>
    <w:rsid w:val="00944721"/>
    <w:rsid w:val="00944E08"/>
    <w:rsid w:val="00945259"/>
    <w:rsid w:val="009459FF"/>
    <w:rsid w:val="00946243"/>
    <w:rsid w:val="0095103A"/>
    <w:rsid w:val="0095193E"/>
    <w:rsid w:val="00954D56"/>
    <w:rsid w:val="0095527E"/>
    <w:rsid w:val="0095535F"/>
    <w:rsid w:val="00955CED"/>
    <w:rsid w:val="00955E7C"/>
    <w:rsid w:val="009567B8"/>
    <w:rsid w:val="00957034"/>
    <w:rsid w:val="00957B7C"/>
    <w:rsid w:val="0096086C"/>
    <w:rsid w:val="00961A77"/>
    <w:rsid w:val="00962A1A"/>
    <w:rsid w:val="00962A25"/>
    <w:rsid w:val="00962BEC"/>
    <w:rsid w:val="00962CB4"/>
    <w:rsid w:val="00962F51"/>
    <w:rsid w:val="00963386"/>
    <w:rsid w:val="0096358F"/>
    <w:rsid w:val="009643F1"/>
    <w:rsid w:val="009648E8"/>
    <w:rsid w:val="00964F77"/>
    <w:rsid w:val="009655EB"/>
    <w:rsid w:val="00965F78"/>
    <w:rsid w:val="00966ECB"/>
    <w:rsid w:val="00966EDA"/>
    <w:rsid w:val="00967EEE"/>
    <w:rsid w:val="009702C5"/>
    <w:rsid w:val="00970B05"/>
    <w:rsid w:val="0097100C"/>
    <w:rsid w:val="009713EB"/>
    <w:rsid w:val="00971403"/>
    <w:rsid w:val="00972E30"/>
    <w:rsid w:val="00973238"/>
    <w:rsid w:val="00973543"/>
    <w:rsid w:val="0097397A"/>
    <w:rsid w:val="00974721"/>
    <w:rsid w:val="009747D6"/>
    <w:rsid w:val="00975756"/>
    <w:rsid w:val="00975CE7"/>
    <w:rsid w:val="009769F5"/>
    <w:rsid w:val="00977278"/>
    <w:rsid w:val="009772AC"/>
    <w:rsid w:val="00977555"/>
    <w:rsid w:val="00977A07"/>
    <w:rsid w:val="00977C78"/>
    <w:rsid w:val="00977E10"/>
    <w:rsid w:val="00980048"/>
    <w:rsid w:val="0098145E"/>
    <w:rsid w:val="00981620"/>
    <w:rsid w:val="00981F0F"/>
    <w:rsid w:val="009820ED"/>
    <w:rsid w:val="009822DA"/>
    <w:rsid w:val="00983193"/>
    <w:rsid w:val="0098354F"/>
    <w:rsid w:val="00983625"/>
    <w:rsid w:val="00983DED"/>
    <w:rsid w:val="00984E39"/>
    <w:rsid w:val="00984ECA"/>
    <w:rsid w:val="009855C0"/>
    <w:rsid w:val="00986478"/>
    <w:rsid w:val="009913A4"/>
    <w:rsid w:val="0099145A"/>
    <w:rsid w:val="009927B1"/>
    <w:rsid w:val="00992C1A"/>
    <w:rsid w:val="00992E53"/>
    <w:rsid w:val="009930E5"/>
    <w:rsid w:val="009945AA"/>
    <w:rsid w:val="00996208"/>
    <w:rsid w:val="00996CB1"/>
    <w:rsid w:val="0099747C"/>
    <w:rsid w:val="00997DCA"/>
    <w:rsid w:val="009A01F6"/>
    <w:rsid w:val="009A0AE3"/>
    <w:rsid w:val="009A15F0"/>
    <w:rsid w:val="009A1715"/>
    <w:rsid w:val="009A18C4"/>
    <w:rsid w:val="009A2F90"/>
    <w:rsid w:val="009A3194"/>
    <w:rsid w:val="009A4328"/>
    <w:rsid w:val="009A46E0"/>
    <w:rsid w:val="009A4DC3"/>
    <w:rsid w:val="009A4FF2"/>
    <w:rsid w:val="009A6BCF"/>
    <w:rsid w:val="009A757D"/>
    <w:rsid w:val="009A7770"/>
    <w:rsid w:val="009A7A48"/>
    <w:rsid w:val="009B190E"/>
    <w:rsid w:val="009B1AA4"/>
    <w:rsid w:val="009B2615"/>
    <w:rsid w:val="009B3086"/>
    <w:rsid w:val="009B3FF1"/>
    <w:rsid w:val="009B61D1"/>
    <w:rsid w:val="009B637D"/>
    <w:rsid w:val="009B6B17"/>
    <w:rsid w:val="009C0434"/>
    <w:rsid w:val="009C0697"/>
    <w:rsid w:val="009C1042"/>
    <w:rsid w:val="009C12FE"/>
    <w:rsid w:val="009C1B78"/>
    <w:rsid w:val="009C1C70"/>
    <w:rsid w:val="009C1DE6"/>
    <w:rsid w:val="009C2E6C"/>
    <w:rsid w:val="009C5439"/>
    <w:rsid w:val="009C56BF"/>
    <w:rsid w:val="009C5AFB"/>
    <w:rsid w:val="009C608E"/>
    <w:rsid w:val="009C6521"/>
    <w:rsid w:val="009C7283"/>
    <w:rsid w:val="009C77F0"/>
    <w:rsid w:val="009C7B56"/>
    <w:rsid w:val="009C7F04"/>
    <w:rsid w:val="009D0143"/>
    <w:rsid w:val="009D10C6"/>
    <w:rsid w:val="009D1203"/>
    <w:rsid w:val="009D1922"/>
    <w:rsid w:val="009D2E84"/>
    <w:rsid w:val="009D30BF"/>
    <w:rsid w:val="009D378A"/>
    <w:rsid w:val="009D41D8"/>
    <w:rsid w:val="009D45DE"/>
    <w:rsid w:val="009D4644"/>
    <w:rsid w:val="009D4F65"/>
    <w:rsid w:val="009D4FC2"/>
    <w:rsid w:val="009D59AF"/>
    <w:rsid w:val="009D6344"/>
    <w:rsid w:val="009D72B4"/>
    <w:rsid w:val="009E0C40"/>
    <w:rsid w:val="009E1635"/>
    <w:rsid w:val="009E1EC9"/>
    <w:rsid w:val="009E2399"/>
    <w:rsid w:val="009E2F58"/>
    <w:rsid w:val="009E35B2"/>
    <w:rsid w:val="009E4594"/>
    <w:rsid w:val="009E46BC"/>
    <w:rsid w:val="009E5566"/>
    <w:rsid w:val="009E5AE9"/>
    <w:rsid w:val="009E642D"/>
    <w:rsid w:val="009E662F"/>
    <w:rsid w:val="009E7E65"/>
    <w:rsid w:val="009E7E9F"/>
    <w:rsid w:val="009F0385"/>
    <w:rsid w:val="009F0A18"/>
    <w:rsid w:val="009F0FAC"/>
    <w:rsid w:val="009F11E3"/>
    <w:rsid w:val="009F12CD"/>
    <w:rsid w:val="009F370E"/>
    <w:rsid w:val="009F41A5"/>
    <w:rsid w:val="009F5637"/>
    <w:rsid w:val="009F7E61"/>
    <w:rsid w:val="00A01678"/>
    <w:rsid w:val="00A0286E"/>
    <w:rsid w:val="00A03F49"/>
    <w:rsid w:val="00A04F5B"/>
    <w:rsid w:val="00A0501E"/>
    <w:rsid w:val="00A0522C"/>
    <w:rsid w:val="00A05ACC"/>
    <w:rsid w:val="00A05E1F"/>
    <w:rsid w:val="00A05F97"/>
    <w:rsid w:val="00A06839"/>
    <w:rsid w:val="00A06BBA"/>
    <w:rsid w:val="00A06C5F"/>
    <w:rsid w:val="00A07F7F"/>
    <w:rsid w:val="00A10381"/>
    <w:rsid w:val="00A107EB"/>
    <w:rsid w:val="00A110ED"/>
    <w:rsid w:val="00A1143E"/>
    <w:rsid w:val="00A12D99"/>
    <w:rsid w:val="00A12F95"/>
    <w:rsid w:val="00A13654"/>
    <w:rsid w:val="00A13C0C"/>
    <w:rsid w:val="00A13E5F"/>
    <w:rsid w:val="00A155CB"/>
    <w:rsid w:val="00A15620"/>
    <w:rsid w:val="00A1733D"/>
    <w:rsid w:val="00A17BDD"/>
    <w:rsid w:val="00A17C45"/>
    <w:rsid w:val="00A2061B"/>
    <w:rsid w:val="00A20877"/>
    <w:rsid w:val="00A20AB6"/>
    <w:rsid w:val="00A20CDA"/>
    <w:rsid w:val="00A22257"/>
    <w:rsid w:val="00A22333"/>
    <w:rsid w:val="00A226A7"/>
    <w:rsid w:val="00A22B19"/>
    <w:rsid w:val="00A238F1"/>
    <w:rsid w:val="00A24178"/>
    <w:rsid w:val="00A248F6"/>
    <w:rsid w:val="00A24EC8"/>
    <w:rsid w:val="00A25752"/>
    <w:rsid w:val="00A257D1"/>
    <w:rsid w:val="00A25984"/>
    <w:rsid w:val="00A26BCB"/>
    <w:rsid w:val="00A2734D"/>
    <w:rsid w:val="00A300AD"/>
    <w:rsid w:val="00A30323"/>
    <w:rsid w:val="00A31927"/>
    <w:rsid w:val="00A32359"/>
    <w:rsid w:val="00A32E2B"/>
    <w:rsid w:val="00A330DD"/>
    <w:rsid w:val="00A33650"/>
    <w:rsid w:val="00A33871"/>
    <w:rsid w:val="00A33FB4"/>
    <w:rsid w:val="00A34530"/>
    <w:rsid w:val="00A34700"/>
    <w:rsid w:val="00A35491"/>
    <w:rsid w:val="00A35DEA"/>
    <w:rsid w:val="00A360F4"/>
    <w:rsid w:val="00A36558"/>
    <w:rsid w:val="00A40FC2"/>
    <w:rsid w:val="00A411EA"/>
    <w:rsid w:val="00A41979"/>
    <w:rsid w:val="00A41C15"/>
    <w:rsid w:val="00A41E5E"/>
    <w:rsid w:val="00A42393"/>
    <w:rsid w:val="00A430A5"/>
    <w:rsid w:val="00A4394F"/>
    <w:rsid w:val="00A4424C"/>
    <w:rsid w:val="00A44327"/>
    <w:rsid w:val="00A44BB4"/>
    <w:rsid w:val="00A453F6"/>
    <w:rsid w:val="00A4576D"/>
    <w:rsid w:val="00A4637A"/>
    <w:rsid w:val="00A46A69"/>
    <w:rsid w:val="00A4747C"/>
    <w:rsid w:val="00A47937"/>
    <w:rsid w:val="00A47AE6"/>
    <w:rsid w:val="00A50035"/>
    <w:rsid w:val="00A50822"/>
    <w:rsid w:val="00A50879"/>
    <w:rsid w:val="00A51764"/>
    <w:rsid w:val="00A53701"/>
    <w:rsid w:val="00A54550"/>
    <w:rsid w:val="00A54701"/>
    <w:rsid w:val="00A54AA1"/>
    <w:rsid w:val="00A5505F"/>
    <w:rsid w:val="00A55325"/>
    <w:rsid w:val="00A5538E"/>
    <w:rsid w:val="00A55D3E"/>
    <w:rsid w:val="00A5607D"/>
    <w:rsid w:val="00A56343"/>
    <w:rsid w:val="00A56688"/>
    <w:rsid w:val="00A60F93"/>
    <w:rsid w:val="00A6134A"/>
    <w:rsid w:val="00A61AF4"/>
    <w:rsid w:val="00A61B6A"/>
    <w:rsid w:val="00A62611"/>
    <w:rsid w:val="00A6290F"/>
    <w:rsid w:val="00A6329C"/>
    <w:rsid w:val="00A637E7"/>
    <w:rsid w:val="00A63A1E"/>
    <w:rsid w:val="00A64227"/>
    <w:rsid w:val="00A64905"/>
    <w:rsid w:val="00A656A1"/>
    <w:rsid w:val="00A65E3A"/>
    <w:rsid w:val="00A6606C"/>
    <w:rsid w:val="00A66D03"/>
    <w:rsid w:val="00A66ECF"/>
    <w:rsid w:val="00A6783F"/>
    <w:rsid w:val="00A70FA8"/>
    <w:rsid w:val="00A7130E"/>
    <w:rsid w:val="00A71CD9"/>
    <w:rsid w:val="00A7341E"/>
    <w:rsid w:val="00A73D40"/>
    <w:rsid w:val="00A73FAD"/>
    <w:rsid w:val="00A7477D"/>
    <w:rsid w:val="00A748CC"/>
    <w:rsid w:val="00A74BC5"/>
    <w:rsid w:val="00A75393"/>
    <w:rsid w:val="00A7542A"/>
    <w:rsid w:val="00A756B7"/>
    <w:rsid w:val="00A759CB"/>
    <w:rsid w:val="00A75DD8"/>
    <w:rsid w:val="00A75E0D"/>
    <w:rsid w:val="00A76C4B"/>
    <w:rsid w:val="00A77694"/>
    <w:rsid w:val="00A77963"/>
    <w:rsid w:val="00A77EFD"/>
    <w:rsid w:val="00A809CE"/>
    <w:rsid w:val="00A80A4B"/>
    <w:rsid w:val="00A8149A"/>
    <w:rsid w:val="00A81B97"/>
    <w:rsid w:val="00A82B08"/>
    <w:rsid w:val="00A8364A"/>
    <w:rsid w:val="00A83787"/>
    <w:rsid w:val="00A843B0"/>
    <w:rsid w:val="00A84408"/>
    <w:rsid w:val="00A85467"/>
    <w:rsid w:val="00A861ED"/>
    <w:rsid w:val="00A86328"/>
    <w:rsid w:val="00A869D2"/>
    <w:rsid w:val="00A86C41"/>
    <w:rsid w:val="00A87A28"/>
    <w:rsid w:val="00A87A96"/>
    <w:rsid w:val="00A87E77"/>
    <w:rsid w:val="00A87EBC"/>
    <w:rsid w:val="00A904AC"/>
    <w:rsid w:val="00A9171C"/>
    <w:rsid w:val="00A92975"/>
    <w:rsid w:val="00A92FA9"/>
    <w:rsid w:val="00A9378F"/>
    <w:rsid w:val="00A938C2"/>
    <w:rsid w:val="00A9444B"/>
    <w:rsid w:val="00A94922"/>
    <w:rsid w:val="00A94ADF"/>
    <w:rsid w:val="00A94C9C"/>
    <w:rsid w:val="00A94DD4"/>
    <w:rsid w:val="00A9639B"/>
    <w:rsid w:val="00A968AD"/>
    <w:rsid w:val="00A96C54"/>
    <w:rsid w:val="00A96E13"/>
    <w:rsid w:val="00A971C8"/>
    <w:rsid w:val="00A9749F"/>
    <w:rsid w:val="00AA05B1"/>
    <w:rsid w:val="00AA05B5"/>
    <w:rsid w:val="00AA0811"/>
    <w:rsid w:val="00AA08F4"/>
    <w:rsid w:val="00AA0D1E"/>
    <w:rsid w:val="00AA1E2C"/>
    <w:rsid w:val="00AA2044"/>
    <w:rsid w:val="00AA34A0"/>
    <w:rsid w:val="00AA4D23"/>
    <w:rsid w:val="00AA5161"/>
    <w:rsid w:val="00AA5B6A"/>
    <w:rsid w:val="00AA5CA4"/>
    <w:rsid w:val="00AA6171"/>
    <w:rsid w:val="00AA7068"/>
    <w:rsid w:val="00AA75F0"/>
    <w:rsid w:val="00AA7B5B"/>
    <w:rsid w:val="00AB07AC"/>
    <w:rsid w:val="00AB097A"/>
    <w:rsid w:val="00AB13DA"/>
    <w:rsid w:val="00AB19A0"/>
    <w:rsid w:val="00AB1C72"/>
    <w:rsid w:val="00AB1CE9"/>
    <w:rsid w:val="00AB1FA2"/>
    <w:rsid w:val="00AB215B"/>
    <w:rsid w:val="00AB222A"/>
    <w:rsid w:val="00AB334C"/>
    <w:rsid w:val="00AB38D7"/>
    <w:rsid w:val="00AB3A60"/>
    <w:rsid w:val="00AB40B9"/>
    <w:rsid w:val="00AB4816"/>
    <w:rsid w:val="00AB49A3"/>
    <w:rsid w:val="00AB5038"/>
    <w:rsid w:val="00AB50B4"/>
    <w:rsid w:val="00AB5B0B"/>
    <w:rsid w:val="00AB5E48"/>
    <w:rsid w:val="00AB6E5E"/>
    <w:rsid w:val="00AC062B"/>
    <w:rsid w:val="00AC1793"/>
    <w:rsid w:val="00AC1883"/>
    <w:rsid w:val="00AC1A3C"/>
    <w:rsid w:val="00AC33C5"/>
    <w:rsid w:val="00AC3C43"/>
    <w:rsid w:val="00AC3DE3"/>
    <w:rsid w:val="00AC4169"/>
    <w:rsid w:val="00AC462E"/>
    <w:rsid w:val="00AC4AE0"/>
    <w:rsid w:val="00AC4E34"/>
    <w:rsid w:val="00AC6078"/>
    <w:rsid w:val="00AC68A8"/>
    <w:rsid w:val="00AC6C0A"/>
    <w:rsid w:val="00AC71B1"/>
    <w:rsid w:val="00AC76B6"/>
    <w:rsid w:val="00AC7763"/>
    <w:rsid w:val="00AD0F61"/>
    <w:rsid w:val="00AD0FEA"/>
    <w:rsid w:val="00AD1123"/>
    <w:rsid w:val="00AD12A3"/>
    <w:rsid w:val="00AD15E3"/>
    <w:rsid w:val="00AD2475"/>
    <w:rsid w:val="00AD26F8"/>
    <w:rsid w:val="00AD2AD2"/>
    <w:rsid w:val="00AD2C03"/>
    <w:rsid w:val="00AD3C6A"/>
    <w:rsid w:val="00AD419F"/>
    <w:rsid w:val="00AD4629"/>
    <w:rsid w:val="00AD47A5"/>
    <w:rsid w:val="00AD4DB9"/>
    <w:rsid w:val="00AD5577"/>
    <w:rsid w:val="00AD58FB"/>
    <w:rsid w:val="00AD592D"/>
    <w:rsid w:val="00AD5CCA"/>
    <w:rsid w:val="00AD653C"/>
    <w:rsid w:val="00AD65BB"/>
    <w:rsid w:val="00AD72F6"/>
    <w:rsid w:val="00AD762E"/>
    <w:rsid w:val="00AE0724"/>
    <w:rsid w:val="00AE0986"/>
    <w:rsid w:val="00AE10D2"/>
    <w:rsid w:val="00AE12BF"/>
    <w:rsid w:val="00AE2C52"/>
    <w:rsid w:val="00AE3285"/>
    <w:rsid w:val="00AE32AB"/>
    <w:rsid w:val="00AE3ADE"/>
    <w:rsid w:val="00AE41CF"/>
    <w:rsid w:val="00AE46D5"/>
    <w:rsid w:val="00AE4C10"/>
    <w:rsid w:val="00AE4FFA"/>
    <w:rsid w:val="00AE552D"/>
    <w:rsid w:val="00AE6609"/>
    <w:rsid w:val="00AE6719"/>
    <w:rsid w:val="00AE6782"/>
    <w:rsid w:val="00AE70C9"/>
    <w:rsid w:val="00AF06BD"/>
    <w:rsid w:val="00AF16C9"/>
    <w:rsid w:val="00AF18BE"/>
    <w:rsid w:val="00AF3B42"/>
    <w:rsid w:val="00AF3BA0"/>
    <w:rsid w:val="00AF3DCE"/>
    <w:rsid w:val="00AF3E3B"/>
    <w:rsid w:val="00AF3E45"/>
    <w:rsid w:val="00AF3FA2"/>
    <w:rsid w:val="00AF4E6F"/>
    <w:rsid w:val="00AF59C4"/>
    <w:rsid w:val="00AF5CFC"/>
    <w:rsid w:val="00AF762D"/>
    <w:rsid w:val="00AF7B01"/>
    <w:rsid w:val="00B0095E"/>
    <w:rsid w:val="00B00ED8"/>
    <w:rsid w:val="00B010F9"/>
    <w:rsid w:val="00B01623"/>
    <w:rsid w:val="00B01BEC"/>
    <w:rsid w:val="00B01C74"/>
    <w:rsid w:val="00B02C54"/>
    <w:rsid w:val="00B03045"/>
    <w:rsid w:val="00B0373D"/>
    <w:rsid w:val="00B03A74"/>
    <w:rsid w:val="00B03D84"/>
    <w:rsid w:val="00B0495A"/>
    <w:rsid w:val="00B04966"/>
    <w:rsid w:val="00B0549A"/>
    <w:rsid w:val="00B06E7E"/>
    <w:rsid w:val="00B07429"/>
    <w:rsid w:val="00B1005E"/>
    <w:rsid w:val="00B10655"/>
    <w:rsid w:val="00B11486"/>
    <w:rsid w:val="00B1199E"/>
    <w:rsid w:val="00B123DD"/>
    <w:rsid w:val="00B12997"/>
    <w:rsid w:val="00B12BE0"/>
    <w:rsid w:val="00B13ED4"/>
    <w:rsid w:val="00B140A4"/>
    <w:rsid w:val="00B143E3"/>
    <w:rsid w:val="00B14F22"/>
    <w:rsid w:val="00B1554B"/>
    <w:rsid w:val="00B1722B"/>
    <w:rsid w:val="00B20434"/>
    <w:rsid w:val="00B21A54"/>
    <w:rsid w:val="00B21C6C"/>
    <w:rsid w:val="00B21EF4"/>
    <w:rsid w:val="00B21F66"/>
    <w:rsid w:val="00B22D9D"/>
    <w:rsid w:val="00B23589"/>
    <w:rsid w:val="00B23DAD"/>
    <w:rsid w:val="00B2550F"/>
    <w:rsid w:val="00B25F36"/>
    <w:rsid w:val="00B26447"/>
    <w:rsid w:val="00B26745"/>
    <w:rsid w:val="00B26B53"/>
    <w:rsid w:val="00B27718"/>
    <w:rsid w:val="00B279F4"/>
    <w:rsid w:val="00B27FE8"/>
    <w:rsid w:val="00B3026D"/>
    <w:rsid w:val="00B318E2"/>
    <w:rsid w:val="00B31E35"/>
    <w:rsid w:val="00B33510"/>
    <w:rsid w:val="00B3352F"/>
    <w:rsid w:val="00B33C74"/>
    <w:rsid w:val="00B3418A"/>
    <w:rsid w:val="00B344D5"/>
    <w:rsid w:val="00B35EB4"/>
    <w:rsid w:val="00B369E4"/>
    <w:rsid w:val="00B36AFF"/>
    <w:rsid w:val="00B3769D"/>
    <w:rsid w:val="00B40272"/>
    <w:rsid w:val="00B40371"/>
    <w:rsid w:val="00B40423"/>
    <w:rsid w:val="00B41AE4"/>
    <w:rsid w:val="00B41BE5"/>
    <w:rsid w:val="00B43019"/>
    <w:rsid w:val="00B43377"/>
    <w:rsid w:val="00B45977"/>
    <w:rsid w:val="00B45AAD"/>
    <w:rsid w:val="00B467F8"/>
    <w:rsid w:val="00B46C18"/>
    <w:rsid w:val="00B46EDD"/>
    <w:rsid w:val="00B474F6"/>
    <w:rsid w:val="00B50629"/>
    <w:rsid w:val="00B51DF5"/>
    <w:rsid w:val="00B51EF7"/>
    <w:rsid w:val="00B531AC"/>
    <w:rsid w:val="00B5371A"/>
    <w:rsid w:val="00B5410E"/>
    <w:rsid w:val="00B54600"/>
    <w:rsid w:val="00B54A84"/>
    <w:rsid w:val="00B5501A"/>
    <w:rsid w:val="00B5547D"/>
    <w:rsid w:val="00B55FB4"/>
    <w:rsid w:val="00B56644"/>
    <w:rsid w:val="00B566B5"/>
    <w:rsid w:val="00B56FDB"/>
    <w:rsid w:val="00B57740"/>
    <w:rsid w:val="00B57D08"/>
    <w:rsid w:val="00B57D8D"/>
    <w:rsid w:val="00B603CA"/>
    <w:rsid w:val="00B60575"/>
    <w:rsid w:val="00B605F7"/>
    <w:rsid w:val="00B611B2"/>
    <w:rsid w:val="00B618C2"/>
    <w:rsid w:val="00B618DD"/>
    <w:rsid w:val="00B6231A"/>
    <w:rsid w:val="00B628B8"/>
    <w:rsid w:val="00B62B2D"/>
    <w:rsid w:val="00B62FB9"/>
    <w:rsid w:val="00B630B7"/>
    <w:rsid w:val="00B638F9"/>
    <w:rsid w:val="00B63E74"/>
    <w:rsid w:val="00B643CE"/>
    <w:rsid w:val="00B66D84"/>
    <w:rsid w:val="00B70A33"/>
    <w:rsid w:val="00B70B61"/>
    <w:rsid w:val="00B71237"/>
    <w:rsid w:val="00B72075"/>
    <w:rsid w:val="00B72AD0"/>
    <w:rsid w:val="00B761E1"/>
    <w:rsid w:val="00B7622B"/>
    <w:rsid w:val="00B76DBB"/>
    <w:rsid w:val="00B77681"/>
    <w:rsid w:val="00B802FC"/>
    <w:rsid w:val="00B80877"/>
    <w:rsid w:val="00B80DCF"/>
    <w:rsid w:val="00B819BC"/>
    <w:rsid w:val="00B81CD8"/>
    <w:rsid w:val="00B823FD"/>
    <w:rsid w:val="00B8258C"/>
    <w:rsid w:val="00B82711"/>
    <w:rsid w:val="00B82A07"/>
    <w:rsid w:val="00B833AE"/>
    <w:rsid w:val="00B83C4B"/>
    <w:rsid w:val="00B8552A"/>
    <w:rsid w:val="00B85F4F"/>
    <w:rsid w:val="00B86E9A"/>
    <w:rsid w:val="00B872BA"/>
    <w:rsid w:val="00B87A91"/>
    <w:rsid w:val="00B90A6F"/>
    <w:rsid w:val="00B912CE"/>
    <w:rsid w:val="00B9156D"/>
    <w:rsid w:val="00B91A87"/>
    <w:rsid w:val="00B9225C"/>
    <w:rsid w:val="00B93DE0"/>
    <w:rsid w:val="00B93F26"/>
    <w:rsid w:val="00B9463F"/>
    <w:rsid w:val="00B94AC5"/>
    <w:rsid w:val="00B94E51"/>
    <w:rsid w:val="00B95531"/>
    <w:rsid w:val="00B95547"/>
    <w:rsid w:val="00B956B5"/>
    <w:rsid w:val="00B956E0"/>
    <w:rsid w:val="00B96195"/>
    <w:rsid w:val="00B96339"/>
    <w:rsid w:val="00B96F00"/>
    <w:rsid w:val="00B9705E"/>
    <w:rsid w:val="00B972D7"/>
    <w:rsid w:val="00B9794A"/>
    <w:rsid w:val="00B97B67"/>
    <w:rsid w:val="00B97FFC"/>
    <w:rsid w:val="00BA0238"/>
    <w:rsid w:val="00BA0D3F"/>
    <w:rsid w:val="00BA1321"/>
    <w:rsid w:val="00BA1FD2"/>
    <w:rsid w:val="00BA1FE6"/>
    <w:rsid w:val="00BA24E2"/>
    <w:rsid w:val="00BA2E21"/>
    <w:rsid w:val="00BA3BC6"/>
    <w:rsid w:val="00BA4C96"/>
    <w:rsid w:val="00BA55A8"/>
    <w:rsid w:val="00BA562B"/>
    <w:rsid w:val="00BA566E"/>
    <w:rsid w:val="00BA6329"/>
    <w:rsid w:val="00BA6427"/>
    <w:rsid w:val="00BA6904"/>
    <w:rsid w:val="00BA6B65"/>
    <w:rsid w:val="00BA6FCD"/>
    <w:rsid w:val="00BA7B77"/>
    <w:rsid w:val="00BB0351"/>
    <w:rsid w:val="00BB03B8"/>
    <w:rsid w:val="00BB04D5"/>
    <w:rsid w:val="00BB111E"/>
    <w:rsid w:val="00BB1651"/>
    <w:rsid w:val="00BB21A6"/>
    <w:rsid w:val="00BB2448"/>
    <w:rsid w:val="00BB2705"/>
    <w:rsid w:val="00BB2AB2"/>
    <w:rsid w:val="00BB326D"/>
    <w:rsid w:val="00BB366A"/>
    <w:rsid w:val="00BB3990"/>
    <w:rsid w:val="00BB4B72"/>
    <w:rsid w:val="00BB4E32"/>
    <w:rsid w:val="00BB5444"/>
    <w:rsid w:val="00BB62FB"/>
    <w:rsid w:val="00BB661A"/>
    <w:rsid w:val="00BB66BD"/>
    <w:rsid w:val="00BB6819"/>
    <w:rsid w:val="00BB6E57"/>
    <w:rsid w:val="00BB6F51"/>
    <w:rsid w:val="00BB79C0"/>
    <w:rsid w:val="00BC02F1"/>
    <w:rsid w:val="00BC040E"/>
    <w:rsid w:val="00BC0DF5"/>
    <w:rsid w:val="00BC16A6"/>
    <w:rsid w:val="00BC28B2"/>
    <w:rsid w:val="00BC2911"/>
    <w:rsid w:val="00BC2981"/>
    <w:rsid w:val="00BC2AC2"/>
    <w:rsid w:val="00BC3092"/>
    <w:rsid w:val="00BC3E23"/>
    <w:rsid w:val="00BC3F4B"/>
    <w:rsid w:val="00BC4EE1"/>
    <w:rsid w:val="00BC576D"/>
    <w:rsid w:val="00BC608A"/>
    <w:rsid w:val="00BC61FA"/>
    <w:rsid w:val="00BC6C39"/>
    <w:rsid w:val="00BD0338"/>
    <w:rsid w:val="00BD1E91"/>
    <w:rsid w:val="00BD20AE"/>
    <w:rsid w:val="00BD25E7"/>
    <w:rsid w:val="00BD2801"/>
    <w:rsid w:val="00BD2B2D"/>
    <w:rsid w:val="00BD2D94"/>
    <w:rsid w:val="00BD4E18"/>
    <w:rsid w:val="00BD4E26"/>
    <w:rsid w:val="00BD6207"/>
    <w:rsid w:val="00BE0008"/>
    <w:rsid w:val="00BE14A4"/>
    <w:rsid w:val="00BE1FEC"/>
    <w:rsid w:val="00BE2076"/>
    <w:rsid w:val="00BE2831"/>
    <w:rsid w:val="00BE46B3"/>
    <w:rsid w:val="00BE5E3E"/>
    <w:rsid w:val="00BE6379"/>
    <w:rsid w:val="00BE6B1D"/>
    <w:rsid w:val="00BE7ED6"/>
    <w:rsid w:val="00BE7F79"/>
    <w:rsid w:val="00BF13FC"/>
    <w:rsid w:val="00BF1956"/>
    <w:rsid w:val="00BF1E3B"/>
    <w:rsid w:val="00BF2089"/>
    <w:rsid w:val="00BF2366"/>
    <w:rsid w:val="00BF237E"/>
    <w:rsid w:val="00BF27DF"/>
    <w:rsid w:val="00BF325D"/>
    <w:rsid w:val="00BF3346"/>
    <w:rsid w:val="00BF341F"/>
    <w:rsid w:val="00BF3747"/>
    <w:rsid w:val="00BF3F0C"/>
    <w:rsid w:val="00BF46D9"/>
    <w:rsid w:val="00BF4D82"/>
    <w:rsid w:val="00BF4F64"/>
    <w:rsid w:val="00BF5530"/>
    <w:rsid w:val="00BF6262"/>
    <w:rsid w:val="00BF7E5E"/>
    <w:rsid w:val="00C00264"/>
    <w:rsid w:val="00C0033C"/>
    <w:rsid w:val="00C00D31"/>
    <w:rsid w:val="00C00F6E"/>
    <w:rsid w:val="00C01445"/>
    <w:rsid w:val="00C01ACE"/>
    <w:rsid w:val="00C01F46"/>
    <w:rsid w:val="00C0274E"/>
    <w:rsid w:val="00C031FC"/>
    <w:rsid w:val="00C03784"/>
    <w:rsid w:val="00C03799"/>
    <w:rsid w:val="00C043AA"/>
    <w:rsid w:val="00C0587D"/>
    <w:rsid w:val="00C05BAA"/>
    <w:rsid w:val="00C0629A"/>
    <w:rsid w:val="00C06C8A"/>
    <w:rsid w:val="00C07146"/>
    <w:rsid w:val="00C078AA"/>
    <w:rsid w:val="00C07979"/>
    <w:rsid w:val="00C07D12"/>
    <w:rsid w:val="00C07DB6"/>
    <w:rsid w:val="00C07E6F"/>
    <w:rsid w:val="00C10F72"/>
    <w:rsid w:val="00C10FE9"/>
    <w:rsid w:val="00C12341"/>
    <w:rsid w:val="00C12492"/>
    <w:rsid w:val="00C13279"/>
    <w:rsid w:val="00C13524"/>
    <w:rsid w:val="00C1532E"/>
    <w:rsid w:val="00C15937"/>
    <w:rsid w:val="00C1618A"/>
    <w:rsid w:val="00C2007A"/>
    <w:rsid w:val="00C216F0"/>
    <w:rsid w:val="00C218F7"/>
    <w:rsid w:val="00C21D28"/>
    <w:rsid w:val="00C21E78"/>
    <w:rsid w:val="00C22DBC"/>
    <w:rsid w:val="00C235C7"/>
    <w:rsid w:val="00C23A53"/>
    <w:rsid w:val="00C247EE"/>
    <w:rsid w:val="00C263D3"/>
    <w:rsid w:val="00C26C89"/>
    <w:rsid w:val="00C26D5D"/>
    <w:rsid w:val="00C270EE"/>
    <w:rsid w:val="00C27427"/>
    <w:rsid w:val="00C27621"/>
    <w:rsid w:val="00C27B8D"/>
    <w:rsid w:val="00C27E60"/>
    <w:rsid w:val="00C27F47"/>
    <w:rsid w:val="00C3126A"/>
    <w:rsid w:val="00C31672"/>
    <w:rsid w:val="00C32060"/>
    <w:rsid w:val="00C32BD5"/>
    <w:rsid w:val="00C32D0A"/>
    <w:rsid w:val="00C32EF6"/>
    <w:rsid w:val="00C33584"/>
    <w:rsid w:val="00C33D49"/>
    <w:rsid w:val="00C35286"/>
    <w:rsid w:val="00C362BC"/>
    <w:rsid w:val="00C36D06"/>
    <w:rsid w:val="00C3732A"/>
    <w:rsid w:val="00C378F2"/>
    <w:rsid w:val="00C37951"/>
    <w:rsid w:val="00C413CC"/>
    <w:rsid w:val="00C41B81"/>
    <w:rsid w:val="00C41F22"/>
    <w:rsid w:val="00C44AB7"/>
    <w:rsid w:val="00C44DD5"/>
    <w:rsid w:val="00C452C8"/>
    <w:rsid w:val="00C46EA3"/>
    <w:rsid w:val="00C46F80"/>
    <w:rsid w:val="00C472EB"/>
    <w:rsid w:val="00C476B4"/>
    <w:rsid w:val="00C501BF"/>
    <w:rsid w:val="00C506B3"/>
    <w:rsid w:val="00C50BB3"/>
    <w:rsid w:val="00C516C0"/>
    <w:rsid w:val="00C529F0"/>
    <w:rsid w:val="00C5313A"/>
    <w:rsid w:val="00C5323D"/>
    <w:rsid w:val="00C532B8"/>
    <w:rsid w:val="00C53745"/>
    <w:rsid w:val="00C547E4"/>
    <w:rsid w:val="00C54B70"/>
    <w:rsid w:val="00C5576F"/>
    <w:rsid w:val="00C55D78"/>
    <w:rsid w:val="00C56D87"/>
    <w:rsid w:val="00C56FE1"/>
    <w:rsid w:val="00C5715D"/>
    <w:rsid w:val="00C574BC"/>
    <w:rsid w:val="00C575AA"/>
    <w:rsid w:val="00C575DB"/>
    <w:rsid w:val="00C57904"/>
    <w:rsid w:val="00C6011C"/>
    <w:rsid w:val="00C601D1"/>
    <w:rsid w:val="00C603BD"/>
    <w:rsid w:val="00C60483"/>
    <w:rsid w:val="00C60CB6"/>
    <w:rsid w:val="00C60D99"/>
    <w:rsid w:val="00C60E98"/>
    <w:rsid w:val="00C60F6A"/>
    <w:rsid w:val="00C61DE1"/>
    <w:rsid w:val="00C61FD8"/>
    <w:rsid w:val="00C6203A"/>
    <w:rsid w:val="00C62A4C"/>
    <w:rsid w:val="00C638A8"/>
    <w:rsid w:val="00C63C5C"/>
    <w:rsid w:val="00C64118"/>
    <w:rsid w:val="00C64B4C"/>
    <w:rsid w:val="00C64C69"/>
    <w:rsid w:val="00C64F6E"/>
    <w:rsid w:val="00C65BFE"/>
    <w:rsid w:val="00C660CF"/>
    <w:rsid w:val="00C6619D"/>
    <w:rsid w:val="00C665A4"/>
    <w:rsid w:val="00C666EE"/>
    <w:rsid w:val="00C67F88"/>
    <w:rsid w:val="00C70E52"/>
    <w:rsid w:val="00C7110A"/>
    <w:rsid w:val="00C7224B"/>
    <w:rsid w:val="00C72C3A"/>
    <w:rsid w:val="00C740E9"/>
    <w:rsid w:val="00C75119"/>
    <w:rsid w:val="00C75EBC"/>
    <w:rsid w:val="00C767DA"/>
    <w:rsid w:val="00C80022"/>
    <w:rsid w:val="00C804FE"/>
    <w:rsid w:val="00C80502"/>
    <w:rsid w:val="00C80843"/>
    <w:rsid w:val="00C81DB2"/>
    <w:rsid w:val="00C827D3"/>
    <w:rsid w:val="00C8387F"/>
    <w:rsid w:val="00C838FF"/>
    <w:rsid w:val="00C846CE"/>
    <w:rsid w:val="00C847EB"/>
    <w:rsid w:val="00C84C11"/>
    <w:rsid w:val="00C862BC"/>
    <w:rsid w:val="00C865D1"/>
    <w:rsid w:val="00C87215"/>
    <w:rsid w:val="00C873A2"/>
    <w:rsid w:val="00C87801"/>
    <w:rsid w:val="00C87C16"/>
    <w:rsid w:val="00C87E34"/>
    <w:rsid w:val="00C91098"/>
    <w:rsid w:val="00C91F94"/>
    <w:rsid w:val="00C932E1"/>
    <w:rsid w:val="00C933DD"/>
    <w:rsid w:val="00C93624"/>
    <w:rsid w:val="00C944A4"/>
    <w:rsid w:val="00C948C3"/>
    <w:rsid w:val="00C95386"/>
    <w:rsid w:val="00C9554A"/>
    <w:rsid w:val="00C97215"/>
    <w:rsid w:val="00C972AE"/>
    <w:rsid w:val="00C97353"/>
    <w:rsid w:val="00C975E5"/>
    <w:rsid w:val="00C979A6"/>
    <w:rsid w:val="00CA1094"/>
    <w:rsid w:val="00CA137E"/>
    <w:rsid w:val="00CA156B"/>
    <w:rsid w:val="00CA1D8C"/>
    <w:rsid w:val="00CA200F"/>
    <w:rsid w:val="00CA2960"/>
    <w:rsid w:val="00CA2E51"/>
    <w:rsid w:val="00CA498B"/>
    <w:rsid w:val="00CA50C1"/>
    <w:rsid w:val="00CA564C"/>
    <w:rsid w:val="00CA708B"/>
    <w:rsid w:val="00CA756E"/>
    <w:rsid w:val="00CA79E8"/>
    <w:rsid w:val="00CA7D93"/>
    <w:rsid w:val="00CB0D0F"/>
    <w:rsid w:val="00CB143E"/>
    <w:rsid w:val="00CB234C"/>
    <w:rsid w:val="00CB2911"/>
    <w:rsid w:val="00CB3258"/>
    <w:rsid w:val="00CB3633"/>
    <w:rsid w:val="00CB3ABB"/>
    <w:rsid w:val="00CB4049"/>
    <w:rsid w:val="00CB40F6"/>
    <w:rsid w:val="00CB43C3"/>
    <w:rsid w:val="00CB4E1A"/>
    <w:rsid w:val="00CB5631"/>
    <w:rsid w:val="00CB5795"/>
    <w:rsid w:val="00CB5B73"/>
    <w:rsid w:val="00CB7278"/>
    <w:rsid w:val="00CB7291"/>
    <w:rsid w:val="00CC09F7"/>
    <w:rsid w:val="00CC0D59"/>
    <w:rsid w:val="00CC1BCD"/>
    <w:rsid w:val="00CC1D02"/>
    <w:rsid w:val="00CC1D66"/>
    <w:rsid w:val="00CC1FB0"/>
    <w:rsid w:val="00CC348C"/>
    <w:rsid w:val="00CC3A79"/>
    <w:rsid w:val="00CC483E"/>
    <w:rsid w:val="00CC5AF4"/>
    <w:rsid w:val="00CC74A9"/>
    <w:rsid w:val="00CC7862"/>
    <w:rsid w:val="00CD00DC"/>
    <w:rsid w:val="00CD0C27"/>
    <w:rsid w:val="00CD1AF1"/>
    <w:rsid w:val="00CD1B74"/>
    <w:rsid w:val="00CD2031"/>
    <w:rsid w:val="00CD269F"/>
    <w:rsid w:val="00CD2A8E"/>
    <w:rsid w:val="00CD37EE"/>
    <w:rsid w:val="00CD3B73"/>
    <w:rsid w:val="00CD3E47"/>
    <w:rsid w:val="00CD4508"/>
    <w:rsid w:val="00CD469C"/>
    <w:rsid w:val="00CD4CFE"/>
    <w:rsid w:val="00CD5004"/>
    <w:rsid w:val="00CD5CAA"/>
    <w:rsid w:val="00CD69A8"/>
    <w:rsid w:val="00CD71BF"/>
    <w:rsid w:val="00CD74C0"/>
    <w:rsid w:val="00CD7813"/>
    <w:rsid w:val="00CE0249"/>
    <w:rsid w:val="00CE040A"/>
    <w:rsid w:val="00CE079D"/>
    <w:rsid w:val="00CE0B91"/>
    <w:rsid w:val="00CE0DB4"/>
    <w:rsid w:val="00CE15A0"/>
    <w:rsid w:val="00CE1B18"/>
    <w:rsid w:val="00CE3423"/>
    <w:rsid w:val="00CE363D"/>
    <w:rsid w:val="00CE3A3B"/>
    <w:rsid w:val="00CE3B9A"/>
    <w:rsid w:val="00CE471B"/>
    <w:rsid w:val="00CE500A"/>
    <w:rsid w:val="00CE615C"/>
    <w:rsid w:val="00CE7C93"/>
    <w:rsid w:val="00CE7D7E"/>
    <w:rsid w:val="00CF0A2B"/>
    <w:rsid w:val="00CF16AE"/>
    <w:rsid w:val="00CF2179"/>
    <w:rsid w:val="00CF3B20"/>
    <w:rsid w:val="00CF413C"/>
    <w:rsid w:val="00CF4951"/>
    <w:rsid w:val="00CF5987"/>
    <w:rsid w:val="00CF5B2E"/>
    <w:rsid w:val="00CF64E6"/>
    <w:rsid w:val="00CF6B71"/>
    <w:rsid w:val="00CF78C0"/>
    <w:rsid w:val="00CF79F1"/>
    <w:rsid w:val="00CF7EB3"/>
    <w:rsid w:val="00D00AE4"/>
    <w:rsid w:val="00D00B9C"/>
    <w:rsid w:val="00D01854"/>
    <w:rsid w:val="00D01F44"/>
    <w:rsid w:val="00D021D0"/>
    <w:rsid w:val="00D02250"/>
    <w:rsid w:val="00D022C0"/>
    <w:rsid w:val="00D0297C"/>
    <w:rsid w:val="00D02F0A"/>
    <w:rsid w:val="00D045E6"/>
    <w:rsid w:val="00D05943"/>
    <w:rsid w:val="00D05F1D"/>
    <w:rsid w:val="00D05F3E"/>
    <w:rsid w:val="00D06114"/>
    <w:rsid w:val="00D06718"/>
    <w:rsid w:val="00D06D93"/>
    <w:rsid w:val="00D10146"/>
    <w:rsid w:val="00D10C32"/>
    <w:rsid w:val="00D1128A"/>
    <w:rsid w:val="00D11FEC"/>
    <w:rsid w:val="00D1227C"/>
    <w:rsid w:val="00D12EF7"/>
    <w:rsid w:val="00D13349"/>
    <w:rsid w:val="00D13375"/>
    <w:rsid w:val="00D13930"/>
    <w:rsid w:val="00D13C6D"/>
    <w:rsid w:val="00D144B8"/>
    <w:rsid w:val="00D14D7B"/>
    <w:rsid w:val="00D15178"/>
    <w:rsid w:val="00D15473"/>
    <w:rsid w:val="00D17366"/>
    <w:rsid w:val="00D201AC"/>
    <w:rsid w:val="00D20E31"/>
    <w:rsid w:val="00D216E4"/>
    <w:rsid w:val="00D21822"/>
    <w:rsid w:val="00D21B77"/>
    <w:rsid w:val="00D21D2A"/>
    <w:rsid w:val="00D221B4"/>
    <w:rsid w:val="00D222D8"/>
    <w:rsid w:val="00D2252C"/>
    <w:rsid w:val="00D230AA"/>
    <w:rsid w:val="00D2352A"/>
    <w:rsid w:val="00D23793"/>
    <w:rsid w:val="00D239AA"/>
    <w:rsid w:val="00D2442E"/>
    <w:rsid w:val="00D24C16"/>
    <w:rsid w:val="00D25382"/>
    <w:rsid w:val="00D257E7"/>
    <w:rsid w:val="00D25C81"/>
    <w:rsid w:val="00D27C2D"/>
    <w:rsid w:val="00D30622"/>
    <w:rsid w:val="00D3114B"/>
    <w:rsid w:val="00D319F8"/>
    <w:rsid w:val="00D32007"/>
    <w:rsid w:val="00D32B25"/>
    <w:rsid w:val="00D32FD2"/>
    <w:rsid w:val="00D3347E"/>
    <w:rsid w:val="00D33713"/>
    <w:rsid w:val="00D33758"/>
    <w:rsid w:val="00D35061"/>
    <w:rsid w:val="00D35589"/>
    <w:rsid w:val="00D3609E"/>
    <w:rsid w:val="00D3741A"/>
    <w:rsid w:val="00D37B7B"/>
    <w:rsid w:val="00D37D0F"/>
    <w:rsid w:val="00D37F14"/>
    <w:rsid w:val="00D407A7"/>
    <w:rsid w:val="00D40DCC"/>
    <w:rsid w:val="00D412DE"/>
    <w:rsid w:val="00D41954"/>
    <w:rsid w:val="00D41EC7"/>
    <w:rsid w:val="00D448A1"/>
    <w:rsid w:val="00D4490B"/>
    <w:rsid w:val="00D44A5A"/>
    <w:rsid w:val="00D44FA5"/>
    <w:rsid w:val="00D455A1"/>
    <w:rsid w:val="00D46775"/>
    <w:rsid w:val="00D470F6"/>
    <w:rsid w:val="00D4725F"/>
    <w:rsid w:val="00D47567"/>
    <w:rsid w:val="00D50578"/>
    <w:rsid w:val="00D516D8"/>
    <w:rsid w:val="00D51AF7"/>
    <w:rsid w:val="00D51DD2"/>
    <w:rsid w:val="00D52428"/>
    <w:rsid w:val="00D52E97"/>
    <w:rsid w:val="00D53B84"/>
    <w:rsid w:val="00D53BB5"/>
    <w:rsid w:val="00D543B8"/>
    <w:rsid w:val="00D545B7"/>
    <w:rsid w:val="00D549D2"/>
    <w:rsid w:val="00D552E8"/>
    <w:rsid w:val="00D559A1"/>
    <w:rsid w:val="00D55DD5"/>
    <w:rsid w:val="00D56B85"/>
    <w:rsid w:val="00D56C3A"/>
    <w:rsid w:val="00D56C76"/>
    <w:rsid w:val="00D56DE8"/>
    <w:rsid w:val="00D56FE2"/>
    <w:rsid w:val="00D57D5B"/>
    <w:rsid w:val="00D60455"/>
    <w:rsid w:val="00D62401"/>
    <w:rsid w:val="00D6307F"/>
    <w:rsid w:val="00D64223"/>
    <w:rsid w:val="00D64E13"/>
    <w:rsid w:val="00D65508"/>
    <w:rsid w:val="00D65F4C"/>
    <w:rsid w:val="00D66352"/>
    <w:rsid w:val="00D66453"/>
    <w:rsid w:val="00D66716"/>
    <w:rsid w:val="00D700D4"/>
    <w:rsid w:val="00D7074B"/>
    <w:rsid w:val="00D709B7"/>
    <w:rsid w:val="00D70F2E"/>
    <w:rsid w:val="00D70F7A"/>
    <w:rsid w:val="00D71C7D"/>
    <w:rsid w:val="00D7213D"/>
    <w:rsid w:val="00D7255F"/>
    <w:rsid w:val="00D728DD"/>
    <w:rsid w:val="00D72C4D"/>
    <w:rsid w:val="00D72D24"/>
    <w:rsid w:val="00D731A2"/>
    <w:rsid w:val="00D73C0A"/>
    <w:rsid w:val="00D741A1"/>
    <w:rsid w:val="00D753CC"/>
    <w:rsid w:val="00D756A8"/>
    <w:rsid w:val="00D75B42"/>
    <w:rsid w:val="00D75ED3"/>
    <w:rsid w:val="00D7650B"/>
    <w:rsid w:val="00D77CB8"/>
    <w:rsid w:val="00D801EE"/>
    <w:rsid w:val="00D80455"/>
    <w:rsid w:val="00D80564"/>
    <w:rsid w:val="00D808F2"/>
    <w:rsid w:val="00D81264"/>
    <w:rsid w:val="00D81440"/>
    <w:rsid w:val="00D81CED"/>
    <w:rsid w:val="00D827D5"/>
    <w:rsid w:val="00D83C8C"/>
    <w:rsid w:val="00D84323"/>
    <w:rsid w:val="00D84F38"/>
    <w:rsid w:val="00D85982"/>
    <w:rsid w:val="00D85D9B"/>
    <w:rsid w:val="00D86B37"/>
    <w:rsid w:val="00D874C3"/>
    <w:rsid w:val="00D877DD"/>
    <w:rsid w:val="00D87D34"/>
    <w:rsid w:val="00D92FD8"/>
    <w:rsid w:val="00D93543"/>
    <w:rsid w:val="00D94564"/>
    <w:rsid w:val="00D945B3"/>
    <w:rsid w:val="00D94626"/>
    <w:rsid w:val="00D94CE3"/>
    <w:rsid w:val="00D95617"/>
    <w:rsid w:val="00D9596F"/>
    <w:rsid w:val="00D960E9"/>
    <w:rsid w:val="00D96227"/>
    <w:rsid w:val="00D964CC"/>
    <w:rsid w:val="00D96FCE"/>
    <w:rsid w:val="00D97040"/>
    <w:rsid w:val="00D97E6E"/>
    <w:rsid w:val="00DA0190"/>
    <w:rsid w:val="00DA0B8A"/>
    <w:rsid w:val="00DA2E27"/>
    <w:rsid w:val="00DA3674"/>
    <w:rsid w:val="00DA3E9B"/>
    <w:rsid w:val="00DA44AD"/>
    <w:rsid w:val="00DA4B4B"/>
    <w:rsid w:val="00DA5721"/>
    <w:rsid w:val="00DA64EB"/>
    <w:rsid w:val="00DB0DC1"/>
    <w:rsid w:val="00DB1955"/>
    <w:rsid w:val="00DB2158"/>
    <w:rsid w:val="00DB2260"/>
    <w:rsid w:val="00DB251D"/>
    <w:rsid w:val="00DB2605"/>
    <w:rsid w:val="00DB2928"/>
    <w:rsid w:val="00DB2C85"/>
    <w:rsid w:val="00DB2CE4"/>
    <w:rsid w:val="00DB35E3"/>
    <w:rsid w:val="00DB414E"/>
    <w:rsid w:val="00DB45CD"/>
    <w:rsid w:val="00DB5254"/>
    <w:rsid w:val="00DB53DB"/>
    <w:rsid w:val="00DB5B99"/>
    <w:rsid w:val="00DB5D24"/>
    <w:rsid w:val="00DB6D25"/>
    <w:rsid w:val="00DB7CD9"/>
    <w:rsid w:val="00DC0378"/>
    <w:rsid w:val="00DC22D6"/>
    <w:rsid w:val="00DC2E03"/>
    <w:rsid w:val="00DC36AE"/>
    <w:rsid w:val="00DC3941"/>
    <w:rsid w:val="00DC3A45"/>
    <w:rsid w:val="00DC3E94"/>
    <w:rsid w:val="00DC3FFE"/>
    <w:rsid w:val="00DC45D6"/>
    <w:rsid w:val="00DC4777"/>
    <w:rsid w:val="00DC5F98"/>
    <w:rsid w:val="00DC7181"/>
    <w:rsid w:val="00DC71DB"/>
    <w:rsid w:val="00DC78D9"/>
    <w:rsid w:val="00DC7C57"/>
    <w:rsid w:val="00DC7F0F"/>
    <w:rsid w:val="00DD031B"/>
    <w:rsid w:val="00DD07DF"/>
    <w:rsid w:val="00DD0EBD"/>
    <w:rsid w:val="00DD182C"/>
    <w:rsid w:val="00DD20AC"/>
    <w:rsid w:val="00DD41F7"/>
    <w:rsid w:val="00DD462B"/>
    <w:rsid w:val="00DD4C5F"/>
    <w:rsid w:val="00DD5911"/>
    <w:rsid w:val="00DD5DD1"/>
    <w:rsid w:val="00DD73AA"/>
    <w:rsid w:val="00DD7CEA"/>
    <w:rsid w:val="00DD7CF0"/>
    <w:rsid w:val="00DE0B90"/>
    <w:rsid w:val="00DE151A"/>
    <w:rsid w:val="00DE16B0"/>
    <w:rsid w:val="00DE21CD"/>
    <w:rsid w:val="00DE2814"/>
    <w:rsid w:val="00DE2910"/>
    <w:rsid w:val="00DE2928"/>
    <w:rsid w:val="00DE329E"/>
    <w:rsid w:val="00DE3357"/>
    <w:rsid w:val="00DE3B55"/>
    <w:rsid w:val="00DE3B96"/>
    <w:rsid w:val="00DE4569"/>
    <w:rsid w:val="00DE4A18"/>
    <w:rsid w:val="00DE55EC"/>
    <w:rsid w:val="00DE579A"/>
    <w:rsid w:val="00DE5BC8"/>
    <w:rsid w:val="00DE649F"/>
    <w:rsid w:val="00DE6A5D"/>
    <w:rsid w:val="00DE71F3"/>
    <w:rsid w:val="00DE74FD"/>
    <w:rsid w:val="00DE796F"/>
    <w:rsid w:val="00DF0239"/>
    <w:rsid w:val="00DF0C8E"/>
    <w:rsid w:val="00DF1BA5"/>
    <w:rsid w:val="00DF201B"/>
    <w:rsid w:val="00DF2890"/>
    <w:rsid w:val="00DF2ACB"/>
    <w:rsid w:val="00DF2C33"/>
    <w:rsid w:val="00DF2E80"/>
    <w:rsid w:val="00DF3182"/>
    <w:rsid w:val="00DF3DC4"/>
    <w:rsid w:val="00DF4533"/>
    <w:rsid w:val="00DF45BA"/>
    <w:rsid w:val="00DF46FD"/>
    <w:rsid w:val="00DF54B0"/>
    <w:rsid w:val="00DF5F99"/>
    <w:rsid w:val="00DF6077"/>
    <w:rsid w:val="00E00E0E"/>
    <w:rsid w:val="00E0107A"/>
    <w:rsid w:val="00E0118B"/>
    <w:rsid w:val="00E01740"/>
    <w:rsid w:val="00E01E15"/>
    <w:rsid w:val="00E0222A"/>
    <w:rsid w:val="00E02459"/>
    <w:rsid w:val="00E02BEB"/>
    <w:rsid w:val="00E02E37"/>
    <w:rsid w:val="00E03043"/>
    <w:rsid w:val="00E0368D"/>
    <w:rsid w:val="00E041D1"/>
    <w:rsid w:val="00E04C69"/>
    <w:rsid w:val="00E0645D"/>
    <w:rsid w:val="00E0656D"/>
    <w:rsid w:val="00E06771"/>
    <w:rsid w:val="00E06FA5"/>
    <w:rsid w:val="00E07210"/>
    <w:rsid w:val="00E074B0"/>
    <w:rsid w:val="00E10454"/>
    <w:rsid w:val="00E10A01"/>
    <w:rsid w:val="00E11A01"/>
    <w:rsid w:val="00E11B9B"/>
    <w:rsid w:val="00E125ED"/>
    <w:rsid w:val="00E12E0D"/>
    <w:rsid w:val="00E13480"/>
    <w:rsid w:val="00E14480"/>
    <w:rsid w:val="00E14E96"/>
    <w:rsid w:val="00E1576E"/>
    <w:rsid w:val="00E15F58"/>
    <w:rsid w:val="00E16ADD"/>
    <w:rsid w:val="00E177EC"/>
    <w:rsid w:val="00E209F9"/>
    <w:rsid w:val="00E20D6D"/>
    <w:rsid w:val="00E22542"/>
    <w:rsid w:val="00E225FC"/>
    <w:rsid w:val="00E2430E"/>
    <w:rsid w:val="00E245D1"/>
    <w:rsid w:val="00E27176"/>
    <w:rsid w:val="00E27C4F"/>
    <w:rsid w:val="00E27EDA"/>
    <w:rsid w:val="00E30377"/>
    <w:rsid w:val="00E30619"/>
    <w:rsid w:val="00E3105E"/>
    <w:rsid w:val="00E310A2"/>
    <w:rsid w:val="00E312AD"/>
    <w:rsid w:val="00E31698"/>
    <w:rsid w:val="00E31EA0"/>
    <w:rsid w:val="00E33A2F"/>
    <w:rsid w:val="00E34895"/>
    <w:rsid w:val="00E352CE"/>
    <w:rsid w:val="00E35F4E"/>
    <w:rsid w:val="00E3641D"/>
    <w:rsid w:val="00E40736"/>
    <w:rsid w:val="00E407A4"/>
    <w:rsid w:val="00E410B4"/>
    <w:rsid w:val="00E414E6"/>
    <w:rsid w:val="00E41F7F"/>
    <w:rsid w:val="00E424CE"/>
    <w:rsid w:val="00E43414"/>
    <w:rsid w:val="00E43EDD"/>
    <w:rsid w:val="00E463CB"/>
    <w:rsid w:val="00E46994"/>
    <w:rsid w:val="00E46A18"/>
    <w:rsid w:val="00E47C86"/>
    <w:rsid w:val="00E50C21"/>
    <w:rsid w:val="00E50C23"/>
    <w:rsid w:val="00E516E8"/>
    <w:rsid w:val="00E516F2"/>
    <w:rsid w:val="00E517D8"/>
    <w:rsid w:val="00E51F7D"/>
    <w:rsid w:val="00E5209E"/>
    <w:rsid w:val="00E52BF4"/>
    <w:rsid w:val="00E533A6"/>
    <w:rsid w:val="00E53CF8"/>
    <w:rsid w:val="00E53F26"/>
    <w:rsid w:val="00E546FB"/>
    <w:rsid w:val="00E554A2"/>
    <w:rsid w:val="00E55D3D"/>
    <w:rsid w:val="00E560E8"/>
    <w:rsid w:val="00E5614F"/>
    <w:rsid w:val="00E5731C"/>
    <w:rsid w:val="00E57D82"/>
    <w:rsid w:val="00E60132"/>
    <w:rsid w:val="00E60653"/>
    <w:rsid w:val="00E61B71"/>
    <w:rsid w:val="00E62D1F"/>
    <w:rsid w:val="00E634D6"/>
    <w:rsid w:val="00E63F69"/>
    <w:rsid w:val="00E643E4"/>
    <w:rsid w:val="00E643FE"/>
    <w:rsid w:val="00E6577D"/>
    <w:rsid w:val="00E65C56"/>
    <w:rsid w:val="00E6684D"/>
    <w:rsid w:val="00E668C1"/>
    <w:rsid w:val="00E66973"/>
    <w:rsid w:val="00E676FF"/>
    <w:rsid w:val="00E67813"/>
    <w:rsid w:val="00E70239"/>
    <w:rsid w:val="00E7061F"/>
    <w:rsid w:val="00E710EC"/>
    <w:rsid w:val="00E71D67"/>
    <w:rsid w:val="00E72706"/>
    <w:rsid w:val="00E72E1D"/>
    <w:rsid w:val="00E736E3"/>
    <w:rsid w:val="00E74484"/>
    <w:rsid w:val="00E7553F"/>
    <w:rsid w:val="00E77351"/>
    <w:rsid w:val="00E776C3"/>
    <w:rsid w:val="00E80A79"/>
    <w:rsid w:val="00E80AF2"/>
    <w:rsid w:val="00E8153C"/>
    <w:rsid w:val="00E815C5"/>
    <w:rsid w:val="00E81C24"/>
    <w:rsid w:val="00E82AA5"/>
    <w:rsid w:val="00E83A81"/>
    <w:rsid w:val="00E83EB5"/>
    <w:rsid w:val="00E84A2A"/>
    <w:rsid w:val="00E84E2D"/>
    <w:rsid w:val="00E84ED2"/>
    <w:rsid w:val="00E85627"/>
    <w:rsid w:val="00E85DE0"/>
    <w:rsid w:val="00E868C6"/>
    <w:rsid w:val="00E86B93"/>
    <w:rsid w:val="00E86CCD"/>
    <w:rsid w:val="00E86F49"/>
    <w:rsid w:val="00E8712D"/>
    <w:rsid w:val="00E909C5"/>
    <w:rsid w:val="00E90D5D"/>
    <w:rsid w:val="00E90FC0"/>
    <w:rsid w:val="00E91167"/>
    <w:rsid w:val="00E9128D"/>
    <w:rsid w:val="00E9178B"/>
    <w:rsid w:val="00E91D7E"/>
    <w:rsid w:val="00E92316"/>
    <w:rsid w:val="00E929A5"/>
    <w:rsid w:val="00E936C3"/>
    <w:rsid w:val="00E9376B"/>
    <w:rsid w:val="00E9397B"/>
    <w:rsid w:val="00E93BD8"/>
    <w:rsid w:val="00E93C50"/>
    <w:rsid w:val="00E94732"/>
    <w:rsid w:val="00E94945"/>
    <w:rsid w:val="00E94D54"/>
    <w:rsid w:val="00E9600D"/>
    <w:rsid w:val="00E961AD"/>
    <w:rsid w:val="00E963A0"/>
    <w:rsid w:val="00E969B9"/>
    <w:rsid w:val="00E97BE6"/>
    <w:rsid w:val="00EA08A6"/>
    <w:rsid w:val="00EA0A67"/>
    <w:rsid w:val="00EA1D1E"/>
    <w:rsid w:val="00EA20AF"/>
    <w:rsid w:val="00EA3B78"/>
    <w:rsid w:val="00EA3F94"/>
    <w:rsid w:val="00EA3FFA"/>
    <w:rsid w:val="00EA62FC"/>
    <w:rsid w:val="00EB123A"/>
    <w:rsid w:val="00EB1562"/>
    <w:rsid w:val="00EB1592"/>
    <w:rsid w:val="00EB2F86"/>
    <w:rsid w:val="00EB37A2"/>
    <w:rsid w:val="00EB3B2A"/>
    <w:rsid w:val="00EB4256"/>
    <w:rsid w:val="00EB432F"/>
    <w:rsid w:val="00EB4710"/>
    <w:rsid w:val="00EB5240"/>
    <w:rsid w:val="00EB63CA"/>
    <w:rsid w:val="00EB6A59"/>
    <w:rsid w:val="00EB6A70"/>
    <w:rsid w:val="00EB7B59"/>
    <w:rsid w:val="00EC0673"/>
    <w:rsid w:val="00EC3508"/>
    <w:rsid w:val="00EC364A"/>
    <w:rsid w:val="00EC3BFC"/>
    <w:rsid w:val="00EC4C16"/>
    <w:rsid w:val="00EC4E97"/>
    <w:rsid w:val="00EC5027"/>
    <w:rsid w:val="00EC54DA"/>
    <w:rsid w:val="00EC56B9"/>
    <w:rsid w:val="00EC5789"/>
    <w:rsid w:val="00EC5AAE"/>
    <w:rsid w:val="00EC6277"/>
    <w:rsid w:val="00EC75F5"/>
    <w:rsid w:val="00ED0A99"/>
    <w:rsid w:val="00ED132E"/>
    <w:rsid w:val="00ED27E3"/>
    <w:rsid w:val="00ED2E6A"/>
    <w:rsid w:val="00ED4761"/>
    <w:rsid w:val="00ED4AFD"/>
    <w:rsid w:val="00ED5252"/>
    <w:rsid w:val="00ED5717"/>
    <w:rsid w:val="00ED5896"/>
    <w:rsid w:val="00ED58AC"/>
    <w:rsid w:val="00ED5A69"/>
    <w:rsid w:val="00ED69ED"/>
    <w:rsid w:val="00ED733B"/>
    <w:rsid w:val="00ED7368"/>
    <w:rsid w:val="00ED76FC"/>
    <w:rsid w:val="00ED7957"/>
    <w:rsid w:val="00EE0730"/>
    <w:rsid w:val="00EE0E58"/>
    <w:rsid w:val="00EE119B"/>
    <w:rsid w:val="00EE11BC"/>
    <w:rsid w:val="00EE121D"/>
    <w:rsid w:val="00EE1B40"/>
    <w:rsid w:val="00EE3332"/>
    <w:rsid w:val="00EE365F"/>
    <w:rsid w:val="00EE42D7"/>
    <w:rsid w:val="00EE4CF8"/>
    <w:rsid w:val="00EE5261"/>
    <w:rsid w:val="00EE536F"/>
    <w:rsid w:val="00EE57D4"/>
    <w:rsid w:val="00EE5A77"/>
    <w:rsid w:val="00EE5B40"/>
    <w:rsid w:val="00EE6570"/>
    <w:rsid w:val="00EE7713"/>
    <w:rsid w:val="00EE7CFA"/>
    <w:rsid w:val="00EE7FA3"/>
    <w:rsid w:val="00EF0B8D"/>
    <w:rsid w:val="00EF0CAF"/>
    <w:rsid w:val="00EF1C34"/>
    <w:rsid w:val="00EF1E79"/>
    <w:rsid w:val="00EF1F2A"/>
    <w:rsid w:val="00EF2AFF"/>
    <w:rsid w:val="00EF3643"/>
    <w:rsid w:val="00EF365F"/>
    <w:rsid w:val="00EF4D56"/>
    <w:rsid w:val="00EF5571"/>
    <w:rsid w:val="00EF55D8"/>
    <w:rsid w:val="00EF5614"/>
    <w:rsid w:val="00EF5633"/>
    <w:rsid w:val="00EF6FAB"/>
    <w:rsid w:val="00EF74C0"/>
    <w:rsid w:val="00F006F3"/>
    <w:rsid w:val="00F00F15"/>
    <w:rsid w:val="00F01293"/>
    <w:rsid w:val="00F0192D"/>
    <w:rsid w:val="00F026C5"/>
    <w:rsid w:val="00F03042"/>
    <w:rsid w:val="00F03255"/>
    <w:rsid w:val="00F03417"/>
    <w:rsid w:val="00F0352A"/>
    <w:rsid w:val="00F03B8A"/>
    <w:rsid w:val="00F041A5"/>
    <w:rsid w:val="00F041CD"/>
    <w:rsid w:val="00F04420"/>
    <w:rsid w:val="00F047C4"/>
    <w:rsid w:val="00F06092"/>
    <w:rsid w:val="00F066F3"/>
    <w:rsid w:val="00F06E46"/>
    <w:rsid w:val="00F0724D"/>
    <w:rsid w:val="00F077A2"/>
    <w:rsid w:val="00F10317"/>
    <w:rsid w:val="00F1173E"/>
    <w:rsid w:val="00F11DD8"/>
    <w:rsid w:val="00F11EDC"/>
    <w:rsid w:val="00F1203F"/>
    <w:rsid w:val="00F13FBC"/>
    <w:rsid w:val="00F14064"/>
    <w:rsid w:val="00F145A0"/>
    <w:rsid w:val="00F14805"/>
    <w:rsid w:val="00F149DB"/>
    <w:rsid w:val="00F14EDC"/>
    <w:rsid w:val="00F15016"/>
    <w:rsid w:val="00F1575A"/>
    <w:rsid w:val="00F159B8"/>
    <w:rsid w:val="00F15B70"/>
    <w:rsid w:val="00F16673"/>
    <w:rsid w:val="00F167C6"/>
    <w:rsid w:val="00F20053"/>
    <w:rsid w:val="00F20DD8"/>
    <w:rsid w:val="00F210B0"/>
    <w:rsid w:val="00F22000"/>
    <w:rsid w:val="00F222B0"/>
    <w:rsid w:val="00F22313"/>
    <w:rsid w:val="00F2345E"/>
    <w:rsid w:val="00F23BF9"/>
    <w:rsid w:val="00F23EF4"/>
    <w:rsid w:val="00F24809"/>
    <w:rsid w:val="00F24F54"/>
    <w:rsid w:val="00F254DE"/>
    <w:rsid w:val="00F256A4"/>
    <w:rsid w:val="00F26E3A"/>
    <w:rsid w:val="00F30B3E"/>
    <w:rsid w:val="00F30CB8"/>
    <w:rsid w:val="00F31230"/>
    <w:rsid w:val="00F31A77"/>
    <w:rsid w:val="00F323FF"/>
    <w:rsid w:val="00F333D4"/>
    <w:rsid w:val="00F33547"/>
    <w:rsid w:val="00F33F65"/>
    <w:rsid w:val="00F344FE"/>
    <w:rsid w:val="00F34C69"/>
    <w:rsid w:val="00F35967"/>
    <w:rsid w:val="00F35A1D"/>
    <w:rsid w:val="00F36199"/>
    <w:rsid w:val="00F36441"/>
    <w:rsid w:val="00F369D1"/>
    <w:rsid w:val="00F37240"/>
    <w:rsid w:val="00F37508"/>
    <w:rsid w:val="00F37B59"/>
    <w:rsid w:val="00F40E9B"/>
    <w:rsid w:val="00F40F56"/>
    <w:rsid w:val="00F4138E"/>
    <w:rsid w:val="00F41B55"/>
    <w:rsid w:val="00F41C2B"/>
    <w:rsid w:val="00F4305C"/>
    <w:rsid w:val="00F43836"/>
    <w:rsid w:val="00F44C5A"/>
    <w:rsid w:val="00F46BE6"/>
    <w:rsid w:val="00F47E23"/>
    <w:rsid w:val="00F5008A"/>
    <w:rsid w:val="00F500E6"/>
    <w:rsid w:val="00F50227"/>
    <w:rsid w:val="00F505C0"/>
    <w:rsid w:val="00F50687"/>
    <w:rsid w:val="00F50885"/>
    <w:rsid w:val="00F511EB"/>
    <w:rsid w:val="00F512CA"/>
    <w:rsid w:val="00F51B36"/>
    <w:rsid w:val="00F52438"/>
    <w:rsid w:val="00F52E71"/>
    <w:rsid w:val="00F530A9"/>
    <w:rsid w:val="00F53121"/>
    <w:rsid w:val="00F53260"/>
    <w:rsid w:val="00F53835"/>
    <w:rsid w:val="00F54107"/>
    <w:rsid w:val="00F543B3"/>
    <w:rsid w:val="00F54C9A"/>
    <w:rsid w:val="00F553CE"/>
    <w:rsid w:val="00F55D3B"/>
    <w:rsid w:val="00F56E78"/>
    <w:rsid w:val="00F56EA6"/>
    <w:rsid w:val="00F57997"/>
    <w:rsid w:val="00F608DF"/>
    <w:rsid w:val="00F60A2D"/>
    <w:rsid w:val="00F60ABD"/>
    <w:rsid w:val="00F60C9E"/>
    <w:rsid w:val="00F61118"/>
    <w:rsid w:val="00F616B0"/>
    <w:rsid w:val="00F63B3E"/>
    <w:rsid w:val="00F64974"/>
    <w:rsid w:val="00F6609F"/>
    <w:rsid w:val="00F66298"/>
    <w:rsid w:val="00F66357"/>
    <w:rsid w:val="00F675F6"/>
    <w:rsid w:val="00F67F1C"/>
    <w:rsid w:val="00F705A8"/>
    <w:rsid w:val="00F70983"/>
    <w:rsid w:val="00F71633"/>
    <w:rsid w:val="00F73EEE"/>
    <w:rsid w:val="00F74118"/>
    <w:rsid w:val="00F74287"/>
    <w:rsid w:val="00F76629"/>
    <w:rsid w:val="00F76B31"/>
    <w:rsid w:val="00F77150"/>
    <w:rsid w:val="00F77822"/>
    <w:rsid w:val="00F77CC8"/>
    <w:rsid w:val="00F8006D"/>
    <w:rsid w:val="00F805A8"/>
    <w:rsid w:val="00F8078F"/>
    <w:rsid w:val="00F80BE0"/>
    <w:rsid w:val="00F82245"/>
    <w:rsid w:val="00F83245"/>
    <w:rsid w:val="00F8369D"/>
    <w:rsid w:val="00F83876"/>
    <w:rsid w:val="00F846BB"/>
    <w:rsid w:val="00F8480A"/>
    <w:rsid w:val="00F84E0F"/>
    <w:rsid w:val="00F85D56"/>
    <w:rsid w:val="00F8620A"/>
    <w:rsid w:val="00F86C32"/>
    <w:rsid w:val="00F86D65"/>
    <w:rsid w:val="00F870FC"/>
    <w:rsid w:val="00F8725C"/>
    <w:rsid w:val="00F90431"/>
    <w:rsid w:val="00F90EB1"/>
    <w:rsid w:val="00F91192"/>
    <w:rsid w:val="00F912AF"/>
    <w:rsid w:val="00F9246C"/>
    <w:rsid w:val="00F93004"/>
    <w:rsid w:val="00F931E8"/>
    <w:rsid w:val="00F94A50"/>
    <w:rsid w:val="00F94DCB"/>
    <w:rsid w:val="00F95702"/>
    <w:rsid w:val="00F9644A"/>
    <w:rsid w:val="00F96940"/>
    <w:rsid w:val="00F96942"/>
    <w:rsid w:val="00F96D3B"/>
    <w:rsid w:val="00F97012"/>
    <w:rsid w:val="00F974BF"/>
    <w:rsid w:val="00F97611"/>
    <w:rsid w:val="00FA1E50"/>
    <w:rsid w:val="00FA2ED4"/>
    <w:rsid w:val="00FA345B"/>
    <w:rsid w:val="00FA3BF7"/>
    <w:rsid w:val="00FA4386"/>
    <w:rsid w:val="00FA49A5"/>
    <w:rsid w:val="00FA4B6A"/>
    <w:rsid w:val="00FA5034"/>
    <w:rsid w:val="00FA60DE"/>
    <w:rsid w:val="00FA6ACE"/>
    <w:rsid w:val="00FA7038"/>
    <w:rsid w:val="00FA73C8"/>
    <w:rsid w:val="00FB16A2"/>
    <w:rsid w:val="00FB1F90"/>
    <w:rsid w:val="00FB21DA"/>
    <w:rsid w:val="00FB2D76"/>
    <w:rsid w:val="00FB2E77"/>
    <w:rsid w:val="00FB3621"/>
    <w:rsid w:val="00FB3CF0"/>
    <w:rsid w:val="00FB4504"/>
    <w:rsid w:val="00FB5BC1"/>
    <w:rsid w:val="00FB60DA"/>
    <w:rsid w:val="00FB6E97"/>
    <w:rsid w:val="00FC00CB"/>
    <w:rsid w:val="00FC03A6"/>
    <w:rsid w:val="00FC1E97"/>
    <w:rsid w:val="00FC2079"/>
    <w:rsid w:val="00FC2753"/>
    <w:rsid w:val="00FC27F6"/>
    <w:rsid w:val="00FC2961"/>
    <w:rsid w:val="00FC2978"/>
    <w:rsid w:val="00FC30C9"/>
    <w:rsid w:val="00FC3342"/>
    <w:rsid w:val="00FC3625"/>
    <w:rsid w:val="00FC37F7"/>
    <w:rsid w:val="00FC3B0D"/>
    <w:rsid w:val="00FC4239"/>
    <w:rsid w:val="00FC4AF9"/>
    <w:rsid w:val="00FC4C79"/>
    <w:rsid w:val="00FC5B9F"/>
    <w:rsid w:val="00FC68E9"/>
    <w:rsid w:val="00FC72BE"/>
    <w:rsid w:val="00FC7495"/>
    <w:rsid w:val="00FD02F9"/>
    <w:rsid w:val="00FD09BB"/>
    <w:rsid w:val="00FD18AC"/>
    <w:rsid w:val="00FD200A"/>
    <w:rsid w:val="00FD24CB"/>
    <w:rsid w:val="00FD24F1"/>
    <w:rsid w:val="00FD28BE"/>
    <w:rsid w:val="00FD2F48"/>
    <w:rsid w:val="00FD3106"/>
    <w:rsid w:val="00FD3144"/>
    <w:rsid w:val="00FD3BC0"/>
    <w:rsid w:val="00FD3DB5"/>
    <w:rsid w:val="00FD422C"/>
    <w:rsid w:val="00FD4C76"/>
    <w:rsid w:val="00FD56EE"/>
    <w:rsid w:val="00FD7603"/>
    <w:rsid w:val="00FE0502"/>
    <w:rsid w:val="00FE0E1A"/>
    <w:rsid w:val="00FE2535"/>
    <w:rsid w:val="00FE2ECE"/>
    <w:rsid w:val="00FE31AE"/>
    <w:rsid w:val="00FE33AB"/>
    <w:rsid w:val="00FE3491"/>
    <w:rsid w:val="00FE3C22"/>
    <w:rsid w:val="00FE5813"/>
    <w:rsid w:val="00FE5B58"/>
    <w:rsid w:val="00FE5C47"/>
    <w:rsid w:val="00FE62EC"/>
    <w:rsid w:val="00FE68A7"/>
    <w:rsid w:val="00FE72F7"/>
    <w:rsid w:val="00FE7417"/>
    <w:rsid w:val="00FE7DDF"/>
    <w:rsid w:val="00FF0384"/>
    <w:rsid w:val="00FF0817"/>
    <w:rsid w:val="00FF09D9"/>
    <w:rsid w:val="00FF0A74"/>
    <w:rsid w:val="00FF1B6A"/>
    <w:rsid w:val="00FF1DC9"/>
    <w:rsid w:val="00FF1E84"/>
    <w:rsid w:val="00FF2398"/>
    <w:rsid w:val="00FF3160"/>
    <w:rsid w:val="00FF36EA"/>
    <w:rsid w:val="00FF3ADA"/>
    <w:rsid w:val="00FF4D31"/>
    <w:rsid w:val="00FF54AF"/>
    <w:rsid w:val="00FF5B52"/>
    <w:rsid w:val="00FF5F6F"/>
    <w:rsid w:val="00FF728E"/>
    <w:rsid w:val="00FF7A28"/>
    <w:rsid w:val="00FF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708"/>
  </w:style>
  <w:style w:type="paragraph" w:styleId="Heading2">
    <w:name w:val="heading 2"/>
    <w:basedOn w:val="Normal"/>
    <w:link w:val="Heading2Char"/>
    <w:uiPriority w:val="9"/>
    <w:qFormat/>
    <w:rsid w:val="006A4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E2"/>
    <w:pPr>
      <w:ind w:left="720"/>
      <w:contextualSpacing/>
    </w:pPr>
  </w:style>
  <w:style w:type="paragraph" w:styleId="BodyText">
    <w:name w:val="Body Text"/>
    <w:basedOn w:val="Normal"/>
    <w:link w:val="BodyTextChar"/>
    <w:rsid w:val="00F51B36"/>
    <w:pPr>
      <w:spacing w:after="100" w:line="260" w:lineRule="atLeast"/>
      <w:jc w:val="both"/>
    </w:pPr>
    <w:rPr>
      <w:rFonts w:ascii="Arial Narrow" w:eastAsia="Times New Roman" w:hAnsi="Arial Narrow" w:cs="Times New Roman"/>
      <w:spacing w:val="4"/>
      <w:szCs w:val="24"/>
    </w:rPr>
  </w:style>
  <w:style w:type="character" w:customStyle="1" w:styleId="BodyTextChar">
    <w:name w:val="Body Text Char"/>
    <w:basedOn w:val="DefaultParagraphFont"/>
    <w:link w:val="BodyText"/>
    <w:rsid w:val="00F51B36"/>
    <w:rPr>
      <w:rFonts w:ascii="Arial Narrow" w:eastAsia="Times New Roman" w:hAnsi="Arial Narrow" w:cs="Times New Roman"/>
      <w:spacing w:val="4"/>
      <w:szCs w:val="24"/>
    </w:rPr>
  </w:style>
  <w:style w:type="paragraph" w:styleId="Header">
    <w:name w:val="header"/>
    <w:basedOn w:val="Normal"/>
    <w:link w:val="HeaderChar"/>
    <w:uiPriority w:val="99"/>
    <w:unhideWhenUsed/>
    <w:rsid w:val="00D9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27"/>
  </w:style>
  <w:style w:type="paragraph" w:styleId="Footer">
    <w:name w:val="footer"/>
    <w:basedOn w:val="Normal"/>
    <w:link w:val="FooterChar"/>
    <w:uiPriority w:val="99"/>
    <w:unhideWhenUsed/>
    <w:rsid w:val="00D9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27"/>
  </w:style>
  <w:style w:type="paragraph" w:customStyle="1" w:styleId="HANG-1">
    <w:name w:val="HANG-1"/>
    <w:basedOn w:val="Normal"/>
    <w:rsid w:val="002D22D5"/>
    <w:pPr>
      <w:autoSpaceDE w:val="0"/>
      <w:autoSpaceDN w:val="0"/>
      <w:adjustRightInd w:val="0"/>
      <w:spacing w:after="100" w:line="260" w:lineRule="atLeast"/>
      <w:ind w:left="864" w:hanging="432"/>
      <w:jc w:val="both"/>
    </w:pPr>
    <w:rPr>
      <w:rFonts w:ascii="Arial Narrow" w:eastAsia="Times New Roman" w:hAnsi="Arial Narrow" w:cs="Times New Roman"/>
      <w:spacing w:val="4"/>
      <w:szCs w:val="24"/>
    </w:rPr>
  </w:style>
  <w:style w:type="paragraph" w:customStyle="1" w:styleId="HANG">
    <w:name w:val="HANG"/>
    <w:basedOn w:val="Normal"/>
    <w:rsid w:val="00A94DD4"/>
    <w:pPr>
      <w:autoSpaceDE w:val="0"/>
      <w:autoSpaceDN w:val="0"/>
      <w:adjustRightInd w:val="0"/>
      <w:spacing w:after="100" w:line="260" w:lineRule="atLeast"/>
      <w:ind w:left="432" w:hanging="432"/>
      <w:jc w:val="both"/>
    </w:pPr>
    <w:rPr>
      <w:rFonts w:ascii="Arial Narrow" w:eastAsia="Times New Roman" w:hAnsi="Arial Narrow" w:cs="Times New Roman"/>
      <w:spacing w:val="4"/>
      <w:szCs w:val="24"/>
    </w:rPr>
  </w:style>
  <w:style w:type="table" w:styleId="TableGrid">
    <w:name w:val="Table Grid"/>
    <w:basedOn w:val="TableNormal"/>
    <w:uiPriority w:val="59"/>
    <w:rsid w:val="007F0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 text"/>
    <w:rsid w:val="00B611B2"/>
    <w:pPr>
      <w:spacing w:after="60" w:line="240" w:lineRule="auto"/>
      <w:jc w:val="both"/>
    </w:pPr>
    <w:rPr>
      <w:rFonts w:ascii="Times New Roman" w:eastAsia="Times New Roman" w:hAnsi="Times New Roman" w:cs="Times New Roman"/>
      <w:snapToGrid w:val="0"/>
      <w:color w:val="000000"/>
      <w:spacing w:val="15"/>
      <w:szCs w:val="20"/>
    </w:rPr>
  </w:style>
  <w:style w:type="paragraph" w:customStyle="1" w:styleId="Bodytxt">
    <w:name w:val="Bodytxt"/>
    <w:basedOn w:val="Normal"/>
    <w:rsid w:val="00296A9B"/>
    <w:pPr>
      <w:widowControl w:val="0"/>
      <w:autoSpaceDE w:val="0"/>
      <w:autoSpaceDN w:val="0"/>
      <w:adjustRightInd w:val="0"/>
      <w:spacing w:after="100" w:line="260" w:lineRule="atLeast"/>
      <w:jc w:val="both"/>
    </w:pPr>
    <w:rPr>
      <w:rFonts w:ascii="Arial Narrow" w:eastAsia="Times New Roman" w:hAnsi="Arial Narrow" w:cs="Times New Roman"/>
      <w:spacing w:val="4"/>
      <w:szCs w:val="20"/>
    </w:rPr>
  </w:style>
  <w:style w:type="character" w:styleId="Hyperlink">
    <w:name w:val="Hyperlink"/>
    <w:basedOn w:val="DefaultParagraphFont"/>
    <w:uiPriority w:val="99"/>
    <w:semiHidden/>
    <w:unhideWhenUsed/>
    <w:rsid w:val="00936793"/>
    <w:rPr>
      <w:color w:val="0000FF"/>
      <w:u w:val="single"/>
    </w:rPr>
  </w:style>
  <w:style w:type="paragraph" w:customStyle="1" w:styleId="question">
    <w:name w:val="question"/>
    <w:basedOn w:val="Normal"/>
    <w:rsid w:val="007047B5"/>
    <w:pPr>
      <w:tabs>
        <w:tab w:val="left" w:pos="432"/>
        <w:tab w:val="left" w:pos="864"/>
        <w:tab w:val="right" w:pos="7920"/>
      </w:tabs>
      <w:spacing w:after="100" w:line="260" w:lineRule="atLeast"/>
      <w:jc w:val="both"/>
    </w:pPr>
    <w:rPr>
      <w:rFonts w:ascii="Arial Narrow" w:eastAsia="Times New Roman" w:hAnsi="Arial Narrow" w:cs="Times New Roman"/>
      <w:i/>
      <w:spacing w:val="4"/>
      <w:szCs w:val="20"/>
    </w:rPr>
  </w:style>
  <w:style w:type="paragraph" w:customStyle="1" w:styleId="Justify">
    <w:name w:val="Justify"/>
    <w:basedOn w:val="Normal"/>
    <w:rsid w:val="007047B5"/>
    <w:pPr>
      <w:spacing w:before="120" w:after="120" w:line="260" w:lineRule="atLeast"/>
      <w:jc w:val="both"/>
    </w:pPr>
    <w:rPr>
      <w:rFonts w:ascii="Arial Narrow" w:eastAsia="Times New Roman" w:hAnsi="Arial Narrow" w:cs="Times New Roman"/>
      <w:b/>
      <w:spacing w:val="4"/>
      <w:szCs w:val="20"/>
    </w:rPr>
  </w:style>
  <w:style w:type="paragraph" w:customStyle="1" w:styleId="HANG-I">
    <w:name w:val="HANG-I"/>
    <w:basedOn w:val="HANG"/>
    <w:rsid w:val="009E662F"/>
    <w:pPr>
      <w:tabs>
        <w:tab w:val="left" w:pos="432"/>
        <w:tab w:val="left" w:pos="864"/>
      </w:tabs>
      <w:spacing w:after="120" w:line="280" w:lineRule="atLeast"/>
    </w:pPr>
    <w:rPr>
      <w:i/>
      <w:iCs/>
      <w:szCs w:val="20"/>
    </w:rPr>
  </w:style>
  <w:style w:type="paragraph" w:customStyle="1" w:styleId="justify0">
    <w:name w:val="justify"/>
    <w:basedOn w:val="HANG"/>
    <w:rsid w:val="00957B7C"/>
    <w:pPr>
      <w:spacing w:before="120" w:after="120"/>
    </w:pPr>
    <w:rPr>
      <w:b/>
      <w:bCs/>
      <w:szCs w:val="20"/>
    </w:rPr>
  </w:style>
  <w:style w:type="paragraph" w:customStyle="1" w:styleId="HANG-2">
    <w:name w:val="HANG-2"/>
    <w:basedOn w:val="Normal"/>
    <w:rsid w:val="00103CA2"/>
    <w:pPr>
      <w:widowControl w:val="0"/>
      <w:autoSpaceDE w:val="0"/>
      <w:autoSpaceDN w:val="0"/>
      <w:adjustRightInd w:val="0"/>
      <w:spacing w:after="100" w:line="260" w:lineRule="atLeast"/>
      <w:ind w:left="1296" w:hanging="432"/>
      <w:jc w:val="both"/>
    </w:pPr>
    <w:rPr>
      <w:rFonts w:ascii="Arial Narrow" w:eastAsia="Times New Roman" w:hAnsi="Arial Narrow" w:cs="Times New Roman"/>
      <w:spacing w:val="4"/>
      <w:szCs w:val="20"/>
    </w:rPr>
  </w:style>
  <w:style w:type="paragraph" w:customStyle="1" w:styleId="HANG-1A">
    <w:name w:val="HANG-1A"/>
    <w:basedOn w:val="Normal"/>
    <w:rsid w:val="00B55FB4"/>
    <w:pPr>
      <w:widowControl w:val="0"/>
      <w:tabs>
        <w:tab w:val="left" w:pos="432"/>
      </w:tabs>
      <w:autoSpaceDE w:val="0"/>
      <w:autoSpaceDN w:val="0"/>
      <w:adjustRightInd w:val="0"/>
      <w:spacing w:after="120" w:line="280" w:lineRule="atLeast"/>
      <w:ind w:left="864" w:hanging="864"/>
      <w:jc w:val="both"/>
    </w:pPr>
    <w:rPr>
      <w:rFonts w:ascii="Arial Narrow" w:eastAsia="Times New Roman" w:hAnsi="Arial Narrow" w:cs="Times New Roman"/>
      <w:spacing w:val="8"/>
      <w:szCs w:val="24"/>
    </w:rPr>
  </w:style>
  <w:style w:type="paragraph" w:customStyle="1" w:styleId="Subhead1">
    <w:name w:val="Subhead1"/>
    <w:rsid w:val="00E6577D"/>
    <w:pPr>
      <w:tabs>
        <w:tab w:val="right" w:pos="840"/>
        <w:tab w:val="left" w:pos="960"/>
      </w:tabs>
      <w:autoSpaceDE w:val="0"/>
      <w:autoSpaceDN w:val="0"/>
      <w:adjustRightInd w:val="0"/>
      <w:spacing w:after="40" w:line="240" w:lineRule="auto"/>
      <w:ind w:left="960" w:hanging="960"/>
      <w:jc w:val="both"/>
    </w:pPr>
    <w:rPr>
      <w:rFonts w:ascii="AsterV" w:eastAsia="Times New Roman" w:hAnsi="AsterV" w:cs="Times New Roman"/>
      <w:color w:val="000000"/>
      <w:sz w:val="19"/>
      <w:szCs w:val="19"/>
    </w:rPr>
  </w:style>
  <w:style w:type="paragraph" w:styleId="NormalWeb">
    <w:name w:val="Normal (Web)"/>
    <w:basedOn w:val="Normal"/>
    <w:uiPriority w:val="99"/>
    <w:unhideWhenUsed/>
    <w:rsid w:val="00B506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8C30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6A4388"/>
    <w:rPr>
      <w:rFonts w:ascii="Times New Roman" w:eastAsia="Times New Roman" w:hAnsi="Times New Roman" w:cs="Times New Roman"/>
      <w:b/>
      <w:bCs/>
      <w:sz w:val="36"/>
      <w:szCs w:val="36"/>
    </w:rPr>
  </w:style>
  <w:style w:type="character" w:customStyle="1" w:styleId="ilad">
    <w:name w:val="il_ad"/>
    <w:basedOn w:val="DefaultParagraphFont"/>
    <w:rsid w:val="0075296D"/>
  </w:style>
  <w:style w:type="paragraph" w:styleId="BalloonText">
    <w:name w:val="Balloon Text"/>
    <w:basedOn w:val="Normal"/>
    <w:link w:val="BalloonTextChar"/>
    <w:uiPriority w:val="99"/>
    <w:semiHidden/>
    <w:unhideWhenUsed/>
    <w:rsid w:val="00F55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3CE"/>
    <w:rPr>
      <w:rFonts w:ascii="Tahoma" w:hAnsi="Tahoma" w:cs="Tahoma"/>
      <w:sz w:val="16"/>
      <w:szCs w:val="16"/>
    </w:rPr>
  </w:style>
  <w:style w:type="paragraph" w:customStyle="1" w:styleId="Default">
    <w:name w:val="Default"/>
    <w:rsid w:val="00040922"/>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semiHidden/>
    <w:rsid w:val="00743831"/>
  </w:style>
  <w:style w:type="paragraph" w:customStyle="1" w:styleId="HANG-1a0">
    <w:name w:val="HANG-1a"/>
    <w:basedOn w:val="HANG"/>
    <w:rsid w:val="00AD0FEA"/>
    <w:pPr>
      <w:tabs>
        <w:tab w:val="left" w:pos="432"/>
      </w:tabs>
      <w:autoSpaceDE/>
      <w:autoSpaceDN/>
      <w:adjustRightInd/>
      <w:ind w:left="864" w:hanging="864"/>
    </w:pPr>
    <w:rPr>
      <w:szCs w:val="20"/>
      <w:lang w:val="en-GB"/>
    </w:rPr>
  </w:style>
  <w:style w:type="paragraph" w:customStyle="1" w:styleId="HANG-1-1">
    <w:name w:val="HANG-1-1"/>
    <w:basedOn w:val="Normal"/>
    <w:rsid w:val="00BB111E"/>
    <w:pPr>
      <w:tabs>
        <w:tab w:val="left" w:pos="432"/>
        <w:tab w:val="left" w:pos="864"/>
        <w:tab w:val="right" w:pos="8640"/>
      </w:tabs>
      <w:spacing w:after="120" w:line="280" w:lineRule="atLeast"/>
      <w:ind w:left="1296" w:hanging="1296"/>
      <w:jc w:val="both"/>
    </w:pPr>
    <w:rPr>
      <w:rFonts w:ascii="Arial Narrow" w:eastAsia="Times New Roman" w:hAnsi="Arial Narrow" w:cs="Times New Roman"/>
      <w:szCs w:val="20"/>
      <w:lang w:val="en-GB"/>
    </w:rPr>
  </w:style>
  <w:style w:type="paragraph" w:customStyle="1" w:styleId="style3">
    <w:name w:val="style3"/>
    <w:basedOn w:val="Normal"/>
    <w:rsid w:val="009122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03253">
      <w:bodyDiv w:val="1"/>
      <w:marLeft w:val="0"/>
      <w:marRight w:val="0"/>
      <w:marTop w:val="0"/>
      <w:marBottom w:val="0"/>
      <w:divBdr>
        <w:top w:val="none" w:sz="0" w:space="0" w:color="auto"/>
        <w:left w:val="none" w:sz="0" w:space="0" w:color="auto"/>
        <w:bottom w:val="none" w:sz="0" w:space="0" w:color="auto"/>
        <w:right w:val="none" w:sz="0" w:space="0" w:color="auto"/>
      </w:divBdr>
    </w:div>
    <w:div w:id="129518519">
      <w:bodyDiv w:val="1"/>
      <w:marLeft w:val="0"/>
      <w:marRight w:val="0"/>
      <w:marTop w:val="0"/>
      <w:marBottom w:val="0"/>
      <w:divBdr>
        <w:top w:val="none" w:sz="0" w:space="0" w:color="auto"/>
        <w:left w:val="none" w:sz="0" w:space="0" w:color="auto"/>
        <w:bottom w:val="none" w:sz="0" w:space="0" w:color="auto"/>
        <w:right w:val="none" w:sz="0" w:space="0" w:color="auto"/>
      </w:divBdr>
      <w:divsChild>
        <w:div w:id="809907862">
          <w:marLeft w:val="0"/>
          <w:marRight w:val="0"/>
          <w:marTop w:val="0"/>
          <w:marBottom w:val="0"/>
          <w:divBdr>
            <w:top w:val="none" w:sz="0" w:space="0" w:color="auto"/>
            <w:left w:val="none" w:sz="0" w:space="0" w:color="auto"/>
            <w:bottom w:val="none" w:sz="0" w:space="0" w:color="auto"/>
            <w:right w:val="none" w:sz="0" w:space="0" w:color="auto"/>
          </w:divBdr>
          <w:divsChild>
            <w:div w:id="2023438087">
              <w:marLeft w:val="0"/>
              <w:marRight w:val="0"/>
              <w:marTop w:val="0"/>
              <w:marBottom w:val="0"/>
              <w:divBdr>
                <w:top w:val="none" w:sz="0" w:space="0" w:color="auto"/>
                <w:left w:val="none" w:sz="0" w:space="0" w:color="auto"/>
                <w:bottom w:val="none" w:sz="0" w:space="0" w:color="auto"/>
                <w:right w:val="none" w:sz="0" w:space="0" w:color="auto"/>
              </w:divBdr>
              <w:divsChild>
                <w:div w:id="1305044648">
                  <w:marLeft w:val="0"/>
                  <w:marRight w:val="0"/>
                  <w:marTop w:val="0"/>
                  <w:marBottom w:val="0"/>
                  <w:divBdr>
                    <w:top w:val="none" w:sz="0" w:space="0" w:color="auto"/>
                    <w:left w:val="none" w:sz="0" w:space="0" w:color="auto"/>
                    <w:bottom w:val="none" w:sz="0" w:space="0" w:color="auto"/>
                    <w:right w:val="none" w:sz="0" w:space="0" w:color="auto"/>
                  </w:divBdr>
                </w:div>
                <w:div w:id="1850244587">
                  <w:marLeft w:val="0"/>
                  <w:marRight w:val="0"/>
                  <w:marTop w:val="0"/>
                  <w:marBottom w:val="0"/>
                  <w:divBdr>
                    <w:top w:val="none" w:sz="0" w:space="0" w:color="auto"/>
                    <w:left w:val="none" w:sz="0" w:space="0" w:color="auto"/>
                    <w:bottom w:val="none" w:sz="0" w:space="0" w:color="auto"/>
                    <w:right w:val="none" w:sz="0" w:space="0" w:color="auto"/>
                  </w:divBdr>
                </w:div>
                <w:div w:id="1325205402">
                  <w:marLeft w:val="0"/>
                  <w:marRight w:val="0"/>
                  <w:marTop w:val="0"/>
                  <w:marBottom w:val="0"/>
                  <w:divBdr>
                    <w:top w:val="none" w:sz="0" w:space="0" w:color="auto"/>
                    <w:left w:val="none" w:sz="0" w:space="0" w:color="auto"/>
                    <w:bottom w:val="none" w:sz="0" w:space="0" w:color="auto"/>
                    <w:right w:val="none" w:sz="0" w:space="0" w:color="auto"/>
                  </w:divBdr>
                </w:div>
                <w:div w:id="711881091">
                  <w:marLeft w:val="0"/>
                  <w:marRight w:val="0"/>
                  <w:marTop w:val="0"/>
                  <w:marBottom w:val="0"/>
                  <w:divBdr>
                    <w:top w:val="none" w:sz="0" w:space="0" w:color="auto"/>
                    <w:left w:val="none" w:sz="0" w:space="0" w:color="auto"/>
                    <w:bottom w:val="none" w:sz="0" w:space="0" w:color="auto"/>
                    <w:right w:val="none" w:sz="0" w:space="0" w:color="auto"/>
                  </w:divBdr>
                </w:div>
                <w:div w:id="1381443917">
                  <w:marLeft w:val="0"/>
                  <w:marRight w:val="0"/>
                  <w:marTop w:val="0"/>
                  <w:marBottom w:val="0"/>
                  <w:divBdr>
                    <w:top w:val="none" w:sz="0" w:space="0" w:color="auto"/>
                    <w:left w:val="none" w:sz="0" w:space="0" w:color="auto"/>
                    <w:bottom w:val="none" w:sz="0" w:space="0" w:color="auto"/>
                    <w:right w:val="none" w:sz="0" w:space="0" w:color="auto"/>
                  </w:divBdr>
                </w:div>
                <w:div w:id="2031028573">
                  <w:marLeft w:val="0"/>
                  <w:marRight w:val="0"/>
                  <w:marTop w:val="0"/>
                  <w:marBottom w:val="0"/>
                  <w:divBdr>
                    <w:top w:val="none" w:sz="0" w:space="0" w:color="auto"/>
                    <w:left w:val="none" w:sz="0" w:space="0" w:color="auto"/>
                    <w:bottom w:val="none" w:sz="0" w:space="0" w:color="auto"/>
                    <w:right w:val="none" w:sz="0" w:space="0" w:color="auto"/>
                  </w:divBdr>
                </w:div>
                <w:div w:id="780958116">
                  <w:marLeft w:val="0"/>
                  <w:marRight w:val="0"/>
                  <w:marTop w:val="0"/>
                  <w:marBottom w:val="0"/>
                  <w:divBdr>
                    <w:top w:val="none" w:sz="0" w:space="0" w:color="auto"/>
                    <w:left w:val="none" w:sz="0" w:space="0" w:color="auto"/>
                    <w:bottom w:val="none" w:sz="0" w:space="0" w:color="auto"/>
                    <w:right w:val="none" w:sz="0" w:space="0" w:color="auto"/>
                  </w:divBdr>
                </w:div>
                <w:div w:id="750614315">
                  <w:marLeft w:val="0"/>
                  <w:marRight w:val="0"/>
                  <w:marTop w:val="0"/>
                  <w:marBottom w:val="0"/>
                  <w:divBdr>
                    <w:top w:val="none" w:sz="0" w:space="0" w:color="auto"/>
                    <w:left w:val="none" w:sz="0" w:space="0" w:color="auto"/>
                    <w:bottom w:val="none" w:sz="0" w:space="0" w:color="auto"/>
                    <w:right w:val="none" w:sz="0" w:space="0" w:color="auto"/>
                  </w:divBdr>
                </w:div>
                <w:div w:id="1515604962">
                  <w:marLeft w:val="0"/>
                  <w:marRight w:val="0"/>
                  <w:marTop w:val="0"/>
                  <w:marBottom w:val="0"/>
                  <w:divBdr>
                    <w:top w:val="none" w:sz="0" w:space="0" w:color="auto"/>
                    <w:left w:val="none" w:sz="0" w:space="0" w:color="auto"/>
                    <w:bottom w:val="none" w:sz="0" w:space="0" w:color="auto"/>
                    <w:right w:val="none" w:sz="0" w:space="0" w:color="auto"/>
                  </w:divBdr>
                </w:div>
                <w:div w:id="1065299845">
                  <w:marLeft w:val="0"/>
                  <w:marRight w:val="0"/>
                  <w:marTop w:val="0"/>
                  <w:marBottom w:val="0"/>
                  <w:divBdr>
                    <w:top w:val="none" w:sz="0" w:space="0" w:color="auto"/>
                    <w:left w:val="none" w:sz="0" w:space="0" w:color="auto"/>
                    <w:bottom w:val="none" w:sz="0" w:space="0" w:color="auto"/>
                    <w:right w:val="none" w:sz="0" w:space="0" w:color="auto"/>
                  </w:divBdr>
                </w:div>
                <w:div w:id="4804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141">
          <w:marLeft w:val="0"/>
          <w:marRight w:val="0"/>
          <w:marTop w:val="0"/>
          <w:marBottom w:val="0"/>
          <w:divBdr>
            <w:top w:val="none" w:sz="0" w:space="0" w:color="auto"/>
            <w:left w:val="none" w:sz="0" w:space="0" w:color="auto"/>
            <w:bottom w:val="none" w:sz="0" w:space="0" w:color="auto"/>
            <w:right w:val="none" w:sz="0" w:space="0" w:color="auto"/>
          </w:divBdr>
          <w:divsChild>
            <w:div w:id="2094625630">
              <w:marLeft w:val="0"/>
              <w:marRight w:val="0"/>
              <w:marTop w:val="0"/>
              <w:marBottom w:val="0"/>
              <w:divBdr>
                <w:top w:val="none" w:sz="0" w:space="0" w:color="auto"/>
                <w:left w:val="none" w:sz="0" w:space="0" w:color="auto"/>
                <w:bottom w:val="none" w:sz="0" w:space="0" w:color="auto"/>
                <w:right w:val="none" w:sz="0" w:space="0" w:color="auto"/>
              </w:divBdr>
              <w:divsChild>
                <w:div w:id="1091853310">
                  <w:marLeft w:val="0"/>
                  <w:marRight w:val="0"/>
                  <w:marTop w:val="0"/>
                  <w:marBottom w:val="0"/>
                  <w:divBdr>
                    <w:top w:val="none" w:sz="0" w:space="0" w:color="auto"/>
                    <w:left w:val="none" w:sz="0" w:space="0" w:color="auto"/>
                    <w:bottom w:val="none" w:sz="0" w:space="0" w:color="auto"/>
                    <w:right w:val="none" w:sz="0" w:space="0" w:color="auto"/>
                  </w:divBdr>
                </w:div>
                <w:div w:id="1228806266">
                  <w:marLeft w:val="0"/>
                  <w:marRight w:val="0"/>
                  <w:marTop w:val="0"/>
                  <w:marBottom w:val="0"/>
                  <w:divBdr>
                    <w:top w:val="none" w:sz="0" w:space="0" w:color="auto"/>
                    <w:left w:val="none" w:sz="0" w:space="0" w:color="auto"/>
                    <w:bottom w:val="none" w:sz="0" w:space="0" w:color="auto"/>
                    <w:right w:val="none" w:sz="0" w:space="0" w:color="auto"/>
                  </w:divBdr>
                </w:div>
                <w:div w:id="280067266">
                  <w:marLeft w:val="0"/>
                  <w:marRight w:val="0"/>
                  <w:marTop w:val="0"/>
                  <w:marBottom w:val="0"/>
                  <w:divBdr>
                    <w:top w:val="none" w:sz="0" w:space="0" w:color="auto"/>
                    <w:left w:val="none" w:sz="0" w:space="0" w:color="auto"/>
                    <w:bottom w:val="none" w:sz="0" w:space="0" w:color="auto"/>
                    <w:right w:val="none" w:sz="0" w:space="0" w:color="auto"/>
                  </w:divBdr>
                </w:div>
                <w:div w:id="1268153249">
                  <w:marLeft w:val="0"/>
                  <w:marRight w:val="0"/>
                  <w:marTop w:val="0"/>
                  <w:marBottom w:val="0"/>
                  <w:divBdr>
                    <w:top w:val="none" w:sz="0" w:space="0" w:color="auto"/>
                    <w:left w:val="none" w:sz="0" w:space="0" w:color="auto"/>
                    <w:bottom w:val="none" w:sz="0" w:space="0" w:color="auto"/>
                    <w:right w:val="none" w:sz="0" w:space="0" w:color="auto"/>
                  </w:divBdr>
                </w:div>
                <w:div w:id="172960692">
                  <w:marLeft w:val="0"/>
                  <w:marRight w:val="0"/>
                  <w:marTop w:val="0"/>
                  <w:marBottom w:val="0"/>
                  <w:divBdr>
                    <w:top w:val="none" w:sz="0" w:space="0" w:color="auto"/>
                    <w:left w:val="none" w:sz="0" w:space="0" w:color="auto"/>
                    <w:bottom w:val="none" w:sz="0" w:space="0" w:color="auto"/>
                    <w:right w:val="none" w:sz="0" w:space="0" w:color="auto"/>
                  </w:divBdr>
                </w:div>
                <w:div w:id="470707715">
                  <w:marLeft w:val="0"/>
                  <w:marRight w:val="0"/>
                  <w:marTop w:val="0"/>
                  <w:marBottom w:val="0"/>
                  <w:divBdr>
                    <w:top w:val="none" w:sz="0" w:space="0" w:color="auto"/>
                    <w:left w:val="none" w:sz="0" w:space="0" w:color="auto"/>
                    <w:bottom w:val="none" w:sz="0" w:space="0" w:color="auto"/>
                    <w:right w:val="none" w:sz="0" w:space="0" w:color="auto"/>
                  </w:divBdr>
                </w:div>
                <w:div w:id="486171806">
                  <w:marLeft w:val="0"/>
                  <w:marRight w:val="0"/>
                  <w:marTop w:val="0"/>
                  <w:marBottom w:val="0"/>
                  <w:divBdr>
                    <w:top w:val="none" w:sz="0" w:space="0" w:color="auto"/>
                    <w:left w:val="none" w:sz="0" w:space="0" w:color="auto"/>
                    <w:bottom w:val="none" w:sz="0" w:space="0" w:color="auto"/>
                    <w:right w:val="none" w:sz="0" w:space="0" w:color="auto"/>
                  </w:divBdr>
                </w:div>
                <w:div w:id="391315686">
                  <w:marLeft w:val="0"/>
                  <w:marRight w:val="0"/>
                  <w:marTop w:val="0"/>
                  <w:marBottom w:val="0"/>
                  <w:divBdr>
                    <w:top w:val="none" w:sz="0" w:space="0" w:color="auto"/>
                    <w:left w:val="none" w:sz="0" w:space="0" w:color="auto"/>
                    <w:bottom w:val="none" w:sz="0" w:space="0" w:color="auto"/>
                    <w:right w:val="none" w:sz="0" w:space="0" w:color="auto"/>
                  </w:divBdr>
                </w:div>
                <w:div w:id="17856696">
                  <w:marLeft w:val="0"/>
                  <w:marRight w:val="0"/>
                  <w:marTop w:val="0"/>
                  <w:marBottom w:val="0"/>
                  <w:divBdr>
                    <w:top w:val="none" w:sz="0" w:space="0" w:color="auto"/>
                    <w:left w:val="none" w:sz="0" w:space="0" w:color="auto"/>
                    <w:bottom w:val="none" w:sz="0" w:space="0" w:color="auto"/>
                    <w:right w:val="none" w:sz="0" w:space="0" w:color="auto"/>
                  </w:divBdr>
                </w:div>
                <w:div w:id="1317077369">
                  <w:marLeft w:val="0"/>
                  <w:marRight w:val="0"/>
                  <w:marTop w:val="0"/>
                  <w:marBottom w:val="0"/>
                  <w:divBdr>
                    <w:top w:val="none" w:sz="0" w:space="0" w:color="auto"/>
                    <w:left w:val="none" w:sz="0" w:space="0" w:color="auto"/>
                    <w:bottom w:val="none" w:sz="0" w:space="0" w:color="auto"/>
                    <w:right w:val="none" w:sz="0" w:space="0" w:color="auto"/>
                  </w:divBdr>
                </w:div>
                <w:div w:id="2060980019">
                  <w:marLeft w:val="0"/>
                  <w:marRight w:val="0"/>
                  <w:marTop w:val="0"/>
                  <w:marBottom w:val="0"/>
                  <w:divBdr>
                    <w:top w:val="none" w:sz="0" w:space="0" w:color="auto"/>
                    <w:left w:val="none" w:sz="0" w:space="0" w:color="auto"/>
                    <w:bottom w:val="none" w:sz="0" w:space="0" w:color="auto"/>
                    <w:right w:val="none" w:sz="0" w:space="0" w:color="auto"/>
                  </w:divBdr>
                </w:div>
                <w:div w:id="323163372">
                  <w:marLeft w:val="0"/>
                  <w:marRight w:val="0"/>
                  <w:marTop w:val="0"/>
                  <w:marBottom w:val="0"/>
                  <w:divBdr>
                    <w:top w:val="none" w:sz="0" w:space="0" w:color="auto"/>
                    <w:left w:val="none" w:sz="0" w:space="0" w:color="auto"/>
                    <w:bottom w:val="none" w:sz="0" w:space="0" w:color="auto"/>
                    <w:right w:val="none" w:sz="0" w:space="0" w:color="auto"/>
                  </w:divBdr>
                </w:div>
                <w:div w:id="719591905">
                  <w:marLeft w:val="0"/>
                  <w:marRight w:val="0"/>
                  <w:marTop w:val="0"/>
                  <w:marBottom w:val="0"/>
                  <w:divBdr>
                    <w:top w:val="none" w:sz="0" w:space="0" w:color="auto"/>
                    <w:left w:val="none" w:sz="0" w:space="0" w:color="auto"/>
                    <w:bottom w:val="none" w:sz="0" w:space="0" w:color="auto"/>
                    <w:right w:val="none" w:sz="0" w:space="0" w:color="auto"/>
                  </w:divBdr>
                </w:div>
                <w:div w:id="1314985691">
                  <w:marLeft w:val="0"/>
                  <w:marRight w:val="0"/>
                  <w:marTop w:val="0"/>
                  <w:marBottom w:val="0"/>
                  <w:divBdr>
                    <w:top w:val="none" w:sz="0" w:space="0" w:color="auto"/>
                    <w:left w:val="none" w:sz="0" w:space="0" w:color="auto"/>
                    <w:bottom w:val="none" w:sz="0" w:space="0" w:color="auto"/>
                    <w:right w:val="none" w:sz="0" w:space="0" w:color="auto"/>
                  </w:divBdr>
                </w:div>
                <w:div w:id="1419911249">
                  <w:marLeft w:val="0"/>
                  <w:marRight w:val="0"/>
                  <w:marTop w:val="0"/>
                  <w:marBottom w:val="0"/>
                  <w:divBdr>
                    <w:top w:val="none" w:sz="0" w:space="0" w:color="auto"/>
                    <w:left w:val="none" w:sz="0" w:space="0" w:color="auto"/>
                    <w:bottom w:val="none" w:sz="0" w:space="0" w:color="auto"/>
                    <w:right w:val="none" w:sz="0" w:space="0" w:color="auto"/>
                  </w:divBdr>
                </w:div>
                <w:div w:id="1381905584">
                  <w:marLeft w:val="0"/>
                  <w:marRight w:val="0"/>
                  <w:marTop w:val="0"/>
                  <w:marBottom w:val="0"/>
                  <w:divBdr>
                    <w:top w:val="none" w:sz="0" w:space="0" w:color="auto"/>
                    <w:left w:val="none" w:sz="0" w:space="0" w:color="auto"/>
                    <w:bottom w:val="none" w:sz="0" w:space="0" w:color="auto"/>
                    <w:right w:val="none" w:sz="0" w:space="0" w:color="auto"/>
                  </w:divBdr>
                </w:div>
                <w:div w:id="1343824171">
                  <w:marLeft w:val="0"/>
                  <w:marRight w:val="0"/>
                  <w:marTop w:val="0"/>
                  <w:marBottom w:val="0"/>
                  <w:divBdr>
                    <w:top w:val="none" w:sz="0" w:space="0" w:color="auto"/>
                    <w:left w:val="none" w:sz="0" w:space="0" w:color="auto"/>
                    <w:bottom w:val="none" w:sz="0" w:space="0" w:color="auto"/>
                    <w:right w:val="none" w:sz="0" w:space="0" w:color="auto"/>
                  </w:divBdr>
                </w:div>
                <w:div w:id="1911308197">
                  <w:marLeft w:val="0"/>
                  <w:marRight w:val="0"/>
                  <w:marTop w:val="0"/>
                  <w:marBottom w:val="0"/>
                  <w:divBdr>
                    <w:top w:val="none" w:sz="0" w:space="0" w:color="auto"/>
                    <w:left w:val="none" w:sz="0" w:space="0" w:color="auto"/>
                    <w:bottom w:val="none" w:sz="0" w:space="0" w:color="auto"/>
                    <w:right w:val="none" w:sz="0" w:space="0" w:color="auto"/>
                  </w:divBdr>
                </w:div>
                <w:div w:id="657003351">
                  <w:marLeft w:val="0"/>
                  <w:marRight w:val="0"/>
                  <w:marTop w:val="0"/>
                  <w:marBottom w:val="0"/>
                  <w:divBdr>
                    <w:top w:val="none" w:sz="0" w:space="0" w:color="auto"/>
                    <w:left w:val="none" w:sz="0" w:space="0" w:color="auto"/>
                    <w:bottom w:val="none" w:sz="0" w:space="0" w:color="auto"/>
                    <w:right w:val="none" w:sz="0" w:space="0" w:color="auto"/>
                  </w:divBdr>
                </w:div>
                <w:div w:id="265889608">
                  <w:marLeft w:val="0"/>
                  <w:marRight w:val="0"/>
                  <w:marTop w:val="0"/>
                  <w:marBottom w:val="0"/>
                  <w:divBdr>
                    <w:top w:val="none" w:sz="0" w:space="0" w:color="auto"/>
                    <w:left w:val="none" w:sz="0" w:space="0" w:color="auto"/>
                    <w:bottom w:val="none" w:sz="0" w:space="0" w:color="auto"/>
                    <w:right w:val="none" w:sz="0" w:space="0" w:color="auto"/>
                  </w:divBdr>
                </w:div>
                <w:div w:id="2066759679">
                  <w:marLeft w:val="0"/>
                  <w:marRight w:val="0"/>
                  <w:marTop w:val="0"/>
                  <w:marBottom w:val="0"/>
                  <w:divBdr>
                    <w:top w:val="none" w:sz="0" w:space="0" w:color="auto"/>
                    <w:left w:val="none" w:sz="0" w:space="0" w:color="auto"/>
                    <w:bottom w:val="none" w:sz="0" w:space="0" w:color="auto"/>
                    <w:right w:val="none" w:sz="0" w:space="0" w:color="auto"/>
                  </w:divBdr>
                </w:div>
                <w:div w:id="633874267">
                  <w:marLeft w:val="0"/>
                  <w:marRight w:val="0"/>
                  <w:marTop w:val="0"/>
                  <w:marBottom w:val="0"/>
                  <w:divBdr>
                    <w:top w:val="none" w:sz="0" w:space="0" w:color="auto"/>
                    <w:left w:val="none" w:sz="0" w:space="0" w:color="auto"/>
                    <w:bottom w:val="none" w:sz="0" w:space="0" w:color="auto"/>
                    <w:right w:val="none" w:sz="0" w:space="0" w:color="auto"/>
                  </w:divBdr>
                </w:div>
                <w:div w:id="1410813689">
                  <w:marLeft w:val="0"/>
                  <w:marRight w:val="0"/>
                  <w:marTop w:val="0"/>
                  <w:marBottom w:val="0"/>
                  <w:divBdr>
                    <w:top w:val="none" w:sz="0" w:space="0" w:color="auto"/>
                    <w:left w:val="none" w:sz="0" w:space="0" w:color="auto"/>
                    <w:bottom w:val="none" w:sz="0" w:space="0" w:color="auto"/>
                    <w:right w:val="none" w:sz="0" w:space="0" w:color="auto"/>
                  </w:divBdr>
                </w:div>
                <w:div w:id="12108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310">
      <w:bodyDiv w:val="1"/>
      <w:marLeft w:val="0"/>
      <w:marRight w:val="0"/>
      <w:marTop w:val="0"/>
      <w:marBottom w:val="0"/>
      <w:divBdr>
        <w:top w:val="none" w:sz="0" w:space="0" w:color="auto"/>
        <w:left w:val="none" w:sz="0" w:space="0" w:color="auto"/>
        <w:bottom w:val="none" w:sz="0" w:space="0" w:color="auto"/>
        <w:right w:val="none" w:sz="0" w:space="0" w:color="auto"/>
      </w:divBdr>
    </w:div>
    <w:div w:id="276061830">
      <w:bodyDiv w:val="1"/>
      <w:marLeft w:val="0"/>
      <w:marRight w:val="0"/>
      <w:marTop w:val="0"/>
      <w:marBottom w:val="0"/>
      <w:divBdr>
        <w:top w:val="none" w:sz="0" w:space="0" w:color="auto"/>
        <w:left w:val="none" w:sz="0" w:space="0" w:color="auto"/>
        <w:bottom w:val="none" w:sz="0" w:space="0" w:color="auto"/>
        <w:right w:val="none" w:sz="0" w:space="0" w:color="auto"/>
      </w:divBdr>
    </w:div>
    <w:div w:id="321785208">
      <w:bodyDiv w:val="1"/>
      <w:marLeft w:val="0"/>
      <w:marRight w:val="0"/>
      <w:marTop w:val="0"/>
      <w:marBottom w:val="0"/>
      <w:divBdr>
        <w:top w:val="none" w:sz="0" w:space="0" w:color="auto"/>
        <w:left w:val="none" w:sz="0" w:space="0" w:color="auto"/>
        <w:bottom w:val="none" w:sz="0" w:space="0" w:color="auto"/>
        <w:right w:val="none" w:sz="0" w:space="0" w:color="auto"/>
      </w:divBdr>
    </w:div>
    <w:div w:id="445664708">
      <w:bodyDiv w:val="1"/>
      <w:marLeft w:val="0"/>
      <w:marRight w:val="0"/>
      <w:marTop w:val="0"/>
      <w:marBottom w:val="0"/>
      <w:divBdr>
        <w:top w:val="none" w:sz="0" w:space="0" w:color="auto"/>
        <w:left w:val="none" w:sz="0" w:space="0" w:color="auto"/>
        <w:bottom w:val="none" w:sz="0" w:space="0" w:color="auto"/>
        <w:right w:val="none" w:sz="0" w:space="0" w:color="auto"/>
      </w:divBdr>
    </w:div>
    <w:div w:id="463813525">
      <w:bodyDiv w:val="1"/>
      <w:marLeft w:val="0"/>
      <w:marRight w:val="0"/>
      <w:marTop w:val="0"/>
      <w:marBottom w:val="0"/>
      <w:divBdr>
        <w:top w:val="none" w:sz="0" w:space="0" w:color="auto"/>
        <w:left w:val="none" w:sz="0" w:space="0" w:color="auto"/>
        <w:bottom w:val="none" w:sz="0" w:space="0" w:color="auto"/>
        <w:right w:val="none" w:sz="0" w:space="0" w:color="auto"/>
      </w:divBdr>
      <w:divsChild>
        <w:div w:id="98262616">
          <w:marLeft w:val="432"/>
          <w:marRight w:val="0"/>
          <w:marTop w:val="125"/>
          <w:marBottom w:val="0"/>
          <w:divBdr>
            <w:top w:val="none" w:sz="0" w:space="0" w:color="auto"/>
            <w:left w:val="none" w:sz="0" w:space="0" w:color="auto"/>
            <w:bottom w:val="none" w:sz="0" w:space="0" w:color="auto"/>
            <w:right w:val="none" w:sz="0" w:space="0" w:color="auto"/>
          </w:divBdr>
        </w:div>
        <w:div w:id="126703099">
          <w:marLeft w:val="432"/>
          <w:marRight w:val="0"/>
          <w:marTop w:val="125"/>
          <w:marBottom w:val="0"/>
          <w:divBdr>
            <w:top w:val="none" w:sz="0" w:space="0" w:color="auto"/>
            <w:left w:val="none" w:sz="0" w:space="0" w:color="auto"/>
            <w:bottom w:val="none" w:sz="0" w:space="0" w:color="auto"/>
            <w:right w:val="none" w:sz="0" w:space="0" w:color="auto"/>
          </w:divBdr>
        </w:div>
        <w:div w:id="526480459">
          <w:marLeft w:val="432"/>
          <w:marRight w:val="0"/>
          <w:marTop w:val="125"/>
          <w:marBottom w:val="0"/>
          <w:divBdr>
            <w:top w:val="none" w:sz="0" w:space="0" w:color="auto"/>
            <w:left w:val="none" w:sz="0" w:space="0" w:color="auto"/>
            <w:bottom w:val="none" w:sz="0" w:space="0" w:color="auto"/>
            <w:right w:val="none" w:sz="0" w:space="0" w:color="auto"/>
          </w:divBdr>
        </w:div>
        <w:div w:id="283510762">
          <w:marLeft w:val="432"/>
          <w:marRight w:val="0"/>
          <w:marTop w:val="125"/>
          <w:marBottom w:val="0"/>
          <w:divBdr>
            <w:top w:val="none" w:sz="0" w:space="0" w:color="auto"/>
            <w:left w:val="none" w:sz="0" w:space="0" w:color="auto"/>
            <w:bottom w:val="none" w:sz="0" w:space="0" w:color="auto"/>
            <w:right w:val="none" w:sz="0" w:space="0" w:color="auto"/>
          </w:divBdr>
        </w:div>
      </w:divsChild>
    </w:div>
    <w:div w:id="478378591">
      <w:bodyDiv w:val="1"/>
      <w:marLeft w:val="0"/>
      <w:marRight w:val="0"/>
      <w:marTop w:val="0"/>
      <w:marBottom w:val="0"/>
      <w:divBdr>
        <w:top w:val="none" w:sz="0" w:space="0" w:color="auto"/>
        <w:left w:val="none" w:sz="0" w:space="0" w:color="auto"/>
        <w:bottom w:val="none" w:sz="0" w:space="0" w:color="auto"/>
        <w:right w:val="none" w:sz="0" w:space="0" w:color="auto"/>
      </w:divBdr>
    </w:div>
    <w:div w:id="616253037">
      <w:bodyDiv w:val="1"/>
      <w:marLeft w:val="0"/>
      <w:marRight w:val="0"/>
      <w:marTop w:val="0"/>
      <w:marBottom w:val="0"/>
      <w:divBdr>
        <w:top w:val="none" w:sz="0" w:space="0" w:color="auto"/>
        <w:left w:val="none" w:sz="0" w:space="0" w:color="auto"/>
        <w:bottom w:val="none" w:sz="0" w:space="0" w:color="auto"/>
        <w:right w:val="none" w:sz="0" w:space="0" w:color="auto"/>
      </w:divBdr>
    </w:div>
    <w:div w:id="932667412">
      <w:bodyDiv w:val="1"/>
      <w:marLeft w:val="0"/>
      <w:marRight w:val="0"/>
      <w:marTop w:val="0"/>
      <w:marBottom w:val="0"/>
      <w:divBdr>
        <w:top w:val="none" w:sz="0" w:space="0" w:color="auto"/>
        <w:left w:val="none" w:sz="0" w:space="0" w:color="auto"/>
        <w:bottom w:val="none" w:sz="0" w:space="0" w:color="auto"/>
        <w:right w:val="none" w:sz="0" w:space="0" w:color="auto"/>
      </w:divBdr>
    </w:div>
    <w:div w:id="1045570367">
      <w:bodyDiv w:val="1"/>
      <w:marLeft w:val="0"/>
      <w:marRight w:val="0"/>
      <w:marTop w:val="0"/>
      <w:marBottom w:val="0"/>
      <w:divBdr>
        <w:top w:val="none" w:sz="0" w:space="0" w:color="auto"/>
        <w:left w:val="none" w:sz="0" w:space="0" w:color="auto"/>
        <w:bottom w:val="none" w:sz="0" w:space="0" w:color="auto"/>
        <w:right w:val="none" w:sz="0" w:space="0" w:color="auto"/>
      </w:divBdr>
    </w:div>
    <w:div w:id="1194347728">
      <w:bodyDiv w:val="1"/>
      <w:marLeft w:val="0"/>
      <w:marRight w:val="0"/>
      <w:marTop w:val="0"/>
      <w:marBottom w:val="0"/>
      <w:divBdr>
        <w:top w:val="none" w:sz="0" w:space="0" w:color="auto"/>
        <w:left w:val="none" w:sz="0" w:space="0" w:color="auto"/>
        <w:bottom w:val="none" w:sz="0" w:space="0" w:color="auto"/>
        <w:right w:val="none" w:sz="0" w:space="0" w:color="auto"/>
      </w:divBdr>
      <w:divsChild>
        <w:div w:id="1839495404">
          <w:marLeft w:val="0"/>
          <w:marRight w:val="0"/>
          <w:marTop w:val="0"/>
          <w:marBottom w:val="0"/>
          <w:divBdr>
            <w:top w:val="none" w:sz="0" w:space="0" w:color="auto"/>
            <w:left w:val="none" w:sz="0" w:space="0" w:color="auto"/>
            <w:bottom w:val="none" w:sz="0" w:space="0" w:color="auto"/>
            <w:right w:val="none" w:sz="0" w:space="0" w:color="auto"/>
          </w:divBdr>
        </w:div>
        <w:div w:id="708258245">
          <w:marLeft w:val="0"/>
          <w:marRight w:val="0"/>
          <w:marTop w:val="0"/>
          <w:marBottom w:val="0"/>
          <w:divBdr>
            <w:top w:val="none" w:sz="0" w:space="0" w:color="auto"/>
            <w:left w:val="none" w:sz="0" w:space="0" w:color="auto"/>
            <w:bottom w:val="none" w:sz="0" w:space="0" w:color="auto"/>
            <w:right w:val="none" w:sz="0" w:space="0" w:color="auto"/>
          </w:divBdr>
        </w:div>
        <w:div w:id="1900942751">
          <w:marLeft w:val="0"/>
          <w:marRight w:val="0"/>
          <w:marTop w:val="0"/>
          <w:marBottom w:val="0"/>
          <w:divBdr>
            <w:top w:val="none" w:sz="0" w:space="0" w:color="auto"/>
            <w:left w:val="none" w:sz="0" w:space="0" w:color="auto"/>
            <w:bottom w:val="none" w:sz="0" w:space="0" w:color="auto"/>
            <w:right w:val="none" w:sz="0" w:space="0" w:color="auto"/>
          </w:divBdr>
        </w:div>
        <w:div w:id="206383619">
          <w:marLeft w:val="0"/>
          <w:marRight w:val="0"/>
          <w:marTop w:val="0"/>
          <w:marBottom w:val="0"/>
          <w:divBdr>
            <w:top w:val="none" w:sz="0" w:space="0" w:color="auto"/>
            <w:left w:val="none" w:sz="0" w:space="0" w:color="auto"/>
            <w:bottom w:val="none" w:sz="0" w:space="0" w:color="auto"/>
            <w:right w:val="none" w:sz="0" w:space="0" w:color="auto"/>
          </w:divBdr>
        </w:div>
        <w:div w:id="1304965661">
          <w:marLeft w:val="0"/>
          <w:marRight w:val="0"/>
          <w:marTop w:val="0"/>
          <w:marBottom w:val="0"/>
          <w:divBdr>
            <w:top w:val="none" w:sz="0" w:space="0" w:color="auto"/>
            <w:left w:val="none" w:sz="0" w:space="0" w:color="auto"/>
            <w:bottom w:val="none" w:sz="0" w:space="0" w:color="auto"/>
            <w:right w:val="none" w:sz="0" w:space="0" w:color="auto"/>
          </w:divBdr>
        </w:div>
        <w:div w:id="291137419">
          <w:marLeft w:val="0"/>
          <w:marRight w:val="0"/>
          <w:marTop w:val="0"/>
          <w:marBottom w:val="0"/>
          <w:divBdr>
            <w:top w:val="none" w:sz="0" w:space="0" w:color="auto"/>
            <w:left w:val="none" w:sz="0" w:space="0" w:color="auto"/>
            <w:bottom w:val="none" w:sz="0" w:space="0" w:color="auto"/>
            <w:right w:val="none" w:sz="0" w:space="0" w:color="auto"/>
          </w:divBdr>
        </w:div>
        <w:div w:id="1431972561">
          <w:marLeft w:val="0"/>
          <w:marRight w:val="0"/>
          <w:marTop w:val="0"/>
          <w:marBottom w:val="0"/>
          <w:divBdr>
            <w:top w:val="none" w:sz="0" w:space="0" w:color="auto"/>
            <w:left w:val="none" w:sz="0" w:space="0" w:color="auto"/>
            <w:bottom w:val="none" w:sz="0" w:space="0" w:color="auto"/>
            <w:right w:val="none" w:sz="0" w:space="0" w:color="auto"/>
          </w:divBdr>
        </w:div>
        <w:div w:id="584727570">
          <w:marLeft w:val="0"/>
          <w:marRight w:val="0"/>
          <w:marTop w:val="0"/>
          <w:marBottom w:val="0"/>
          <w:divBdr>
            <w:top w:val="none" w:sz="0" w:space="0" w:color="auto"/>
            <w:left w:val="none" w:sz="0" w:space="0" w:color="auto"/>
            <w:bottom w:val="none" w:sz="0" w:space="0" w:color="auto"/>
            <w:right w:val="none" w:sz="0" w:space="0" w:color="auto"/>
          </w:divBdr>
        </w:div>
        <w:div w:id="654842438">
          <w:marLeft w:val="0"/>
          <w:marRight w:val="0"/>
          <w:marTop w:val="0"/>
          <w:marBottom w:val="0"/>
          <w:divBdr>
            <w:top w:val="none" w:sz="0" w:space="0" w:color="auto"/>
            <w:left w:val="none" w:sz="0" w:space="0" w:color="auto"/>
            <w:bottom w:val="none" w:sz="0" w:space="0" w:color="auto"/>
            <w:right w:val="none" w:sz="0" w:space="0" w:color="auto"/>
          </w:divBdr>
        </w:div>
        <w:div w:id="1817457607">
          <w:marLeft w:val="0"/>
          <w:marRight w:val="0"/>
          <w:marTop w:val="0"/>
          <w:marBottom w:val="0"/>
          <w:divBdr>
            <w:top w:val="none" w:sz="0" w:space="0" w:color="auto"/>
            <w:left w:val="none" w:sz="0" w:space="0" w:color="auto"/>
            <w:bottom w:val="none" w:sz="0" w:space="0" w:color="auto"/>
            <w:right w:val="none" w:sz="0" w:space="0" w:color="auto"/>
          </w:divBdr>
        </w:div>
        <w:div w:id="1573391172">
          <w:marLeft w:val="0"/>
          <w:marRight w:val="0"/>
          <w:marTop w:val="0"/>
          <w:marBottom w:val="0"/>
          <w:divBdr>
            <w:top w:val="none" w:sz="0" w:space="0" w:color="auto"/>
            <w:left w:val="none" w:sz="0" w:space="0" w:color="auto"/>
            <w:bottom w:val="none" w:sz="0" w:space="0" w:color="auto"/>
            <w:right w:val="none" w:sz="0" w:space="0" w:color="auto"/>
          </w:divBdr>
        </w:div>
        <w:div w:id="846866410">
          <w:marLeft w:val="0"/>
          <w:marRight w:val="0"/>
          <w:marTop w:val="0"/>
          <w:marBottom w:val="0"/>
          <w:divBdr>
            <w:top w:val="none" w:sz="0" w:space="0" w:color="auto"/>
            <w:left w:val="none" w:sz="0" w:space="0" w:color="auto"/>
            <w:bottom w:val="none" w:sz="0" w:space="0" w:color="auto"/>
            <w:right w:val="none" w:sz="0" w:space="0" w:color="auto"/>
          </w:divBdr>
        </w:div>
        <w:div w:id="1286541298">
          <w:marLeft w:val="0"/>
          <w:marRight w:val="0"/>
          <w:marTop w:val="0"/>
          <w:marBottom w:val="0"/>
          <w:divBdr>
            <w:top w:val="none" w:sz="0" w:space="0" w:color="auto"/>
            <w:left w:val="none" w:sz="0" w:space="0" w:color="auto"/>
            <w:bottom w:val="none" w:sz="0" w:space="0" w:color="auto"/>
            <w:right w:val="none" w:sz="0" w:space="0" w:color="auto"/>
          </w:divBdr>
        </w:div>
        <w:div w:id="1019432048">
          <w:marLeft w:val="0"/>
          <w:marRight w:val="0"/>
          <w:marTop w:val="0"/>
          <w:marBottom w:val="0"/>
          <w:divBdr>
            <w:top w:val="none" w:sz="0" w:space="0" w:color="auto"/>
            <w:left w:val="none" w:sz="0" w:space="0" w:color="auto"/>
            <w:bottom w:val="none" w:sz="0" w:space="0" w:color="auto"/>
            <w:right w:val="none" w:sz="0" w:space="0" w:color="auto"/>
          </w:divBdr>
        </w:div>
        <w:div w:id="35010886">
          <w:marLeft w:val="0"/>
          <w:marRight w:val="0"/>
          <w:marTop w:val="0"/>
          <w:marBottom w:val="0"/>
          <w:divBdr>
            <w:top w:val="none" w:sz="0" w:space="0" w:color="auto"/>
            <w:left w:val="none" w:sz="0" w:space="0" w:color="auto"/>
            <w:bottom w:val="none" w:sz="0" w:space="0" w:color="auto"/>
            <w:right w:val="none" w:sz="0" w:space="0" w:color="auto"/>
          </w:divBdr>
        </w:div>
        <w:div w:id="1106537344">
          <w:marLeft w:val="0"/>
          <w:marRight w:val="0"/>
          <w:marTop w:val="0"/>
          <w:marBottom w:val="0"/>
          <w:divBdr>
            <w:top w:val="none" w:sz="0" w:space="0" w:color="auto"/>
            <w:left w:val="none" w:sz="0" w:space="0" w:color="auto"/>
            <w:bottom w:val="none" w:sz="0" w:space="0" w:color="auto"/>
            <w:right w:val="none" w:sz="0" w:space="0" w:color="auto"/>
          </w:divBdr>
        </w:div>
      </w:divsChild>
    </w:div>
    <w:div w:id="1251084559">
      <w:bodyDiv w:val="1"/>
      <w:marLeft w:val="0"/>
      <w:marRight w:val="0"/>
      <w:marTop w:val="0"/>
      <w:marBottom w:val="0"/>
      <w:divBdr>
        <w:top w:val="none" w:sz="0" w:space="0" w:color="auto"/>
        <w:left w:val="none" w:sz="0" w:space="0" w:color="auto"/>
        <w:bottom w:val="none" w:sz="0" w:space="0" w:color="auto"/>
        <w:right w:val="none" w:sz="0" w:space="0" w:color="auto"/>
      </w:divBdr>
    </w:div>
    <w:div w:id="1258441874">
      <w:bodyDiv w:val="1"/>
      <w:marLeft w:val="0"/>
      <w:marRight w:val="0"/>
      <w:marTop w:val="0"/>
      <w:marBottom w:val="0"/>
      <w:divBdr>
        <w:top w:val="none" w:sz="0" w:space="0" w:color="auto"/>
        <w:left w:val="none" w:sz="0" w:space="0" w:color="auto"/>
        <w:bottom w:val="none" w:sz="0" w:space="0" w:color="auto"/>
        <w:right w:val="none" w:sz="0" w:space="0" w:color="auto"/>
      </w:divBdr>
      <w:divsChild>
        <w:div w:id="11830110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847518">
      <w:bodyDiv w:val="1"/>
      <w:marLeft w:val="0"/>
      <w:marRight w:val="0"/>
      <w:marTop w:val="0"/>
      <w:marBottom w:val="0"/>
      <w:divBdr>
        <w:top w:val="none" w:sz="0" w:space="0" w:color="auto"/>
        <w:left w:val="none" w:sz="0" w:space="0" w:color="auto"/>
        <w:bottom w:val="none" w:sz="0" w:space="0" w:color="auto"/>
        <w:right w:val="none" w:sz="0" w:space="0" w:color="auto"/>
      </w:divBdr>
      <w:divsChild>
        <w:div w:id="190849543">
          <w:marLeft w:val="432"/>
          <w:marRight w:val="0"/>
          <w:marTop w:val="125"/>
          <w:marBottom w:val="0"/>
          <w:divBdr>
            <w:top w:val="none" w:sz="0" w:space="0" w:color="auto"/>
            <w:left w:val="none" w:sz="0" w:space="0" w:color="auto"/>
            <w:bottom w:val="none" w:sz="0" w:space="0" w:color="auto"/>
            <w:right w:val="none" w:sz="0" w:space="0" w:color="auto"/>
          </w:divBdr>
        </w:div>
        <w:div w:id="1863208163">
          <w:marLeft w:val="432"/>
          <w:marRight w:val="0"/>
          <w:marTop w:val="125"/>
          <w:marBottom w:val="0"/>
          <w:divBdr>
            <w:top w:val="none" w:sz="0" w:space="0" w:color="auto"/>
            <w:left w:val="none" w:sz="0" w:space="0" w:color="auto"/>
            <w:bottom w:val="none" w:sz="0" w:space="0" w:color="auto"/>
            <w:right w:val="none" w:sz="0" w:space="0" w:color="auto"/>
          </w:divBdr>
        </w:div>
        <w:div w:id="1029719280">
          <w:marLeft w:val="432"/>
          <w:marRight w:val="0"/>
          <w:marTop w:val="125"/>
          <w:marBottom w:val="0"/>
          <w:divBdr>
            <w:top w:val="none" w:sz="0" w:space="0" w:color="auto"/>
            <w:left w:val="none" w:sz="0" w:space="0" w:color="auto"/>
            <w:bottom w:val="none" w:sz="0" w:space="0" w:color="auto"/>
            <w:right w:val="none" w:sz="0" w:space="0" w:color="auto"/>
          </w:divBdr>
        </w:div>
      </w:divsChild>
    </w:div>
    <w:div w:id="1330787809">
      <w:bodyDiv w:val="1"/>
      <w:marLeft w:val="0"/>
      <w:marRight w:val="0"/>
      <w:marTop w:val="0"/>
      <w:marBottom w:val="0"/>
      <w:divBdr>
        <w:top w:val="none" w:sz="0" w:space="0" w:color="auto"/>
        <w:left w:val="none" w:sz="0" w:space="0" w:color="auto"/>
        <w:bottom w:val="none" w:sz="0" w:space="0" w:color="auto"/>
        <w:right w:val="none" w:sz="0" w:space="0" w:color="auto"/>
      </w:divBdr>
    </w:div>
    <w:div w:id="1586186955">
      <w:bodyDiv w:val="1"/>
      <w:marLeft w:val="0"/>
      <w:marRight w:val="0"/>
      <w:marTop w:val="0"/>
      <w:marBottom w:val="0"/>
      <w:divBdr>
        <w:top w:val="none" w:sz="0" w:space="0" w:color="auto"/>
        <w:left w:val="none" w:sz="0" w:space="0" w:color="auto"/>
        <w:bottom w:val="none" w:sz="0" w:space="0" w:color="auto"/>
        <w:right w:val="none" w:sz="0" w:space="0" w:color="auto"/>
      </w:divBdr>
    </w:div>
    <w:div w:id="1608537419">
      <w:bodyDiv w:val="1"/>
      <w:marLeft w:val="0"/>
      <w:marRight w:val="0"/>
      <w:marTop w:val="0"/>
      <w:marBottom w:val="0"/>
      <w:divBdr>
        <w:top w:val="none" w:sz="0" w:space="0" w:color="auto"/>
        <w:left w:val="none" w:sz="0" w:space="0" w:color="auto"/>
        <w:bottom w:val="none" w:sz="0" w:space="0" w:color="auto"/>
        <w:right w:val="none" w:sz="0" w:space="0" w:color="auto"/>
      </w:divBdr>
    </w:div>
    <w:div w:id="1877158401">
      <w:bodyDiv w:val="1"/>
      <w:marLeft w:val="0"/>
      <w:marRight w:val="0"/>
      <w:marTop w:val="0"/>
      <w:marBottom w:val="0"/>
      <w:divBdr>
        <w:top w:val="none" w:sz="0" w:space="0" w:color="auto"/>
        <w:left w:val="none" w:sz="0" w:space="0" w:color="auto"/>
        <w:bottom w:val="none" w:sz="0" w:space="0" w:color="auto"/>
        <w:right w:val="none" w:sz="0" w:space="0" w:color="auto"/>
      </w:divBdr>
    </w:div>
    <w:div w:id="1907378287">
      <w:bodyDiv w:val="1"/>
      <w:marLeft w:val="0"/>
      <w:marRight w:val="0"/>
      <w:marTop w:val="0"/>
      <w:marBottom w:val="0"/>
      <w:divBdr>
        <w:top w:val="none" w:sz="0" w:space="0" w:color="auto"/>
        <w:left w:val="none" w:sz="0" w:space="0" w:color="auto"/>
        <w:bottom w:val="none" w:sz="0" w:space="0" w:color="auto"/>
        <w:right w:val="none" w:sz="0" w:space="0" w:color="auto"/>
      </w:divBdr>
    </w:div>
    <w:div w:id="1966348464">
      <w:bodyDiv w:val="1"/>
      <w:marLeft w:val="0"/>
      <w:marRight w:val="0"/>
      <w:marTop w:val="0"/>
      <w:marBottom w:val="0"/>
      <w:divBdr>
        <w:top w:val="none" w:sz="0" w:space="0" w:color="auto"/>
        <w:left w:val="none" w:sz="0" w:space="0" w:color="auto"/>
        <w:bottom w:val="none" w:sz="0" w:space="0" w:color="auto"/>
        <w:right w:val="none" w:sz="0" w:space="0" w:color="auto"/>
      </w:divBdr>
    </w:div>
    <w:div w:id="1995792728">
      <w:bodyDiv w:val="1"/>
      <w:marLeft w:val="0"/>
      <w:marRight w:val="0"/>
      <w:marTop w:val="0"/>
      <w:marBottom w:val="0"/>
      <w:divBdr>
        <w:top w:val="none" w:sz="0" w:space="0" w:color="auto"/>
        <w:left w:val="none" w:sz="0" w:space="0" w:color="auto"/>
        <w:bottom w:val="none" w:sz="0" w:space="0" w:color="auto"/>
        <w:right w:val="none" w:sz="0" w:space="0" w:color="auto"/>
      </w:divBdr>
      <w:divsChild>
        <w:div w:id="2109692697">
          <w:marLeft w:val="432"/>
          <w:marRight w:val="0"/>
          <w:marTop w:val="115"/>
          <w:marBottom w:val="0"/>
          <w:divBdr>
            <w:top w:val="none" w:sz="0" w:space="0" w:color="auto"/>
            <w:left w:val="none" w:sz="0" w:space="0" w:color="auto"/>
            <w:bottom w:val="none" w:sz="0" w:space="0" w:color="auto"/>
            <w:right w:val="none" w:sz="0" w:space="0" w:color="auto"/>
          </w:divBdr>
        </w:div>
        <w:div w:id="1766682953">
          <w:marLeft w:val="432"/>
          <w:marRight w:val="0"/>
          <w:marTop w:val="96"/>
          <w:marBottom w:val="0"/>
          <w:divBdr>
            <w:top w:val="none" w:sz="0" w:space="0" w:color="auto"/>
            <w:left w:val="none" w:sz="0" w:space="0" w:color="auto"/>
            <w:bottom w:val="none" w:sz="0" w:space="0" w:color="auto"/>
            <w:right w:val="none" w:sz="0" w:space="0" w:color="auto"/>
          </w:divBdr>
        </w:div>
        <w:div w:id="816728909">
          <w:marLeft w:val="432"/>
          <w:marRight w:val="0"/>
          <w:marTop w:val="96"/>
          <w:marBottom w:val="0"/>
          <w:divBdr>
            <w:top w:val="none" w:sz="0" w:space="0" w:color="auto"/>
            <w:left w:val="none" w:sz="0" w:space="0" w:color="auto"/>
            <w:bottom w:val="none" w:sz="0" w:space="0" w:color="auto"/>
            <w:right w:val="none" w:sz="0" w:space="0" w:color="auto"/>
          </w:divBdr>
        </w:div>
      </w:divsChild>
    </w:div>
    <w:div w:id="20699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F95C-928C-42C4-B87A-4FD065F8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20</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Rahul</cp:lastModifiedBy>
  <cp:revision>41</cp:revision>
  <dcterms:created xsi:type="dcterms:W3CDTF">2013-03-25T08:47:00Z</dcterms:created>
  <dcterms:modified xsi:type="dcterms:W3CDTF">2013-03-26T13:11:00Z</dcterms:modified>
</cp:coreProperties>
</file>