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946"/>
        <w:tblW w:w="11088" w:type="dxa"/>
        <w:tblLayout w:type="fixed"/>
        <w:tblLook w:val="04A0"/>
      </w:tblPr>
      <w:tblGrid>
        <w:gridCol w:w="1188"/>
        <w:gridCol w:w="2430"/>
        <w:gridCol w:w="2250"/>
        <w:gridCol w:w="1530"/>
        <w:gridCol w:w="3690"/>
      </w:tblGrid>
      <w:tr w:rsidR="005D051D" w:rsidRPr="00364C75" w:rsidTr="005D051D">
        <w:trPr>
          <w:trHeight w:val="440"/>
        </w:trPr>
        <w:tc>
          <w:tcPr>
            <w:tcW w:w="11088" w:type="dxa"/>
            <w:gridSpan w:val="5"/>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5D051D" w:rsidRPr="005D051D" w:rsidRDefault="005D051D" w:rsidP="005D051D">
            <w:pPr>
              <w:spacing w:after="0" w:line="240" w:lineRule="auto"/>
              <w:jc w:val="center"/>
              <w:rPr>
                <w:rFonts w:ascii="Times New Roman" w:eastAsia="Times New Roman" w:hAnsi="Times New Roman" w:cs="Times New Roman"/>
                <w:b/>
                <w:color w:val="FFFFFF" w:themeColor="background1"/>
                <w:sz w:val="24"/>
                <w:szCs w:val="24"/>
              </w:rPr>
            </w:pPr>
            <w:r w:rsidRPr="005D051D">
              <w:rPr>
                <w:rFonts w:ascii="Times New Roman" w:eastAsia="Times New Roman" w:hAnsi="Times New Roman" w:cs="Times New Roman"/>
                <w:b/>
                <w:color w:val="FFFFFF" w:themeColor="background1"/>
                <w:sz w:val="24"/>
                <w:szCs w:val="24"/>
              </w:rPr>
              <w:t>Public Vs Private</w:t>
            </w:r>
          </w:p>
        </w:tc>
      </w:tr>
      <w:tr w:rsidR="00364C75" w:rsidRPr="00364C75" w:rsidTr="005D051D">
        <w:trPr>
          <w:trHeight w:val="276"/>
        </w:trPr>
        <w:tc>
          <w:tcPr>
            <w:tcW w:w="11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b/>
                <w:bCs/>
                <w:i/>
                <w:iCs/>
                <w:sz w:val="24"/>
                <w:szCs w:val="24"/>
              </w:rPr>
            </w:pPr>
            <w:bookmarkStart w:id="0" w:name="RANGE!A1:D43"/>
            <w:r w:rsidRPr="00364C75">
              <w:rPr>
                <w:rFonts w:ascii="Times New Roman" w:eastAsia="Times New Roman" w:hAnsi="Times New Roman" w:cs="Times New Roman"/>
                <w:b/>
                <w:bCs/>
                <w:i/>
                <w:iCs/>
                <w:sz w:val="24"/>
                <w:szCs w:val="24"/>
              </w:rPr>
              <w:t>Section</w:t>
            </w:r>
            <w:bookmarkEnd w:id="0"/>
          </w:p>
        </w:tc>
        <w:tc>
          <w:tcPr>
            <w:tcW w:w="24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b/>
                <w:bCs/>
                <w:i/>
                <w:iCs/>
                <w:sz w:val="24"/>
                <w:szCs w:val="24"/>
              </w:rPr>
            </w:pPr>
            <w:r w:rsidRPr="00364C75">
              <w:rPr>
                <w:rFonts w:ascii="Times New Roman" w:eastAsia="Times New Roman" w:hAnsi="Times New Roman" w:cs="Times New Roman"/>
                <w:b/>
                <w:bCs/>
                <w:i/>
                <w:iCs/>
                <w:sz w:val="24"/>
                <w:szCs w:val="24"/>
              </w:rPr>
              <w:t>Description of Matter</w:t>
            </w:r>
          </w:p>
        </w:tc>
        <w:tc>
          <w:tcPr>
            <w:tcW w:w="2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b/>
                <w:bCs/>
                <w:i/>
                <w:iCs/>
                <w:sz w:val="24"/>
                <w:szCs w:val="24"/>
              </w:rPr>
            </w:pPr>
            <w:r w:rsidRPr="00364C75">
              <w:rPr>
                <w:rFonts w:ascii="Times New Roman" w:eastAsia="Times New Roman" w:hAnsi="Times New Roman" w:cs="Times New Roman"/>
                <w:b/>
                <w:bCs/>
                <w:i/>
                <w:iCs/>
                <w:sz w:val="24"/>
                <w:szCs w:val="24"/>
              </w:rPr>
              <w:t>Private Limited Company not a subsidiary of public Limited Company</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b/>
                <w:bCs/>
                <w:i/>
                <w:iCs/>
                <w:sz w:val="24"/>
                <w:szCs w:val="24"/>
              </w:rPr>
            </w:pPr>
            <w:r w:rsidRPr="00364C75">
              <w:rPr>
                <w:rFonts w:ascii="Times New Roman" w:eastAsia="Times New Roman" w:hAnsi="Times New Roman" w:cs="Times New Roman"/>
                <w:b/>
                <w:bCs/>
                <w:i/>
                <w:iCs/>
                <w:sz w:val="24"/>
                <w:szCs w:val="24"/>
              </w:rPr>
              <w:t>Public Limited Company</w:t>
            </w:r>
          </w:p>
        </w:tc>
        <w:tc>
          <w:tcPr>
            <w:tcW w:w="3690" w:type="dxa"/>
            <w:vMerge w:val="restart"/>
            <w:tcBorders>
              <w:top w:val="single" w:sz="4" w:space="0" w:color="auto"/>
              <w:left w:val="nil"/>
              <w:bottom w:val="single" w:sz="4" w:space="0" w:color="auto"/>
              <w:right w:val="single" w:sz="4" w:space="0" w:color="auto"/>
            </w:tcBorders>
            <w:shd w:val="clear" w:color="auto" w:fill="auto"/>
            <w:vAlign w:val="center"/>
            <w:hideMark/>
          </w:tcPr>
          <w:p w:rsidR="00364C75" w:rsidRPr="005D051D" w:rsidRDefault="00364C75" w:rsidP="005D051D">
            <w:pPr>
              <w:spacing w:after="0" w:line="240" w:lineRule="auto"/>
              <w:jc w:val="center"/>
              <w:rPr>
                <w:rFonts w:ascii="Times New Roman" w:eastAsia="Times New Roman" w:hAnsi="Times New Roman" w:cs="Times New Roman"/>
                <w:b/>
                <w:i/>
                <w:sz w:val="24"/>
                <w:szCs w:val="24"/>
              </w:rPr>
            </w:pPr>
            <w:r w:rsidRPr="005D051D">
              <w:rPr>
                <w:rFonts w:ascii="Times New Roman" w:eastAsia="Times New Roman" w:hAnsi="Times New Roman" w:cs="Times New Roman"/>
                <w:b/>
                <w:i/>
                <w:sz w:val="24"/>
                <w:szCs w:val="24"/>
              </w:rPr>
              <w:t>Explanation</w:t>
            </w:r>
          </w:p>
        </w:tc>
      </w:tr>
      <w:tr w:rsidR="00364C75" w:rsidRPr="00364C75" w:rsidTr="005D051D">
        <w:trPr>
          <w:trHeight w:val="276"/>
        </w:trPr>
        <w:tc>
          <w:tcPr>
            <w:tcW w:w="1188" w:type="dxa"/>
            <w:vMerge/>
            <w:tcBorders>
              <w:top w:val="single" w:sz="4" w:space="0" w:color="auto"/>
              <w:left w:val="single" w:sz="4" w:space="0" w:color="auto"/>
              <w:bottom w:val="single" w:sz="4" w:space="0" w:color="auto"/>
              <w:right w:val="single" w:sz="4" w:space="0" w:color="auto"/>
            </w:tcBorders>
            <w:vAlign w:val="center"/>
            <w:hideMark/>
          </w:tcPr>
          <w:p w:rsidR="00364C75" w:rsidRPr="00364C75" w:rsidRDefault="00364C75" w:rsidP="005D051D">
            <w:pPr>
              <w:spacing w:after="0" w:line="240" w:lineRule="auto"/>
              <w:rPr>
                <w:rFonts w:ascii="Times New Roman" w:eastAsia="Times New Roman" w:hAnsi="Times New Roman" w:cs="Times New Roman"/>
                <w:b/>
                <w:bCs/>
                <w:i/>
                <w:iCs/>
                <w:sz w:val="24"/>
                <w:szCs w:val="24"/>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364C75" w:rsidRPr="00364C75" w:rsidRDefault="00364C75" w:rsidP="005D051D">
            <w:pPr>
              <w:spacing w:after="0" w:line="240" w:lineRule="auto"/>
              <w:rPr>
                <w:rFonts w:ascii="Times New Roman" w:eastAsia="Times New Roman" w:hAnsi="Times New Roman" w:cs="Times New Roman"/>
                <w:b/>
                <w:bCs/>
                <w:i/>
                <w:iCs/>
                <w:sz w:val="24"/>
                <w:szCs w:val="24"/>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364C75" w:rsidRPr="00364C75" w:rsidRDefault="00364C75" w:rsidP="005D051D">
            <w:pPr>
              <w:spacing w:after="0" w:line="240" w:lineRule="auto"/>
              <w:rPr>
                <w:rFonts w:ascii="Times New Roman" w:eastAsia="Times New Roman" w:hAnsi="Times New Roman" w:cs="Times New Roman"/>
                <w:b/>
                <w:bCs/>
                <w:i/>
                <w:iCs/>
                <w:sz w:val="24"/>
                <w:szCs w:val="24"/>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364C75" w:rsidRPr="00364C75" w:rsidRDefault="00364C75" w:rsidP="005D051D">
            <w:pPr>
              <w:spacing w:after="0" w:line="240" w:lineRule="auto"/>
              <w:rPr>
                <w:rFonts w:ascii="Times New Roman" w:eastAsia="Times New Roman" w:hAnsi="Times New Roman" w:cs="Times New Roman"/>
                <w:b/>
                <w:bCs/>
                <w:i/>
                <w:iCs/>
                <w:sz w:val="24"/>
                <w:szCs w:val="24"/>
              </w:rPr>
            </w:pPr>
          </w:p>
        </w:tc>
        <w:tc>
          <w:tcPr>
            <w:tcW w:w="3690" w:type="dxa"/>
            <w:vMerge/>
            <w:tcBorders>
              <w:top w:val="single" w:sz="4" w:space="0" w:color="auto"/>
              <w:left w:val="nil"/>
              <w:bottom w:val="single" w:sz="4" w:space="0" w:color="auto"/>
              <w:right w:val="single" w:sz="4" w:space="0" w:color="auto"/>
            </w:tcBorders>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tabs>
                <w:tab w:val="left" w:pos="5889"/>
              </w:tabs>
              <w:spacing w:after="0" w:line="240" w:lineRule="auto"/>
              <w:ind w:right="-1494"/>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3(1)(iii)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Minimum Paid Up Capital</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One Lakh</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Five Lakh</w:t>
            </w:r>
          </w:p>
        </w:tc>
        <w:tc>
          <w:tcPr>
            <w:tcW w:w="3690" w:type="dxa"/>
            <w:tcBorders>
              <w:top w:val="single" w:sz="4" w:space="0" w:color="auto"/>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A Private Company needs to have Minimum paid-up capital of Rs. 1 lakh as against Rs. 5 lakhs for Public Company. </w:t>
            </w:r>
          </w:p>
        </w:tc>
      </w:tr>
      <w:tr w:rsidR="00364C75" w:rsidRPr="00364C75" w:rsidTr="005D051D">
        <w:trPr>
          <w:trHeight w:val="76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12(1)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Minimum</w:t>
            </w:r>
            <w:r>
              <w:rPr>
                <w:rFonts w:ascii="Times New Roman" w:eastAsia="Times New Roman" w:hAnsi="Times New Roman" w:cs="Times New Roman"/>
                <w:sz w:val="24"/>
                <w:szCs w:val="24"/>
              </w:rPr>
              <w:t xml:space="preserve"> </w:t>
            </w:r>
            <w:r w:rsidRPr="00364C75">
              <w:rPr>
                <w:rFonts w:ascii="Times New Roman" w:eastAsia="Times New Roman" w:hAnsi="Times New Roman" w:cs="Times New Roman"/>
                <w:sz w:val="24"/>
                <w:szCs w:val="24"/>
              </w:rPr>
              <w:t>of Shareholders/members</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Two</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Seven</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A Pvt. Co. can be formed by just two persons as against minimum seven persons required for incorporation of a Public Company. </w:t>
            </w:r>
          </w:p>
        </w:tc>
      </w:tr>
      <w:tr w:rsidR="00364C75" w:rsidRPr="00364C75" w:rsidTr="005D051D">
        <w:trPr>
          <w:trHeight w:val="2599"/>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58A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Acceptance of Deposit from Public</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Prohibited by Definition</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Allowed. But certian Criteria's to be full filled</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Deposits taken by Pvt. Co. from its members are exempt from the rigors of this section. As per the provisions of sec. 58A read with rule 2(b) of the Companies (Acceptance of Deposits) Rules, 1975 — amount received from its shareholders by a private company (provided the shareholder concerned furnishes at the time of giving the money to the company, a declaration that the amount is not being given out of funds borrowed or accepted from others) is not included in the meaning of deposit. If the depositor ceases to be a shareholder, the deposits made by him cease to qualify for exemption from the date of such cessation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70(3)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Filing of Statement in lieu of Prospectus with ROC.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Required</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Required</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A Pvt. Co. need not file Statement in lieu of Prospectus with ROC. </w:t>
            </w:r>
          </w:p>
        </w:tc>
      </w:tr>
      <w:tr w:rsidR="00364C75" w:rsidRPr="00364C75" w:rsidTr="005D051D">
        <w:trPr>
          <w:trHeight w:val="102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77(2 &amp; 3)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Providing of financial assistance to anyone for purchasing or subscribing for its own shares or of its holding company.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Allowed</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Prohibited.</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There is no prohibition on a Pvt. Co., which is not a subsidiary of a public company, to provide financial assistance to anyone for purchasing or subscribing for its own shares or of its holding company.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81</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Issue of further shares in any manner; i.e. offering of rights shares to the existing shareholders.</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Required</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required</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A Pvt. Co. can issue further shares in any manner; i.e. rights shares to the existing shareholders need not be offered. </w:t>
            </w:r>
          </w:p>
        </w:tc>
      </w:tr>
      <w:tr w:rsidR="00364C75" w:rsidRPr="00364C75" w:rsidTr="005D051D">
        <w:trPr>
          <w:trHeight w:val="229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lastRenderedPageBreak/>
              <w:t xml:space="preserve">85 to 90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The provisions of these sections requiring that there should be only two kinds of share capital and that voting rights should be proportional to the capital paid up and prohibiting and terminating disproportionately excessive voting rights and such company may issue share capital of such kinds, in such forms and with such proportionate or disproportionate or other voting rights as it may think fit.</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The provisions of these sections requiring that there should be only two kinds of share capital and that voting rights should be proportional to the capital paid up and prohibiting and terminating disproportionately excessive voting rights are not made applicable to a private company which is not subsidiary of a public company and such company may issue share capital of such kinds, in such forms and with such proportionate or disproportionate or other voting rights as it may think fit.</w:t>
            </w:r>
          </w:p>
        </w:tc>
      </w:tr>
      <w:tr w:rsidR="00364C75" w:rsidRPr="00364C75" w:rsidTr="005D051D">
        <w:trPr>
          <w:trHeight w:val="229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111 (13)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The right of appeal to the Company Law Board against rejection of a transfer of shares.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It is not available as long as the private company is only enforcing the provisions of its articles in rejecting a particular transfer</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Available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The right of appeal to the Company Law Board against rejection of a transfer of shares is not available as long as the private company is only enforcing the provisions of its articles in rejecting a particular transfer. It appears from the new section 111(13) that a right of appeal will be available where the rejection is outside the provisions of the private company’s articles. The right of appeal is also available where there is transmission by court sale or sale by other public authority [s. 111(11)]</w:t>
            </w:r>
          </w:p>
        </w:tc>
      </w:tr>
      <w:tr w:rsidR="00364C75" w:rsidRPr="00364C75" w:rsidTr="005D051D">
        <w:trPr>
          <w:trHeight w:val="102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149</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Procedures for obtaining certificate of commencement of business.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Not required. A Pvt. Co. can commence its business as soon as the certificate of incorporation is issued. </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Procedures for obtaining certificate of commencement of business do not apply to Pvt. Co. A Pvt. Co. can commence its business as soon as the certificate of incorporation is issued.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165</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Holding of statutory meeting or prepare any statutory report.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Pvt. Co. is not required to hold statutory meeting or prepare any statutory report. </w:t>
            </w:r>
          </w:p>
        </w:tc>
      </w:tr>
      <w:tr w:rsidR="00364C75" w:rsidRPr="00364C75" w:rsidTr="005D051D">
        <w:trPr>
          <w:trHeight w:val="62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170 to 186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The provisions of these sections relating to general meetings (length of Notice for calling General Meeting, contents and </w:t>
            </w:r>
            <w:r w:rsidRPr="00364C75">
              <w:rPr>
                <w:rFonts w:ascii="Times New Roman" w:eastAsia="Times New Roman" w:hAnsi="Times New Roman" w:cs="Times New Roman"/>
                <w:sz w:val="24"/>
                <w:szCs w:val="24"/>
              </w:rPr>
              <w:lastRenderedPageBreak/>
              <w:t xml:space="preserve">manner of Service of Notices, Explanatory Statements, Quorum of Meeting, Chairman of meeting, Restrictions of voting rights etc.)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proofErr w:type="gramStart"/>
            <w:r w:rsidRPr="00364C75">
              <w:rPr>
                <w:rFonts w:ascii="Times New Roman" w:eastAsia="Times New Roman" w:hAnsi="Times New Roman" w:cs="Times New Roman"/>
                <w:sz w:val="24"/>
                <w:szCs w:val="24"/>
              </w:rPr>
              <w:lastRenderedPageBreak/>
              <w:t>unless</w:t>
            </w:r>
            <w:proofErr w:type="gramEnd"/>
            <w:r w:rsidRPr="00364C75">
              <w:rPr>
                <w:rFonts w:ascii="Times New Roman" w:eastAsia="Times New Roman" w:hAnsi="Times New Roman" w:cs="Times New Roman"/>
                <w:sz w:val="24"/>
                <w:szCs w:val="24"/>
              </w:rPr>
              <w:t xml:space="preserve"> the provisions of any section are expressly made applicable by the company’s articles, do not apply to such </w:t>
            </w:r>
            <w:r w:rsidRPr="00364C75">
              <w:rPr>
                <w:rFonts w:ascii="Times New Roman" w:eastAsia="Times New Roman" w:hAnsi="Times New Roman" w:cs="Times New Roman"/>
                <w:sz w:val="24"/>
                <w:szCs w:val="24"/>
              </w:rPr>
              <w:lastRenderedPageBreak/>
              <w:t xml:space="preserve">a private company to the extent to which the company makes its own provisions by its articles. Relaxation in the </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lastRenderedPageBreak/>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The provisions of these sections relating to general meetings, unless the provisions of any section are expressly made applicable by the company’s articles, do not apply to such a private company to the </w:t>
            </w:r>
            <w:r w:rsidRPr="00364C75">
              <w:rPr>
                <w:rFonts w:ascii="Times New Roman" w:eastAsia="Times New Roman" w:hAnsi="Times New Roman" w:cs="Times New Roman"/>
                <w:sz w:val="24"/>
                <w:szCs w:val="24"/>
              </w:rPr>
              <w:lastRenderedPageBreak/>
              <w:t xml:space="preserve">extent to which the company makes its own provisions by its articles. Relaxation in the length of Notice for calling General Meeting, contents and manner of Service of Notices, Explanatory Statements, Quorum for meeting, Chairman of meeting, Restrictions of voting rights etc. to the extent to which the company makes its own provisions by its articles..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lastRenderedPageBreak/>
              <w:t xml:space="preserve">192A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Passing of resolution by Postal Ballot</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For Listed Public Limited Company</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Passing of resolution by Postal Ballot not relevant for Pvt. Co. </w:t>
            </w:r>
          </w:p>
        </w:tc>
      </w:tr>
      <w:tr w:rsidR="00364C75" w:rsidRPr="00364C75" w:rsidTr="005D051D">
        <w:trPr>
          <w:trHeight w:val="127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198</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Ceiling on overall managerial remuneration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Ceiling on overall managerial remuneration not applicable to Pvt. Co. A private company, which is not subsidiary of a public company, may remunerate those in management, by such higher percentage of profits or in any manner as it may think fit.</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5D051D" w:rsidP="005D0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Restricton on appointment of any firm, body corporate to office or place of profit.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No restriction on appointment of any firm, body corporate to office or place of profit. </w:t>
            </w:r>
          </w:p>
        </w:tc>
      </w:tr>
      <w:tr w:rsidR="00364C75" w:rsidRPr="00364C75" w:rsidTr="005D051D">
        <w:trPr>
          <w:trHeight w:val="25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220</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Availability of P &amp; L A/c. for public Inspection</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available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40457C" w:rsidP="005D0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Ava</w:t>
            </w:r>
            <w:r w:rsidR="00364C75" w:rsidRPr="00364C75">
              <w:rPr>
                <w:rFonts w:ascii="Times New Roman" w:eastAsia="Times New Roman" w:hAnsi="Times New Roman" w:cs="Times New Roman"/>
                <w:sz w:val="24"/>
                <w:szCs w:val="24"/>
              </w:rPr>
              <w:t>ilable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P &amp; L A/c. of a Pvt. Co. is not open for inspection by Public.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224(1B)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The ceiling, on number of companies an auditor can audit.</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Excluded</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Included</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The ceiling, on number of companies an auditor can audit, does not include audit of Pvt. Cos. </w:t>
            </w:r>
          </w:p>
        </w:tc>
      </w:tr>
      <w:tr w:rsidR="00364C75" w:rsidRPr="00364C75" w:rsidTr="005D051D">
        <w:trPr>
          <w:trHeight w:val="76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252 &amp; 252A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Minimum no of Directors</w:t>
            </w:r>
          </w:p>
        </w:tc>
        <w:tc>
          <w:tcPr>
            <w:tcW w:w="2250" w:type="dxa"/>
            <w:tcBorders>
              <w:top w:val="nil"/>
              <w:left w:val="nil"/>
              <w:bottom w:val="single" w:sz="4" w:space="0" w:color="auto"/>
              <w:right w:val="single" w:sz="4" w:space="0" w:color="auto"/>
            </w:tcBorders>
            <w:shd w:val="clear" w:color="auto" w:fill="auto"/>
            <w:hideMark/>
          </w:tcPr>
          <w:p w:rsidR="00364C75" w:rsidRDefault="00364C75" w:rsidP="005D051D">
            <w:pPr>
              <w:spacing w:after="0" w:line="240" w:lineRule="auto"/>
              <w:jc w:val="both"/>
              <w:rPr>
                <w:rFonts w:ascii="Times New Roman" w:eastAsia="Times New Roman" w:hAnsi="Times New Roman" w:cs="Times New Roman"/>
                <w:sz w:val="24"/>
                <w:szCs w:val="24"/>
              </w:rPr>
            </w:pPr>
          </w:p>
          <w:p w:rsidR="00364C75" w:rsidRDefault="00364C75" w:rsidP="005D051D">
            <w:pPr>
              <w:spacing w:after="0" w:line="240" w:lineRule="auto"/>
              <w:jc w:val="both"/>
              <w:rPr>
                <w:rFonts w:ascii="Times New Roman" w:eastAsia="Times New Roman" w:hAnsi="Times New Roman" w:cs="Times New Roman"/>
                <w:sz w:val="24"/>
                <w:szCs w:val="24"/>
              </w:rPr>
            </w:pPr>
          </w:p>
          <w:p w:rsidR="00364C75" w:rsidRPr="00364C75" w:rsidRDefault="00364C75" w:rsidP="005D05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64C75">
              <w:rPr>
                <w:rFonts w:ascii="Times New Roman" w:eastAsia="Times New Roman" w:hAnsi="Times New Roman" w:cs="Times New Roman"/>
                <w:sz w:val="24"/>
                <w:szCs w:val="24"/>
              </w:rPr>
              <w:t>2</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64C75">
              <w:rPr>
                <w:rFonts w:ascii="Times New Roman" w:eastAsia="Times New Roman" w:hAnsi="Times New Roman" w:cs="Times New Roman"/>
                <w:sz w:val="24"/>
                <w:szCs w:val="24"/>
              </w:rPr>
              <w:t>3</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Minimum Directors for Pvt. Co. is 2 (two) against 3 (three) in case of Public Co. Requirement of Independent Directors or Small Shareholders’ Directors not applicable to Pvt. Co. </w:t>
            </w:r>
          </w:p>
        </w:tc>
      </w:tr>
      <w:tr w:rsidR="00364C75" w:rsidRPr="00364C75" w:rsidTr="005D051D">
        <w:trPr>
          <w:trHeight w:val="25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5D051D" w:rsidP="005D0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252(5)</w:t>
            </w:r>
            <w:r w:rsidR="00364C75" w:rsidRPr="00364C75">
              <w:rPr>
                <w:rFonts w:ascii="Times New Roman" w:eastAsia="Times New Roman" w:hAnsi="Times New Roman" w:cs="Times New Roman"/>
                <w:sz w:val="24"/>
                <w:szCs w:val="24"/>
              </w:rPr>
              <w:t>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 Small Shareholders’ Directors</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w:t>
            </w:r>
          </w:p>
        </w:tc>
      </w:tr>
      <w:tr w:rsidR="00364C75" w:rsidRPr="00364C75" w:rsidTr="005D051D">
        <w:trPr>
          <w:trHeight w:val="25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255</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Retirement of Directors by rotation.</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Mandatory</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Retirement of Directors by rotation not mandatory. </w:t>
            </w:r>
          </w:p>
        </w:tc>
      </w:tr>
      <w:tr w:rsidR="00364C75" w:rsidRPr="00364C75" w:rsidTr="005D051D">
        <w:trPr>
          <w:trHeight w:val="76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256</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The procedure relating to appointment, retirement, re-appointment of directors etc.</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Mandatory</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A Pvt. Co. need not adopt the procedure relating to appointment, retirement, re-appointment of directors etc. applicable to a public company. </w:t>
            </w:r>
          </w:p>
        </w:tc>
      </w:tr>
      <w:tr w:rsidR="00364C75" w:rsidRPr="00364C75" w:rsidTr="005D051D">
        <w:trPr>
          <w:trHeight w:val="76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lastRenderedPageBreak/>
              <w:t>257</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The provision requiring the giving of 14 days notice by new candidates seeking election as directors and deposit of certain amount (Rs. 500).</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The provision requiring the giving of 14 days notice by new candidates seeking election as directors and deposit of certain amount (Rs. 500) are not mandatory for Pvt. Cos. </w:t>
            </w:r>
          </w:p>
        </w:tc>
      </w:tr>
      <w:tr w:rsidR="00364C75" w:rsidRPr="00364C75" w:rsidTr="005D051D">
        <w:trPr>
          <w:trHeight w:val="76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259</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Central Government approval for increasing number of directors beyond the permissible maximum (presently 12).</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Central Government approval for increasing number of directors beyond the permissible maximum (presently 12) not required. </w:t>
            </w:r>
          </w:p>
        </w:tc>
      </w:tr>
      <w:tr w:rsidR="00364C75" w:rsidRPr="00364C75" w:rsidTr="005D051D">
        <w:trPr>
          <w:trHeight w:val="76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262</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The provision relating to manner of filling casual vacancy among directors and the duration of the period of office of those so appointed.</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The provision relating to manner of filling casual vacancy among directors and the duration of the period of office of those so appointed do not apply to Pvt. Co.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263(1)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Appointment of two or more persons as directors by a single resolution.</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Can be Done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Cannot</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Appointment of two or more persons as directors by a single resolution can be done by Pvt. Co.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264</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Requirement of filing consent by the directors to be filed with the Registrar to act as a director.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Mandatory</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Mandatory</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No requirement of filing consent by the directors to be filed with the Registrar to act as a director.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color w:val="000000" w:themeColor="text1"/>
                <w:sz w:val="24"/>
                <w:szCs w:val="24"/>
              </w:rPr>
            </w:pPr>
            <w:r w:rsidRPr="00364C75">
              <w:rPr>
                <w:rFonts w:ascii="Times New Roman" w:eastAsia="Times New Roman" w:hAnsi="Times New Roman" w:cs="Times New Roman"/>
                <w:color w:val="000000" w:themeColor="text1"/>
                <w:sz w:val="24"/>
                <w:szCs w:val="24"/>
              </w:rPr>
              <w:t>266(5)</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color w:val="000000" w:themeColor="text1"/>
                <w:sz w:val="24"/>
                <w:szCs w:val="24"/>
              </w:rPr>
            </w:pPr>
            <w:r w:rsidRPr="00364C75">
              <w:rPr>
                <w:rFonts w:ascii="Times New Roman" w:eastAsia="Times New Roman" w:hAnsi="Times New Roman" w:cs="Times New Roman"/>
                <w:color w:val="000000" w:themeColor="text1"/>
                <w:sz w:val="24"/>
                <w:szCs w:val="24"/>
              </w:rPr>
              <w:t>Restrictions on appointment of director and subscription to qualification shares.</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color w:val="000000" w:themeColor="text1"/>
                <w:sz w:val="24"/>
                <w:szCs w:val="24"/>
              </w:rPr>
            </w:pPr>
            <w:r w:rsidRPr="00364C75">
              <w:rPr>
                <w:rFonts w:ascii="Times New Roman" w:eastAsia="Times New Roman" w:hAnsi="Times New Roman" w:cs="Times New Roman"/>
                <w:color w:val="000000" w:themeColor="text1"/>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color w:val="000000" w:themeColor="text1"/>
                <w:sz w:val="24"/>
                <w:szCs w:val="24"/>
              </w:rPr>
            </w:pPr>
            <w:r w:rsidRPr="00364C75">
              <w:rPr>
                <w:rFonts w:ascii="Times New Roman" w:eastAsia="Times New Roman" w:hAnsi="Times New Roman" w:cs="Times New Roman"/>
                <w:color w:val="000000" w:themeColor="text1"/>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color w:val="000000" w:themeColor="text1"/>
                <w:sz w:val="24"/>
                <w:szCs w:val="24"/>
              </w:rPr>
            </w:pPr>
            <w:r w:rsidRPr="00364C75">
              <w:rPr>
                <w:rFonts w:ascii="Times New Roman" w:eastAsia="Times New Roman" w:hAnsi="Times New Roman" w:cs="Times New Roman"/>
                <w:color w:val="000000" w:themeColor="text1"/>
                <w:sz w:val="24"/>
                <w:szCs w:val="24"/>
              </w:rPr>
              <w:t xml:space="preserve">Restrictions on appointment of director and subscription to qualification shares not applicable to Pvt. Co. </w:t>
            </w:r>
          </w:p>
        </w:tc>
      </w:tr>
      <w:tr w:rsidR="00364C75" w:rsidRPr="00364C75" w:rsidTr="005D051D">
        <w:trPr>
          <w:trHeight w:val="76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268, 269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Central Government approval for amendment relating to appointment/reappointment of a whole-time director/ director not liable to retire by rotation.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Central Government approval for amendment relating to appointment/reappointment of a whole-time director/ director not liable to retire by rotation. </w:t>
            </w:r>
          </w:p>
        </w:tc>
      </w:tr>
      <w:tr w:rsidR="00364C75" w:rsidRPr="00364C75" w:rsidTr="005D051D">
        <w:trPr>
          <w:trHeight w:val="102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270-273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Requirements of qualification shares holding by directors the time within which the qualification shares to be acquired and filing of a declaration by each </w:t>
            </w:r>
            <w:r w:rsidRPr="00364C75">
              <w:rPr>
                <w:rFonts w:ascii="Times New Roman" w:eastAsia="Times New Roman" w:hAnsi="Times New Roman" w:cs="Times New Roman"/>
                <w:sz w:val="24"/>
                <w:szCs w:val="24"/>
              </w:rPr>
              <w:lastRenderedPageBreak/>
              <w:t>director of the qualification shares held.</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lastRenderedPageBreak/>
              <w:t>Not Required</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Requirements of qualification shares holding by directors the time within which the qualification shares to be acquired and filing of a declaration by each director of the qualification shares held, is not applicable to Pvt. Co.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lastRenderedPageBreak/>
              <w:t xml:space="preserve">274(1)(g)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The disqualification u/s. 274(1) clause (g).</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Does not include directorships of Pvt. </w:t>
            </w:r>
            <w:proofErr w:type="gramStart"/>
            <w:r w:rsidRPr="00364C75">
              <w:rPr>
                <w:rFonts w:ascii="Times New Roman" w:eastAsia="Times New Roman" w:hAnsi="Times New Roman" w:cs="Times New Roman"/>
                <w:sz w:val="24"/>
                <w:szCs w:val="24"/>
              </w:rPr>
              <w:t>Co..</w:t>
            </w:r>
            <w:proofErr w:type="gramEnd"/>
            <w:r w:rsidRPr="00364C75">
              <w:rPr>
                <w:rFonts w:ascii="Times New Roman" w:eastAsia="Times New Roman" w:hAnsi="Times New Roman" w:cs="Times New Roman"/>
                <w:sz w:val="24"/>
                <w:szCs w:val="24"/>
              </w:rPr>
              <w:t xml:space="preserve"> </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Included</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The disqualification u/s. 274(1) clause (g) does not include directorships of Pvt. </w:t>
            </w:r>
            <w:proofErr w:type="gramStart"/>
            <w:r w:rsidRPr="00364C75">
              <w:rPr>
                <w:rFonts w:ascii="Times New Roman" w:eastAsia="Times New Roman" w:hAnsi="Times New Roman" w:cs="Times New Roman"/>
                <w:sz w:val="24"/>
                <w:szCs w:val="24"/>
              </w:rPr>
              <w:t>Co..</w:t>
            </w:r>
            <w:proofErr w:type="gramEnd"/>
            <w:r w:rsidRPr="00364C75">
              <w:rPr>
                <w:rFonts w:ascii="Times New Roman" w:eastAsia="Times New Roman" w:hAnsi="Times New Roman" w:cs="Times New Roman"/>
                <w:sz w:val="24"/>
                <w:szCs w:val="24"/>
              </w:rPr>
              <w:t xml:space="preserve">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275 to 279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The limit on no. of companies a person can be director.</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DE6656">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The Directorships of Pvt. Cos. not to be considered </w:t>
            </w:r>
            <w:r w:rsidR="00DE6656">
              <w:rPr>
                <w:rFonts w:ascii="Times New Roman" w:eastAsia="Times New Roman" w:hAnsi="Times New Roman" w:cs="Times New Roman"/>
                <w:sz w:val="24"/>
                <w:szCs w:val="24"/>
              </w:rPr>
              <w:t>.</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Included</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The Directorships of Pvt. Cos. not to be considered for the limit on no. of companies a person can be director.</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292A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Provisions relating to formation of Audit Committee</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 subject to Share Capital Limit and Nature of Listed</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Provisions relating to formation of Audit Committee not applicable. </w:t>
            </w:r>
          </w:p>
        </w:tc>
      </w:tr>
      <w:tr w:rsidR="00364C75" w:rsidRPr="00364C75" w:rsidTr="005D051D">
        <w:trPr>
          <w:trHeight w:val="127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293</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Restrictions on certain powers of Board of directors regarding selling, leasing, remitting or giving time for payments of debts, investing or borrowing moneys, or contributing to charities other than for political purpose.</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Restrictions on certain powers of Board of directors regarding selling, leasing, remitting or giving time for payments of debts, investing or borrowing moneys, or contributing to charities other than for political purpose are not applicable to Pvt. Co.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295</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Restriction on loans to directors/relatives etc.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Does not apply to Pvt. Co. </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Restriction on loans to directors/relatives etc. does not apply to Pvt. Co.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300</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Restriction on interested directors from participating in the proceedings of the Board and exercising their votes.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 Restrictions</w:t>
            </w:r>
          </w:p>
        </w:tc>
        <w:tc>
          <w:tcPr>
            <w:tcW w:w="15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Restricted</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No restriction on interested directors from participating in the proceedings of the Board and exercising their votes. </w:t>
            </w:r>
          </w:p>
        </w:tc>
      </w:tr>
      <w:tr w:rsidR="00364C75" w:rsidRPr="00364C75" w:rsidTr="005D051D">
        <w:trPr>
          <w:trHeight w:val="127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309, 310, 311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Restrictions on Payment of remuneration to the directors or increase in their remuneration.</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 Restrictions</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Restricted.</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A private company which is not a subsidiary of a public company, is free from restrictions on Payment of remuneration to the directors or increase in their remuneration.The Procedures like filing Form 25C not required in case of Pvt. Co.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316, 317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Restriction on period of appointment of managing director/manager for more than 5 years at a time.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 Restrictions</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Restricted</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No restriction on period of appointment of managing director/manager for more than 5 years at a time.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lastRenderedPageBreak/>
              <w:t xml:space="preserve">349, 350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Provision relating to the determination of net profits and ascertainment of depreciation.</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Shall Not Apply</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Provision relating to the determination of net profits and ascertainment of depreciation shall not apply. </w:t>
            </w:r>
          </w:p>
        </w:tc>
      </w:tr>
      <w:tr w:rsidR="00364C75" w:rsidRPr="00364C75" w:rsidTr="005D051D">
        <w:trPr>
          <w:trHeight w:val="76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372A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Restrictions on giving loans or guarantees to other companies or on making investment in the shares of the other companies.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 Restrictions</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Restricted</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No restrictions on giving loans or guarantees to other companies or on making investment in the shares of the other companies. </w:t>
            </w:r>
          </w:p>
        </w:tc>
      </w:tr>
      <w:tr w:rsidR="00364C75" w:rsidRPr="00364C75" w:rsidTr="005D051D">
        <w:trPr>
          <w:trHeight w:val="102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386, 388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 of companies on which a person may be appointed manager, the remuneration of a manager and the application of sections 269, 310 to 312 and 317 in relation to managers.</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Shall Not Apply</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 of companies on which a person may be appointed manager, the remuneration of a manager and the application of sections 269, 310 to 312 and 317 in relation to managers do not apply.</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409(3)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Powers given to the Central Government to prevent change in the Board of directors</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Not Applicable</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Powers given to the Central Government to prevent change in the Board of directors not applicable to Pvt. Co. </w:t>
            </w:r>
          </w:p>
        </w:tc>
      </w:tr>
      <w:tr w:rsidR="00364C75" w:rsidRPr="00364C75" w:rsidTr="005D051D">
        <w:trPr>
          <w:trHeight w:val="51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jc w:val="center"/>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416(1) </w:t>
            </w:r>
          </w:p>
        </w:tc>
        <w:tc>
          <w:tcPr>
            <w:tcW w:w="243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Restrictions on Contract by agents of the company in which the company is the undisclosed principal. </w:t>
            </w:r>
          </w:p>
        </w:tc>
        <w:tc>
          <w:tcPr>
            <w:tcW w:w="225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 Shall not apply.</w:t>
            </w:r>
          </w:p>
        </w:tc>
        <w:tc>
          <w:tcPr>
            <w:tcW w:w="1530" w:type="dxa"/>
            <w:tcBorders>
              <w:top w:val="nil"/>
              <w:left w:val="nil"/>
              <w:bottom w:val="single" w:sz="4" w:space="0" w:color="auto"/>
              <w:right w:val="single" w:sz="4" w:space="0" w:color="auto"/>
            </w:tcBorders>
            <w:shd w:val="clear" w:color="auto" w:fill="auto"/>
            <w:vAlign w:val="center"/>
            <w:hideMark/>
          </w:tcPr>
          <w:p w:rsidR="00364C75" w:rsidRPr="00364C75" w:rsidRDefault="00364C75" w:rsidP="005D051D">
            <w:pPr>
              <w:spacing w:after="0" w:line="240" w:lineRule="auto"/>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Applicable</w:t>
            </w:r>
          </w:p>
        </w:tc>
        <w:tc>
          <w:tcPr>
            <w:tcW w:w="3690" w:type="dxa"/>
            <w:tcBorders>
              <w:top w:val="nil"/>
              <w:left w:val="nil"/>
              <w:bottom w:val="single" w:sz="4" w:space="0" w:color="auto"/>
              <w:right w:val="single" w:sz="4" w:space="0" w:color="auto"/>
            </w:tcBorders>
            <w:shd w:val="clear" w:color="auto" w:fill="auto"/>
            <w:hideMark/>
          </w:tcPr>
          <w:p w:rsidR="00364C75" w:rsidRPr="00364C75" w:rsidRDefault="00364C75" w:rsidP="005D051D">
            <w:pPr>
              <w:spacing w:after="0" w:line="240" w:lineRule="auto"/>
              <w:jc w:val="both"/>
              <w:rPr>
                <w:rFonts w:ascii="Times New Roman" w:eastAsia="Times New Roman" w:hAnsi="Times New Roman" w:cs="Times New Roman"/>
                <w:sz w:val="24"/>
                <w:szCs w:val="24"/>
              </w:rPr>
            </w:pPr>
            <w:r w:rsidRPr="00364C75">
              <w:rPr>
                <w:rFonts w:ascii="Times New Roman" w:eastAsia="Times New Roman" w:hAnsi="Times New Roman" w:cs="Times New Roman"/>
                <w:sz w:val="24"/>
                <w:szCs w:val="24"/>
              </w:rPr>
              <w:t xml:space="preserve">Restrictions on Contract by agents of the company in which the company is the undisclosed principal shall not apply. </w:t>
            </w:r>
          </w:p>
        </w:tc>
      </w:tr>
    </w:tbl>
    <w:p w:rsidR="00607B42" w:rsidRPr="00364C75" w:rsidRDefault="00607B42">
      <w:pPr>
        <w:rPr>
          <w:rFonts w:ascii="Times New Roman" w:hAnsi="Times New Roman" w:cs="Times New Roman"/>
          <w:sz w:val="24"/>
          <w:szCs w:val="24"/>
        </w:rPr>
      </w:pPr>
    </w:p>
    <w:sectPr w:rsidR="00607B42" w:rsidRPr="00364C75" w:rsidSect="005D051D">
      <w:pgSz w:w="11907" w:h="16839" w:code="9"/>
      <w:pgMar w:top="1440" w:right="1440" w:bottom="1440" w:left="1440" w:header="108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96B" w:rsidRDefault="0044396B" w:rsidP="005D051D">
      <w:pPr>
        <w:spacing w:after="0" w:line="240" w:lineRule="auto"/>
      </w:pPr>
      <w:r>
        <w:separator/>
      </w:r>
    </w:p>
  </w:endnote>
  <w:endnote w:type="continuationSeparator" w:id="0">
    <w:p w:rsidR="0044396B" w:rsidRDefault="0044396B" w:rsidP="005D05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96B" w:rsidRDefault="0044396B" w:rsidP="005D051D">
      <w:pPr>
        <w:spacing w:after="0" w:line="240" w:lineRule="auto"/>
      </w:pPr>
      <w:r>
        <w:separator/>
      </w:r>
    </w:p>
  </w:footnote>
  <w:footnote w:type="continuationSeparator" w:id="0">
    <w:p w:rsidR="0044396B" w:rsidRDefault="0044396B" w:rsidP="005D051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64C75"/>
    <w:rsid w:val="002E43C5"/>
    <w:rsid w:val="00364C75"/>
    <w:rsid w:val="0040457C"/>
    <w:rsid w:val="0044396B"/>
    <w:rsid w:val="005A2D08"/>
    <w:rsid w:val="005D051D"/>
    <w:rsid w:val="00607B42"/>
    <w:rsid w:val="006211CD"/>
    <w:rsid w:val="00643FB9"/>
    <w:rsid w:val="00666B83"/>
    <w:rsid w:val="00950423"/>
    <w:rsid w:val="00997B4F"/>
    <w:rsid w:val="00A04402"/>
    <w:rsid w:val="00DE66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B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D05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051D"/>
  </w:style>
  <w:style w:type="paragraph" w:styleId="Footer">
    <w:name w:val="footer"/>
    <w:basedOn w:val="Normal"/>
    <w:link w:val="FooterChar"/>
    <w:uiPriority w:val="99"/>
    <w:semiHidden/>
    <w:unhideWhenUsed/>
    <w:rsid w:val="005D051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D051D"/>
  </w:style>
</w:styles>
</file>

<file path=word/webSettings.xml><?xml version="1.0" encoding="utf-8"?>
<w:webSettings xmlns:r="http://schemas.openxmlformats.org/officeDocument/2006/relationships" xmlns:w="http://schemas.openxmlformats.org/wordprocessingml/2006/main">
  <w:divs>
    <w:div w:id="962737307">
      <w:bodyDiv w:val="1"/>
      <w:marLeft w:val="0"/>
      <w:marRight w:val="0"/>
      <w:marTop w:val="0"/>
      <w:marBottom w:val="0"/>
      <w:divBdr>
        <w:top w:val="none" w:sz="0" w:space="0" w:color="auto"/>
        <w:left w:val="none" w:sz="0" w:space="0" w:color="auto"/>
        <w:bottom w:val="none" w:sz="0" w:space="0" w:color="auto"/>
        <w:right w:val="none" w:sz="0" w:space="0" w:color="auto"/>
      </w:divBdr>
    </w:div>
    <w:div w:id="156062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Pages>
  <Words>1942</Words>
  <Characters>11071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sneha</dc:creator>
  <cp:keywords/>
  <dc:description/>
  <cp:lastModifiedBy>sneha</cp:lastModifiedBy>
  <cp:revision>4</cp:revision>
  <cp:lastPrinted>2013-01-02T06:07:00Z</cp:lastPrinted>
  <dcterms:created xsi:type="dcterms:W3CDTF">2013-01-02T04:24:00Z</dcterms:created>
  <dcterms:modified xsi:type="dcterms:W3CDTF">2013-01-02T06:14:00Z</dcterms:modified>
</cp:coreProperties>
</file>