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84B" w:rsidRPr="00C802A1" w:rsidRDefault="00865B39" w:rsidP="00C802A1">
      <w:pPr>
        <w:pStyle w:val="Subtitle"/>
        <w:jc w:val="center"/>
        <w:rPr>
          <w:b/>
          <w:sz w:val="32"/>
        </w:rPr>
      </w:pPr>
      <w:r>
        <w:rPr>
          <w:b/>
          <w:sz w:val="32"/>
        </w:rPr>
        <w:t xml:space="preserve">Basics of the </w:t>
      </w:r>
      <w:bookmarkStart w:id="0" w:name="_GoBack"/>
      <w:bookmarkEnd w:id="0"/>
      <w:r w:rsidR="00C13F83" w:rsidRPr="00C802A1">
        <w:rPr>
          <w:b/>
          <w:sz w:val="32"/>
        </w:rPr>
        <w:t>Notices</w:t>
      </w:r>
    </w:p>
    <w:p w:rsidR="00C13F83" w:rsidRDefault="00C13F83"/>
    <w:p w:rsidR="00C13F83" w:rsidRPr="00EA6D9A" w:rsidRDefault="00EA6D9A">
      <w:pPr>
        <w:rPr>
          <w:b/>
        </w:rPr>
      </w:pPr>
      <w:r w:rsidRPr="00EA6D9A">
        <w:rPr>
          <w:b/>
        </w:rPr>
        <w:t>INTRODUCTION</w:t>
      </w:r>
    </w:p>
    <w:p w:rsidR="00EA6D9A" w:rsidRDefault="00E353C7" w:rsidP="00F65043">
      <w:pPr>
        <w:ind w:firstLine="720"/>
        <w:jc w:val="both"/>
      </w:pPr>
      <w:r>
        <w:t xml:space="preserve">The word “notice” is a word of everyday use. Generally, it is </w:t>
      </w:r>
      <w:r w:rsidR="004C1BB8">
        <w:t>self-defined</w:t>
      </w:r>
      <w:r>
        <w:t xml:space="preserve"> a</w:t>
      </w:r>
      <w:r w:rsidR="004C1BB8">
        <w:t>n</w:t>
      </w:r>
      <w:r>
        <w:t xml:space="preserve">d well known. In fact, it cannot be defined correctly and fully. </w:t>
      </w:r>
      <w:r w:rsidR="00D31AF5">
        <w:t xml:space="preserve">It simply means and includes an information, intimation or direction, knowledge, etc. </w:t>
      </w:r>
      <w:r w:rsidR="00017324">
        <w:t>the object behind giving a notice is to make aware or to make known the facts of the case or give an opportunity to the other party to reconsider his position before a legal proceeding is started against him.</w:t>
      </w:r>
    </w:p>
    <w:p w:rsidR="00F65043" w:rsidRDefault="001523AF" w:rsidP="00F65043">
      <w:pPr>
        <w:ind w:firstLine="720"/>
        <w:jc w:val="both"/>
      </w:pPr>
      <w:r>
        <w:t xml:space="preserve">The word “notice” may denote merely intimation to the party concerned of a particular fact. It seems that the Court cannot limit the words “notice in writing” to only a letter. </w:t>
      </w:r>
      <w:r w:rsidR="0091271E">
        <w:t>Notice may take several forms. It must to be sufficient, be in writing and must intimate quite clearly that the award has been made and signed (</w:t>
      </w:r>
      <w:proofErr w:type="spellStart"/>
      <w:r w:rsidR="0091271E">
        <w:t>Parasramika</w:t>
      </w:r>
      <w:proofErr w:type="spellEnd"/>
      <w:r w:rsidR="0091271E">
        <w:t xml:space="preserve"> Commercial Company Vs. Union of India, AIR 1970 SC 1654 at 1956)</w:t>
      </w:r>
    </w:p>
    <w:p w:rsidR="0091271E" w:rsidRDefault="0091271E" w:rsidP="00D619AC">
      <w:pPr>
        <w:jc w:val="both"/>
      </w:pPr>
    </w:p>
    <w:p w:rsidR="00D619AC" w:rsidRPr="00B6425E" w:rsidRDefault="00D619AC" w:rsidP="00D619AC">
      <w:pPr>
        <w:jc w:val="both"/>
        <w:rPr>
          <w:b/>
        </w:rPr>
      </w:pPr>
      <w:r w:rsidRPr="00B6425E">
        <w:rPr>
          <w:b/>
        </w:rPr>
        <w:t>DEFINITION</w:t>
      </w:r>
    </w:p>
    <w:p w:rsidR="00D619AC" w:rsidRDefault="00764D50" w:rsidP="00936D9F">
      <w:pPr>
        <w:ind w:firstLine="720"/>
        <w:jc w:val="both"/>
      </w:pPr>
      <w:r>
        <w:t>There is no particular definition for notices. According to Chamber’s 20</w:t>
      </w:r>
      <w:r w:rsidRPr="00764D50">
        <w:rPr>
          <w:vertAlign w:val="superscript"/>
        </w:rPr>
        <w:t>th</w:t>
      </w:r>
      <w:r>
        <w:t xml:space="preserve"> Century Dictionary 1961, the word, “notice” stands for intimation, announcement, information, warning a writing etc.” generally, the object of the notice is to give an opportunity to the other to reconsider his position before an action or any legal proceedings is started against him.</w:t>
      </w:r>
    </w:p>
    <w:p w:rsidR="00936D9F" w:rsidRDefault="00936D9F" w:rsidP="00936D9F">
      <w:pPr>
        <w:ind w:firstLine="720"/>
        <w:jc w:val="both"/>
      </w:pPr>
      <w:r>
        <w:t>“Notice” inter alia means “information”, “knowledge”, or “to know”; and it also stands to signify “observation”, “cognizance”, “attention”, “information”, “intelligence”, “warning”, “announcement” (of something to be done or to occur subsequently), written statement; to refer to; or make mention of.</w:t>
      </w:r>
    </w:p>
    <w:p w:rsidR="00936D9F" w:rsidRDefault="00AF51FA" w:rsidP="00936D9F">
      <w:pPr>
        <w:ind w:firstLine="720"/>
        <w:jc w:val="both"/>
      </w:pPr>
      <w:r>
        <w:t>“Noticeable” means remarkable, conspicuous, attracting notice. Notification means an act of making known or notifying, an act of giving notice of; notice so given; formal notice given under various Ac</w:t>
      </w:r>
      <w:r w:rsidR="0027515D">
        <w:t>t</w:t>
      </w:r>
      <w:r>
        <w:t xml:space="preserve"> or Parliament. “To notify” means to give to, to inform, or to make known.</w:t>
      </w:r>
    </w:p>
    <w:p w:rsidR="00AF51FA" w:rsidRPr="008C0CA8" w:rsidRDefault="008C0CA8" w:rsidP="008C0CA8">
      <w:pPr>
        <w:jc w:val="both"/>
        <w:rPr>
          <w:b/>
        </w:rPr>
      </w:pPr>
      <w:r w:rsidRPr="008C0CA8">
        <w:rPr>
          <w:b/>
        </w:rPr>
        <w:t>OBJECT OF NOTICE</w:t>
      </w:r>
    </w:p>
    <w:p w:rsidR="008C0CA8" w:rsidRDefault="009858C9" w:rsidP="00936D9F">
      <w:pPr>
        <w:ind w:firstLine="720"/>
        <w:jc w:val="both"/>
      </w:pPr>
      <w:r>
        <w:t xml:space="preserve">The object of the notice is to enable the party to whom the notice is given to settle the points of dispute without going to Court of Law. </w:t>
      </w:r>
      <w:r w:rsidR="00212E98">
        <w:t>Thus the principles laid down in Section 106 and other related provisions of Transfer of Property Act to make the tenant aware of the intention of the landlord to terminate the lease [AIR 1955 Pat. 371] and so in Section 80 of the Code of Civil Procedure, 1908.</w:t>
      </w:r>
    </w:p>
    <w:p w:rsidR="00212E98" w:rsidRDefault="00417AB7" w:rsidP="00936D9F">
      <w:pPr>
        <w:ind w:firstLine="720"/>
        <w:jc w:val="both"/>
      </w:pPr>
      <w:r>
        <w:t>The purpose of the notice would be completed only when the same is received or it is refu</w:t>
      </w:r>
      <w:r w:rsidR="006E46B1">
        <w:t>s</w:t>
      </w:r>
      <w:r>
        <w:t xml:space="preserve">ed by the addressee and not simply by posting the notice. </w:t>
      </w:r>
      <w:r w:rsidR="006E46B1">
        <w:t xml:space="preserve">For </w:t>
      </w:r>
      <w:proofErr w:type="spellStart"/>
      <w:r w:rsidR="006E46B1">
        <w:t>a</w:t>
      </w:r>
      <w:proofErr w:type="spellEnd"/>
      <w:r w:rsidR="006E46B1">
        <w:t xml:space="preserve"> example, a landlord sends a notice to his tenant terminating the tenancy by tendering it in post office and the same is returned with the endorsement “addressee not available at the delivery time”, “addressee not available”, “addressee has left”, or “addressee gone out for long time” then this notice will not be binding on </w:t>
      </w:r>
      <w:r w:rsidR="006E46B1">
        <w:lastRenderedPageBreak/>
        <w:t>the tenant because he has not received the said notice or he has no knowledge of any notice of his landlord.</w:t>
      </w:r>
    </w:p>
    <w:p w:rsidR="006E46B1" w:rsidRDefault="00CC4A27" w:rsidP="00936D9F">
      <w:pPr>
        <w:ind w:firstLine="720"/>
        <w:jc w:val="both"/>
      </w:pPr>
      <w:r>
        <w:t xml:space="preserve">The sole purpose of a notice under section 80 of the Civil Procedure Code to the party concerned is to afford him an opportunity to reconsider the position with regard to the claim made and if so advised, whether to settle it or otherwise to make amends without recourse of Courts. </w:t>
      </w:r>
      <w:r w:rsidR="00084D23">
        <w:t xml:space="preserve">The objects underlying the section is to a clear notice of claim to the Government so that it may settle the claim and avoid the impending suit and consequential costs of the suit in the event of claim being decreed. [AIR 1960 SC 1309 State of Madras </w:t>
      </w:r>
      <w:proofErr w:type="gramStart"/>
      <w:r w:rsidR="00084D23">
        <w:t>Vs</w:t>
      </w:r>
      <w:proofErr w:type="gramEnd"/>
      <w:r w:rsidR="00084D23">
        <w:t xml:space="preserve">. C. P. Agencies]. </w:t>
      </w:r>
      <w:r w:rsidR="00A34497">
        <w:t xml:space="preserve">The object of giving the notice under section 80 of the code to Railway administration the defendants, was to inform them that a suit is to be brought against them so that they may, if they so desire, compromise the case or compensate the person concerned without letting him have his recourse to a Court of Law [AIR 1961. 200 </w:t>
      </w:r>
      <w:proofErr w:type="spellStart"/>
      <w:r w:rsidR="00A34497">
        <w:t>Bhagwanlal</w:t>
      </w:r>
      <w:proofErr w:type="spellEnd"/>
      <w:r w:rsidR="00A34497">
        <w:t xml:space="preserve"> Vs. Union of India].</w:t>
      </w:r>
    </w:p>
    <w:p w:rsidR="00A34497" w:rsidRDefault="00621E7A" w:rsidP="00936D9F">
      <w:pPr>
        <w:ind w:firstLine="720"/>
        <w:jc w:val="both"/>
      </w:pPr>
      <w:r>
        <w:t xml:space="preserve">The object of the notice under section 80 is to give to the Government or the public servant concerned an opportunity to reconsider its or his legal position and if that course is justified to make, amends or settle the claim out of Court. The section is no doubt imperative; failure to serve notice complying with the requirements of the State will entail dismissal of the suit. </w:t>
      </w:r>
      <w:r w:rsidR="00F122CB">
        <w:t xml:space="preserve">But the notice must be reasonably construed. Any unimportant error or defect cannot be permitted to be treated as an excuse for defeating a just claim. </w:t>
      </w:r>
      <w:r w:rsidR="00D62151">
        <w:t xml:space="preserve">In considering whether the provisions of the statute are complied with, the Court must take into consideration the following matters in each case; </w:t>
      </w:r>
      <w:r w:rsidR="00161DE6">
        <w:t xml:space="preserve">(1) whether the name, description and residence of the plaintiff are given so as to enable the authorities to identify the person serving the notice, (2) whether the cause of action and the relief which the plaintiff claims are set out with sufficient particulars, (3) </w:t>
      </w:r>
      <w:r w:rsidR="00785173">
        <w:t>whether a notice in writing has been delivered to or left at the office of the appropriate authority mentioned in the section, and (4)</w:t>
      </w:r>
      <w:r w:rsidR="00B272E8">
        <w:t xml:space="preserve"> whether the suit is instituted after the expiration of two months next after notice has been served, and the plaint contains a statement that such a notice has been delivered or left. </w:t>
      </w:r>
      <w:r w:rsidR="00E67DDE">
        <w:t xml:space="preserve">In construing the notice the Court cannot ignore the object of legislature viz. to give </w:t>
      </w:r>
      <w:r w:rsidR="000D1E29">
        <w:t xml:space="preserve">to the Government or public servant concerned an opportunity to reconsider its or his legal position. If </w:t>
      </w:r>
      <w:proofErr w:type="gramStart"/>
      <w:r w:rsidR="000D1E29">
        <w:t>an</w:t>
      </w:r>
      <w:proofErr w:type="gramEnd"/>
      <w:r w:rsidR="000D1E29">
        <w:t xml:space="preserve"> reasonable reading of the notice the plaintiff is shown to have given the information which the statute requires him to give, any incidental defects or irregularities should be ignored. It is true the terms of Section 80 must be strictly complied but that does not mean that the terms of the notice should be scrutinized in an artificial or pedantic manner [</w:t>
      </w:r>
      <w:proofErr w:type="spellStart"/>
      <w:r w:rsidR="000D1E29">
        <w:t>Beohar</w:t>
      </w:r>
      <w:proofErr w:type="spellEnd"/>
      <w:r w:rsidR="000D1E29">
        <w:t xml:space="preserve"> </w:t>
      </w:r>
      <w:proofErr w:type="spellStart"/>
      <w:r w:rsidR="000D1E29">
        <w:t>Rajendra</w:t>
      </w:r>
      <w:proofErr w:type="spellEnd"/>
      <w:r w:rsidR="000D1E29">
        <w:t xml:space="preserve"> Singh Vs. </w:t>
      </w:r>
      <w:proofErr w:type="gramStart"/>
      <w:r w:rsidR="000D1E29">
        <w:t>The State of Madhya Pradesh, AIR 1969 SC 1256: (1969) 1 SCC 789].</w:t>
      </w:r>
      <w:proofErr w:type="gramEnd"/>
    </w:p>
    <w:p w:rsidR="00D03AC4" w:rsidRPr="00A37936" w:rsidRDefault="00E11CEB" w:rsidP="00D03AC4">
      <w:pPr>
        <w:jc w:val="both"/>
        <w:rPr>
          <w:b/>
        </w:rPr>
      </w:pPr>
      <w:r>
        <w:rPr>
          <w:b/>
        </w:rPr>
        <w:t>Kinds of Notices</w:t>
      </w:r>
    </w:p>
    <w:p w:rsidR="00D03AC4" w:rsidRDefault="00151A35" w:rsidP="00936D9F">
      <w:pPr>
        <w:ind w:firstLine="720"/>
        <w:jc w:val="both"/>
      </w:pPr>
      <w:r>
        <w:t>According to the Blacks’ Law Dictionary, 7</w:t>
      </w:r>
      <w:r w:rsidRPr="00151A35">
        <w:rPr>
          <w:vertAlign w:val="superscript"/>
        </w:rPr>
        <w:t>th</w:t>
      </w:r>
      <w:r>
        <w:t xml:space="preserve"> Edition, pp. 1087, 1088; kinds of notices are as follows:</w:t>
      </w:r>
    </w:p>
    <w:p w:rsidR="00151A35" w:rsidRDefault="003D0DA1" w:rsidP="003D0DA1">
      <w:pPr>
        <w:pStyle w:val="ListParagraph"/>
        <w:numPr>
          <w:ilvl w:val="0"/>
          <w:numId w:val="1"/>
        </w:numPr>
        <w:jc w:val="both"/>
      </w:pPr>
      <w:r>
        <w:t>Actual notice – Notice given directly to, or received personally by, a party.</w:t>
      </w:r>
      <w:r w:rsidR="005401B7">
        <w:t xml:space="preserve"> </w:t>
      </w:r>
    </w:p>
    <w:p w:rsidR="003D0DA1" w:rsidRDefault="005401B7" w:rsidP="003D0DA1">
      <w:pPr>
        <w:pStyle w:val="ListParagraph"/>
        <w:numPr>
          <w:ilvl w:val="0"/>
          <w:numId w:val="1"/>
        </w:numPr>
        <w:jc w:val="both"/>
      </w:pPr>
      <w:r>
        <w:t xml:space="preserve">Constructive notice – Notice arising by presumption of law from the existence of facts and circumstances that a party had a duty to take notice of, such as a registered deed or a pending law suit; notice presumed by law to have been acquired by a person </w:t>
      </w:r>
      <w:proofErr w:type="spellStart"/>
      <w:r>
        <w:t>ad</w:t>
      </w:r>
      <w:proofErr w:type="spellEnd"/>
      <w:r>
        <w:t xml:space="preserve"> thus imputed to that person (legal notice).</w:t>
      </w:r>
    </w:p>
    <w:p w:rsidR="005401B7" w:rsidRDefault="00435BA5" w:rsidP="003D0DA1">
      <w:pPr>
        <w:pStyle w:val="ListParagraph"/>
        <w:numPr>
          <w:ilvl w:val="0"/>
          <w:numId w:val="1"/>
        </w:numPr>
        <w:jc w:val="both"/>
      </w:pPr>
      <w:r>
        <w:t>Direct notice – Actual notice of a fact that is brought directly to a party’s attention (Positive notice).</w:t>
      </w:r>
    </w:p>
    <w:p w:rsidR="00435BA5" w:rsidRDefault="00F322AB" w:rsidP="003D0DA1">
      <w:pPr>
        <w:pStyle w:val="ListParagraph"/>
        <w:numPr>
          <w:ilvl w:val="0"/>
          <w:numId w:val="1"/>
        </w:numPr>
        <w:jc w:val="both"/>
      </w:pPr>
      <w:r>
        <w:lastRenderedPageBreak/>
        <w:t>Due notice – Sufficient and proper notice that is intended to and likely to reach a particular person or the public; notice that is legally adequate given the particular circumstance (adequate notice).</w:t>
      </w:r>
    </w:p>
    <w:p w:rsidR="00F322AB" w:rsidRDefault="004F1273" w:rsidP="003D0DA1">
      <w:pPr>
        <w:pStyle w:val="ListParagraph"/>
        <w:numPr>
          <w:ilvl w:val="0"/>
          <w:numId w:val="1"/>
        </w:numPr>
        <w:jc w:val="both"/>
      </w:pPr>
      <w:r>
        <w:t>Express notice – Actual knowledge or notice given to a party directly, nor arising from any inference, duty or inquiry.</w:t>
      </w:r>
    </w:p>
    <w:p w:rsidR="004F1273" w:rsidRDefault="001C1A69" w:rsidP="003D0DA1">
      <w:pPr>
        <w:pStyle w:val="ListParagraph"/>
        <w:numPr>
          <w:ilvl w:val="0"/>
          <w:numId w:val="1"/>
        </w:numPr>
        <w:jc w:val="both"/>
      </w:pPr>
      <w:r>
        <w:t>Fair notice – (1). Sufficient notice apprising a litigant of the opposing party’s claim. (2). The requirement that a pleading adequately apprise the opposing party of a claim. (3). Fair warning.</w:t>
      </w:r>
    </w:p>
    <w:p w:rsidR="001C1A69" w:rsidRDefault="007F0DEB" w:rsidP="003D0DA1">
      <w:pPr>
        <w:pStyle w:val="ListParagraph"/>
        <w:numPr>
          <w:ilvl w:val="0"/>
          <w:numId w:val="1"/>
        </w:numPr>
        <w:jc w:val="both"/>
      </w:pPr>
      <w:r>
        <w:t xml:space="preserve">Immediate notice </w:t>
      </w:r>
      <w:r w:rsidR="006376D4">
        <w:t>–</w:t>
      </w:r>
      <w:r>
        <w:t xml:space="preserve"> </w:t>
      </w:r>
      <w:r w:rsidR="006376D4">
        <w:t>1. Notice given as soon as possible. 2. More commonly, and especially on notice of an insurance claim, notice that is reasonable under the circumstances.</w:t>
      </w:r>
    </w:p>
    <w:p w:rsidR="006376D4" w:rsidRDefault="00B51409" w:rsidP="003D0DA1">
      <w:pPr>
        <w:pStyle w:val="ListParagraph"/>
        <w:numPr>
          <w:ilvl w:val="0"/>
          <w:numId w:val="1"/>
        </w:numPr>
        <w:jc w:val="both"/>
      </w:pPr>
      <w:r>
        <w:t xml:space="preserve">Implied notice </w:t>
      </w:r>
      <w:r w:rsidR="007A00CB">
        <w:t>–</w:t>
      </w:r>
      <w:r>
        <w:t xml:space="preserve"> </w:t>
      </w:r>
      <w:r w:rsidR="007A00CB">
        <w:t>Notice that is inferred from facts that a person had a means of knowing and that is thus imputed to that person; actual notice of facts or circumstances that, if properly followed up, would have led to a knowledge of the particular fact in question (implied notice; presumptive notice).</w:t>
      </w:r>
    </w:p>
    <w:p w:rsidR="007A00CB" w:rsidRDefault="00FE092B" w:rsidP="003D0DA1">
      <w:pPr>
        <w:pStyle w:val="ListParagraph"/>
        <w:numPr>
          <w:ilvl w:val="0"/>
          <w:numId w:val="1"/>
        </w:numPr>
        <w:jc w:val="both"/>
      </w:pPr>
      <w:r>
        <w:t xml:space="preserve">Imputed notice </w:t>
      </w:r>
      <w:r w:rsidR="00F64BB2">
        <w:t>–</w:t>
      </w:r>
      <w:r>
        <w:t xml:space="preserve"> </w:t>
      </w:r>
      <w:r w:rsidR="00F64BB2">
        <w:t xml:space="preserve">Information attributed to a person whose agent having received actual notice of the </w:t>
      </w:r>
      <w:proofErr w:type="gramStart"/>
      <w:r w:rsidR="00F64BB2">
        <w:t>information,</w:t>
      </w:r>
      <w:proofErr w:type="gramEnd"/>
      <w:r w:rsidR="00F64BB2">
        <w:t xml:space="preserve"> has a duty to disclose it to that person.</w:t>
      </w:r>
    </w:p>
    <w:p w:rsidR="00F64BB2" w:rsidRDefault="00D87438" w:rsidP="003D0DA1">
      <w:pPr>
        <w:pStyle w:val="ListParagraph"/>
        <w:numPr>
          <w:ilvl w:val="0"/>
          <w:numId w:val="1"/>
        </w:numPr>
        <w:jc w:val="both"/>
      </w:pPr>
      <w:r>
        <w:t xml:space="preserve">Inquiry notice </w:t>
      </w:r>
      <w:r w:rsidR="008963A9">
        <w:t>–</w:t>
      </w:r>
      <w:r>
        <w:t xml:space="preserve"> </w:t>
      </w:r>
      <w:r w:rsidR="008963A9">
        <w:t>Notice attributed to a p</w:t>
      </w:r>
      <w:r w:rsidR="006002A2">
        <w:t>erson when the information would lead an ordinarily prudent person to investigate the matter further; especially the time at which the victim of an alleged securities fraud became aware of facts that would have prompted a reasonable person to investigate.</w:t>
      </w:r>
    </w:p>
    <w:p w:rsidR="006002A2" w:rsidRDefault="00FF001C" w:rsidP="003D0DA1">
      <w:pPr>
        <w:pStyle w:val="ListParagraph"/>
        <w:numPr>
          <w:ilvl w:val="0"/>
          <w:numId w:val="1"/>
        </w:numPr>
        <w:jc w:val="both"/>
      </w:pPr>
      <w:r>
        <w:t xml:space="preserve">Personal notice </w:t>
      </w:r>
      <w:r w:rsidR="00CB6E6B">
        <w:t>–</w:t>
      </w:r>
      <w:r>
        <w:t xml:space="preserve"> </w:t>
      </w:r>
      <w:r w:rsidR="00CB6E6B">
        <w:t>Oral or written notice, according to circumstances, given directly to the affected person.</w:t>
      </w:r>
    </w:p>
    <w:p w:rsidR="00CB6E6B" w:rsidRDefault="00846302" w:rsidP="003D0DA1">
      <w:pPr>
        <w:pStyle w:val="ListParagraph"/>
        <w:numPr>
          <w:ilvl w:val="0"/>
          <w:numId w:val="1"/>
        </w:numPr>
        <w:jc w:val="both"/>
      </w:pPr>
      <w:r>
        <w:t>Public notice – Notices given to the public or persons affected, by publishing in a newspaper of general circulation (notice by publication).</w:t>
      </w:r>
    </w:p>
    <w:p w:rsidR="00846302" w:rsidRDefault="00C4280B" w:rsidP="003D0DA1">
      <w:pPr>
        <w:pStyle w:val="ListParagraph"/>
        <w:numPr>
          <w:ilvl w:val="0"/>
          <w:numId w:val="1"/>
        </w:numPr>
        <w:jc w:val="both"/>
      </w:pPr>
      <w:r>
        <w:t xml:space="preserve">Reasonable notice </w:t>
      </w:r>
      <w:r w:rsidR="00D546CC">
        <w:t>–</w:t>
      </w:r>
      <w:r>
        <w:t xml:space="preserve"> </w:t>
      </w:r>
      <w:r w:rsidR="00D546CC">
        <w:t>Notice that is fairly to b expected or r</w:t>
      </w:r>
      <w:r w:rsidR="007161DF">
        <w:t>equired under the particular cir</w:t>
      </w:r>
      <w:r w:rsidR="00D546CC">
        <w:t>cumst</w:t>
      </w:r>
      <w:r w:rsidR="007161DF">
        <w:t>a</w:t>
      </w:r>
      <w:r w:rsidR="00D546CC">
        <w:t>nces.</w:t>
      </w:r>
    </w:p>
    <w:p w:rsidR="00D546CC" w:rsidRDefault="003B75F8" w:rsidP="003D0DA1">
      <w:pPr>
        <w:pStyle w:val="ListParagraph"/>
        <w:numPr>
          <w:ilvl w:val="0"/>
          <w:numId w:val="1"/>
        </w:numPr>
        <w:jc w:val="both"/>
      </w:pPr>
      <w:r>
        <w:t xml:space="preserve">Record notice – Constructive notice of the contents </w:t>
      </w:r>
      <w:r w:rsidR="00A34642">
        <w:t>of an instrument</w:t>
      </w:r>
      <w:r>
        <w:t>, such as a deed or mortgage that has been properly recorded.</w:t>
      </w:r>
    </w:p>
    <w:p w:rsidR="003B75F8" w:rsidRDefault="00153BEC" w:rsidP="003D0DA1">
      <w:pPr>
        <w:pStyle w:val="ListParagraph"/>
        <w:numPr>
          <w:ilvl w:val="0"/>
          <w:numId w:val="1"/>
        </w:numPr>
        <w:jc w:val="both"/>
      </w:pPr>
      <w:r>
        <w:t>Notice doctrine – The equitable doctrine that when a new owner takes a estate with notice someone else had a claim on it at the time of the transfer, that claim may still be asserted against the new owner even if it might have been disregarded at law.</w:t>
      </w:r>
    </w:p>
    <w:p w:rsidR="00153BEC" w:rsidRPr="00E37E35" w:rsidRDefault="002F4763" w:rsidP="00153BEC">
      <w:pPr>
        <w:jc w:val="both"/>
        <w:rPr>
          <w:b/>
        </w:rPr>
      </w:pPr>
      <w:r w:rsidRPr="00E37E35">
        <w:rPr>
          <w:b/>
        </w:rPr>
        <w:t>Nature and Scope</w:t>
      </w:r>
    </w:p>
    <w:p w:rsidR="002F4763" w:rsidRDefault="007322CF" w:rsidP="005D3E24">
      <w:pPr>
        <w:ind w:firstLine="720"/>
        <w:jc w:val="both"/>
      </w:pPr>
      <w:r>
        <w:t xml:space="preserve">Laws pertaining to notices are procedural laws or adjective laws; therefore have to be followed with the greatest possible degree of care and diligence. Law does not excuse mistakes committed in drawing up notices, especially in respect of those which are statutory and mandatory. Mistakes which do not violate or infringe or contravene the provisions of law or affect the cause of action are generally excused. </w:t>
      </w:r>
    </w:p>
    <w:p w:rsidR="000D1E29" w:rsidRPr="00267565" w:rsidRDefault="00267565" w:rsidP="00D03AC4">
      <w:pPr>
        <w:jc w:val="both"/>
        <w:rPr>
          <w:b/>
        </w:rPr>
      </w:pPr>
      <w:r w:rsidRPr="00267565">
        <w:rPr>
          <w:b/>
        </w:rPr>
        <w:t>Classification of Notices</w:t>
      </w:r>
    </w:p>
    <w:p w:rsidR="00267565" w:rsidRPr="00267565" w:rsidRDefault="00267565" w:rsidP="00D03AC4">
      <w:pPr>
        <w:jc w:val="both"/>
        <w:rPr>
          <w:b/>
        </w:rPr>
      </w:pPr>
      <w:r w:rsidRPr="00267565">
        <w:rPr>
          <w:b/>
        </w:rPr>
        <w:t>Oral or Verbal Notice, Written Notice</w:t>
      </w:r>
    </w:p>
    <w:p w:rsidR="00267565" w:rsidRDefault="009F0401" w:rsidP="009F0401">
      <w:pPr>
        <w:ind w:firstLine="720"/>
        <w:jc w:val="both"/>
      </w:pPr>
      <w:r>
        <w:t xml:space="preserve">Generally speaking a notice should be in writing because a written notice is easy to prove its contents are certain. </w:t>
      </w:r>
      <w:r w:rsidR="003A319F">
        <w:t xml:space="preserve">However, a notice may be oral or verbal. </w:t>
      </w:r>
      <w:r w:rsidR="00372260">
        <w:t xml:space="preserve">A verbal notice to quit is sufficient to </w:t>
      </w:r>
      <w:r w:rsidR="00372260">
        <w:lastRenderedPageBreak/>
        <w:t>terminate tenancy unless there is express provision requiring a written notice [</w:t>
      </w:r>
      <w:proofErr w:type="spellStart"/>
      <w:r w:rsidR="00372260">
        <w:t>Zingu</w:t>
      </w:r>
      <w:proofErr w:type="spellEnd"/>
      <w:r w:rsidR="00372260">
        <w:t xml:space="preserve"> </w:t>
      </w:r>
      <w:proofErr w:type="gramStart"/>
      <w:r w:rsidR="00372260">
        <w:t>Vs</w:t>
      </w:r>
      <w:proofErr w:type="gramEnd"/>
      <w:r w:rsidR="00372260">
        <w:t xml:space="preserve">. </w:t>
      </w:r>
      <w:proofErr w:type="spellStart"/>
      <w:r w:rsidR="00372260">
        <w:t>Ramji</w:t>
      </w:r>
      <w:proofErr w:type="spellEnd"/>
      <w:r w:rsidR="00372260">
        <w:t xml:space="preserve"> </w:t>
      </w:r>
      <w:proofErr w:type="spellStart"/>
      <w:r w:rsidR="007F1830">
        <w:t>Mahadu</w:t>
      </w:r>
      <w:proofErr w:type="spellEnd"/>
      <w:r w:rsidR="007F1830">
        <w:t xml:space="preserve"> AIR 1929 Nag. 169].</w:t>
      </w:r>
    </w:p>
    <w:p w:rsidR="007F1830" w:rsidRDefault="00841CF2" w:rsidP="009F0401">
      <w:pPr>
        <w:ind w:firstLine="720"/>
        <w:jc w:val="both"/>
      </w:pPr>
      <w:r>
        <w:t>A notice under section 14(2) of the Arbitration Act, 1940 may be given orally. Section 94 of the Negotiable Instruments Act, 1881 (26 of 1881), says that a notice may be oral or written; may, if written, be sent by post and may be in any form.</w:t>
      </w:r>
    </w:p>
    <w:p w:rsidR="00841CF2" w:rsidRPr="00993782" w:rsidRDefault="000C45DF" w:rsidP="000C45DF">
      <w:pPr>
        <w:jc w:val="both"/>
        <w:rPr>
          <w:b/>
        </w:rPr>
      </w:pPr>
      <w:r w:rsidRPr="00993782">
        <w:rPr>
          <w:b/>
        </w:rPr>
        <w:t>Public and Private Notices</w:t>
      </w:r>
    </w:p>
    <w:p w:rsidR="00841CF2" w:rsidRDefault="0001620D" w:rsidP="009F0401">
      <w:pPr>
        <w:ind w:firstLine="720"/>
        <w:jc w:val="both"/>
      </w:pPr>
      <w:r>
        <w:t xml:space="preserve">Public notices are those notices which are issued on matters in which the members of the general public are likely to be interested or by which the public are likely to be or expected to be affected. </w:t>
      </w:r>
      <w:r w:rsidR="0069300E">
        <w:t>E.g. notice of dissolution of a registered firm, a notice to creditors in respect of deceased’s notice.</w:t>
      </w:r>
    </w:p>
    <w:p w:rsidR="0069300E" w:rsidRDefault="00D110AB" w:rsidP="009F0401">
      <w:pPr>
        <w:ind w:firstLine="720"/>
        <w:jc w:val="both"/>
      </w:pPr>
      <w:r>
        <w:t>Private notices pertain to matters affecting or touching individuals. E.</w:t>
      </w:r>
      <w:r w:rsidR="00B675AC">
        <w:t>g. N</w:t>
      </w:r>
      <w:r>
        <w:t>otice of claim to a deb</w:t>
      </w:r>
      <w:r w:rsidR="00B675AC">
        <w:t>tor, N</w:t>
      </w:r>
      <w:r>
        <w:t>otice by tenant to repair.</w:t>
      </w:r>
    </w:p>
    <w:p w:rsidR="00D110AB" w:rsidRPr="00B069CC" w:rsidRDefault="00746700" w:rsidP="00746700">
      <w:pPr>
        <w:jc w:val="both"/>
        <w:rPr>
          <w:b/>
        </w:rPr>
      </w:pPr>
      <w:r w:rsidRPr="00B069CC">
        <w:rPr>
          <w:b/>
        </w:rPr>
        <w:t>Actual and Constructive Notice</w:t>
      </w:r>
    </w:p>
    <w:p w:rsidR="00D110AB" w:rsidRDefault="009F0E0C" w:rsidP="009F0401">
      <w:pPr>
        <w:ind w:firstLine="720"/>
        <w:jc w:val="both"/>
      </w:pPr>
      <w:r>
        <w:t>In the case of actual notice, knowledge of a fact is carried to a party by sending to him or by giving him a notice. Constructive notice is the knowledge which the Courts impute to a person upon a presumption so strong of the existence of the knowledge that it cannot be allowed to be rebutted, whether from his knowing something which ought to have put him upon further inquiry or from his willfully abstaining from inquiry, so avoid notice.</w:t>
      </w:r>
    </w:p>
    <w:p w:rsidR="006500A5" w:rsidRPr="00111BAE" w:rsidRDefault="006500A5" w:rsidP="006500A5">
      <w:pPr>
        <w:jc w:val="both"/>
        <w:rPr>
          <w:b/>
        </w:rPr>
      </w:pPr>
      <w:r w:rsidRPr="00111BAE">
        <w:rPr>
          <w:b/>
        </w:rPr>
        <w:t>Contractual and Optional Notice</w:t>
      </w:r>
    </w:p>
    <w:p w:rsidR="006500A5" w:rsidRDefault="006358D3" w:rsidP="009F0401">
      <w:pPr>
        <w:ind w:firstLine="720"/>
        <w:jc w:val="both"/>
      </w:pPr>
      <w:r>
        <w:t>Notice issued in accordance with the terms of a contract is</w:t>
      </w:r>
      <w:r w:rsidR="005D2C2B">
        <w:t xml:space="preserve"> referred to as contractual notice. E.</w:t>
      </w:r>
      <w:r>
        <w:t>g. N</w:t>
      </w:r>
      <w:r w:rsidR="005D2C2B">
        <w:t>otice for termination of tenancy or lease where the relevant agreement provides for issue of notice.</w:t>
      </w:r>
    </w:p>
    <w:p w:rsidR="005D2C2B" w:rsidRDefault="00915677" w:rsidP="009F0401">
      <w:pPr>
        <w:ind w:firstLine="720"/>
        <w:jc w:val="both"/>
      </w:pPr>
      <w:r>
        <w:t>Where a notice is given not under any law or any contract or agreement and the notice given is not thus bound to give the notice, such notice is referred to as optional notice. E.g. Notice claiming arrears of rent, notice claiming dues on credit accounts and so on.</w:t>
      </w:r>
    </w:p>
    <w:p w:rsidR="00915677" w:rsidRPr="00B417BE" w:rsidRDefault="00887592" w:rsidP="00915677">
      <w:pPr>
        <w:jc w:val="both"/>
        <w:rPr>
          <w:b/>
        </w:rPr>
      </w:pPr>
      <w:r w:rsidRPr="00B417BE">
        <w:rPr>
          <w:b/>
        </w:rPr>
        <w:t>Reasonable and Defective Notice</w:t>
      </w:r>
    </w:p>
    <w:p w:rsidR="00915677" w:rsidRDefault="00B3364D" w:rsidP="009F0401">
      <w:pPr>
        <w:ind w:firstLine="720"/>
        <w:jc w:val="both"/>
      </w:pPr>
      <w:r>
        <w:t>Where a notice is not required to be issued under any law but t</w:t>
      </w:r>
      <w:r w:rsidR="00BD40CD">
        <w:t xml:space="preserve">he principles of a natural justice or reasonableness warrant that a notice should be issued, such notice is referred to as “reasonableness notice”. </w:t>
      </w:r>
      <w:r w:rsidR="00D155F7">
        <w:t xml:space="preserve">A notice which is inconsistent with the requirements of law and a notice which is not a reasonable notice </w:t>
      </w:r>
      <w:proofErr w:type="gramStart"/>
      <w:r w:rsidR="00D155F7">
        <w:t>is</w:t>
      </w:r>
      <w:proofErr w:type="gramEnd"/>
      <w:r w:rsidR="00D155F7">
        <w:t xml:space="preserve"> referred to a defective notice. Defective notices are sometimes referred to as “invalid notice” or “void notice”.</w:t>
      </w:r>
    </w:p>
    <w:p w:rsidR="00D155F7" w:rsidRPr="00330BC0" w:rsidRDefault="00B8752A" w:rsidP="00B8752A">
      <w:pPr>
        <w:jc w:val="both"/>
        <w:rPr>
          <w:b/>
        </w:rPr>
      </w:pPr>
      <w:r w:rsidRPr="00330BC0">
        <w:rPr>
          <w:b/>
        </w:rPr>
        <w:t>Composite Notices</w:t>
      </w:r>
    </w:p>
    <w:p w:rsidR="00B8752A" w:rsidRDefault="00CB2A04" w:rsidP="009F0401">
      <w:pPr>
        <w:ind w:firstLine="720"/>
        <w:jc w:val="both"/>
      </w:pPr>
      <w:r>
        <w:t>A composite notice is a notice issued under separate enactments in a combined form or under two or more sections of the same enactments. For example a notice under section 106 of Indian Railways Act, 1989 read with section 80 of the Civil Procedure Code.</w:t>
      </w:r>
    </w:p>
    <w:p w:rsidR="00CB2A04" w:rsidRPr="005D3A50" w:rsidRDefault="005D3A50" w:rsidP="005D3A50">
      <w:pPr>
        <w:jc w:val="both"/>
        <w:rPr>
          <w:b/>
        </w:rPr>
      </w:pPr>
      <w:r w:rsidRPr="005D3A50">
        <w:rPr>
          <w:b/>
        </w:rPr>
        <w:t>Notice to Admit</w:t>
      </w:r>
    </w:p>
    <w:p w:rsidR="00CB2A04" w:rsidRDefault="00D5132D" w:rsidP="009F0401">
      <w:pPr>
        <w:ind w:firstLine="720"/>
        <w:jc w:val="both"/>
      </w:pPr>
      <w:r>
        <w:lastRenderedPageBreak/>
        <w:t xml:space="preserve">A party to an action may serve notice upon the other party to admit any document. Such notice is to be given under Order XII, Rule 2 of the Code of Civil Procedure, 1908. The </w:t>
      </w:r>
      <w:r w:rsidR="000A309C">
        <w:t>parties to a suit may, by their solicitors, agree to admit at the trial documents and facts; and such agreement often saves trouble and expose and expense, where there is no ground for disputing them.</w:t>
      </w:r>
    </w:p>
    <w:p w:rsidR="000A309C" w:rsidRPr="008A7D9F" w:rsidRDefault="005C580F" w:rsidP="000A309C">
      <w:pPr>
        <w:jc w:val="both"/>
        <w:rPr>
          <w:b/>
        </w:rPr>
      </w:pPr>
      <w:r w:rsidRPr="008A7D9F">
        <w:rPr>
          <w:b/>
        </w:rPr>
        <w:t>Notice to Produce</w:t>
      </w:r>
    </w:p>
    <w:p w:rsidR="000A309C" w:rsidRDefault="008A7D9F" w:rsidP="009F0401">
      <w:pPr>
        <w:ind w:firstLine="720"/>
        <w:jc w:val="both"/>
      </w:pPr>
      <w:r>
        <w:t xml:space="preserve">Any party to an action may call upon the other party to produce any documents referred to in his pleadings or affidavit [Order XI, Rule 16 of the Code of Civil Procedure, 1908]. </w:t>
      </w:r>
      <w:r w:rsidR="009D0082">
        <w:t>If one party is in possession of any written instrument which would be evidence for the other if produced, a notice to produce it at the trial may be served either upon him, his solicitor, or agent. The notice must specify the instrument with a particularity sufficient to inform the opposite party what he called upon to produce. It must be served at a reasonable time before trail, so as to enable the party served to make an effectual search, and produce the same at the proper time.</w:t>
      </w:r>
    </w:p>
    <w:p w:rsidR="009D0082" w:rsidRPr="002614FD" w:rsidRDefault="002614FD" w:rsidP="009D0082">
      <w:pPr>
        <w:jc w:val="both"/>
        <w:rPr>
          <w:b/>
        </w:rPr>
      </w:pPr>
      <w:r w:rsidRPr="002614FD">
        <w:rPr>
          <w:b/>
        </w:rPr>
        <w:t>N</w:t>
      </w:r>
      <w:r w:rsidR="00B27A7E" w:rsidRPr="002614FD">
        <w:rPr>
          <w:b/>
        </w:rPr>
        <w:t>otification</w:t>
      </w:r>
      <w:r w:rsidRPr="002614FD">
        <w:rPr>
          <w:b/>
        </w:rPr>
        <w:t xml:space="preserve"> </w:t>
      </w:r>
    </w:p>
    <w:p w:rsidR="009D0082" w:rsidRDefault="00451B7A" w:rsidP="009F0401">
      <w:pPr>
        <w:ind w:firstLine="720"/>
        <w:jc w:val="both"/>
      </w:pPr>
      <w:r>
        <w:t xml:space="preserve">Notification is the act of notifying or giving notice; notice given in words or in writing, anything which communicates information, as a letter, a telegram or an advertisement. </w:t>
      </w:r>
    </w:p>
    <w:p w:rsidR="00A454AD" w:rsidRPr="005923AC" w:rsidRDefault="00A454AD" w:rsidP="00A454AD">
      <w:pPr>
        <w:jc w:val="both"/>
        <w:rPr>
          <w:b/>
        </w:rPr>
      </w:pPr>
      <w:r w:rsidRPr="005923AC">
        <w:rPr>
          <w:b/>
        </w:rPr>
        <w:t>Notice of Assessment</w:t>
      </w:r>
    </w:p>
    <w:p w:rsidR="00A454AD" w:rsidRDefault="005923AC" w:rsidP="009F0401">
      <w:pPr>
        <w:ind w:firstLine="720"/>
        <w:jc w:val="both"/>
      </w:pPr>
      <w:r>
        <w:t>A noti</w:t>
      </w:r>
      <w:r w:rsidR="003311C6">
        <w:t>ce given by a taxing authority</w:t>
      </w:r>
      <w:r>
        <w:t xml:space="preserve"> such as an officer of the Income Tax Department or of an officer of a municipal Corporation or Panchayat in relation to real property situated within the limits of his Municipality or Panchayat, whereby the tax payer is advised of the assessment of taxes payable by him.</w:t>
      </w:r>
    </w:p>
    <w:p w:rsidR="005923AC" w:rsidRPr="003B2203" w:rsidRDefault="003B2203" w:rsidP="003B2203">
      <w:pPr>
        <w:jc w:val="both"/>
        <w:rPr>
          <w:b/>
        </w:rPr>
      </w:pPr>
      <w:r w:rsidRPr="003B2203">
        <w:rPr>
          <w:b/>
        </w:rPr>
        <w:t>Notice of Accident</w:t>
      </w:r>
    </w:p>
    <w:p w:rsidR="005923AC" w:rsidRDefault="00E26889" w:rsidP="009F0401">
      <w:pPr>
        <w:ind w:firstLine="720"/>
        <w:jc w:val="both"/>
      </w:pPr>
      <w:r>
        <w:t>The notice of Accidents Act, 1906, requires annual return and notices of accidents in mines and quarries to be given, ad in the case of accidents in factories and workshops notice must be sent to the district inspector, and also in certain events to the certifying surgeon of the district. In case of mines, provision for notice is made by the Coal Mines Act, 1911.</w:t>
      </w:r>
    </w:p>
    <w:p w:rsidR="00E26889" w:rsidRPr="00377C62" w:rsidRDefault="00125373" w:rsidP="00125373">
      <w:pPr>
        <w:jc w:val="both"/>
        <w:rPr>
          <w:b/>
        </w:rPr>
      </w:pPr>
      <w:r w:rsidRPr="00377C62">
        <w:rPr>
          <w:b/>
        </w:rPr>
        <w:t>Notice of Dishonour</w:t>
      </w:r>
    </w:p>
    <w:p w:rsidR="00E26889" w:rsidRDefault="00F00C30" w:rsidP="009F0401">
      <w:pPr>
        <w:ind w:firstLine="720"/>
        <w:jc w:val="both"/>
      </w:pPr>
      <w:r>
        <w:t xml:space="preserve">Sections 91 to 98 of the Negotiable Instruments Act, 1881 deal with this aspect. In relation to bills of exchange, a notice of dishonour is a notice given by the payee or endorsee thereof to all parties other than the acceptor that the bill had been dishonoured upon presentment. </w:t>
      </w:r>
      <w:r w:rsidR="0092245D">
        <w:t>The notice of dishonour is given to enable the parties to protect themselves by promptly taking up the bill and proceeding against the party ultimately liable upon it.</w:t>
      </w:r>
    </w:p>
    <w:p w:rsidR="0092245D" w:rsidRPr="0028334F" w:rsidRDefault="006E4EDB" w:rsidP="006E4EDB">
      <w:pPr>
        <w:jc w:val="both"/>
        <w:rPr>
          <w:b/>
        </w:rPr>
      </w:pPr>
      <w:r w:rsidRPr="0028334F">
        <w:rPr>
          <w:b/>
        </w:rPr>
        <w:t>Notice to Quit</w:t>
      </w:r>
    </w:p>
    <w:p w:rsidR="00764D50" w:rsidRDefault="00321799" w:rsidP="000372F9">
      <w:pPr>
        <w:ind w:firstLine="720"/>
        <w:jc w:val="both"/>
      </w:pPr>
      <w:r>
        <w:t xml:space="preserve">Notice to be given by a landlord to a tenant or by a tenant to a landlord. A written notice given by a landlord to his tenant, stating that the former desires to repossess himself of the demised premises, and that the latter is required to quit ad remove from the same at a tie designated, either at the expiration of the term, if </w:t>
      </w:r>
      <w:proofErr w:type="gramStart"/>
      <w:r>
        <w:t>the  tenant</w:t>
      </w:r>
      <w:proofErr w:type="gramEnd"/>
      <w:r>
        <w:t xml:space="preserve"> </w:t>
      </w:r>
      <w:r w:rsidR="00604698">
        <w:t xml:space="preserve">is In under a lease, or immediately, if the tenancy is at will or by sufferance. The term is also sometimes applied to a written notice given by the tenant to </w:t>
      </w:r>
      <w:r w:rsidR="00604698">
        <w:lastRenderedPageBreak/>
        <w:t>the landlord to the effect that he intends to quit the demised premises and deliver possession of the same on a day named.</w:t>
      </w:r>
    </w:p>
    <w:p w:rsidR="000372F9" w:rsidRPr="00257515" w:rsidRDefault="00B57935" w:rsidP="00B57935">
      <w:pPr>
        <w:jc w:val="both"/>
        <w:rPr>
          <w:b/>
        </w:rPr>
      </w:pPr>
      <w:r w:rsidRPr="00257515">
        <w:rPr>
          <w:b/>
        </w:rPr>
        <w:t>Notice of Knowledge and Notice of Fact</w:t>
      </w:r>
    </w:p>
    <w:p w:rsidR="00B57935" w:rsidRDefault="00A2446A" w:rsidP="000372F9">
      <w:pPr>
        <w:ind w:firstLine="720"/>
        <w:jc w:val="both"/>
      </w:pPr>
      <w:r>
        <w:t xml:space="preserve">Notice and knowledge </w:t>
      </w:r>
      <w:proofErr w:type="gramStart"/>
      <w:r>
        <w:t>are</w:t>
      </w:r>
      <w:proofErr w:type="gramEnd"/>
      <w:r>
        <w:t xml:space="preserve"> not the same thing, although loosely one sometimes talks as if to act with notice and to act with knowledge were indeed the same. </w:t>
      </w:r>
      <w:r w:rsidR="00921B92">
        <w:t>A person is said to have notice of a fact either when he actually know that fact or when but for the willful abstention from enquiry or gross negligence he would have known it or when information of the fact is given to or obtained by his agent, under the circumstances mentioned in Section 229 of the Indian Contract Act, 1872</w:t>
      </w:r>
    </w:p>
    <w:p w:rsidR="00921B92" w:rsidRPr="009275DA" w:rsidRDefault="0021171C" w:rsidP="0021171C">
      <w:pPr>
        <w:jc w:val="both"/>
        <w:rPr>
          <w:b/>
        </w:rPr>
      </w:pPr>
      <w:r w:rsidRPr="009275DA">
        <w:rPr>
          <w:b/>
        </w:rPr>
        <w:t>Notice of Appeal</w:t>
      </w:r>
    </w:p>
    <w:p w:rsidR="00921B92" w:rsidRDefault="00187AD4" w:rsidP="000372F9">
      <w:pPr>
        <w:ind w:firstLine="720"/>
        <w:jc w:val="both"/>
      </w:pPr>
      <w:r>
        <w:t xml:space="preserve">The </w:t>
      </w:r>
      <w:r w:rsidR="00ED2D16">
        <w:t>words “notice of appeal” means the notice to the respondent of the actual date of hearing fixed for the disposal of the appeal [</w:t>
      </w:r>
      <w:proofErr w:type="spellStart"/>
      <w:r w:rsidR="00ED2D16">
        <w:t>Bachcha</w:t>
      </w:r>
      <w:proofErr w:type="spellEnd"/>
      <w:r w:rsidR="00ED2D16">
        <w:t xml:space="preserve"> </w:t>
      </w:r>
      <w:proofErr w:type="gramStart"/>
      <w:r w:rsidR="00ED2D16">
        <w:t>Vs</w:t>
      </w:r>
      <w:proofErr w:type="gramEnd"/>
      <w:r w:rsidR="00ED2D16">
        <w:t xml:space="preserve">. </w:t>
      </w:r>
      <w:proofErr w:type="spellStart"/>
      <w:r w:rsidR="00ED2D16">
        <w:t>Kameshwar</w:t>
      </w:r>
      <w:proofErr w:type="spellEnd"/>
      <w:r w:rsidR="00ED2D16">
        <w:t xml:space="preserve"> Prasad Singh, AIR 1963 ALL 311 (312-13)].</w:t>
      </w:r>
    </w:p>
    <w:p w:rsidR="00ED2D16" w:rsidRPr="001B42A7" w:rsidRDefault="00345501" w:rsidP="00345501">
      <w:pPr>
        <w:jc w:val="both"/>
        <w:rPr>
          <w:b/>
        </w:rPr>
      </w:pPr>
      <w:r w:rsidRPr="001B42A7">
        <w:rPr>
          <w:b/>
        </w:rPr>
        <w:t>Requirement of Notice</w:t>
      </w:r>
    </w:p>
    <w:p w:rsidR="00345501" w:rsidRDefault="00C36B3C" w:rsidP="000372F9">
      <w:pPr>
        <w:ind w:firstLine="720"/>
        <w:jc w:val="both"/>
      </w:pPr>
      <w:r>
        <w:t xml:space="preserve">Generally speaking there is no particular form for any particular notice. Thus, a notice u/s 80 of the Code of Civil Procedure, 1908 (V of 108) or a notice u/s 106 of the Transfer of Property Act, 1882 (IV of 1882) or a notice u/s 106 of the Indian Railways Act, 1989 (24 of 1989), or a notice u/s 43 (1) of the Indian Partnership Act, 1932 (9 of 1932) does not require to be given any particular form. </w:t>
      </w:r>
      <w:r w:rsidR="0002460D">
        <w:t>It must, however, be noted in this connection that several forms of notices have been pre</w:t>
      </w:r>
      <w:r w:rsidR="00E83524">
        <w:t>scribed under the Civil Procedu</w:t>
      </w:r>
      <w:r w:rsidR="0002460D">
        <w:t>r</w:t>
      </w:r>
      <w:r w:rsidR="00E83524">
        <w:t>e</w:t>
      </w:r>
      <w:r w:rsidR="0002460D">
        <w:t xml:space="preserve"> Code, 1908, and these forms have to be used when there is occasion for issuing such notices.</w:t>
      </w:r>
    </w:p>
    <w:p w:rsidR="0002460D" w:rsidRDefault="00DA1435" w:rsidP="000372F9">
      <w:pPr>
        <w:ind w:firstLine="720"/>
        <w:jc w:val="both"/>
      </w:pPr>
      <w:r>
        <w:t xml:space="preserve">It is not necessary that the section of a statute under which a notice is issued must be mentioned in the notice for the validity of the notice. Again, a notice which is invalid in the eyes of law would not be valid only because the section of an Act under which it had been issued and had been mentioned in it. </w:t>
      </w:r>
      <w:r w:rsidR="00B4781B">
        <w:t>In [Sunderlal Vs. Yakoob Ali (AIR 1979 NOC 38 (ALL)], it was held that a mere mention of section 106 in the notice without there being a recital, express or implied, terminating the tenancy of the person to whom the notice had been addressed was not sufficient in law to bring about termination of tenancy.</w:t>
      </w:r>
    </w:p>
    <w:p w:rsidR="00B4781B" w:rsidRPr="00AA349E" w:rsidRDefault="00AA349E" w:rsidP="00AA349E">
      <w:pPr>
        <w:jc w:val="both"/>
        <w:rPr>
          <w:b/>
        </w:rPr>
      </w:pPr>
      <w:r w:rsidRPr="00AA349E">
        <w:rPr>
          <w:b/>
        </w:rPr>
        <w:t>Service of Notice</w:t>
      </w:r>
    </w:p>
    <w:p w:rsidR="00AA349E" w:rsidRDefault="00D44BA4" w:rsidP="000372F9">
      <w:pPr>
        <w:ind w:firstLine="720"/>
        <w:jc w:val="both"/>
      </w:pPr>
      <w:r>
        <w:t xml:space="preserve">This is also an important factor so far notice is concerned. If the notice is not received by the addressee then he cannot be bound by the notice. So to bind the addressee with the contents of a notice it is essential to see that the notice is served on him. </w:t>
      </w:r>
    </w:p>
    <w:p w:rsidR="00D44BA4" w:rsidRDefault="00D44BA4" w:rsidP="000372F9">
      <w:pPr>
        <w:ind w:firstLine="720"/>
        <w:jc w:val="both"/>
      </w:pPr>
      <w:r>
        <w:t>In case of joint tenancy, if the notice is served on one of the joint tenants then it is notice to all the joint tenants [</w:t>
      </w:r>
      <w:proofErr w:type="spellStart"/>
      <w:r>
        <w:t>Rotion</w:t>
      </w:r>
      <w:proofErr w:type="spellEnd"/>
      <w:r>
        <w:t xml:space="preserve"> </w:t>
      </w:r>
      <w:proofErr w:type="gramStart"/>
      <w:r>
        <w:t>Vs</w:t>
      </w:r>
      <w:proofErr w:type="gramEnd"/>
      <w:r>
        <w:t xml:space="preserve">. </w:t>
      </w:r>
      <w:proofErr w:type="spellStart"/>
      <w:r>
        <w:t>Prurshottam</w:t>
      </w:r>
      <w:proofErr w:type="spellEnd"/>
      <w:r>
        <w:t xml:space="preserve"> </w:t>
      </w:r>
      <w:proofErr w:type="spellStart"/>
      <w:r>
        <w:t>Lal</w:t>
      </w:r>
      <w:proofErr w:type="spellEnd"/>
      <w:r>
        <w:t>. AIR 1965 ALL. 287].</w:t>
      </w:r>
    </w:p>
    <w:p w:rsidR="00D44BA4" w:rsidRPr="002C1896" w:rsidRDefault="001A1E54" w:rsidP="00D44BA4">
      <w:pPr>
        <w:jc w:val="both"/>
        <w:rPr>
          <w:b/>
        </w:rPr>
      </w:pPr>
      <w:r w:rsidRPr="002C1896">
        <w:rPr>
          <w:b/>
        </w:rPr>
        <w:t xml:space="preserve">Presumption </w:t>
      </w:r>
      <w:r w:rsidR="001F234D" w:rsidRPr="002C1896">
        <w:rPr>
          <w:b/>
        </w:rPr>
        <w:t>of Service of Notice</w:t>
      </w:r>
    </w:p>
    <w:p w:rsidR="00D44BA4" w:rsidRDefault="003574B4" w:rsidP="000372F9">
      <w:pPr>
        <w:ind w:firstLine="720"/>
        <w:jc w:val="both"/>
      </w:pPr>
      <w:r>
        <w:t xml:space="preserve">In </w:t>
      </w:r>
      <w:proofErr w:type="spellStart"/>
      <w:r>
        <w:t>Hari</w:t>
      </w:r>
      <w:proofErr w:type="spellEnd"/>
      <w:r>
        <w:t xml:space="preserve"> </w:t>
      </w:r>
      <w:proofErr w:type="spellStart"/>
      <w:r>
        <w:t>Charan</w:t>
      </w:r>
      <w:proofErr w:type="spellEnd"/>
      <w:r>
        <w:t xml:space="preserve"> Singh Vs. </w:t>
      </w:r>
      <w:proofErr w:type="spellStart"/>
      <w:r>
        <w:t>Siv</w:t>
      </w:r>
      <w:proofErr w:type="spellEnd"/>
      <w:r>
        <w:t xml:space="preserve"> Rani, AIR 1981 SC 1284: (1981) 2 SCC 535, the Supreme Court has observed “when a registered envelop is tendered by a postman to the addressee but he refused to accept it, there is due service effected upon the addressee by refusal, the addressee must </w:t>
      </w:r>
      <w:r>
        <w:lastRenderedPageBreak/>
        <w:t xml:space="preserve">therefore, be imputed with the knowledge of the contents thereof and, this follows upon the presumptions that are </w:t>
      </w:r>
      <w:r w:rsidR="00FF34C2">
        <w:t xml:space="preserve">raised under section 27 of the General Clauses Act, 1897 and section 114 of the Evidence Act. The presumptions both under section 27 of the General Clauses Act </w:t>
      </w:r>
      <w:proofErr w:type="spellStart"/>
      <w:r w:rsidR="00FF34C2">
        <w:t>a</w:t>
      </w:r>
      <w:proofErr w:type="spellEnd"/>
      <w:r w:rsidR="00FF34C2">
        <w:t xml:space="preserve"> well as under section 114 of the Evidence Act are rebuttable but </w:t>
      </w:r>
      <w:r w:rsidR="009F12B4">
        <w:t xml:space="preserve">(in the absence of proof of contrary) the presumption of proper service or effective service on the addressee would arise, which must mean </w:t>
      </w:r>
      <w:r w:rsidR="00157977">
        <w:t xml:space="preserve">service of everything that is contained in the notice. It cannot be said that before knowledge of the contents of the notice could be imputed the sealed envelope must be opened and read by the addressee or when the addressee happens to be an illiterate person the contents should be read over the addressee is </w:t>
      </w:r>
      <w:proofErr w:type="spellStart"/>
      <w:r w:rsidR="00157977">
        <w:t>det</w:t>
      </w:r>
      <w:proofErr w:type="spellEnd"/>
      <w:r w:rsidR="0036328C">
        <w:t xml:space="preserve"> </w:t>
      </w:r>
      <w:proofErr w:type="spellStart"/>
      <w:r w:rsidR="0036328C">
        <w:t>a</w:t>
      </w:r>
      <w:r w:rsidR="00157977">
        <w:t>ermined</w:t>
      </w:r>
      <w:proofErr w:type="spellEnd"/>
      <w:r w:rsidR="00157977">
        <w:t xml:space="preserve"> to decline to accept the sealed envelope”.</w:t>
      </w:r>
    </w:p>
    <w:p w:rsidR="00157977" w:rsidRPr="00B5695B" w:rsidRDefault="009C000D" w:rsidP="009C000D">
      <w:pPr>
        <w:jc w:val="both"/>
        <w:rPr>
          <w:b/>
        </w:rPr>
      </w:pPr>
      <w:r w:rsidRPr="00B5695B">
        <w:rPr>
          <w:b/>
        </w:rPr>
        <w:t>Modes of Service</w:t>
      </w:r>
    </w:p>
    <w:p w:rsidR="009C000D" w:rsidRDefault="00837995" w:rsidP="000372F9">
      <w:pPr>
        <w:ind w:firstLine="720"/>
        <w:jc w:val="both"/>
      </w:pPr>
      <w:r>
        <w:t>There may be direct and indirect modes of service. The following are the direct modes:-</w:t>
      </w:r>
    </w:p>
    <w:p w:rsidR="00837995" w:rsidRDefault="00FA4945" w:rsidP="00FA4945">
      <w:pPr>
        <w:pStyle w:val="ListParagraph"/>
        <w:numPr>
          <w:ilvl w:val="0"/>
          <w:numId w:val="3"/>
        </w:numPr>
        <w:jc w:val="both"/>
      </w:pPr>
      <w:r>
        <w:t xml:space="preserve">Personal service </w:t>
      </w:r>
      <w:r w:rsidR="0036328C">
        <w:t>–</w:t>
      </w:r>
      <w:r>
        <w:t xml:space="preserve"> </w:t>
      </w:r>
      <w:r w:rsidR="0036328C">
        <w:t>Delivery of a notice to the person on whom it is to be served constitutes what is known as “Personal Service”.</w:t>
      </w:r>
      <w:r w:rsidR="00B203B9">
        <w:t xml:space="preserve"> When a personal service is </w:t>
      </w:r>
      <w:proofErr w:type="gramStart"/>
      <w:r w:rsidR="00B203B9">
        <w:t>effected</w:t>
      </w:r>
      <w:proofErr w:type="gramEnd"/>
      <w:r w:rsidR="00B203B9">
        <w:t>, a receipt acknowledging delivery of the notice in writing should be insisted from the addressee.</w:t>
      </w:r>
    </w:p>
    <w:p w:rsidR="0036328C" w:rsidRDefault="00B400FD" w:rsidP="00FA4945">
      <w:pPr>
        <w:pStyle w:val="ListParagraph"/>
        <w:numPr>
          <w:ilvl w:val="0"/>
          <w:numId w:val="3"/>
        </w:numPr>
        <w:jc w:val="both"/>
      </w:pPr>
      <w:r>
        <w:t xml:space="preserve">Service by Post </w:t>
      </w:r>
      <w:r w:rsidR="00993572">
        <w:t>–</w:t>
      </w:r>
      <w:r>
        <w:t xml:space="preserve"> </w:t>
      </w:r>
      <w:r w:rsidR="00993572">
        <w:t xml:space="preserve">the most commonly adopted mode of service of a notice is “service by post”, i.e., sending a notice to the addressee, addressed at his usual place of abode or the last known place of abode or business, by post. </w:t>
      </w:r>
      <w:r w:rsidR="00506773">
        <w:t xml:space="preserve">A notice may be sent by – </w:t>
      </w:r>
    </w:p>
    <w:p w:rsidR="00506773" w:rsidRDefault="00506773" w:rsidP="00506773">
      <w:pPr>
        <w:pStyle w:val="ListParagraph"/>
        <w:numPr>
          <w:ilvl w:val="1"/>
          <w:numId w:val="3"/>
        </w:numPr>
        <w:jc w:val="both"/>
      </w:pPr>
      <w:r>
        <w:t>Ordinary post – Dispatch of a notice by ordinary post is not free from risks inasmuch as the notice giver has had left with him nothing to prove service of the notice if the addressee denied of having received the notice.</w:t>
      </w:r>
    </w:p>
    <w:p w:rsidR="00506773" w:rsidRDefault="008F6A11" w:rsidP="00506773">
      <w:pPr>
        <w:pStyle w:val="ListParagraph"/>
        <w:numPr>
          <w:ilvl w:val="1"/>
          <w:numId w:val="3"/>
        </w:numPr>
        <w:jc w:val="both"/>
      </w:pPr>
      <w:r>
        <w:t>Certificate of Post – A certificate of posting, issued by the post office of dispatch, certifies posting of a letter containing a notice but it is not a guarantee that the letter must have reached the addressee.</w:t>
      </w:r>
    </w:p>
    <w:p w:rsidR="008F6A11" w:rsidRDefault="008F6A11" w:rsidP="00506773">
      <w:pPr>
        <w:pStyle w:val="ListParagraph"/>
        <w:numPr>
          <w:ilvl w:val="1"/>
          <w:numId w:val="3"/>
        </w:numPr>
        <w:jc w:val="both"/>
      </w:pPr>
      <w:r>
        <w:t>Registered Post – Sending a notice under registered post places the notice-giver in a better place and surer footing and the law will presume that a notice, sent under registered post, was duly served on the addressee.</w:t>
      </w:r>
    </w:p>
    <w:p w:rsidR="00506773" w:rsidRDefault="00830E8C" w:rsidP="00FA4945">
      <w:pPr>
        <w:pStyle w:val="ListParagraph"/>
        <w:numPr>
          <w:ilvl w:val="0"/>
          <w:numId w:val="3"/>
        </w:numPr>
        <w:jc w:val="both"/>
      </w:pPr>
      <w:r>
        <w:t xml:space="preserve">Statutory mode of Service </w:t>
      </w:r>
      <w:r w:rsidR="00560BF1">
        <w:t>–</w:t>
      </w:r>
      <w:r>
        <w:t xml:space="preserve"> </w:t>
      </w:r>
      <w:r w:rsidR="00560BF1">
        <w:t xml:space="preserve">When a particular provision of law directs a particular manner as to how a notice has to be served i.e., in a case of a notice u/s 80 </w:t>
      </w:r>
      <w:proofErr w:type="gramStart"/>
      <w:r w:rsidR="00560BF1">
        <w:t>of  Civil</w:t>
      </w:r>
      <w:proofErr w:type="gramEnd"/>
      <w:r w:rsidR="00560BF1">
        <w:t xml:space="preserve"> Procedure Code directing the notice</w:t>
      </w:r>
      <w:r w:rsidR="00EB414A">
        <w:t xml:space="preserve"> “to be delivered to or left at the office of the Secretary to the Union, Provincial Government. General </w:t>
      </w:r>
      <w:r w:rsidR="00053A81">
        <w:t>M</w:t>
      </w:r>
      <w:r w:rsidR="00EB414A">
        <w:t>anager of a railway or the Collector of a district as the case may be, the notice is to be served in the manner prescribed under the statute.</w:t>
      </w:r>
    </w:p>
    <w:p w:rsidR="00EB414A" w:rsidRDefault="00053A81" w:rsidP="00FA4945">
      <w:pPr>
        <w:pStyle w:val="ListParagraph"/>
        <w:numPr>
          <w:ilvl w:val="0"/>
          <w:numId w:val="3"/>
        </w:numPr>
        <w:jc w:val="both"/>
      </w:pPr>
      <w:r>
        <w:t xml:space="preserve">Contractual mode of Service </w:t>
      </w:r>
      <w:r w:rsidR="00243EC7">
        <w:t>–</w:t>
      </w:r>
      <w:r>
        <w:t xml:space="preserve"> </w:t>
      </w:r>
      <w:r w:rsidR="00243EC7">
        <w:t>When an agreement of a contract contains a term as to the mode of service of notice, the notice should be service conforming strictly to such mode.</w:t>
      </w:r>
    </w:p>
    <w:p w:rsidR="00243EC7" w:rsidRDefault="008D3E2E" w:rsidP="00FA4945">
      <w:pPr>
        <w:pStyle w:val="ListParagraph"/>
        <w:numPr>
          <w:ilvl w:val="0"/>
          <w:numId w:val="3"/>
        </w:numPr>
        <w:jc w:val="both"/>
      </w:pPr>
      <w:r>
        <w:t xml:space="preserve">Special mode of Service </w:t>
      </w:r>
      <w:r w:rsidR="0046076B">
        <w:t>–</w:t>
      </w:r>
      <w:r>
        <w:t xml:space="preserve"> </w:t>
      </w:r>
      <w:r w:rsidR="0046076B">
        <w:t>Leaving a notice in a conspicuous part of the premises of the addressee.</w:t>
      </w:r>
    </w:p>
    <w:p w:rsidR="0046076B" w:rsidRDefault="004135D9" w:rsidP="004135D9">
      <w:pPr>
        <w:ind w:left="720"/>
        <w:jc w:val="both"/>
      </w:pPr>
      <w:r>
        <w:t>Indirect mode of service by implication arises when a notice giver sends a notice through a beare</w:t>
      </w:r>
      <w:r w:rsidR="00DB0728">
        <w:t>r</w:t>
      </w:r>
      <w:r>
        <w:t xml:space="preserve"> or special messenger or through post office but the addressee refuses to take it. Refusal is by implication good service of the notice on the addressee.</w:t>
      </w:r>
    </w:p>
    <w:p w:rsidR="004135D9" w:rsidRDefault="004135D9" w:rsidP="004135D9">
      <w:pPr>
        <w:ind w:left="720"/>
        <w:jc w:val="both"/>
      </w:pPr>
    </w:p>
    <w:p w:rsidR="004135D9" w:rsidRDefault="004135D9" w:rsidP="004135D9">
      <w:pPr>
        <w:ind w:left="720"/>
        <w:jc w:val="both"/>
      </w:pPr>
    </w:p>
    <w:p w:rsidR="00E83524" w:rsidRDefault="00E83524" w:rsidP="000372F9">
      <w:pPr>
        <w:ind w:firstLine="720"/>
        <w:jc w:val="both"/>
      </w:pPr>
    </w:p>
    <w:p w:rsidR="00604698" w:rsidRDefault="00604698" w:rsidP="00D619AC">
      <w:pPr>
        <w:jc w:val="both"/>
      </w:pPr>
    </w:p>
    <w:p w:rsidR="00604698" w:rsidRDefault="00604698" w:rsidP="00D619AC">
      <w:pPr>
        <w:jc w:val="both"/>
      </w:pPr>
    </w:p>
    <w:p w:rsidR="00764D50" w:rsidRDefault="00764D50" w:rsidP="00F00C30">
      <w:pPr>
        <w:tabs>
          <w:tab w:val="left" w:pos="2760"/>
        </w:tabs>
        <w:jc w:val="both"/>
      </w:pPr>
    </w:p>
    <w:p w:rsidR="00017324" w:rsidRDefault="00017324" w:rsidP="00F65043">
      <w:pPr>
        <w:jc w:val="both"/>
      </w:pPr>
    </w:p>
    <w:sectPr w:rsidR="00017324" w:rsidSect="003A7D79">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9ED"/>
    <w:multiLevelType w:val="hybridMultilevel"/>
    <w:tmpl w:val="0D6066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E338C0"/>
    <w:multiLevelType w:val="hybridMultilevel"/>
    <w:tmpl w:val="D1C295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599490E"/>
    <w:multiLevelType w:val="hybridMultilevel"/>
    <w:tmpl w:val="A6BE748A"/>
    <w:lvl w:ilvl="0" w:tplc="F86E3E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F83"/>
    <w:rsid w:val="00004568"/>
    <w:rsid w:val="0001620D"/>
    <w:rsid w:val="00017324"/>
    <w:rsid w:val="0002460D"/>
    <w:rsid w:val="000372F9"/>
    <w:rsid w:val="00053A81"/>
    <w:rsid w:val="00084D23"/>
    <w:rsid w:val="000A309C"/>
    <w:rsid w:val="000C45DF"/>
    <w:rsid w:val="000D1E29"/>
    <w:rsid w:val="00111BAE"/>
    <w:rsid w:val="00125373"/>
    <w:rsid w:val="00151A35"/>
    <w:rsid w:val="001523AF"/>
    <w:rsid w:val="00153BEC"/>
    <w:rsid w:val="00157977"/>
    <w:rsid w:val="00161DE6"/>
    <w:rsid w:val="00187AD4"/>
    <w:rsid w:val="001A1E54"/>
    <w:rsid w:val="001B42A7"/>
    <w:rsid w:val="001C1A69"/>
    <w:rsid w:val="001F234D"/>
    <w:rsid w:val="0021171C"/>
    <w:rsid w:val="00212E98"/>
    <w:rsid w:val="00241C04"/>
    <w:rsid w:val="00243EC7"/>
    <w:rsid w:val="00257515"/>
    <w:rsid w:val="002614FD"/>
    <w:rsid w:val="00267565"/>
    <w:rsid w:val="0027515D"/>
    <w:rsid w:val="0028334F"/>
    <w:rsid w:val="002C1896"/>
    <w:rsid w:val="002F4763"/>
    <w:rsid w:val="00321799"/>
    <w:rsid w:val="00330BC0"/>
    <w:rsid w:val="003311C6"/>
    <w:rsid w:val="00345501"/>
    <w:rsid w:val="003574B4"/>
    <w:rsid w:val="0036328C"/>
    <w:rsid w:val="00370D90"/>
    <w:rsid w:val="00372260"/>
    <w:rsid w:val="00377C62"/>
    <w:rsid w:val="003A319F"/>
    <w:rsid w:val="003A7D79"/>
    <w:rsid w:val="003B2203"/>
    <w:rsid w:val="003B75F8"/>
    <w:rsid w:val="003D0DA1"/>
    <w:rsid w:val="004135D9"/>
    <w:rsid w:val="00417AB7"/>
    <w:rsid w:val="00435BA5"/>
    <w:rsid w:val="00451B7A"/>
    <w:rsid w:val="0046076B"/>
    <w:rsid w:val="00461AEB"/>
    <w:rsid w:val="004B0406"/>
    <w:rsid w:val="004C1BB8"/>
    <w:rsid w:val="004F1273"/>
    <w:rsid w:val="00506773"/>
    <w:rsid w:val="005401B7"/>
    <w:rsid w:val="00560BF1"/>
    <w:rsid w:val="005923AC"/>
    <w:rsid w:val="005C580F"/>
    <w:rsid w:val="005D2C2B"/>
    <w:rsid w:val="005D3A50"/>
    <w:rsid w:val="005D3E24"/>
    <w:rsid w:val="006002A2"/>
    <w:rsid w:val="00604698"/>
    <w:rsid w:val="00621E7A"/>
    <w:rsid w:val="006358D3"/>
    <w:rsid w:val="006376D4"/>
    <w:rsid w:val="006500A5"/>
    <w:rsid w:val="0069300E"/>
    <w:rsid w:val="006E46B1"/>
    <w:rsid w:val="006E4EDB"/>
    <w:rsid w:val="007161DF"/>
    <w:rsid w:val="007322CF"/>
    <w:rsid w:val="00746700"/>
    <w:rsid w:val="007645CA"/>
    <w:rsid w:val="00764D50"/>
    <w:rsid w:val="00785173"/>
    <w:rsid w:val="007A00CB"/>
    <w:rsid w:val="007F0DEB"/>
    <w:rsid w:val="007F1830"/>
    <w:rsid w:val="00830E8C"/>
    <w:rsid w:val="00837995"/>
    <w:rsid w:val="00841CF2"/>
    <w:rsid w:val="00846302"/>
    <w:rsid w:val="00865B39"/>
    <w:rsid w:val="00887592"/>
    <w:rsid w:val="008963A9"/>
    <w:rsid w:val="008A7D9F"/>
    <w:rsid w:val="008C0CA8"/>
    <w:rsid w:val="008D3E2E"/>
    <w:rsid w:val="008F6A11"/>
    <w:rsid w:val="0091271E"/>
    <w:rsid w:val="00915677"/>
    <w:rsid w:val="00921B92"/>
    <w:rsid w:val="0092245D"/>
    <w:rsid w:val="009275DA"/>
    <w:rsid w:val="00936D9F"/>
    <w:rsid w:val="009858C9"/>
    <w:rsid w:val="00993572"/>
    <w:rsid w:val="00993782"/>
    <w:rsid w:val="009C000D"/>
    <w:rsid w:val="009D0082"/>
    <w:rsid w:val="009F0401"/>
    <w:rsid w:val="009F0E0C"/>
    <w:rsid w:val="009F12B4"/>
    <w:rsid w:val="00A2446A"/>
    <w:rsid w:val="00A34497"/>
    <w:rsid w:val="00A34642"/>
    <w:rsid w:val="00A37936"/>
    <w:rsid w:val="00A454AD"/>
    <w:rsid w:val="00AA349E"/>
    <w:rsid w:val="00AF51FA"/>
    <w:rsid w:val="00B069CC"/>
    <w:rsid w:val="00B203B9"/>
    <w:rsid w:val="00B272E8"/>
    <w:rsid w:val="00B27A7E"/>
    <w:rsid w:val="00B3364D"/>
    <w:rsid w:val="00B400FD"/>
    <w:rsid w:val="00B417BE"/>
    <w:rsid w:val="00B4781B"/>
    <w:rsid w:val="00B51409"/>
    <w:rsid w:val="00B5695B"/>
    <w:rsid w:val="00B57935"/>
    <w:rsid w:val="00B6425E"/>
    <w:rsid w:val="00B675AC"/>
    <w:rsid w:val="00B8752A"/>
    <w:rsid w:val="00BD40CD"/>
    <w:rsid w:val="00C13F83"/>
    <w:rsid w:val="00C36B3C"/>
    <w:rsid w:val="00C4280B"/>
    <w:rsid w:val="00C802A1"/>
    <w:rsid w:val="00CB2A04"/>
    <w:rsid w:val="00CB6E6B"/>
    <w:rsid w:val="00CC4A27"/>
    <w:rsid w:val="00D03AC4"/>
    <w:rsid w:val="00D110AB"/>
    <w:rsid w:val="00D155F7"/>
    <w:rsid w:val="00D31AF5"/>
    <w:rsid w:val="00D44BA4"/>
    <w:rsid w:val="00D5132D"/>
    <w:rsid w:val="00D546CC"/>
    <w:rsid w:val="00D619AC"/>
    <w:rsid w:val="00D62151"/>
    <w:rsid w:val="00D87438"/>
    <w:rsid w:val="00DA1435"/>
    <w:rsid w:val="00DB0728"/>
    <w:rsid w:val="00E11CEB"/>
    <w:rsid w:val="00E26889"/>
    <w:rsid w:val="00E353C7"/>
    <w:rsid w:val="00E37E35"/>
    <w:rsid w:val="00E67DDE"/>
    <w:rsid w:val="00E83524"/>
    <w:rsid w:val="00EA6D9A"/>
    <w:rsid w:val="00EB414A"/>
    <w:rsid w:val="00ED2D16"/>
    <w:rsid w:val="00F00C30"/>
    <w:rsid w:val="00F122CB"/>
    <w:rsid w:val="00F322AB"/>
    <w:rsid w:val="00F64BB2"/>
    <w:rsid w:val="00F65043"/>
    <w:rsid w:val="00FA4945"/>
    <w:rsid w:val="00FB45CA"/>
    <w:rsid w:val="00FE092B"/>
    <w:rsid w:val="00FF001C"/>
    <w:rsid w:val="00FF3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802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DA1"/>
    <w:pPr>
      <w:ind w:left="720"/>
      <w:contextualSpacing/>
    </w:pPr>
  </w:style>
  <w:style w:type="character" w:customStyle="1" w:styleId="Heading2Char">
    <w:name w:val="Heading 2 Char"/>
    <w:basedOn w:val="DefaultParagraphFont"/>
    <w:link w:val="Heading2"/>
    <w:uiPriority w:val="9"/>
    <w:rsid w:val="00C802A1"/>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C802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802A1"/>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802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DA1"/>
    <w:pPr>
      <w:ind w:left="720"/>
      <w:contextualSpacing/>
    </w:pPr>
  </w:style>
  <w:style w:type="character" w:customStyle="1" w:styleId="Heading2Char">
    <w:name w:val="Heading 2 Char"/>
    <w:basedOn w:val="DefaultParagraphFont"/>
    <w:link w:val="Heading2"/>
    <w:uiPriority w:val="9"/>
    <w:rsid w:val="00C802A1"/>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C802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802A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8</Pages>
  <Words>3080</Words>
  <Characters>17560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SHIVASHANKARA R</dc:creator>
  <cp:lastModifiedBy>SHIVASHANKARA R</cp:lastModifiedBy>
  <cp:revision>162</cp:revision>
  <dcterms:created xsi:type="dcterms:W3CDTF">2012-07-09T10:39:00Z</dcterms:created>
  <dcterms:modified xsi:type="dcterms:W3CDTF">2012-07-14T11:48:00Z</dcterms:modified>
</cp:coreProperties>
</file>