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833"/>
        <w:gridCol w:w="9465"/>
      </w:tblGrid>
      <w:tr w:rsidR="00090F1D" w:rsidRPr="00090F1D">
        <w:trPr>
          <w:gridAfter w:val="1"/>
          <w:tblCellSpacing w:w="0" w:type="dxa"/>
        </w:trPr>
        <w:tc>
          <w:tcPr>
            <w:tcW w:w="9555" w:type="dxa"/>
            <w:hideMark/>
          </w:tcPr>
          <w:p w:rsidR="00090F1D" w:rsidRPr="00090F1D" w:rsidRDefault="00090F1D" w:rsidP="00090F1D">
            <w:pPr>
              <w:spacing w:before="100" w:beforeAutospacing="1" w:after="100" w:afterAutospacing="1"/>
              <w:rPr>
                <w:rFonts w:ascii="MyriadProRegular" w:eastAsia="Times New Roman" w:hAnsi="MyriadProRegular" w:cs="Times New Roman"/>
                <w:color w:val="808080"/>
                <w:sz w:val="23"/>
                <w:szCs w:val="23"/>
              </w:rPr>
            </w:pPr>
            <w:r w:rsidRPr="00090F1D">
              <w:rPr>
                <w:rFonts w:ascii="MyriadProRegular" w:eastAsia="Times New Roman" w:hAnsi="MyriadProRegular" w:cs="Times New Roman"/>
                <w:b/>
                <w:bCs/>
                <w:color w:val="69BD45"/>
                <w:sz w:val="30"/>
              </w:rPr>
              <w:t>Basic Rules of Interpretation and Construction of Statutes:</w:t>
            </w:r>
          </w:p>
        </w:tc>
      </w:tr>
      <w:tr w:rsidR="00090F1D" w:rsidRPr="00090F1D">
        <w:trPr>
          <w:trHeight w:val="5235"/>
          <w:tblCellSpacing w:w="0" w:type="dxa"/>
        </w:trPr>
        <w:tc>
          <w:tcPr>
            <w:tcW w:w="0" w:type="auto"/>
            <w:vAlign w:val="center"/>
            <w:hideMark/>
          </w:tcPr>
          <w:p w:rsidR="00090F1D" w:rsidRPr="00090F1D" w:rsidRDefault="00090F1D" w:rsidP="00090F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F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tbl>
            <w:tblPr>
              <w:tblW w:w="9465" w:type="dxa"/>
              <w:tblCellSpacing w:w="3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19"/>
              <w:gridCol w:w="9146"/>
            </w:tblGrid>
            <w:tr w:rsidR="00090F1D" w:rsidRPr="00090F1D">
              <w:trPr>
                <w:tblCellSpacing w:w="37" w:type="dxa"/>
              </w:trPr>
              <w:tc>
                <w:tcPr>
                  <w:tcW w:w="240" w:type="dxa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85090" cy="127635"/>
                        <wp:effectExtent l="19050" t="0" r="0" b="0"/>
                        <wp:docPr id="1" name="Picture 1" descr="http://www.vanashakti.in/images/bullet_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vanashakti.in/images/bullet_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1276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00" w:type="dxa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Construction of the words is to be done in their ordinary and grammatical meaning.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85090" cy="127635"/>
                        <wp:effectExtent l="19050" t="0" r="0" b="0"/>
                        <wp:docPr id="2" name="Picture 2" descr="http://www.vanashakti.in/images/bullet_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vanashakti.in/images/bullet_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1276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General, ordinary common words are to be given their ordinary meaning.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240" w:type="dxa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85090" cy="127635"/>
                        <wp:effectExtent l="19050" t="0" r="0" b="0"/>
                        <wp:docPr id="3" name="Picture 3" descr="http://www.vanashakti.in/images/bullet_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vanashakti.in/images/bullet_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1276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Where words provide clear and unambiguous meaning, the Courts are not entitled to read something more in those words than that which is contained in them.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240" w:type="dxa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85090" cy="127635"/>
                        <wp:effectExtent l="19050" t="0" r="0" b="0"/>
                        <wp:docPr id="4" name="Picture 4" descr="http://www.vanashakti.in/images/bullet_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vanashakti.in/images/bullet_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1276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 xml:space="preserve">Where the meaning of a statute is clear and explicit, words </w:t>
                  </w:r>
                  <w:proofErr w:type="spellStart"/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can not</w:t>
                  </w:r>
                  <w:proofErr w:type="spellEnd"/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 xml:space="preserve"> be interpolated.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240" w:type="dxa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85090" cy="127635"/>
                        <wp:effectExtent l="19050" t="0" r="0" b="0"/>
                        <wp:docPr id="5" name="Picture 5" descr="http://www.vanashakti.in/images/bullet_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www.vanashakti.in/images/bullet_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1276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It is not competent for a Judge to modify the language of an Act in order to bring it in accordance with his own views.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240" w:type="dxa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85090" cy="127635"/>
                        <wp:effectExtent l="19050" t="0" r="0" b="0"/>
                        <wp:docPr id="6" name="Picture 6" descr="http://www.vanashakti.in/images/bullet_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vanashakti.in/images/bullet_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1276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Where the Statute has expressly provided for the specific meaning of a term, the statute must be interpreted in accordance with the meaning of those terms.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240" w:type="dxa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85090" cy="127635"/>
                        <wp:effectExtent l="19050" t="0" r="0" b="0"/>
                        <wp:docPr id="7" name="Picture 7" descr="http://www.vanashakti.in/images/bullet_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www.vanashakti.in/images/bullet_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1276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Technical words are to be used in their technical meaning.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240" w:type="dxa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85090" cy="127635"/>
                        <wp:effectExtent l="19050" t="0" r="0" b="0"/>
                        <wp:docPr id="8" name="Picture 8" descr="http://www.vanashakti.in/images/bullet_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www.vanashakti.in/images/bullet_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1276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The Court shall avoid a construction, which is meaningless.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85090" cy="127635"/>
                        <wp:effectExtent l="19050" t="0" r="0" b="0"/>
                        <wp:docPr id="9" name="Picture 9" descr="http://www.vanashakti.in/images/bullet_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www.vanashakti.in/images/bullet_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1276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The Court shall alter or modify the law.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hideMark/>
                </w:tcPr>
                <w:p w:rsidR="00090F1D" w:rsidRPr="00090F1D" w:rsidRDefault="00090F1D" w:rsidP="00090F1D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0F1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- Court shall liberally interpret a statute promoting social justice or public benefit.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hideMark/>
                </w:tcPr>
                <w:p w:rsidR="00090F1D" w:rsidRPr="00090F1D" w:rsidRDefault="00090F1D" w:rsidP="00090F1D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0F1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- Court shall strictly interpret statutes intending to deprive a citizen of his rights.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hideMark/>
                </w:tcPr>
                <w:p w:rsidR="00090F1D" w:rsidRPr="00090F1D" w:rsidRDefault="00090F1D" w:rsidP="00090F1D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0F1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- Court shall give a uniform meaning to the same words in a statute.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hideMark/>
                </w:tcPr>
                <w:p w:rsidR="00090F1D" w:rsidRPr="00090F1D" w:rsidRDefault="00090F1D" w:rsidP="00090F1D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0F1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- Court shall harmoniously construe the provisions of a statute.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hideMark/>
                </w:tcPr>
                <w:p w:rsidR="00090F1D" w:rsidRPr="00090F1D" w:rsidRDefault="00090F1D" w:rsidP="00090F1D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0F1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- Court shall give effect to a provision and make it workable.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hideMark/>
                </w:tcPr>
                <w:p w:rsidR="00090F1D" w:rsidRPr="00090F1D" w:rsidRDefault="00090F1D" w:rsidP="00090F1D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0F1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- Court shall give effect to the provisions of a statute irrespective of the consequences.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hideMark/>
                </w:tcPr>
                <w:p w:rsidR="00090F1D" w:rsidRPr="00090F1D" w:rsidRDefault="00090F1D" w:rsidP="00090F1D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0F1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- In case of alternative construction – the right alternative, which ensures smooth working, is to be   chosen.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hideMark/>
                </w:tcPr>
                <w:p w:rsidR="00090F1D" w:rsidRPr="00090F1D" w:rsidRDefault="00090F1D" w:rsidP="00090F1D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0F1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 xml:space="preserve">- Casus </w:t>
                  </w:r>
                  <w:proofErr w:type="spellStart"/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Omissus</w:t>
                  </w:r>
                  <w:proofErr w:type="spellEnd"/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 xml:space="preserve"> cannot be created or supplied.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hideMark/>
                </w:tcPr>
                <w:p w:rsidR="00090F1D" w:rsidRPr="00090F1D" w:rsidRDefault="00090F1D" w:rsidP="00090F1D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0F1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- Court shall interpret the provision to suppress the mischief and advance the remedy.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hideMark/>
                </w:tcPr>
                <w:p w:rsidR="00090F1D" w:rsidRPr="00090F1D" w:rsidRDefault="00090F1D" w:rsidP="00090F1D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0F1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- The penal and taxing statutes must be strictly construed.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hideMark/>
                </w:tcPr>
                <w:p w:rsidR="00090F1D" w:rsidRPr="00090F1D" w:rsidRDefault="00090F1D" w:rsidP="00090F1D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0F1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- Interpretation and Construction of the statutes requires the help of internal and external aids.</w:t>
                  </w:r>
                </w:p>
              </w:tc>
            </w:tr>
          </w:tbl>
          <w:p w:rsidR="00090F1D" w:rsidRPr="00090F1D" w:rsidRDefault="00090F1D" w:rsidP="00090F1D">
            <w:pPr>
              <w:spacing w:after="0"/>
              <w:rPr>
                <w:rFonts w:ascii="MyriadProRegular" w:eastAsia="Times New Roman" w:hAnsi="MyriadProRegular" w:cs="Times New Roman"/>
                <w:color w:val="808080"/>
                <w:sz w:val="23"/>
                <w:szCs w:val="23"/>
              </w:rPr>
            </w:pPr>
          </w:p>
        </w:tc>
      </w:tr>
      <w:tr w:rsidR="00090F1D" w:rsidRPr="00090F1D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090F1D" w:rsidRPr="00090F1D" w:rsidRDefault="00090F1D" w:rsidP="00090F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F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090F1D" w:rsidRPr="00090F1D" w:rsidRDefault="00090F1D" w:rsidP="00090F1D">
            <w:pPr>
              <w:spacing w:after="0"/>
              <w:rPr>
                <w:rFonts w:ascii="MyriadProRegular" w:eastAsia="Times New Roman" w:hAnsi="MyriadProRegular" w:cs="Times New Roman"/>
                <w:b/>
                <w:bCs/>
                <w:color w:val="69BD45"/>
                <w:sz w:val="23"/>
                <w:szCs w:val="23"/>
              </w:rPr>
            </w:pPr>
            <w:r w:rsidRPr="00090F1D">
              <w:rPr>
                <w:rFonts w:ascii="MyriadProRegular" w:eastAsia="Times New Roman" w:hAnsi="MyriadProRegular" w:cs="Times New Roman"/>
                <w:b/>
                <w:bCs/>
                <w:color w:val="69BD45"/>
                <w:sz w:val="23"/>
                <w:szCs w:val="23"/>
              </w:rPr>
              <w:t> </w:t>
            </w:r>
          </w:p>
        </w:tc>
      </w:tr>
      <w:tr w:rsidR="00090F1D" w:rsidRPr="00090F1D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090F1D" w:rsidRPr="00090F1D" w:rsidRDefault="00090F1D" w:rsidP="00090F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F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090F1D" w:rsidRPr="00090F1D" w:rsidRDefault="00090F1D" w:rsidP="00090F1D">
            <w:pPr>
              <w:spacing w:after="0"/>
              <w:rPr>
                <w:rFonts w:ascii="MyriadProRegular" w:eastAsia="Times New Roman" w:hAnsi="MyriadProRegular" w:cs="Times New Roman"/>
                <w:b/>
                <w:bCs/>
                <w:color w:val="69BD45"/>
                <w:sz w:val="23"/>
                <w:szCs w:val="23"/>
              </w:rPr>
            </w:pPr>
            <w:r w:rsidRPr="00090F1D">
              <w:rPr>
                <w:rFonts w:ascii="MyriadProRegular" w:eastAsia="Times New Roman" w:hAnsi="MyriadProRegular" w:cs="Times New Roman"/>
                <w:b/>
                <w:bCs/>
                <w:color w:val="69BD45"/>
                <w:sz w:val="23"/>
                <w:szCs w:val="23"/>
              </w:rPr>
              <w:t>Internal Aids of Interpretation and Construction which are available in the statute itself:</w:t>
            </w:r>
          </w:p>
        </w:tc>
      </w:tr>
      <w:tr w:rsidR="00090F1D" w:rsidRPr="00090F1D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090F1D" w:rsidRPr="00090F1D" w:rsidRDefault="00090F1D" w:rsidP="00090F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F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tbl>
            <w:tblPr>
              <w:tblW w:w="4185" w:type="dxa"/>
              <w:tblCellSpacing w:w="3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185"/>
            </w:tblGrid>
            <w:tr w:rsidR="00090F1D" w:rsidRPr="00090F1D">
              <w:trPr>
                <w:tblCellSpacing w:w="37" w:type="dxa"/>
              </w:trPr>
              <w:tc>
                <w:tcPr>
                  <w:tcW w:w="4035" w:type="dxa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Context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Preamble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</w:rPr>
                    <w:t>Title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General Heading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Interpretation Clause (Definition)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Proviso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Marginal Notes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lastRenderedPageBreak/>
                    <w:t>Schedules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Illustrations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Clause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Sections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Rules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Punctuation Marks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Conjunctive and Disjunctive Words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Explanations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Saving clause</w:t>
                  </w:r>
                </w:p>
              </w:tc>
            </w:tr>
          </w:tbl>
          <w:p w:rsidR="00090F1D" w:rsidRPr="00090F1D" w:rsidRDefault="00090F1D" w:rsidP="00090F1D">
            <w:pPr>
              <w:spacing w:after="0"/>
              <w:rPr>
                <w:rFonts w:ascii="MyriadProRegular" w:eastAsia="Times New Roman" w:hAnsi="MyriadProRegular" w:cs="Times New Roman"/>
                <w:b/>
                <w:bCs/>
                <w:color w:val="69BD45"/>
                <w:sz w:val="23"/>
                <w:szCs w:val="23"/>
              </w:rPr>
            </w:pPr>
          </w:p>
        </w:tc>
      </w:tr>
      <w:tr w:rsidR="00090F1D" w:rsidRPr="00090F1D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090F1D" w:rsidRPr="00090F1D" w:rsidRDefault="00090F1D" w:rsidP="00090F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F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090F1D" w:rsidRPr="00090F1D" w:rsidRDefault="00090F1D" w:rsidP="00090F1D">
            <w:pPr>
              <w:spacing w:after="0"/>
              <w:rPr>
                <w:rFonts w:ascii="MyriadProRegular" w:eastAsia="Times New Roman" w:hAnsi="MyriadProRegular" w:cs="Times New Roman"/>
                <w:b/>
                <w:bCs/>
                <w:color w:val="69BD45"/>
                <w:sz w:val="23"/>
                <w:szCs w:val="23"/>
              </w:rPr>
            </w:pPr>
            <w:r w:rsidRPr="00090F1D">
              <w:rPr>
                <w:rFonts w:ascii="MyriadProRegular" w:eastAsia="Times New Roman" w:hAnsi="MyriadProRegular" w:cs="Times New Roman"/>
                <w:b/>
                <w:bCs/>
                <w:color w:val="69BD45"/>
                <w:sz w:val="23"/>
                <w:szCs w:val="23"/>
              </w:rPr>
              <w:t> </w:t>
            </w:r>
          </w:p>
        </w:tc>
      </w:tr>
      <w:tr w:rsidR="00090F1D" w:rsidRPr="00090F1D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090F1D" w:rsidRPr="00090F1D" w:rsidRDefault="00090F1D" w:rsidP="00090F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F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090F1D" w:rsidRPr="00090F1D" w:rsidRDefault="00090F1D" w:rsidP="00090F1D">
            <w:pPr>
              <w:spacing w:after="0"/>
              <w:rPr>
                <w:rFonts w:ascii="MyriadProRegular" w:eastAsia="Times New Roman" w:hAnsi="MyriadProRegular" w:cs="Times New Roman"/>
                <w:b/>
                <w:bCs/>
                <w:color w:val="69BD45"/>
                <w:sz w:val="23"/>
                <w:szCs w:val="23"/>
              </w:rPr>
            </w:pPr>
            <w:r w:rsidRPr="00090F1D">
              <w:rPr>
                <w:rFonts w:ascii="MyriadProRegular" w:eastAsia="Times New Roman" w:hAnsi="MyriadProRegular" w:cs="Times New Roman"/>
                <w:b/>
                <w:bCs/>
                <w:color w:val="69BD45"/>
                <w:sz w:val="23"/>
                <w:szCs w:val="23"/>
              </w:rPr>
              <w:t>External Aids of Interpretation and Construction which are not available in the statute itself but outside the statute</w:t>
            </w:r>
          </w:p>
        </w:tc>
      </w:tr>
      <w:tr w:rsidR="00090F1D" w:rsidRPr="00090F1D">
        <w:trPr>
          <w:trHeight w:val="3330"/>
          <w:tblCellSpacing w:w="0" w:type="dxa"/>
        </w:trPr>
        <w:tc>
          <w:tcPr>
            <w:tcW w:w="0" w:type="auto"/>
            <w:vAlign w:val="center"/>
            <w:hideMark/>
          </w:tcPr>
          <w:p w:rsidR="00090F1D" w:rsidRPr="00090F1D" w:rsidRDefault="00090F1D" w:rsidP="00090F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F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tbl>
            <w:tblPr>
              <w:tblW w:w="8850" w:type="dxa"/>
              <w:tblCellSpacing w:w="3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850"/>
            </w:tblGrid>
            <w:tr w:rsidR="00090F1D" w:rsidRPr="00090F1D">
              <w:trPr>
                <w:tblCellSpacing w:w="37" w:type="dxa"/>
              </w:trPr>
              <w:tc>
                <w:tcPr>
                  <w:tcW w:w="8700" w:type="dxa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Legislative History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Events leading up to the introduction of the Bill.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</w:rPr>
                    <w:t>Statements and Objects and Reasons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Debates in Parliament (on the introduction of the Bill in the Parliament)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Dictionary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Government publications and Reports (on concerned matter / subject)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Foreign Decisions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Public Policy</w:t>
                  </w:r>
                </w:p>
              </w:tc>
            </w:tr>
            <w:tr w:rsidR="00090F1D" w:rsidRPr="00090F1D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90F1D" w:rsidRPr="00090F1D" w:rsidRDefault="00090F1D" w:rsidP="00090F1D">
                  <w:pPr>
                    <w:spacing w:after="0"/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</w:pPr>
                  <w:r w:rsidRPr="00090F1D">
                    <w:rPr>
                      <w:rFonts w:ascii="MyriadProRegular" w:eastAsia="Times New Roman" w:hAnsi="MyriadProRegular" w:cs="Times New Roman"/>
                      <w:color w:val="808080"/>
                      <w:sz w:val="23"/>
                      <w:szCs w:val="23"/>
                    </w:rPr>
                    <w:t>Textbook</w:t>
                  </w:r>
                </w:p>
              </w:tc>
            </w:tr>
          </w:tbl>
          <w:p w:rsidR="00090F1D" w:rsidRPr="00090F1D" w:rsidRDefault="00090F1D" w:rsidP="00090F1D">
            <w:pPr>
              <w:spacing w:after="0"/>
              <w:rPr>
                <w:rFonts w:ascii="MyriadProRegular" w:eastAsia="Times New Roman" w:hAnsi="MyriadProRegular" w:cs="Times New Roman"/>
                <w:b/>
                <w:bCs/>
                <w:color w:val="69BD45"/>
                <w:sz w:val="23"/>
                <w:szCs w:val="23"/>
              </w:rPr>
            </w:pPr>
          </w:p>
        </w:tc>
      </w:tr>
    </w:tbl>
    <w:p w:rsidR="00AE6B3E" w:rsidRDefault="00AE6B3E"/>
    <w:sectPr w:rsidR="00AE6B3E" w:rsidSect="00AE6B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yriadPro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90F1D"/>
    <w:rsid w:val="00090F1D"/>
    <w:rsid w:val="00AE6B3E"/>
    <w:rsid w:val="00B65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B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90F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eenbold181">
    <w:name w:val="greenbold181"/>
    <w:basedOn w:val="DefaultParagraphFont"/>
    <w:rsid w:val="00090F1D"/>
    <w:rPr>
      <w:rFonts w:ascii="MyriadProRegular" w:hAnsi="MyriadProRegular" w:hint="default"/>
      <w:b/>
      <w:bCs/>
      <w:strike w:val="0"/>
      <w:dstrike w:val="0"/>
      <w:color w:val="69BD45"/>
      <w:sz w:val="30"/>
      <w:szCs w:val="30"/>
      <w:u w:val="none"/>
      <w:effect w:val="none"/>
    </w:rPr>
  </w:style>
  <w:style w:type="character" w:customStyle="1" w:styleId="maintext1">
    <w:name w:val="maintext1"/>
    <w:basedOn w:val="DefaultParagraphFont"/>
    <w:rsid w:val="00090F1D"/>
    <w:rPr>
      <w:rFonts w:ascii="MyriadProRegular" w:hAnsi="MyriadProRegular" w:hint="default"/>
      <w:b w:val="0"/>
      <w:bCs w:val="0"/>
      <w:strike w:val="0"/>
      <w:dstrike w:val="0"/>
      <w:color w:val="808080"/>
      <w:sz w:val="23"/>
      <w:szCs w:val="23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F1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F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2218</Characters>
  <Application>Microsoft Office Word</Application>
  <DocSecurity>0</DocSecurity>
  <Lines>18</Lines>
  <Paragraphs>5</Paragraphs>
  <ScaleCrop>false</ScaleCrop>
  <Company>M/s P.L.&amp; CO 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KUMAR G.L.</dc:creator>
  <cp:keywords/>
  <dc:description/>
  <cp:lastModifiedBy>PRAVEEN KUMAR G.L.</cp:lastModifiedBy>
  <cp:revision>1</cp:revision>
  <dcterms:created xsi:type="dcterms:W3CDTF">2012-11-24T10:50:00Z</dcterms:created>
  <dcterms:modified xsi:type="dcterms:W3CDTF">2012-11-24T10:50:00Z</dcterms:modified>
</cp:coreProperties>
</file>