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C4B" w:rsidRDefault="00130743">
      <w:pPr>
        <w:rPr>
          <w:b/>
          <w:u w:val="single"/>
        </w:rPr>
      </w:pPr>
      <w:r>
        <w:tab/>
      </w:r>
      <w:r>
        <w:tab/>
      </w:r>
      <w:r>
        <w:tab/>
      </w:r>
      <w:r>
        <w:tab/>
      </w:r>
      <w:r w:rsidRPr="00130743">
        <w:rPr>
          <w:b/>
          <w:u w:val="single"/>
        </w:rPr>
        <w:t>Chapter VII of Finance (No.2) Act, 2004</w:t>
      </w:r>
    </w:p>
    <w:p w:rsidR="00130743" w:rsidRDefault="00130743" w:rsidP="00130743">
      <w:pPr>
        <w:ind w:left="2160" w:firstLine="720"/>
        <w:rPr>
          <w:b/>
        </w:rPr>
      </w:pPr>
      <w:r>
        <w:rPr>
          <w:b/>
        </w:rPr>
        <w:t xml:space="preserve">       SECURITIES TRANSACTION TAX</w:t>
      </w:r>
    </w:p>
    <w:p w:rsidR="00E44F47" w:rsidRDefault="00326D62" w:rsidP="00B34A14">
      <w:pPr>
        <w:spacing w:after="120" w:line="240" w:lineRule="auto"/>
        <w:jc w:val="both"/>
      </w:pPr>
      <w:r>
        <w:t>Recommendation</w:t>
      </w:r>
      <w:r w:rsidR="002E3D24">
        <w:t xml:space="preserve"> in chapter VII</w:t>
      </w:r>
      <w:r w:rsidR="00671099">
        <w:t xml:space="preserve"> of Finance (No.2) Act, 2004 </w:t>
      </w:r>
      <w:r w:rsidR="0051318A">
        <w:t xml:space="preserve">for the purpose </w:t>
      </w:r>
      <w:r w:rsidR="00942547">
        <w:t>of</w:t>
      </w:r>
      <w:r w:rsidR="00671099">
        <w:t xml:space="preserve"> </w:t>
      </w:r>
      <w:r w:rsidR="00942547">
        <w:t xml:space="preserve">putting a </w:t>
      </w:r>
      <w:r w:rsidR="0051318A">
        <w:t>tax</w:t>
      </w:r>
      <w:r w:rsidR="00942547">
        <w:t xml:space="preserve"> on</w:t>
      </w:r>
      <w:r w:rsidR="0051318A">
        <w:t xml:space="preserve"> the transaction </w:t>
      </w:r>
      <w:r w:rsidR="00893F29">
        <w:t>at the time of entering into the</w:t>
      </w:r>
      <w:r w:rsidR="00942547">
        <w:t xml:space="preserve"> </w:t>
      </w:r>
      <w:proofErr w:type="gramStart"/>
      <w:r w:rsidR="0051318A">
        <w:t>contract</w:t>
      </w:r>
      <w:r w:rsidR="00377E6B">
        <w:t xml:space="preserve"> </w:t>
      </w:r>
      <w:r>
        <w:t>.</w:t>
      </w:r>
      <w:proofErr w:type="gramEnd"/>
      <w:r>
        <w:t xml:space="preserve"> Transaction for sale </w:t>
      </w:r>
      <w:proofErr w:type="gramStart"/>
      <w:r>
        <w:t>of an o</w:t>
      </w:r>
      <w:r w:rsidR="0051318A">
        <w:t>ptions</w:t>
      </w:r>
      <w:proofErr w:type="gramEnd"/>
      <w:r w:rsidR="00893F29">
        <w:t xml:space="preserve"> in securities is taxable for</w:t>
      </w:r>
      <w:r w:rsidR="0051318A">
        <w:t xml:space="preserve"> the purchaser when the opti</w:t>
      </w:r>
      <w:r w:rsidR="00893F29">
        <w:t>on is exercised</w:t>
      </w:r>
      <w:r w:rsidR="0051318A">
        <w:t xml:space="preserve">. Where the </w:t>
      </w:r>
      <w:proofErr w:type="gramStart"/>
      <w:r w:rsidR="0051318A">
        <w:t xml:space="preserve">option is </w:t>
      </w:r>
      <w:r w:rsidR="00893F29">
        <w:t>cancelled and remain</w:t>
      </w:r>
      <w:proofErr w:type="gramEnd"/>
      <w:r w:rsidR="00893F29">
        <w:t xml:space="preserve"> unexecuted no tax</w:t>
      </w:r>
      <w:r w:rsidR="00E44F47">
        <w:t xml:space="preserve"> is payable</w:t>
      </w:r>
      <w:r w:rsidR="0051318A">
        <w:t xml:space="preserve"> </w:t>
      </w:r>
      <w:r w:rsidR="00E83A5D">
        <w:t>by the buyer purchasing the option, which results</w:t>
      </w:r>
      <w:r w:rsidR="00E44F47">
        <w:t xml:space="preserve"> in option contracts</w:t>
      </w:r>
      <w:r w:rsidR="00E83A5D">
        <w:t xml:space="preserve"> being undertaken</w:t>
      </w:r>
      <w:r w:rsidR="00E44F47">
        <w:t xml:space="preserve"> without payment of tax.</w:t>
      </w:r>
      <w:r w:rsidR="0051318A">
        <w:t xml:space="preserve"> </w:t>
      </w:r>
    </w:p>
    <w:p w:rsidR="00671099" w:rsidRDefault="00E44F47" w:rsidP="00B34A14">
      <w:pPr>
        <w:spacing w:after="120" w:line="240" w:lineRule="auto"/>
        <w:jc w:val="both"/>
      </w:pPr>
      <w:r>
        <w:t>Tax shall be levied at the time of entering into securities transaction contract</w:t>
      </w:r>
      <w:r w:rsidR="00326D62">
        <w:t xml:space="preserve"> and should not be depended on whether the option is exercised by the purchaser. </w:t>
      </w:r>
      <w:r w:rsidR="0051318A">
        <w:t xml:space="preserve"> </w:t>
      </w:r>
      <w:r w:rsidR="009F3BDD">
        <w:t xml:space="preserve">In order to improve tax compliance and </w:t>
      </w:r>
      <w:r w:rsidR="00326D62">
        <w:t xml:space="preserve">provide </w:t>
      </w:r>
      <w:r w:rsidR="009F3BDD">
        <w:t xml:space="preserve">efficient mechanism the necessary amendment </w:t>
      </w:r>
      <w:r w:rsidR="003F1312">
        <w:t xml:space="preserve">are as </w:t>
      </w:r>
      <w:r w:rsidR="009F3BDD">
        <w:t>under:</w:t>
      </w:r>
    </w:p>
    <w:p w:rsidR="0016619B" w:rsidRPr="00A50BFD" w:rsidRDefault="000D2D18" w:rsidP="00B34A14">
      <w:pPr>
        <w:spacing w:after="120" w:line="240" w:lineRule="auto"/>
        <w:jc w:val="both"/>
        <w:rPr>
          <w:b/>
          <w:u w:val="single"/>
        </w:rPr>
      </w:pPr>
      <w:r w:rsidRPr="00A50BFD">
        <w:rPr>
          <w:b/>
          <w:u w:val="single"/>
        </w:rPr>
        <w:t xml:space="preserve">Definitions: </w:t>
      </w:r>
    </w:p>
    <w:p w:rsidR="009F3BDD" w:rsidRDefault="000D2D18" w:rsidP="00B34A14">
      <w:pPr>
        <w:spacing w:after="120" w:line="240" w:lineRule="auto"/>
        <w:jc w:val="both"/>
      </w:pPr>
      <w:r w:rsidRPr="000D2D18">
        <w:t>97</w:t>
      </w:r>
      <w:r w:rsidR="00671099">
        <w:t>. In this chapter, unless the context otherwise requires, -</w:t>
      </w:r>
      <w:r w:rsidRPr="000D2D18">
        <w:t xml:space="preserve"> </w:t>
      </w:r>
    </w:p>
    <w:p w:rsidR="009F3BDD" w:rsidRDefault="000D2D18" w:rsidP="00B34A14">
      <w:pPr>
        <w:spacing w:after="120" w:line="240" w:lineRule="auto"/>
        <w:jc w:val="both"/>
      </w:pPr>
      <w:r w:rsidRPr="000D2D18">
        <w:t>(15) “Spot Rate”</w:t>
      </w:r>
      <w:r>
        <w:t xml:space="preserve"> means the prevailing market price at which the “option</w:t>
      </w:r>
      <w:r w:rsidR="002E3D24">
        <w:t>s</w:t>
      </w:r>
      <w:r>
        <w:t xml:space="preserve"> in securities”</w:t>
      </w:r>
      <w:r w:rsidR="008A6DE8">
        <w:t xml:space="preserve"> is exercisable on </w:t>
      </w:r>
      <w:r>
        <w:t>the date of such transaction.</w:t>
      </w:r>
    </w:p>
    <w:p w:rsidR="00671099" w:rsidRPr="00A50BFD" w:rsidRDefault="008A6DE8" w:rsidP="00B34A14">
      <w:pPr>
        <w:spacing w:after="120" w:line="240" w:lineRule="auto"/>
        <w:jc w:val="both"/>
        <w:rPr>
          <w:b/>
          <w:u w:val="single"/>
        </w:rPr>
      </w:pPr>
      <w:proofErr w:type="gramStart"/>
      <w:r w:rsidRPr="00A50BFD">
        <w:rPr>
          <w:b/>
          <w:u w:val="single"/>
        </w:rPr>
        <w:t>Charge of S</w:t>
      </w:r>
      <w:r w:rsidR="00671099" w:rsidRPr="00A50BFD">
        <w:rPr>
          <w:b/>
          <w:u w:val="single"/>
        </w:rPr>
        <w:t>ecurities</w:t>
      </w:r>
      <w:r w:rsidRPr="00A50BFD">
        <w:rPr>
          <w:b/>
          <w:u w:val="single"/>
        </w:rPr>
        <w:t xml:space="preserve"> Transaction T</w:t>
      </w:r>
      <w:r w:rsidR="00671099" w:rsidRPr="00A50BFD">
        <w:rPr>
          <w:b/>
          <w:u w:val="single"/>
        </w:rPr>
        <w:t>ax.</w:t>
      </w:r>
      <w:proofErr w:type="gramEnd"/>
    </w:p>
    <w:p w:rsidR="000D2D18" w:rsidRDefault="00671099" w:rsidP="00B34A14">
      <w:pPr>
        <w:spacing w:after="120" w:line="240" w:lineRule="auto"/>
        <w:jc w:val="both"/>
      </w:pPr>
      <w:r>
        <w:t xml:space="preserve">98. On and from the commencement of this chapter, there shall be charged a securities transaction tax in respect of the taxable, securities transaction specified in column (2) of the Table below, at the rate specified in the corresponding entry in column (3) of the said Table, on the value of such transaction and such entry shall be payable by the purchaser or the seller, specified in the corresponding entry in column (4) of the said Table: </w:t>
      </w:r>
    </w:p>
    <w:p w:rsidR="00035635" w:rsidRPr="00AC3FE9" w:rsidRDefault="00C244E4" w:rsidP="00A11574">
      <w:pPr>
        <w:spacing w:after="120" w:line="240" w:lineRule="auto"/>
        <w:jc w:val="both"/>
        <w:rPr>
          <w:b/>
        </w:rPr>
      </w:pPr>
      <w:r>
        <w:tab/>
      </w:r>
      <w:r>
        <w:tab/>
      </w:r>
      <w:r>
        <w:tab/>
      </w:r>
      <w:r>
        <w:tab/>
      </w:r>
      <w:r>
        <w:tab/>
      </w:r>
      <w:r>
        <w:tab/>
      </w:r>
      <w:r w:rsidR="002E3D24">
        <w:t xml:space="preserve">       </w:t>
      </w:r>
      <w:r w:rsidRPr="00C244E4">
        <w:rPr>
          <w:b/>
        </w:rPr>
        <w:t>TABLE</w:t>
      </w:r>
    </w:p>
    <w:tbl>
      <w:tblPr>
        <w:tblStyle w:val="TableGrid"/>
        <w:tblW w:w="9648" w:type="dxa"/>
        <w:tblLook w:val="04A0"/>
      </w:tblPr>
      <w:tblGrid>
        <w:gridCol w:w="648"/>
        <w:gridCol w:w="5850"/>
        <w:gridCol w:w="1710"/>
        <w:gridCol w:w="1440"/>
      </w:tblGrid>
      <w:tr w:rsidR="005F6A3A" w:rsidTr="00280C4D">
        <w:trPr>
          <w:trHeight w:val="557"/>
        </w:trPr>
        <w:tc>
          <w:tcPr>
            <w:tcW w:w="648" w:type="dxa"/>
          </w:tcPr>
          <w:p w:rsidR="005F6A3A" w:rsidRDefault="005F6A3A" w:rsidP="003914BF">
            <w:pPr>
              <w:tabs>
                <w:tab w:val="left" w:pos="773"/>
              </w:tabs>
              <w:spacing w:after="120"/>
              <w:jc w:val="center"/>
            </w:pPr>
            <w:r>
              <w:t>SI. No.</w:t>
            </w:r>
          </w:p>
        </w:tc>
        <w:tc>
          <w:tcPr>
            <w:tcW w:w="5850" w:type="dxa"/>
          </w:tcPr>
          <w:p w:rsidR="005F6A3A" w:rsidRDefault="005F6A3A" w:rsidP="003914BF">
            <w:pPr>
              <w:tabs>
                <w:tab w:val="left" w:pos="773"/>
              </w:tabs>
              <w:spacing w:after="120"/>
              <w:jc w:val="center"/>
            </w:pPr>
            <w:r>
              <w:t>Taxable Securities Transaction</w:t>
            </w:r>
          </w:p>
        </w:tc>
        <w:tc>
          <w:tcPr>
            <w:tcW w:w="1710" w:type="dxa"/>
          </w:tcPr>
          <w:p w:rsidR="005F6A3A" w:rsidRDefault="005F6A3A" w:rsidP="003914BF">
            <w:pPr>
              <w:tabs>
                <w:tab w:val="left" w:pos="773"/>
              </w:tabs>
              <w:spacing w:after="120"/>
              <w:jc w:val="center"/>
            </w:pPr>
            <w:r>
              <w:t>Rate</w:t>
            </w:r>
          </w:p>
        </w:tc>
        <w:tc>
          <w:tcPr>
            <w:tcW w:w="1440" w:type="dxa"/>
          </w:tcPr>
          <w:p w:rsidR="005F6A3A" w:rsidRDefault="005F6A3A" w:rsidP="003914BF">
            <w:pPr>
              <w:tabs>
                <w:tab w:val="left" w:pos="773"/>
              </w:tabs>
              <w:spacing w:after="120"/>
              <w:jc w:val="center"/>
            </w:pPr>
            <w:r>
              <w:t>Payable by</w:t>
            </w:r>
          </w:p>
        </w:tc>
      </w:tr>
      <w:tr w:rsidR="003914BF" w:rsidTr="00BD6DF5">
        <w:tc>
          <w:tcPr>
            <w:tcW w:w="648" w:type="dxa"/>
          </w:tcPr>
          <w:p w:rsidR="003914BF" w:rsidRDefault="003914BF" w:rsidP="003914BF">
            <w:pPr>
              <w:tabs>
                <w:tab w:val="left" w:pos="773"/>
              </w:tabs>
              <w:spacing w:after="120"/>
              <w:jc w:val="center"/>
            </w:pPr>
            <w:r>
              <w:t>1</w:t>
            </w:r>
          </w:p>
        </w:tc>
        <w:tc>
          <w:tcPr>
            <w:tcW w:w="5850" w:type="dxa"/>
          </w:tcPr>
          <w:p w:rsidR="003914BF" w:rsidRDefault="003914BF" w:rsidP="003914BF">
            <w:pPr>
              <w:tabs>
                <w:tab w:val="left" w:pos="773"/>
              </w:tabs>
              <w:spacing w:after="120"/>
              <w:jc w:val="center"/>
            </w:pPr>
            <w:r>
              <w:t>2</w:t>
            </w:r>
          </w:p>
        </w:tc>
        <w:tc>
          <w:tcPr>
            <w:tcW w:w="1710" w:type="dxa"/>
          </w:tcPr>
          <w:p w:rsidR="003914BF" w:rsidRDefault="003914BF" w:rsidP="003914BF">
            <w:pPr>
              <w:tabs>
                <w:tab w:val="left" w:pos="773"/>
              </w:tabs>
              <w:spacing w:after="120"/>
              <w:jc w:val="center"/>
            </w:pPr>
            <w:r>
              <w:t>3</w:t>
            </w:r>
          </w:p>
        </w:tc>
        <w:tc>
          <w:tcPr>
            <w:tcW w:w="1440" w:type="dxa"/>
          </w:tcPr>
          <w:p w:rsidR="003914BF" w:rsidRDefault="003914BF" w:rsidP="003914BF">
            <w:pPr>
              <w:tabs>
                <w:tab w:val="left" w:pos="773"/>
              </w:tabs>
              <w:spacing w:after="120"/>
              <w:jc w:val="center"/>
            </w:pPr>
            <w:r>
              <w:t>4</w:t>
            </w:r>
          </w:p>
        </w:tc>
      </w:tr>
      <w:tr w:rsidR="00035635" w:rsidTr="00BD6DF5">
        <w:tc>
          <w:tcPr>
            <w:tcW w:w="648" w:type="dxa"/>
          </w:tcPr>
          <w:p w:rsidR="00035635" w:rsidRDefault="00035635" w:rsidP="002B6662">
            <w:pPr>
              <w:tabs>
                <w:tab w:val="left" w:pos="773"/>
              </w:tabs>
              <w:spacing w:after="120"/>
              <w:jc w:val="both"/>
            </w:pPr>
            <w:r>
              <w:t>1.</w:t>
            </w:r>
          </w:p>
        </w:tc>
        <w:tc>
          <w:tcPr>
            <w:tcW w:w="5850" w:type="dxa"/>
          </w:tcPr>
          <w:p w:rsidR="00035635" w:rsidRDefault="00035635" w:rsidP="002B6662">
            <w:pPr>
              <w:tabs>
                <w:tab w:val="left" w:pos="773"/>
              </w:tabs>
              <w:spacing w:after="120"/>
              <w:jc w:val="both"/>
            </w:pPr>
            <w:r>
              <w:t>Purchase of an equity share in a company or a unit of an equity oriented fund, where –</w:t>
            </w:r>
          </w:p>
          <w:p w:rsidR="00035635" w:rsidRDefault="00035635" w:rsidP="00035635">
            <w:pPr>
              <w:pStyle w:val="ListParagraph"/>
              <w:numPr>
                <w:ilvl w:val="0"/>
                <w:numId w:val="27"/>
              </w:numPr>
              <w:tabs>
                <w:tab w:val="left" w:pos="773"/>
              </w:tabs>
              <w:spacing w:after="120"/>
              <w:jc w:val="both"/>
            </w:pPr>
            <w:r>
              <w:t>The transaction of such procedure is entered into in a recognised stock exchange; and</w:t>
            </w:r>
          </w:p>
          <w:p w:rsidR="00035635" w:rsidRDefault="00035635" w:rsidP="00035635">
            <w:pPr>
              <w:pStyle w:val="ListParagraph"/>
              <w:numPr>
                <w:ilvl w:val="0"/>
                <w:numId w:val="27"/>
              </w:numPr>
              <w:tabs>
                <w:tab w:val="left" w:pos="773"/>
              </w:tabs>
              <w:spacing w:after="120"/>
              <w:jc w:val="both"/>
            </w:pPr>
            <w:r>
              <w:t>The contract for the purchase of such year or unit is settled by the actual delivery or transfer of such share or unit.</w:t>
            </w:r>
          </w:p>
        </w:tc>
        <w:tc>
          <w:tcPr>
            <w:tcW w:w="1710" w:type="dxa"/>
          </w:tcPr>
          <w:p w:rsidR="00035635" w:rsidRDefault="00035635" w:rsidP="002B6662">
            <w:pPr>
              <w:tabs>
                <w:tab w:val="left" w:pos="773"/>
              </w:tabs>
              <w:spacing w:after="120"/>
              <w:jc w:val="both"/>
            </w:pPr>
            <w:r>
              <w:t>[0.1] Percent</w:t>
            </w:r>
          </w:p>
        </w:tc>
        <w:tc>
          <w:tcPr>
            <w:tcW w:w="1440" w:type="dxa"/>
          </w:tcPr>
          <w:p w:rsidR="00035635" w:rsidRDefault="00035635" w:rsidP="002B6662">
            <w:pPr>
              <w:tabs>
                <w:tab w:val="left" w:pos="773"/>
              </w:tabs>
              <w:spacing w:after="120"/>
              <w:jc w:val="both"/>
            </w:pPr>
            <w:r>
              <w:t>Purchaser</w:t>
            </w:r>
          </w:p>
        </w:tc>
      </w:tr>
      <w:tr w:rsidR="00035635" w:rsidTr="00BD6DF5">
        <w:tc>
          <w:tcPr>
            <w:tcW w:w="648" w:type="dxa"/>
          </w:tcPr>
          <w:p w:rsidR="00035635" w:rsidRDefault="00035635" w:rsidP="002B6662">
            <w:pPr>
              <w:tabs>
                <w:tab w:val="left" w:pos="773"/>
              </w:tabs>
              <w:spacing w:after="120"/>
              <w:jc w:val="both"/>
            </w:pPr>
            <w:r>
              <w:t>2.</w:t>
            </w:r>
          </w:p>
        </w:tc>
        <w:tc>
          <w:tcPr>
            <w:tcW w:w="5850" w:type="dxa"/>
          </w:tcPr>
          <w:p w:rsidR="00035635" w:rsidRDefault="00035635" w:rsidP="002B6662">
            <w:pPr>
              <w:tabs>
                <w:tab w:val="left" w:pos="773"/>
              </w:tabs>
              <w:spacing w:after="120"/>
              <w:jc w:val="both"/>
            </w:pPr>
            <w:r>
              <w:t>Sale of an equity share in a company or a unit of an equity oriented fund, where –</w:t>
            </w:r>
          </w:p>
          <w:p w:rsidR="00035635" w:rsidRDefault="00035635" w:rsidP="00035635">
            <w:pPr>
              <w:pStyle w:val="ListParagraph"/>
              <w:numPr>
                <w:ilvl w:val="0"/>
                <w:numId w:val="28"/>
              </w:numPr>
              <w:tabs>
                <w:tab w:val="left" w:pos="773"/>
              </w:tabs>
              <w:spacing w:after="120"/>
              <w:jc w:val="both"/>
            </w:pPr>
            <w:r>
              <w:t>The transaction of such sale is entered into in a recognised stock exchange; and</w:t>
            </w:r>
          </w:p>
          <w:p w:rsidR="00035635" w:rsidRDefault="00035635" w:rsidP="00035635">
            <w:pPr>
              <w:pStyle w:val="ListParagraph"/>
              <w:numPr>
                <w:ilvl w:val="0"/>
                <w:numId w:val="28"/>
              </w:numPr>
              <w:tabs>
                <w:tab w:val="left" w:pos="773"/>
              </w:tabs>
              <w:spacing w:after="120"/>
              <w:jc w:val="both"/>
            </w:pPr>
            <w:r>
              <w:t xml:space="preserve">The contract for the sale of such share or unit is settled by the actual delivery or transfer of such share or unit. </w:t>
            </w:r>
          </w:p>
          <w:p w:rsidR="005427F8" w:rsidRDefault="005427F8" w:rsidP="005427F8">
            <w:pPr>
              <w:pStyle w:val="ListParagraph"/>
              <w:tabs>
                <w:tab w:val="left" w:pos="773"/>
              </w:tabs>
              <w:spacing w:after="120"/>
              <w:jc w:val="both"/>
            </w:pPr>
          </w:p>
        </w:tc>
        <w:tc>
          <w:tcPr>
            <w:tcW w:w="1710" w:type="dxa"/>
          </w:tcPr>
          <w:p w:rsidR="00035635" w:rsidRDefault="00035635" w:rsidP="002B6662">
            <w:pPr>
              <w:tabs>
                <w:tab w:val="left" w:pos="773"/>
              </w:tabs>
              <w:spacing w:after="120"/>
              <w:jc w:val="both"/>
            </w:pPr>
            <w:r>
              <w:t>[0.1] Percent</w:t>
            </w:r>
          </w:p>
        </w:tc>
        <w:tc>
          <w:tcPr>
            <w:tcW w:w="1440" w:type="dxa"/>
          </w:tcPr>
          <w:p w:rsidR="00035635" w:rsidRDefault="00035635" w:rsidP="002B6662">
            <w:pPr>
              <w:tabs>
                <w:tab w:val="left" w:pos="773"/>
              </w:tabs>
              <w:spacing w:after="120"/>
              <w:jc w:val="both"/>
            </w:pPr>
            <w:r>
              <w:t>Seller</w:t>
            </w:r>
          </w:p>
        </w:tc>
      </w:tr>
      <w:tr w:rsidR="00035635" w:rsidTr="00BD6DF5">
        <w:tc>
          <w:tcPr>
            <w:tcW w:w="648" w:type="dxa"/>
          </w:tcPr>
          <w:p w:rsidR="00035635" w:rsidRDefault="00035635" w:rsidP="002B6662">
            <w:pPr>
              <w:tabs>
                <w:tab w:val="left" w:pos="773"/>
              </w:tabs>
              <w:spacing w:after="120"/>
              <w:jc w:val="both"/>
            </w:pPr>
            <w:r>
              <w:lastRenderedPageBreak/>
              <w:t>3.</w:t>
            </w:r>
          </w:p>
        </w:tc>
        <w:tc>
          <w:tcPr>
            <w:tcW w:w="5850" w:type="dxa"/>
          </w:tcPr>
          <w:p w:rsidR="00035635" w:rsidRDefault="00035635" w:rsidP="002B6662">
            <w:pPr>
              <w:tabs>
                <w:tab w:val="left" w:pos="773"/>
              </w:tabs>
              <w:spacing w:after="120"/>
              <w:jc w:val="both"/>
            </w:pPr>
            <w:r>
              <w:t>Sale of an equity share in a company or a unit of an equity oriented fund, where</w:t>
            </w:r>
          </w:p>
          <w:p w:rsidR="00035635" w:rsidRDefault="00035635" w:rsidP="00035635">
            <w:pPr>
              <w:pStyle w:val="ListParagraph"/>
              <w:numPr>
                <w:ilvl w:val="0"/>
                <w:numId w:val="29"/>
              </w:numPr>
              <w:tabs>
                <w:tab w:val="left" w:pos="773"/>
              </w:tabs>
              <w:spacing w:after="120"/>
              <w:jc w:val="both"/>
            </w:pPr>
            <w:r>
              <w:t>The transaction of such sale is entered into in a recognised stock exchange; and</w:t>
            </w:r>
          </w:p>
          <w:p w:rsidR="00035635" w:rsidRDefault="00035635" w:rsidP="00035635">
            <w:pPr>
              <w:pStyle w:val="ListParagraph"/>
              <w:numPr>
                <w:ilvl w:val="0"/>
                <w:numId w:val="29"/>
              </w:numPr>
              <w:tabs>
                <w:tab w:val="left" w:pos="773"/>
              </w:tabs>
              <w:spacing w:after="120"/>
              <w:jc w:val="both"/>
            </w:pPr>
            <w:r>
              <w:t>The contract for the sale of such share</w:t>
            </w:r>
            <w:r w:rsidR="00BD6DF5">
              <w:t xml:space="preserve"> or unit is settled or otherwise than by the actual delivery or transfer of such share or unit.</w:t>
            </w:r>
          </w:p>
        </w:tc>
        <w:tc>
          <w:tcPr>
            <w:tcW w:w="1710" w:type="dxa"/>
          </w:tcPr>
          <w:p w:rsidR="00035635" w:rsidRDefault="00BD6DF5" w:rsidP="002B6662">
            <w:pPr>
              <w:tabs>
                <w:tab w:val="left" w:pos="773"/>
              </w:tabs>
              <w:spacing w:after="120"/>
              <w:jc w:val="both"/>
            </w:pPr>
            <w:r>
              <w:t>[0.025] percent</w:t>
            </w:r>
          </w:p>
        </w:tc>
        <w:tc>
          <w:tcPr>
            <w:tcW w:w="1440" w:type="dxa"/>
          </w:tcPr>
          <w:p w:rsidR="00035635" w:rsidRDefault="00BD6DF5" w:rsidP="002B6662">
            <w:pPr>
              <w:tabs>
                <w:tab w:val="left" w:pos="773"/>
              </w:tabs>
              <w:spacing w:after="120"/>
              <w:jc w:val="both"/>
            </w:pPr>
            <w:r>
              <w:t>Seller</w:t>
            </w:r>
          </w:p>
        </w:tc>
      </w:tr>
      <w:tr w:rsidR="00035635" w:rsidTr="00BD6DF5">
        <w:tc>
          <w:tcPr>
            <w:tcW w:w="648" w:type="dxa"/>
          </w:tcPr>
          <w:p w:rsidR="00035635" w:rsidRDefault="00BD6DF5" w:rsidP="002B6662">
            <w:pPr>
              <w:tabs>
                <w:tab w:val="left" w:pos="773"/>
              </w:tabs>
              <w:spacing w:after="120"/>
              <w:jc w:val="both"/>
            </w:pPr>
            <w:r>
              <w:t>4.</w:t>
            </w:r>
          </w:p>
        </w:tc>
        <w:tc>
          <w:tcPr>
            <w:tcW w:w="5850" w:type="dxa"/>
          </w:tcPr>
          <w:p w:rsidR="00035635" w:rsidRDefault="00BD6DF5" w:rsidP="002B6662">
            <w:pPr>
              <w:tabs>
                <w:tab w:val="left" w:pos="773"/>
              </w:tabs>
              <w:spacing w:after="120"/>
              <w:jc w:val="both"/>
            </w:pPr>
            <w:r>
              <w:t>(a) Sale of an option in securities.</w:t>
            </w:r>
          </w:p>
          <w:p w:rsidR="00BD6DF5" w:rsidRDefault="00BD6DF5" w:rsidP="002B6662">
            <w:pPr>
              <w:tabs>
                <w:tab w:val="left" w:pos="773"/>
              </w:tabs>
              <w:spacing w:after="120"/>
              <w:jc w:val="both"/>
            </w:pPr>
            <w:r>
              <w:t>(b) Purchase of an option in securities.</w:t>
            </w:r>
          </w:p>
          <w:p w:rsidR="00BD6DF5" w:rsidRDefault="00BD6DF5" w:rsidP="002B6662">
            <w:pPr>
              <w:tabs>
                <w:tab w:val="left" w:pos="773"/>
              </w:tabs>
              <w:spacing w:after="120"/>
              <w:jc w:val="both"/>
            </w:pPr>
            <w:r>
              <w:t>(c) Sale of a future in securities.</w:t>
            </w:r>
          </w:p>
          <w:p w:rsidR="00BD6DF5" w:rsidRDefault="00BD6DF5" w:rsidP="002B6662">
            <w:pPr>
              <w:tabs>
                <w:tab w:val="left" w:pos="773"/>
              </w:tabs>
              <w:spacing w:after="120"/>
              <w:jc w:val="both"/>
            </w:pPr>
            <w:r>
              <w:t>(d) Future transaction in securities, when transaction is exercised.</w:t>
            </w:r>
          </w:p>
          <w:p w:rsidR="00BD6DF5" w:rsidRDefault="00BD6DF5" w:rsidP="002B6662">
            <w:pPr>
              <w:tabs>
                <w:tab w:val="left" w:pos="773"/>
              </w:tabs>
              <w:spacing w:after="120"/>
              <w:jc w:val="both"/>
            </w:pPr>
          </w:p>
        </w:tc>
        <w:tc>
          <w:tcPr>
            <w:tcW w:w="1710" w:type="dxa"/>
          </w:tcPr>
          <w:p w:rsidR="00035635" w:rsidRDefault="00BD6DF5" w:rsidP="002B6662">
            <w:pPr>
              <w:tabs>
                <w:tab w:val="left" w:pos="773"/>
              </w:tabs>
              <w:spacing w:after="120"/>
              <w:jc w:val="both"/>
            </w:pPr>
            <w:r>
              <w:t>[0.025] percent</w:t>
            </w:r>
          </w:p>
          <w:p w:rsidR="00BD6DF5" w:rsidRDefault="00BD6DF5" w:rsidP="002B6662">
            <w:pPr>
              <w:tabs>
                <w:tab w:val="left" w:pos="773"/>
              </w:tabs>
              <w:spacing w:after="120"/>
              <w:jc w:val="both"/>
            </w:pPr>
            <w:r>
              <w:t>[0.050] percent</w:t>
            </w:r>
          </w:p>
          <w:p w:rsidR="00BD6DF5" w:rsidRDefault="00BD6DF5" w:rsidP="002B6662">
            <w:pPr>
              <w:tabs>
                <w:tab w:val="left" w:pos="773"/>
              </w:tabs>
              <w:spacing w:after="120"/>
              <w:jc w:val="both"/>
            </w:pPr>
            <w:r>
              <w:t>[0.025] percent</w:t>
            </w:r>
          </w:p>
          <w:p w:rsidR="00BD6DF5" w:rsidRDefault="00BD6DF5" w:rsidP="002B6662">
            <w:pPr>
              <w:tabs>
                <w:tab w:val="left" w:pos="773"/>
              </w:tabs>
              <w:spacing w:after="120"/>
              <w:jc w:val="both"/>
            </w:pPr>
            <w:r>
              <w:t>[0.025] percent</w:t>
            </w:r>
          </w:p>
        </w:tc>
        <w:tc>
          <w:tcPr>
            <w:tcW w:w="1440" w:type="dxa"/>
          </w:tcPr>
          <w:p w:rsidR="00035635" w:rsidRDefault="00BD6DF5" w:rsidP="002B6662">
            <w:pPr>
              <w:tabs>
                <w:tab w:val="left" w:pos="773"/>
              </w:tabs>
              <w:spacing w:after="120"/>
              <w:jc w:val="both"/>
            </w:pPr>
            <w:r>
              <w:t>Seller</w:t>
            </w:r>
          </w:p>
          <w:p w:rsidR="00BD6DF5" w:rsidRDefault="00BD6DF5" w:rsidP="002B6662">
            <w:pPr>
              <w:tabs>
                <w:tab w:val="left" w:pos="773"/>
              </w:tabs>
              <w:spacing w:after="120"/>
              <w:jc w:val="both"/>
            </w:pPr>
            <w:r>
              <w:t>Purchaser</w:t>
            </w:r>
          </w:p>
          <w:p w:rsidR="00BD6DF5" w:rsidRDefault="00BD6DF5" w:rsidP="002B6662">
            <w:pPr>
              <w:tabs>
                <w:tab w:val="left" w:pos="773"/>
              </w:tabs>
              <w:spacing w:after="120"/>
              <w:jc w:val="both"/>
            </w:pPr>
            <w:r>
              <w:t>Seller</w:t>
            </w:r>
          </w:p>
          <w:p w:rsidR="00BD6DF5" w:rsidRDefault="00BD6DF5" w:rsidP="002B6662">
            <w:pPr>
              <w:tabs>
                <w:tab w:val="left" w:pos="773"/>
              </w:tabs>
              <w:spacing w:after="120"/>
              <w:jc w:val="both"/>
            </w:pPr>
            <w:r>
              <w:t>Purchaser</w:t>
            </w:r>
          </w:p>
        </w:tc>
      </w:tr>
      <w:tr w:rsidR="00035635" w:rsidTr="00BD6DF5">
        <w:tc>
          <w:tcPr>
            <w:tcW w:w="648" w:type="dxa"/>
          </w:tcPr>
          <w:p w:rsidR="00035635" w:rsidRDefault="00BD6DF5" w:rsidP="002B6662">
            <w:pPr>
              <w:tabs>
                <w:tab w:val="left" w:pos="773"/>
              </w:tabs>
              <w:spacing w:after="120"/>
              <w:jc w:val="both"/>
            </w:pPr>
            <w:r>
              <w:t>5.</w:t>
            </w:r>
          </w:p>
        </w:tc>
        <w:tc>
          <w:tcPr>
            <w:tcW w:w="5850" w:type="dxa"/>
          </w:tcPr>
          <w:p w:rsidR="00035635" w:rsidRDefault="00BD6DF5" w:rsidP="002B6662">
            <w:pPr>
              <w:tabs>
                <w:tab w:val="left" w:pos="773"/>
              </w:tabs>
              <w:spacing w:after="120"/>
              <w:jc w:val="both"/>
            </w:pPr>
            <w:r>
              <w:t>Sale of a unit of an equity oriented fund to the mutual fund.</w:t>
            </w:r>
          </w:p>
        </w:tc>
        <w:tc>
          <w:tcPr>
            <w:tcW w:w="1710" w:type="dxa"/>
          </w:tcPr>
          <w:p w:rsidR="00035635" w:rsidRDefault="005427F8" w:rsidP="002B6662">
            <w:pPr>
              <w:tabs>
                <w:tab w:val="left" w:pos="773"/>
              </w:tabs>
              <w:spacing w:after="120"/>
              <w:jc w:val="both"/>
            </w:pPr>
            <w:r>
              <w:t>[0.25] percent</w:t>
            </w:r>
          </w:p>
        </w:tc>
        <w:tc>
          <w:tcPr>
            <w:tcW w:w="1440" w:type="dxa"/>
          </w:tcPr>
          <w:p w:rsidR="00035635" w:rsidRDefault="005427F8" w:rsidP="002B6662">
            <w:pPr>
              <w:tabs>
                <w:tab w:val="left" w:pos="773"/>
              </w:tabs>
              <w:spacing w:after="120"/>
              <w:jc w:val="both"/>
            </w:pPr>
            <w:r>
              <w:t>Seller</w:t>
            </w:r>
          </w:p>
        </w:tc>
      </w:tr>
      <w:tr w:rsidR="00035635" w:rsidTr="00BD6DF5">
        <w:tc>
          <w:tcPr>
            <w:tcW w:w="648" w:type="dxa"/>
          </w:tcPr>
          <w:p w:rsidR="00035635" w:rsidRDefault="00BD6DF5" w:rsidP="002B6662">
            <w:pPr>
              <w:tabs>
                <w:tab w:val="left" w:pos="773"/>
              </w:tabs>
              <w:spacing w:after="120"/>
              <w:jc w:val="both"/>
            </w:pPr>
            <w:r>
              <w:t>6.</w:t>
            </w:r>
          </w:p>
        </w:tc>
        <w:tc>
          <w:tcPr>
            <w:tcW w:w="5850" w:type="dxa"/>
          </w:tcPr>
          <w:p w:rsidR="00035635" w:rsidRDefault="00BD6DF5" w:rsidP="002B6662">
            <w:pPr>
              <w:tabs>
                <w:tab w:val="left" w:pos="773"/>
              </w:tabs>
              <w:spacing w:after="120"/>
              <w:jc w:val="both"/>
            </w:pPr>
            <w:r>
              <w:t>Sale of unlisted equity share under an offer for sale referred to in sub-clause (</w:t>
            </w:r>
            <w:proofErr w:type="spellStart"/>
            <w:r>
              <w:t>aa</w:t>
            </w:r>
            <w:proofErr w:type="spellEnd"/>
            <w:r>
              <w:t>) of clause (13) of section 97.</w:t>
            </w:r>
          </w:p>
        </w:tc>
        <w:tc>
          <w:tcPr>
            <w:tcW w:w="1710" w:type="dxa"/>
          </w:tcPr>
          <w:p w:rsidR="00035635" w:rsidRDefault="005427F8" w:rsidP="002B6662">
            <w:pPr>
              <w:tabs>
                <w:tab w:val="left" w:pos="773"/>
              </w:tabs>
              <w:spacing w:after="120"/>
              <w:jc w:val="both"/>
            </w:pPr>
            <w:r>
              <w:t>[0.2] percent</w:t>
            </w:r>
          </w:p>
        </w:tc>
        <w:tc>
          <w:tcPr>
            <w:tcW w:w="1440" w:type="dxa"/>
          </w:tcPr>
          <w:p w:rsidR="00035635" w:rsidRDefault="005427F8" w:rsidP="002B6662">
            <w:pPr>
              <w:tabs>
                <w:tab w:val="left" w:pos="773"/>
              </w:tabs>
              <w:spacing w:after="120"/>
              <w:jc w:val="both"/>
            </w:pPr>
            <w:r>
              <w:t>Seller</w:t>
            </w:r>
          </w:p>
        </w:tc>
      </w:tr>
    </w:tbl>
    <w:p w:rsidR="002B6662" w:rsidRDefault="002B6662" w:rsidP="002B6662">
      <w:pPr>
        <w:tabs>
          <w:tab w:val="left" w:pos="773"/>
        </w:tabs>
        <w:spacing w:after="120" w:line="240" w:lineRule="auto"/>
        <w:jc w:val="both"/>
      </w:pPr>
    </w:p>
    <w:p w:rsidR="00BE55B9" w:rsidRDefault="00BE55B9" w:rsidP="00B34A14">
      <w:pPr>
        <w:spacing w:after="120" w:line="240" w:lineRule="auto"/>
        <w:jc w:val="both"/>
        <w:rPr>
          <w:b/>
          <w:u w:val="single"/>
        </w:rPr>
      </w:pPr>
      <w:proofErr w:type="gramStart"/>
      <w:r w:rsidRPr="00BE55B9">
        <w:rPr>
          <w:b/>
          <w:u w:val="single"/>
        </w:rPr>
        <w:t>Value of taxable securities transaction.</w:t>
      </w:r>
      <w:proofErr w:type="gramEnd"/>
    </w:p>
    <w:p w:rsidR="00BE55B9" w:rsidRPr="00BE55B9" w:rsidRDefault="00E01242" w:rsidP="00B34A14">
      <w:pPr>
        <w:spacing w:after="120" w:line="240" w:lineRule="auto"/>
        <w:jc w:val="both"/>
      </w:pPr>
      <w:r>
        <w:rPr>
          <w:noProof/>
        </w:rPr>
        <w:pict>
          <v:shapetype id="_x0000_t32" coordsize="21600,21600" o:spt="32" o:oned="t" path="m,l21600,21600e" filled="f">
            <v:path arrowok="t" fillok="f" o:connecttype="none"/>
            <o:lock v:ext="edit" shapetype="t"/>
          </v:shapetype>
          <v:shape id="_x0000_s1029" type="#_x0000_t32" style="position:absolute;left:0;text-align:left;margin-left:212.15pt;margin-top:8.55pt;width:9.65pt;height:0;z-index:251661312" o:connectortype="straight"/>
        </w:pict>
      </w:r>
      <w:r w:rsidR="00BE55B9" w:rsidRPr="00BE55B9">
        <w:t>99. The value of taxable securities transaction,</w:t>
      </w:r>
    </w:p>
    <w:p w:rsidR="00BE55B9" w:rsidRDefault="00E01242" w:rsidP="00B34A14">
      <w:pPr>
        <w:spacing w:after="120" w:line="240" w:lineRule="auto"/>
        <w:jc w:val="both"/>
      </w:pPr>
      <w:r>
        <w:rPr>
          <w:noProof/>
        </w:rPr>
        <w:pict>
          <v:shape id="_x0000_s1030" type="#_x0000_t32" style="position:absolute;left:0;text-align:left;margin-left:406.6pt;margin-top:13.4pt;width:8.7pt;height:0;z-index:251662336" o:connectortype="straight"/>
        </w:pict>
      </w:r>
      <w:r w:rsidR="00BE55B9" w:rsidRPr="00BE55B9">
        <w:t xml:space="preserve">(a) In the case of a </w:t>
      </w:r>
      <w:r w:rsidR="00BE55B9">
        <w:t>taxable securities transaction relating to an option in securities, shall be</w:t>
      </w:r>
    </w:p>
    <w:p w:rsidR="00BE55B9" w:rsidRDefault="00BE55B9" w:rsidP="00B34A14">
      <w:pPr>
        <w:spacing w:after="120" w:line="240" w:lineRule="auto"/>
        <w:ind w:left="720"/>
        <w:jc w:val="both"/>
      </w:pPr>
      <w:r>
        <w:t>(</w:t>
      </w:r>
      <w:proofErr w:type="spellStart"/>
      <w:r>
        <w:t>i</w:t>
      </w:r>
      <w:proofErr w:type="spellEnd"/>
      <w:r>
        <w:t>) The option premium, in respect of transaction at item (a) of serial number 4 of the Table in secti</w:t>
      </w:r>
      <w:r w:rsidR="00031DC6">
        <w:t>on 98;</w:t>
      </w:r>
    </w:p>
    <w:p w:rsidR="00031DC6" w:rsidRDefault="00031DC6" w:rsidP="00B34A14">
      <w:pPr>
        <w:spacing w:after="120" w:line="240" w:lineRule="auto"/>
        <w:ind w:left="720"/>
        <w:jc w:val="both"/>
      </w:pPr>
      <w:r>
        <w:t>(ii) The spot rate, in respect of transaction at item (b) of serial number 4 of the Table in section 98;</w:t>
      </w:r>
    </w:p>
    <w:p w:rsidR="00843A70" w:rsidRDefault="00C2412B" w:rsidP="00B34A14">
      <w:pPr>
        <w:spacing w:after="120" w:line="240" w:lineRule="auto"/>
        <w:jc w:val="both"/>
      </w:pPr>
      <w:r>
        <w:t>(b)</w:t>
      </w:r>
      <w:r w:rsidR="0059014D">
        <w:t xml:space="preserve"> </w:t>
      </w:r>
      <w:r>
        <w:t>In the case of a taxable securities transaction relating to a derivative, being “futures”, shall be the price at which such “futures” is traded; and</w:t>
      </w:r>
    </w:p>
    <w:p w:rsidR="00C2412B" w:rsidRDefault="00C2412B" w:rsidP="00B34A14">
      <w:pPr>
        <w:spacing w:after="120" w:line="240" w:lineRule="auto"/>
        <w:jc w:val="both"/>
      </w:pPr>
      <w:r>
        <w:t>(c) In the case of any other taxable securities transaction, shall be the price at which such</w:t>
      </w:r>
      <w:r w:rsidR="001F2316">
        <w:t xml:space="preserve"> securities are purchased or sold;</w:t>
      </w:r>
    </w:p>
    <w:p w:rsidR="00E54349" w:rsidRDefault="00E54349" w:rsidP="00B34A14">
      <w:pPr>
        <w:spacing w:after="120" w:line="240" w:lineRule="auto"/>
        <w:jc w:val="both"/>
        <w:rPr>
          <w:b/>
          <w:u w:val="single"/>
        </w:rPr>
      </w:pPr>
      <w:proofErr w:type="gramStart"/>
      <w:r w:rsidRPr="00E54349">
        <w:rPr>
          <w:b/>
          <w:u w:val="single"/>
        </w:rPr>
        <w:t>Recognised stock exchange or Mutual Fund to furnish prescribed return.</w:t>
      </w:r>
      <w:proofErr w:type="gramEnd"/>
    </w:p>
    <w:p w:rsidR="00770EB7" w:rsidRDefault="00B4092D" w:rsidP="00B34A14">
      <w:pPr>
        <w:spacing w:after="120" w:line="240" w:lineRule="auto"/>
        <w:jc w:val="both"/>
      </w:pPr>
      <w:proofErr w:type="gramStart"/>
      <w:r>
        <w:t>101(1).</w:t>
      </w:r>
      <w:proofErr w:type="gramEnd"/>
      <w:r>
        <w:t xml:space="preserve"> Every recognised stock exchange or the prescribed person in the case of every Mutual Fund [or the lead merchant banker in the case of an initial public offer](hereafter in this chapter referred to as assessee</w:t>
      </w:r>
      <w:r w:rsidR="004C0C7F">
        <w:t>) shall, within the prescribed time after the end of quarter year, prepare and deliver or cause to be delivered to the assessing officer or to any other authority or agency authorised by the board in this behalf, a return in such form and verified in such manner and setting forth such particulars as may be prescribed, in respect of all taxable securities transactions entered into during such financial year in that stock exchange or, as the case may be, in respect of all taxable securities transactions, being sale of units to such Mutual Fund during such financial year.</w:t>
      </w:r>
    </w:p>
    <w:p w:rsidR="004C0C7F" w:rsidRPr="00770EB7" w:rsidRDefault="00A0684D" w:rsidP="00B34A14">
      <w:pPr>
        <w:spacing w:after="120" w:line="240" w:lineRule="auto"/>
        <w:jc w:val="both"/>
      </w:pPr>
      <w:r w:rsidRPr="00F63423">
        <w:rPr>
          <w:b/>
        </w:rPr>
        <w:t xml:space="preserve">The quarterly </w:t>
      </w:r>
      <w:r w:rsidR="0075446B">
        <w:rPr>
          <w:b/>
        </w:rPr>
        <w:t>statement</w:t>
      </w:r>
      <w:r w:rsidRPr="00F63423">
        <w:rPr>
          <w:b/>
        </w:rPr>
        <w:t xml:space="preserve"> of taxable securities transaction entered into during a financial year shall be furnished in accordance with the provision of s</w:t>
      </w:r>
      <w:r w:rsidR="004D5F31" w:rsidRPr="00F63423">
        <w:rPr>
          <w:b/>
        </w:rPr>
        <w:t>ub-section (1) in the</w:t>
      </w:r>
      <w:r w:rsidR="00C40EBF" w:rsidRPr="00F63423">
        <w:rPr>
          <w:b/>
        </w:rPr>
        <w:t xml:space="preserve"> </w:t>
      </w:r>
      <w:r w:rsidR="004D5F31" w:rsidRPr="00F63423">
        <w:rPr>
          <w:b/>
        </w:rPr>
        <w:t>prescribed</w:t>
      </w:r>
      <w:r w:rsidR="00C40EBF" w:rsidRPr="00F63423">
        <w:rPr>
          <w:b/>
        </w:rPr>
        <w:t xml:space="preserve"> form as per rule 7 of </w:t>
      </w:r>
      <w:r w:rsidR="00C40EBF" w:rsidRPr="00F63423">
        <w:rPr>
          <w:b/>
        </w:rPr>
        <w:lastRenderedPageBreak/>
        <w:t>the securities transaction tax rules, 2004</w:t>
      </w:r>
      <w:r w:rsidR="004D5F31" w:rsidRPr="00F63423">
        <w:rPr>
          <w:b/>
        </w:rPr>
        <w:t xml:space="preserve"> </w:t>
      </w:r>
      <w:r w:rsidRPr="00F63423">
        <w:rPr>
          <w:b/>
        </w:rPr>
        <w:t>on or before 15</w:t>
      </w:r>
      <w:r w:rsidRPr="00F63423">
        <w:rPr>
          <w:b/>
          <w:vertAlign w:val="superscript"/>
        </w:rPr>
        <w:t>th</w:t>
      </w:r>
      <w:r w:rsidRPr="00F63423">
        <w:rPr>
          <w:b/>
        </w:rPr>
        <w:t xml:space="preserve"> July, the 15</w:t>
      </w:r>
      <w:r w:rsidRPr="00F63423">
        <w:rPr>
          <w:b/>
          <w:vertAlign w:val="superscript"/>
        </w:rPr>
        <w:t>th</w:t>
      </w:r>
      <w:r w:rsidRPr="00F63423">
        <w:rPr>
          <w:b/>
        </w:rPr>
        <w:t xml:space="preserve"> October, the 15</w:t>
      </w:r>
      <w:r w:rsidRPr="00F63423">
        <w:rPr>
          <w:b/>
          <w:vertAlign w:val="superscript"/>
        </w:rPr>
        <w:t>th</w:t>
      </w:r>
      <w:r w:rsidRPr="00F63423">
        <w:rPr>
          <w:b/>
        </w:rPr>
        <w:t xml:space="preserve"> January in respect of first three quarters of the financial year and on or before 31</w:t>
      </w:r>
      <w:r w:rsidRPr="00F63423">
        <w:rPr>
          <w:b/>
          <w:vertAlign w:val="superscript"/>
        </w:rPr>
        <w:t>st</w:t>
      </w:r>
      <w:r w:rsidRPr="00F63423">
        <w:rPr>
          <w:b/>
        </w:rPr>
        <w:t xml:space="preserve"> May following the las</w:t>
      </w:r>
      <w:r w:rsidR="00F63423" w:rsidRPr="00F63423">
        <w:rPr>
          <w:b/>
        </w:rPr>
        <w:t>t quarter of the financial year.</w:t>
      </w:r>
    </w:p>
    <w:p w:rsidR="00C40EBF" w:rsidRDefault="00770EB7" w:rsidP="00B34A14">
      <w:pPr>
        <w:spacing w:after="120" w:line="240" w:lineRule="auto"/>
        <w:jc w:val="both"/>
      </w:pPr>
      <w:r>
        <w:t>(2</w:t>
      </w:r>
      <w:r w:rsidR="00C40EBF">
        <w:t>) Where any assessee fails to furnish the return under sub-section (1) within the prescribed time, the assessing officer may issue a notice to such assessee and serve it upon him, requiring him to furnish the return in the prescribed form and verified in the prescribed manner setting forth such particulars within such time as may be prescribed.</w:t>
      </w:r>
    </w:p>
    <w:p w:rsidR="00C40EBF" w:rsidRPr="007B131E" w:rsidRDefault="00770EB7" w:rsidP="00B34A14">
      <w:pPr>
        <w:spacing w:after="120" w:line="240" w:lineRule="auto"/>
        <w:jc w:val="both"/>
        <w:rPr>
          <w:b/>
        </w:rPr>
      </w:pPr>
      <w:r>
        <w:rPr>
          <w:b/>
        </w:rPr>
        <w:t>(3</w:t>
      </w:r>
      <w:r w:rsidR="00C40EBF" w:rsidRPr="007B131E">
        <w:rPr>
          <w:b/>
        </w:rPr>
        <w:t>) Any assessee who has not furnished</w:t>
      </w:r>
      <w:r w:rsidR="0075446B" w:rsidRPr="007B131E">
        <w:rPr>
          <w:b/>
        </w:rPr>
        <w:t xml:space="preserve"> the return within the time allowed under sub-section (1) or sub-</w:t>
      </w:r>
      <w:proofErr w:type="gramStart"/>
      <w:r w:rsidR="0075446B" w:rsidRPr="007B131E">
        <w:rPr>
          <w:b/>
        </w:rPr>
        <w:t>section(</w:t>
      </w:r>
      <w:proofErr w:type="gramEnd"/>
      <w:r w:rsidR="0075446B" w:rsidRPr="007B131E">
        <w:rPr>
          <w:b/>
        </w:rPr>
        <w:t xml:space="preserve">2), or having furnished a return under sub-section (1) or sub-section(2), discovers any omission or wrong statement therein, may furnish a return or a revised return, as the case may be, before the </w:t>
      </w:r>
      <w:r w:rsidR="00487DC4">
        <w:rPr>
          <w:b/>
        </w:rPr>
        <w:t xml:space="preserve">expiry of one year </w:t>
      </w:r>
      <w:r w:rsidR="004C00B5" w:rsidRPr="007B131E">
        <w:rPr>
          <w:b/>
        </w:rPr>
        <w:t>following the end of the financial year to which the return relates.</w:t>
      </w:r>
    </w:p>
    <w:p w:rsidR="005075EA" w:rsidRPr="004F464E" w:rsidRDefault="005075EA" w:rsidP="00B34A14">
      <w:pPr>
        <w:spacing w:after="120" w:line="240" w:lineRule="auto"/>
        <w:jc w:val="both"/>
        <w:rPr>
          <w:b/>
          <w:u w:val="single"/>
        </w:rPr>
      </w:pPr>
      <w:r w:rsidRPr="004F464E">
        <w:rPr>
          <w:b/>
          <w:u w:val="single"/>
        </w:rPr>
        <w:t>Assessment</w:t>
      </w:r>
    </w:p>
    <w:p w:rsidR="005075EA" w:rsidRDefault="005075EA" w:rsidP="00B34A14">
      <w:pPr>
        <w:spacing w:after="120" w:line="240" w:lineRule="auto"/>
        <w:jc w:val="both"/>
      </w:pPr>
      <w:r>
        <w:t xml:space="preserve">102(2) The assessing officer, after considering such accounts, documents or other evidence, if any, as he has obtained under sub-section (1) and after taking into account any other relevant material which he has gathered, shall, by an order in writing, assess the value of taxable securities transaction during the relevant financial year and determine the amount of securities transaction tax payable or excess tax paid on the basis of such assessment. </w:t>
      </w:r>
    </w:p>
    <w:p w:rsidR="005075EA" w:rsidRPr="005075EA" w:rsidRDefault="005075EA" w:rsidP="00B34A14">
      <w:pPr>
        <w:spacing w:after="120" w:line="240" w:lineRule="auto"/>
        <w:jc w:val="both"/>
      </w:pPr>
      <w:r>
        <w:t>102(3) Every assessee, in case any amount is paid in exces</w:t>
      </w:r>
      <w:r w:rsidR="004F464E">
        <w:t>s of the tax payable on assessment under su</w:t>
      </w:r>
      <w:r w:rsidR="003E4F30">
        <w:t>b-section (2), shall, be carried forward</w:t>
      </w:r>
      <w:r w:rsidR="004F464E">
        <w:t xml:space="preserve"> in the next quarter or in the first quarter of </w:t>
      </w:r>
      <w:r w:rsidR="005E1CDA">
        <w:t>the subsequent</w:t>
      </w:r>
      <w:r w:rsidR="00E816BB">
        <w:t xml:space="preserve"> financial year to</w:t>
      </w:r>
      <w:r w:rsidR="005E1CDA">
        <w:t xml:space="preserve"> which the</w:t>
      </w:r>
      <w:r w:rsidR="00E816BB">
        <w:t xml:space="preserve"> excess amount relates</w:t>
      </w:r>
      <w:r w:rsidR="004F464E">
        <w:t>.</w:t>
      </w:r>
      <w:r>
        <w:t xml:space="preserve">  </w:t>
      </w:r>
    </w:p>
    <w:p w:rsidR="00352C0F" w:rsidRPr="00352C0F" w:rsidRDefault="00352C0F" w:rsidP="00B34A14">
      <w:pPr>
        <w:spacing w:after="120" w:line="240" w:lineRule="auto"/>
        <w:jc w:val="both"/>
        <w:rPr>
          <w:b/>
          <w:u w:val="single"/>
        </w:rPr>
      </w:pPr>
      <w:proofErr w:type="gramStart"/>
      <w:r w:rsidRPr="00352C0F">
        <w:rPr>
          <w:b/>
          <w:u w:val="single"/>
        </w:rPr>
        <w:t>Penalty for failure to furnish prescribed return.</w:t>
      </w:r>
      <w:proofErr w:type="gramEnd"/>
    </w:p>
    <w:p w:rsidR="004C00B5" w:rsidRDefault="005075EA" w:rsidP="00B34A14">
      <w:pPr>
        <w:spacing w:after="120" w:line="240" w:lineRule="auto"/>
        <w:jc w:val="both"/>
      </w:pPr>
      <w:r>
        <w:t>106</w:t>
      </w:r>
      <w:r w:rsidR="00352C0F">
        <w:t xml:space="preserve"> If an assessee fails to furnish in due time the return which it is required to furnish under sub-section (1) of section 101 or by notice given under sub-section (2) of that section, it shall be liable to pay, by way of penalty, </w:t>
      </w:r>
      <w:r w:rsidR="00CA34B4">
        <w:rPr>
          <w:b/>
        </w:rPr>
        <w:t>a sum ten thousand</w:t>
      </w:r>
      <w:r w:rsidR="00352C0F" w:rsidRPr="00CA34B4">
        <w:rPr>
          <w:b/>
        </w:rPr>
        <w:t xml:space="preserve"> rupees.</w:t>
      </w:r>
    </w:p>
    <w:p w:rsidR="00352C0F" w:rsidRDefault="00352C0F" w:rsidP="00B34A14">
      <w:pPr>
        <w:spacing w:after="120" w:line="240" w:lineRule="auto"/>
        <w:jc w:val="both"/>
        <w:rPr>
          <w:b/>
          <w:u w:val="single"/>
        </w:rPr>
      </w:pPr>
      <w:proofErr w:type="gramStart"/>
      <w:r w:rsidRPr="00352C0F">
        <w:rPr>
          <w:b/>
          <w:u w:val="single"/>
        </w:rPr>
        <w:t>Penalty for failure to comply with notice.</w:t>
      </w:r>
      <w:proofErr w:type="gramEnd"/>
    </w:p>
    <w:p w:rsidR="00352C0F" w:rsidRPr="00CA34B4" w:rsidRDefault="005075EA" w:rsidP="00B34A14">
      <w:pPr>
        <w:spacing w:after="120" w:line="240" w:lineRule="auto"/>
        <w:jc w:val="both"/>
        <w:rPr>
          <w:b/>
        </w:rPr>
      </w:pPr>
      <w:r>
        <w:t xml:space="preserve">107 </w:t>
      </w:r>
      <w:r w:rsidR="00352C0F" w:rsidRPr="00352C0F">
        <w:t>If the Assessing officer in the course of any proceedings under this chapter is satisfied</w:t>
      </w:r>
      <w:r w:rsidR="00352C0F">
        <w:t xml:space="preserve"> that any person has failed to comply with a notice under sub-section (1) of section 102, he may direct that such person shall pay, by way of penalty, in addition to any </w:t>
      </w:r>
      <w:r>
        <w:t xml:space="preserve">securities transaction tax and interest, if any payable by him, </w:t>
      </w:r>
      <w:r w:rsidRPr="00CA34B4">
        <w:rPr>
          <w:b/>
        </w:rPr>
        <w:t>a sum of five hundred rupees for every day during which failure continues.</w:t>
      </w:r>
    </w:p>
    <w:p w:rsidR="00326D62" w:rsidRDefault="00326D62" w:rsidP="00B34A14">
      <w:pPr>
        <w:spacing w:after="120" w:line="240" w:lineRule="auto"/>
        <w:jc w:val="both"/>
      </w:pPr>
      <w:proofErr w:type="gramStart"/>
      <w:r>
        <w:t>Necessary amendments is</w:t>
      </w:r>
      <w:proofErr w:type="gramEnd"/>
      <w:r>
        <w:t xml:space="preserve"> likely to facilitate </w:t>
      </w:r>
      <w:r w:rsidR="00182382">
        <w:t>in regulating securities transaction tax.</w:t>
      </w:r>
    </w:p>
    <w:p w:rsidR="00D77147" w:rsidRDefault="00D77147" w:rsidP="00B34A14">
      <w:pPr>
        <w:spacing w:after="120" w:line="240" w:lineRule="auto"/>
        <w:jc w:val="both"/>
      </w:pPr>
    </w:p>
    <w:p w:rsidR="00D77147" w:rsidRDefault="00D77147" w:rsidP="00B34A14">
      <w:pPr>
        <w:spacing w:after="120" w:line="240" w:lineRule="auto"/>
        <w:jc w:val="both"/>
      </w:pPr>
    </w:p>
    <w:p w:rsidR="00D77147" w:rsidRDefault="00D77147" w:rsidP="00B34A14">
      <w:pPr>
        <w:spacing w:after="120" w:line="240" w:lineRule="auto"/>
        <w:jc w:val="both"/>
      </w:pPr>
    </w:p>
    <w:p w:rsidR="00D77147" w:rsidRDefault="00D77147" w:rsidP="00B34A14">
      <w:pPr>
        <w:spacing w:after="120" w:line="240" w:lineRule="auto"/>
        <w:jc w:val="both"/>
      </w:pPr>
    </w:p>
    <w:p w:rsidR="00D77147" w:rsidRPr="00352C0F" w:rsidRDefault="0063716C" w:rsidP="00B34A14">
      <w:pPr>
        <w:spacing w:after="120" w:line="240" w:lineRule="auto"/>
        <w:jc w:val="both"/>
      </w:pPr>
      <w:r>
        <w:t>Ca Chandan Bagaria</w:t>
      </w:r>
    </w:p>
    <w:sectPr w:rsidR="00D77147" w:rsidRPr="00352C0F" w:rsidSect="00D422E5">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5D5D"/>
    <w:multiLevelType w:val="hybridMultilevel"/>
    <w:tmpl w:val="F0743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95166"/>
    <w:multiLevelType w:val="hybridMultilevel"/>
    <w:tmpl w:val="AE522A1C"/>
    <w:lvl w:ilvl="0" w:tplc="0A14E97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EA3DA8"/>
    <w:multiLevelType w:val="hybridMultilevel"/>
    <w:tmpl w:val="54B03E72"/>
    <w:lvl w:ilvl="0" w:tplc="040CA02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D95082"/>
    <w:multiLevelType w:val="hybridMultilevel"/>
    <w:tmpl w:val="8D58F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0A24FD"/>
    <w:multiLevelType w:val="hybridMultilevel"/>
    <w:tmpl w:val="FE42D5EA"/>
    <w:lvl w:ilvl="0" w:tplc="0D3C19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FD1FE1"/>
    <w:multiLevelType w:val="hybridMultilevel"/>
    <w:tmpl w:val="B330B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922950"/>
    <w:multiLevelType w:val="hybridMultilevel"/>
    <w:tmpl w:val="162C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FA5B7A"/>
    <w:multiLevelType w:val="hybridMultilevel"/>
    <w:tmpl w:val="BD388A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87438"/>
    <w:multiLevelType w:val="hybridMultilevel"/>
    <w:tmpl w:val="B4AE1816"/>
    <w:lvl w:ilvl="0" w:tplc="2ECA7FF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6B2783B"/>
    <w:multiLevelType w:val="hybridMultilevel"/>
    <w:tmpl w:val="08420832"/>
    <w:lvl w:ilvl="0" w:tplc="B220FF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71C591C"/>
    <w:multiLevelType w:val="hybridMultilevel"/>
    <w:tmpl w:val="022CD07A"/>
    <w:lvl w:ilvl="0" w:tplc="DB58499A">
      <w:start w:val="1"/>
      <w:numFmt w:val="lowerLetter"/>
      <w:lvlText w:val="(%1)"/>
      <w:lvlJc w:val="left"/>
      <w:pPr>
        <w:ind w:left="1133" w:hanging="360"/>
      </w:pPr>
      <w:rPr>
        <w:rFonts w:hint="default"/>
      </w:rPr>
    </w:lvl>
    <w:lvl w:ilvl="1" w:tplc="04090019" w:tentative="1">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1">
    <w:nsid w:val="39506BA8"/>
    <w:multiLevelType w:val="hybridMultilevel"/>
    <w:tmpl w:val="F5042102"/>
    <w:lvl w:ilvl="0" w:tplc="6D6EAEAE">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E13359"/>
    <w:multiLevelType w:val="hybridMultilevel"/>
    <w:tmpl w:val="1276BE62"/>
    <w:lvl w:ilvl="0" w:tplc="9E20D8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EF626AF"/>
    <w:multiLevelType w:val="hybridMultilevel"/>
    <w:tmpl w:val="3C7E1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A02EF7"/>
    <w:multiLevelType w:val="hybridMultilevel"/>
    <w:tmpl w:val="628C2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F666E5"/>
    <w:multiLevelType w:val="hybridMultilevel"/>
    <w:tmpl w:val="0DFCCB98"/>
    <w:lvl w:ilvl="0" w:tplc="152220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6C27CD"/>
    <w:multiLevelType w:val="hybridMultilevel"/>
    <w:tmpl w:val="3A683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A20A56"/>
    <w:multiLevelType w:val="hybridMultilevel"/>
    <w:tmpl w:val="FA120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F019F1"/>
    <w:multiLevelType w:val="hybridMultilevel"/>
    <w:tmpl w:val="8842D3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8B4698"/>
    <w:multiLevelType w:val="hybridMultilevel"/>
    <w:tmpl w:val="2672301C"/>
    <w:lvl w:ilvl="0" w:tplc="8B54A5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A63451D"/>
    <w:multiLevelType w:val="hybridMultilevel"/>
    <w:tmpl w:val="2A86B6FA"/>
    <w:lvl w:ilvl="0" w:tplc="47E6C57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5DC50F00"/>
    <w:multiLevelType w:val="hybridMultilevel"/>
    <w:tmpl w:val="64709C04"/>
    <w:lvl w:ilvl="0" w:tplc="D60291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827DDA"/>
    <w:multiLevelType w:val="hybridMultilevel"/>
    <w:tmpl w:val="A4E2DEA6"/>
    <w:lvl w:ilvl="0" w:tplc="7A7A1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8B5449"/>
    <w:multiLevelType w:val="hybridMultilevel"/>
    <w:tmpl w:val="4CA4AA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6547039"/>
    <w:multiLevelType w:val="hybridMultilevel"/>
    <w:tmpl w:val="98EC161A"/>
    <w:lvl w:ilvl="0" w:tplc="579099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E5D2A7A"/>
    <w:multiLevelType w:val="hybridMultilevel"/>
    <w:tmpl w:val="18F4B022"/>
    <w:lvl w:ilvl="0" w:tplc="280CAB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F10293"/>
    <w:multiLevelType w:val="hybridMultilevel"/>
    <w:tmpl w:val="CADCFEEA"/>
    <w:lvl w:ilvl="0" w:tplc="5922C3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E15A2D"/>
    <w:multiLevelType w:val="hybridMultilevel"/>
    <w:tmpl w:val="F8C8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72162A"/>
    <w:multiLevelType w:val="hybridMultilevel"/>
    <w:tmpl w:val="05A87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4"/>
  </w:num>
  <w:num w:numId="3">
    <w:abstractNumId w:val="2"/>
  </w:num>
  <w:num w:numId="4">
    <w:abstractNumId w:val="1"/>
  </w:num>
  <w:num w:numId="5">
    <w:abstractNumId w:val="22"/>
  </w:num>
  <w:num w:numId="6">
    <w:abstractNumId w:val="6"/>
  </w:num>
  <w:num w:numId="7">
    <w:abstractNumId w:val="23"/>
  </w:num>
  <w:num w:numId="8">
    <w:abstractNumId w:val="16"/>
  </w:num>
  <w:num w:numId="9">
    <w:abstractNumId w:val="27"/>
  </w:num>
  <w:num w:numId="10">
    <w:abstractNumId w:val="3"/>
  </w:num>
  <w:num w:numId="11">
    <w:abstractNumId w:val="14"/>
  </w:num>
  <w:num w:numId="12">
    <w:abstractNumId w:val="17"/>
  </w:num>
  <w:num w:numId="13">
    <w:abstractNumId w:val="5"/>
  </w:num>
  <w:num w:numId="14">
    <w:abstractNumId w:val="20"/>
  </w:num>
  <w:num w:numId="15">
    <w:abstractNumId w:val="28"/>
  </w:num>
  <w:num w:numId="16">
    <w:abstractNumId w:val="13"/>
  </w:num>
  <w:num w:numId="17">
    <w:abstractNumId w:val="0"/>
  </w:num>
  <w:num w:numId="18">
    <w:abstractNumId w:val="4"/>
  </w:num>
  <w:num w:numId="19">
    <w:abstractNumId w:val="26"/>
  </w:num>
  <w:num w:numId="20">
    <w:abstractNumId w:val="10"/>
  </w:num>
  <w:num w:numId="21">
    <w:abstractNumId w:val="12"/>
  </w:num>
  <w:num w:numId="22">
    <w:abstractNumId w:val="18"/>
  </w:num>
  <w:num w:numId="23">
    <w:abstractNumId w:val="9"/>
  </w:num>
  <w:num w:numId="24">
    <w:abstractNumId w:val="8"/>
  </w:num>
  <w:num w:numId="25">
    <w:abstractNumId w:val="19"/>
  </w:num>
  <w:num w:numId="26">
    <w:abstractNumId w:val="11"/>
  </w:num>
  <w:num w:numId="27">
    <w:abstractNumId w:val="25"/>
  </w:num>
  <w:num w:numId="28">
    <w:abstractNumId w:val="15"/>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mailMerge>
    <w:mainDocumentType w:val="formLetters"/>
    <w:dataType w:val="textFile"/>
    <w:activeRecord w:val="-1"/>
  </w:mailMerge>
  <w:defaultTabStop w:val="720"/>
  <w:characterSpacingControl w:val="doNotCompress"/>
  <w:compat/>
  <w:rsids>
    <w:rsidRoot w:val="00130743"/>
    <w:rsid w:val="00000DDC"/>
    <w:rsid w:val="000122BB"/>
    <w:rsid w:val="00012534"/>
    <w:rsid w:val="00031DC6"/>
    <w:rsid w:val="00035635"/>
    <w:rsid w:val="00041062"/>
    <w:rsid w:val="000450F3"/>
    <w:rsid w:val="00063754"/>
    <w:rsid w:val="000A0E4D"/>
    <w:rsid w:val="000C1512"/>
    <w:rsid w:val="000C4076"/>
    <w:rsid w:val="000D2D18"/>
    <w:rsid w:val="0012230D"/>
    <w:rsid w:val="00122475"/>
    <w:rsid w:val="00130743"/>
    <w:rsid w:val="0013206B"/>
    <w:rsid w:val="0014118B"/>
    <w:rsid w:val="0016619B"/>
    <w:rsid w:val="00172DA6"/>
    <w:rsid w:val="001743EA"/>
    <w:rsid w:val="00182382"/>
    <w:rsid w:val="001E2D62"/>
    <w:rsid w:val="001F2316"/>
    <w:rsid w:val="002145C6"/>
    <w:rsid w:val="002743A8"/>
    <w:rsid w:val="00280C4D"/>
    <w:rsid w:val="002B6662"/>
    <w:rsid w:val="002E2575"/>
    <w:rsid w:val="002E3D24"/>
    <w:rsid w:val="002E595C"/>
    <w:rsid w:val="00326D62"/>
    <w:rsid w:val="00352C0F"/>
    <w:rsid w:val="00377E6B"/>
    <w:rsid w:val="00384E24"/>
    <w:rsid w:val="003914BF"/>
    <w:rsid w:val="00394A9C"/>
    <w:rsid w:val="003D3F64"/>
    <w:rsid w:val="003E4F30"/>
    <w:rsid w:val="003E676D"/>
    <w:rsid w:val="003F1312"/>
    <w:rsid w:val="003F7D9E"/>
    <w:rsid w:val="004055D2"/>
    <w:rsid w:val="00415920"/>
    <w:rsid w:val="004269F3"/>
    <w:rsid w:val="0043139F"/>
    <w:rsid w:val="00434726"/>
    <w:rsid w:val="00443021"/>
    <w:rsid w:val="004747FD"/>
    <w:rsid w:val="00482511"/>
    <w:rsid w:val="00487DC4"/>
    <w:rsid w:val="004C00B5"/>
    <w:rsid w:val="004C0C7F"/>
    <w:rsid w:val="004D5F31"/>
    <w:rsid w:val="004E0E9B"/>
    <w:rsid w:val="004F464E"/>
    <w:rsid w:val="004F6FFD"/>
    <w:rsid w:val="005075EA"/>
    <w:rsid w:val="0051318A"/>
    <w:rsid w:val="005158A7"/>
    <w:rsid w:val="00523F34"/>
    <w:rsid w:val="005427F8"/>
    <w:rsid w:val="00586224"/>
    <w:rsid w:val="0059014D"/>
    <w:rsid w:val="00597A33"/>
    <w:rsid w:val="005A1F34"/>
    <w:rsid w:val="005A54EB"/>
    <w:rsid w:val="005E1CDA"/>
    <w:rsid w:val="005E65C8"/>
    <w:rsid w:val="005F6A3A"/>
    <w:rsid w:val="00633C82"/>
    <w:rsid w:val="0063716C"/>
    <w:rsid w:val="00664179"/>
    <w:rsid w:val="00671099"/>
    <w:rsid w:val="0068668F"/>
    <w:rsid w:val="006C48DA"/>
    <w:rsid w:val="006E3225"/>
    <w:rsid w:val="007328E5"/>
    <w:rsid w:val="00734DEE"/>
    <w:rsid w:val="00750F68"/>
    <w:rsid w:val="0075446B"/>
    <w:rsid w:val="0075705E"/>
    <w:rsid w:val="00762D38"/>
    <w:rsid w:val="00770EB7"/>
    <w:rsid w:val="0077341E"/>
    <w:rsid w:val="007B131E"/>
    <w:rsid w:val="007B3AB4"/>
    <w:rsid w:val="007B3B7B"/>
    <w:rsid w:val="007D4095"/>
    <w:rsid w:val="0084209D"/>
    <w:rsid w:val="00843A70"/>
    <w:rsid w:val="00846C10"/>
    <w:rsid w:val="00857119"/>
    <w:rsid w:val="00893F29"/>
    <w:rsid w:val="008A61D9"/>
    <w:rsid w:val="008A6DE8"/>
    <w:rsid w:val="008C3F42"/>
    <w:rsid w:val="008C6541"/>
    <w:rsid w:val="008E41A8"/>
    <w:rsid w:val="0090278D"/>
    <w:rsid w:val="00920301"/>
    <w:rsid w:val="00926200"/>
    <w:rsid w:val="00931555"/>
    <w:rsid w:val="009330DF"/>
    <w:rsid w:val="0094214A"/>
    <w:rsid w:val="00942547"/>
    <w:rsid w:val="00956324"/>
    <w:rsid w:val="00965380"/>
    <w:rsid w:val="00974321"/>
    <w:rsid w:val="00986E75"/>
    <w:rsid w:val="009B47E4"/>
    <w:rsid w:val="009D56AB"/>
    <w:rsid w:val="009F3BDD"/>
    <w:rsid w:val="00A00AC5"/>
    <w:rsid w:val="00A0684D"/>
    <w:rsid w:val="00A11574"/>
    <w:rsid w:val="00A1472B"/>
    <w:rsid w:val="00A170E0"/>
    <w:rsid w:val="00A41D6F"/>
    <w:rsid w:val="00A45A08"/>
    <w:rsid w:val="00A50BFD"/>
    <w:rsid w:val="00AA34F7"/>
    <w:rsid w:val="00AC3FE9"/>
    <w:rsid w:val="00B07189"/>
    <w:rsid w:val="00B22C8D"/>
    <w:rsid w:val="00B3221A"/>
    <w:rsid w:val="00B34A14"/>
    <w:rsid w:val="00B4092D"/>
    <w:rsid w:val="00B610C4"/>
    <w:rsid w:val="00B66CA6"/>
    <w:rsid w:val="00B71D6A"/>
    <w:rsid w:val="00B951FC"/>
    <w:rsid w:val="00BB1ADF"/>
    <w:rsid w:val="00BD3482"/>
    <w:rsid w:val="00BD6DF5"/>
    <w:rsid w:val="00BE55B9"/>
    <w:rsid w:val="00BF0A4F"/>
    <w:rsid w:val="00C2412B"/>
    <w:rsid w:val="00C244E4"/>
    <w:rsid w:val="00C3610B"/>
    <w:rsid w:val="00C40EBF"/>
    <w:rsid w:val="00C53890"/>
    <w:rsid w:val="00C61222"/>
    <w:rsid w:val="00C67345"/>
    <w:rsid w:val="00C81D20"/>
    <w:rsid w:val="00CA34B4"/>
    <w:rsid w:val="00CC6B70"/>
    <w:rsid w:val="00CF08C8"/>
    <w:rsid w:val="00D008D7"/>
    <w:rsid w:val="00D37B95"/>
    <w:rsid w:val="00D422E5"/>
    <w:rsid w:val="00D77147"/>
    <w:rsid w:val="00D860E4"/>
    <w:rsid w:val="00D976CC"/>
    <w:rsid w:val="00DA04DA"/>
    <w:rsid w:val="00DB5093"/>
    <w:rsid w:val="00DD3D13"/>
    <w:rsid w:val="00DF227D"/>
    <w:rsid w:val="00E01242"/>
    <w:rsid w:val="00E44F47"/>
    <w:rsid w:val="00E54349"/>
    <w:rsid w:val="00E816BB"/>
    <w:rsid w:val="00E83A5D"/>
    <w:rsid w:val="00EF5BD4"/>
    <w:rsid w:val="00F326D8"/>
    <w:rsid w:val="00F63423"/>
    <w:rsid w:val="00F74F14"/>
    <w:rsid w:val="00F8248C"/>
    <w:rsid w:val="00F96C4B"/>
    <w:rsid w:val="00FF6A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3" type="connector" idref="#_x0000_s1029"/>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C4B"/>
  </w:style>
  <w:style w:type="paragraph" w:styleId="Heading1">
    <w:name w:val="heading 1"/>
    <w:basedOn w:val="Normal"/>
    <w:next w:val="Normal"/>
    <w:link w:val="Heading1Char"/>
    <w:uiPriority w:val="9"/>
    <w:qFormat/>
    <w:rsid w:val="001743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FFD"/>
    <w:pPr>
      <w:ind w:left="720"/>
      <w:contextualSpacing/>
    </w:pPr>
  </w:style>
  <w:style w:type="character" w:customStyle="1" w:styleId="Heading1Char">
    <w:name w:val="Heading 1 Char"/>
    <w:basedOn w:val="DefaultParagraphFont"/>
    <w:link w:val="Heading1"/>
    <w:uiPriority w:val="9"/>
    <w:rsid w:val="001743E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743EA"/>
    <w:pPr>
      <w:outlineLvl w:val="9"/>
    </w:pPr>
  </w:style>
  <w:style w:type="paragraph" w:styleId="TOC2">
    <w:name w:val="toc 2"/>
    <w:basedOn w:val="Normal"/>
    <w:next w:val="Normal"/>
    <w:autoRedefine/>
    <w:uiPriority w:val="39"/>
    <w:semiHidden/>
    <w:unhideWhenUsed/>
    <w:qFormat/>
    <w:rsid w:val="001743EA"/>
    <w:pPr>
      <w:spacing w:after="100"/>
      <w:ind w:left="220"/>
    </w:pPr>
    <w:rPr>
      <w:rFonts w:eastAsiaTheme="minorEastAsia"/>
    </w:rPr>
  </w:style>
  <w:style w:type="paragraph" w:styleId="TOC1">
    <w:name w:val="toc 1"/>
    <w:basedOn w:val="Normal"/>
    <w:next w:val="Normal"/>
    <w:autoRedefine/>
    <w:uiPriority w:val="39"/>
    <w:semiHidden/>
    <w:unhideWhenUsed/>
    <w:qFormat/>
    <w:rsid w:val="001743EA"/>
    <w:pPr>
      <w:spacing w:after="100"/>
    </w:pPr>
    <w:rPr>
      <w:rFonts w:eastAsiaTheme="minorEastAsia"/>
    </w:rPr>
  </w:style>
  <w:style w:type="paragraph" w:styleId="TOC3">
    <w:name w:val="toc 3"/>
    <w:basedOn w:val="Normal"/>
    <w:next w:val="Normal"/>
    <w:autoRedefine/>
    <w:uiPriority w:val="39"/>
    <w:semiHidden/>
    <w:unhideWhenUsed/>
    <w:qFormat/>
    <w:rsid w:val="001743EA"/>
    <w:pPr>
      <w:spacing w:after="100"/>
      <w:ind w:left="440"/>
    </w:pPr>
    <w:rPr>
      <w:rFonts w:eastAsiaTheme="minorEastAsia"/>
    </w:rPr>
  </w:style>
  <w:style w:type="paragraph" w:styleId="BalloonText">
    <w:name w:val="Balloon Text"/>
    <w:basedOn w:val="Normal"/>
    <w:link w:val="BalloonTextChar"/>
    <w:uiPriority w:val="99"/>
    <w:semiHidden/>
    <w:unhideWhenUsed/>
    <w:rsid w:val="00174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3EA"/>
    <w:rPr>
      <w:rFonts w:ascii="Tahoma" w:hAnsi="Tahoma" w:cs="Tahoma"/>
      <w:sz w:val="16"/>
      <w:szCs w:val="16"/>
    </w:rPr>
  </w:style>
  <w:style w:type="table" w:styleId="TableGrid">
    <w:name w:val="Table Grid"/>
    <w:basedOn w:val="TableNormal"/>
    <w:uiPriority w:val="59"/>
    <w:rsid w:val="000356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0596C-A858-4A46-BB72-C8B3426C6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chandan</dc:creator>
  <cp:lastModifiedBy>chandan</cp:lastModifiedBy>
  <cp:revision>100</cp:revision>
  <dcterms:created xsi:type="dcterms:W3CDTF">2012-07-27T06:20:00Z</dcterms:created>
  <dcterms:modified xsi:type="dcterms:W3CDTF">2012-07-27T10:47:00Z</dcterms:modified>
</cp:coreProperties>
</file>