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66" w:rsidRDefault="0068189E">
      <w:r w:rsidRPr="0068189E">
        <w:drawing>
          <wp:inline distT="0" distB="0" distL="0" distR="0">
            <wp:extent cx="5943600" cy="8037195"/>
            <wp:effectExtent l="0" t="0" r="0" b="0"/>
            <wp:docPr id="3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391400" cy="9994900"/>
                      <a:chOff x="609600" y="-3352800"/>
                      <a:chExt cx="7391400" cy="9994900"/>
                    </a:xfrm>
                  </a:grpSpPr>
                  <a:sp>
                    <a:nvSpPr>
                      <a:cNvPr id="237573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609600" y="-3352800"/>
                        <a:ext cx="7391400" cy="9994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Approvals/clearances required prior setting up any factory in Chennai include: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Registration/Industrial License from Secretariat for Industrial Assistance, Ministry of Commerce &amp; Industry (Govt. of India);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Approval from the Town Planning officer, the </a:t>
                          </a:r>
                          <a:r>
                            <a:rPr lang="en-US" dirty="0" err="1"/>
                            <a:t>Tahsildar</a:t>
                          </a:r>
                          <a:r>
                            <a:rPr lang="en-US" dirty="0"/>
                            <a:t> and the Deputy Commissioner or the Assistant Commissioner, if the site where the industry is to be set up is an agricultural land;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Approval of construction activity and building plan from the local administrative authority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Inspector of Factories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Sanction of electricity from </a:t>
                          </a:r>
                          <a:r>
                            <a:rPr lang="en-US" dirty="0" err="1"/>
                            <a:t>Tamilnadu</a:t>
                          </a:r>
                          <a:r>
                            <a:rPr lang="en-US" dirty="0"/>
                            <a:t> State Electricity Board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Water supply from Water Resources Department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Registration of establishment  for hiring Contract  </a:t>
                          </a:r>
                          <a:r>
                            <a:rPr lang="en-US" dirty="0" err="1"/>
                            <a:t>Labour</a:t>
                          </a:r>
                          <a:r>
                            <a:rPr lang="en-US" dirty="0"/>
                            <a:t>;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NOC and consent under Water and Air Pollution Control Acts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 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The various stages of project construction include: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Civil works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Receiving and storage of materials and equipments, spares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Erection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Testing, Pre-commissioning, Commissioning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First energizing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Handing over to operating staff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n-US" dirty="0"/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n-US" dirty="0"/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n-US" dirty="0"/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en-US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A0CE1" w:rsidRDefault="00EA0CE1"/>
    <w:sectPr w:rsidR="00EA0CE1" w:rsidSect="00652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189E"/>
    <w:rsid w:val="00652766"/>
    <w:rsid w:val="0068189E"/>
    <w:rsid w:val="00EA0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76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1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> 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2009-01-02T07:22:00Z</dcterms:created>
  <dcterms:modified xsi:type="dcterms:W3CDTF">2009-01-02T09:12:00Z</dcterms:modified>
</cp:coreProperties>
</file>