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321F" w:rsidRPr="00837ADF" w:rsidRDefault="00837ADF" w:rsidP="00837ADF">
      <w:pPr>
        <w:pStyle w:val="Default"/>
        <w:pageBreakBefore/>
        <w:rPr>
          <w:rFonts w:cstheme="minorBidi"/>
          <w:color w:val="auto"/>
          <w:sz w:val="96"/>
          <w:szCs w:val="96"/>
        </w:rPr>
      </w:pPr>
      <w:r>
        <w:rPr>
          <w:rFonts w:cstheme="minorBidi"/>
          <w:b/>
          <w:bCs/>
          <w:color w:val="auto"/>
          <w:sz w:val="96"/>
          <w:szCs w:val="96"/>
        </w:rPr>
        <w:t>Excise:</w:t>
      </w:r>
      <w:r w:rsidR="00F0321F">
        <w:rPr>
          <w:rFonts w:cstheme="minorBidi"/>
          <w:b/>
          <w:bCs/>
          <w:color w:val="auto"/>
          <w:sz w:val="96"/>
          <w:szCs w:val="96"/>
        </w:rPr>
        <w:t xml:space="preserve">1 </w:t>
      </w:r>
      <w:r>
        <w:rPr>
          <w:rFonts w:cstheme="minorBidi"/>
          <w:b/>
          <w:bCs/>
          <w:color w:val="auto"/>
          <w:sz w:val="38"/>
          <w:szCs w:val="38"/>
        </w:rPr>
        <w:t>B</w:t>
      </w:r>
      <w:r w:rsidR="00F0321F">
        <w:rPr>
          <w:rFonts w:cstheme="minorBidi"/>
          <w:b/>
          <w:bCs/>
          <w:color w:val="auto"/>
          <w:sz w:val="38"/>
          <w:szCs w:val="38"/>
        </w:rPr>
        <w:t xml:space="preserve">ASIC </w:t>
      </w:r>
      <w:r w:rsidR="00F0321F">
        <w:rPr>
          <w:rFonts w:cstheme="minorBidi"/>
          <w:b/>
          <w:bCs/>
          <w:color w:val="auto"/>
          <w:sz w:val="48"/>
          <w:szCs w:val="48"/>
        </w:rPr>
        <w:t>C</w:t>
      </w:r>
      <w:r w:rsidR="00F0321F">
        <w:rPr>
          <w:rFonts w:cstheme="minorBidi"/>
          <w:b/>
          <w:bCs/>
          <w:color w:val="auto"/>
          <w:sz w:val="38"/>
          <w:szCs w:val="38"/>
        </w:rPr>
        <w:t xml:space="preserve">ONCEPTS </w:t>
      </w:r>
    </w:p>
    <w:p w:rsidR="00F0321F" w:rsidRDefault="00F0321F" w:rsidP="00F0321F">
      <w:pPr>
        <w:pStyle w:val="Default"/>
        <w:rPr>
          <w:rFonts w:cstheme="minorBidi"/>
          <w:color w:val="auto"/>
          <w:sz w:val="22"/>
          <w:szCs w:val="22"/>
        </w:rPr>
      </w:pPr>
      <w:r>
        <w:rPr>
          <w:rFonts w:cstheme="minorBidi"/>
          <w:b/>
          <w:bCs/>
          <w:color w:val="auto"/>
          <w:sz w:val="22"/>
          <w:szCs w:val="22"/>
        </w:rPr>
        <w:t xml:space="preserve">Section 2(f) of the Central Excise Act, 1944 </w:t>
      </w:r>
    </w:p>
    <w:p w:rsidR="00F0321F" w:rsidRDefault="00F0321F" w:rsidP="00F0321F">
      <w:pPr>
        <w:pStyle w:val="Default"/>
        <w:rPr>
          <w:rFonts w:cstheme="minorBidi"/>
          <w:color w:val="auto"/>
          <w:sz w:val="22"/>
          <w:szCs w:val="22"/>
        </w:rPr>
      </w:pPr>
      <w:r>
        <w:rPr>
          <w:rFonts w:cstheme="minorBidi"/>
          <w:b/>
          <w:bCs/>
          <w:color w:val="auto"/>
          <w:sz w:val="22"/>
          <w:szCs w:val="22"/>
        </w:rPr>
        <w:t xml:space="preserve">1. Whether the metal scrap or waste generated during the repair of his worn out machineries/parts of cement manufacturing plant by a cement manufacturer amounts to manufacture? </w:t>
      </w:r>
    </w:p>
    <w:p w:rsidR="00F0321F" w:rsidRDefault="00F0321F" w:rsidP="00F0321F">
      <w:pPr>
        <w:pStyle w:val="Default"/>
        <w:rPr>
          <w:color w:val="auto"/>
          <w:sz w:val="22"/>
          <w:szCs w:val="22"/>
        </w:rPr>
      </w:pPr>
      <w:r w:rsidRPr="00A13A4C">
        <w:rPr>
          <w:b/>
          <w:bCs/>
          <w:i/>
          <w:iCs/>
          <w:color w:val="auto"/>
          <w:sz w:val="22"/>
          <w:szCs w:val="22"/>
          <w:highlight w:val="yellow"/>
        </w:rPr>
        <w:t>Grasim Industries Ltd. v. UOI 2011 (273) E.L.T. 10 (S.C.)</w:t>
      </w:r>
      <w:r>
        <w:rPr>
          <w:b/>
          <w:bCs/>
          <w:i/>
          <w:iCs/>
          <w:color w:val="auto"/>
          <w:sz w:val="22"/>
          <w:szCs w:val="22"/>
        </w:rPr>
        <w:t xml:space="preserve"> </w:t>
      </w:r>
    </w:p>
    <w:p w:rsidR="00F0321F" w:rsidRDefault="00F0321F" w:rsidP="00F0321F">
      <w:pPr>
        <w:pStyle w:val="Default"/>
        <w:rPr>
          <w:color w:val="auto"/>
          <w:sz w:val="22"/>
          <w:szCs w:val="22"/>
        </w:rPr>
      </w:pPr>
      <w:r>
        <w:rPr>
          <w:b/>
          <w:bCs/>
          <w:color w:val="auto"/>
          <w:sz w:val="22"/>
          <w:szCs w:val="22"/>
        </w:rPr>
        <w:t>Facts of the case:</w:t>
      </w:r>
      <w:r>
        <w:rPr>
          <w:color w:val="auto"/>
          <w:sz w:val="22"/>
          <w:szCs w:val="22"/>
        </w:rPr>
        <w:t xml:space="preserve"> The Department issued a show cause notice demanding duty on the said waste contending that the process of generation of scrap and waste amounted to the manufacture in terms of section 2(f) of the Central Excise Act. </w:t>
      </w:r>
    </w:p>
    <w:p w:rsidR="00F11C32" w:rsidRDefault="00F0321F" w:rsidP="00F0321F">
      <w:pPr>
        <w:pStyle w:val="Default"/>
        <w:rPr>
          <w:b/>
          <w:bCs/>
          <w:color w:val="auto"/>
          <w:sz w:val="22"/>
          <w:szCs w:val="22"/>
        </w:rPr>
      </w:pPr>
      <w:r>
        <w:rPr>
          <w:b/>
          <w:bCs/>
          <w:color w:val="auto"/>
          <w:sz w:val="22"/>
          <w:szCs w:val="22"/>
        </w:rPr>
        <w:t>Decision of the case:</w:t>
      </w:r>
      <w:r w:rsidR="00F11C32">
        <w:rPr>
          <w:b/>
          <w:bCs/>
          <w:color w:val="auto"/>
          <w:sz w:val="22"/>
          <w:szCs w:val="22"/>
        </w:rPr>
        <w:t>No.</w:t>
      </w:r>
    </w:p>
    <w:p w:rsidR="00F0321F" w:rsidRDefault="00F11C32" w:rsidP="00F0321F">
      <w:pPr>
        <w:pStyle w:val="Default"/>
        <w:rPr>
          <w:color w:val="auto"/>
          <w:sz w:val="22"/>
          <w:szCs w:val="22"/>
        </w:rPr>
      </w:pPr>
      <w:r>
        <w:rPr>
          <w:b/>
          <w:bCs/>
          <w:color w:val="auto"/>
          <w:sz w:val="22"/>
          <w:szCs w:val="22"/>
        </w:rPr>
        <w:t>Reason :</w:t>
      </w:r>
      <w:r w:rsidR="00F0321F">
        <w:rPr>
          <w:color w:val="auto"/>
          <w:sz w:val="22"/>
          <w:szCs w:val="22"/>
        </w:rPr>
        <w:t xml:space="preserve"> </w:t>
      </w:r>
      <w:r w:rsidR="00A13A4C">
        <w:rPr>
          <w:color w:val="auto"/>
          <w:sz w:val="22"/>
          <w:szCs w:val="22"/>
        </w:rPr>
        <w:t>As per sec 2(f),</w:t>
      </w:r>
      <w:r w:rsidR="00F0321F">
        <w:rPr>
          <w:color w:val="auto"/>
          <w:sz w:val="22"/>
          <w:szCs w:val="22"/>
        </w:rPr>
        <w:t xml:space="preserve">The process in relation to manufacture means a process which is so integrally connected to the manufacturing of the end product without which, the manufacture of the end product would be impossible or commercially inexpedient. </w:t>
      </w:r>
    </w:p>
    <w:p w:rsidR="00F0321F" w:rsidRDefault="00F0321F" w:rsidP="00F0321F">
      <w:pPr>
        <w:pStyle w:val="Default"/>
        <w:rPr>
          <w:color w:val="auto"/>
          <w:sz w:val="22"/>
          <w:szCs w:val="22"/>
        </w:rPr>
      </w:pPr>
      <w:r>
        <w:rPr>
          <w:color w:val="auto"/>
          <w:sz w:val="22"/>
          <w:szCs w:val="22"/>
        </w:rPr>
        <w:t>However, in the present case, it is clear that the process of repair and maintena</w:t>
      </w:r>
      <w:r w:rsidR="00F11C32">
        <w:rPr>
          <w:color w:val="auto"/>
          <w:sz w:val="22"/>
          <w:szCs w:val="22"/>
        </w:rPr>
        <w:t>nce of the machinery</w:t>
      </w:r>
      <w:r>
        <w:rPr>
          <w:color w:val="auto"/>
          <w:sz w:val="22"/>
          <w:szCs w:val="22"/>
        </w:rPr>
        <w:t xml:space="preserve"> has no contribution or effect on t</w:t>
      </w:r>
      <w:r w:rsidR="00F11C32">
        <w:rPr>
          <w:color w:val="auto"/>
          <w:sz w:val="22"/>
          <w:szCs w:val="22"/>
        </w:rPr>
        <w:t>he process of manufacturing of the end product.</w:t>
      </w:r>
      <w:r>
        <w:rPr>
          <w:color w:val="auto"/>
          <w:sz w:val="22"/>
          <w:szCs w:val="22"/>
        </w:rPr>
        <w:t xml:space="preserve"> </w:t>
      </w:r>
    </w:p>
    <w:p w:rsidR="00F0321F" w:rsidRDefault="00F0321F" w:rsidP="00F0321F">
      <w:pPr>
        <w:pStyle w:val="Default"/>
        <w:rPr>
          <w:rFonts w:cstheme="minorBidi"/>
          <w:color w:val="auto"/>
          <w:sz w:val="22"/>
          <w:szCs w:val="22"/>
        </w:rPr>
      </w:pPr>
    </w:p>
    <w:p w:rsidR="00F0321F" w:rsidRDefault="00F0321F" w:rsidP="00F0321F">
      <w:pPr>
        <w:pStyle w:val="Default"/>
        <w:pageBreakBefore/>
        <w:rPr>
          <w:rFonts w:cstheme="minorBidi"/>
          <w:color w:val="auto"/>
          <w:sz w:val="22"/>
          <w:szCs w:val="22"/>
        </w:rPr>
      </w:pPr>
      <w:r>
        <w:rPr>
          <w:rFonts w:cstheme="minorBidi"/>
          <w:b/>
          <w:bCs/>
          <w:color w:val="auto"/>
          <w:sz w:val="22"/>
          <w:szCs w:val="22"/>
        </w:rPr>
        <w:lastRenderedPageBreak/>
        <w:t xml:space="preserve">2. Does a product with short shelf-life satisfy the test of marketability? </w:t>
      </w:r>
      <w:r w:rsidR="00A13A4C">
        <w:rPr>
          <w:rFonts w:cstheme="minorBidi"/>
          <w:b/>
          <w:bCs/>
          <w:color w:val="auto"/>
          <w:sz w:val="22"/>
          <w:szCs w:val="22"/>
        </w:rPr>
        <w:t>(imp)</w:t>
      </w:r>
    </w:p>
    <w:p w:rsidR="00F0321F" w:rsidRDefault="00F0321F" w:rsidP="00F0321F">
      <w:pPr>
        <w:pStyle w:val="Default"/>
        <w:rPr>
          <w:color w:val="auto"/>
          <w:sz w:val="22"/>
          <w:szCs w:val="22"/>
        </w:rPr>
      </w:pPr>
      <w:r w:rsidRPr="00A13A4C">
        <w:rPr>
          <w:b/>
          <w:bCs/>
          <w:i/>
          <w:iCs/>
          <w:color w:val="auto"/>
          <w:sz w:val="22"/>
          <w:szCs w:val="22"/>
          <w:highlight w:val="yellow"/>
        </w:rPr>
        <w:t>Nicholas Piramal India Ltd. v. CCEx., Mumbai 2010 (260) E.L.T. 338 (S.C.)</w:t>
      </w:r>
      <w:r>
        <w:rPr>
          <w:b/>
          <w:bCs/>
          <w:i/>
          <w:iCs/>
          <w:color w:val="auto"/>
          <w:sz w:val="22"/>
          <w:szCs w:val="22"/>
        </w:rPr>
        <w:t xml:space="preserve"> </w:t>
      </w:r>
    </w:p>
    <w:p w:rsidR="00F0321F" w:rsidRDefault="00F0321F" w:rsidP="00F0321F">
      <w:pPr>
        <w:pStyle w:val="Default"/>
        <w:rPr>
          <w:color w:val="auto"/>
          <w:sz w:val="22"/>
          <w:szCs w:val="22"/>
        </w:rPr>
      </w:pPr>
      <w:r>
        <w:rPr>
          <w:b/>
          <w:bCs/>
          <w:color w:val="auto"/>
          <w:sz w:val="22"/>
          <w:szCs w:val="22"/>
        </w:rPr>
        <w:t xml:space="preserve">Facts of the case: </w:t>
      </w:r>
      <w:r>
        <w:rPr>
          <w:color w:val="auto"/>
          <w:sz w:val="22"/>
          <w:szCs w:val="22"/>
        </w:rPr>
        <w:t xml:space="preserve">In the instant case, the product had a shelf-life of 2 to 3 days. The appellant contended that since the product did not have shelf-life, it did not satisfy the test of marketability. </w:t>
      </w:r>
    </w:p>
    <w:p w:rsidR="00F0321F" w:rsidRDefault="00F0321F" w:rsidP="00F0321F">
      <w:pPr>
        <w:pStyle w:val="Default"/>
        <w:rPr>
          <w:color w:val="auto"/>
          <w:sz w:val="22"/>
          <w:szCs w:val="22"/>
        </w:rPr>
      </w:pPr>
      <w:r>
        <w:rPr>
          <w:b/>
          <w:bCs/>
          <w:color w:val="auto"/>
          <w:sz w:val="22"/>
          <w:szCs w:val="22"/>
        </w:rPr>
        <w:t xml:space="preserve">Decision of the case: </w:t>
      </w:r>
      <w:r w:rsidR="00F11C32">
        <w:rPr>
          <w:color w:val="auto"/>
          <w:sz w:val="22"/>
          <w:szCs w:val="22"/>
        </w:rPr>
        <w:t>Possible.</w:t>
      </w:r>
      <w:r>
        <w:rPr>
          <w:color w:val="auto"/>
          <w:sz w:val="22"/>
          <w:szCs w:val="22"/>
        </w:rPr>
        <w:t xml:space="preserve"> Shelf-life of a product would not be a relevant factor to test the marketability of a product unless it was shown that the product had absolutely no shelf-life or the shelf-life of the product was such that it was not capable of being brought or sold during that shelf-life. </w:t>
      </w:r>
    </w:p>
    <w:p w:rsidR="00F0321F" w:rsidRDefault="00F0321F" w:rsidP="00F0321F">
      <w:pPr>
        <w:pStyle w:val="Default"/>
        <w:rPr>
          <w:color w:val="auto"/>
          <w:sz w:val="22"/>
          <w:szCs w:val="22"/>
        </w:rPr>
      </w:pPr>
      <w:r>
        <w:rPr>
          <w:color w:val="auto"/>
          <w:sz w:val="22"/>
          <w:szCs w:val="22"/>
        </w:rPr>
        <w:t xml:space="preserve">Hence, product with the shelf life of 2 to 3 days was marketable and hence, excisable. </w:t>
      </w:r>
    </w:p>
    <w:p w:rsidR="00A13A4C" w:rsidRDefault="00A13A4C" w:rsidP="00F0321F">
      <w:pPr>
        <w:pStyle w:val="Default"/>
        <w:rPr>
          <w:color w:val="auto"/>
          <w:sz w:val="22"/>
          <w:szCs w:val="22"/>
        </w:rPr>
      </w:pPr>
    </w:p>
    <w:p w:rsidR="00F0321F" w:rsidRDefault="00F0321F" w:rsidP="00F0321F">
      <w:pPr>
        <w:pStyle w:val="Default"/>
        <w:rPr>
          <w:color w:val="auto"/>
          <w:sz w:val="22"/>
          <w:szCs w:val="22"/>
        </w:rPr>
      </w:pPr>
      <w:r>
        <w:rPr>
          <w:b/>
          <w:bCs/>
          <w:color w:val="auto"/>
          <w:sz w:val="22"/>
          <w:szCs w:val="22"/>
        </w:rPr>
        <w:t xml:space="preserve">3. Are the physician samples excisable goods in view of the fact that they are statutorily prohibited from being sold? </w:t>
      </w:r>
    </w:p>
    <w:p w:rsidR="00F0321F" w:rsidRDefault="00F0321F" w:rsidP="00F0321F">
      <w:pPr>
        <w:pStyle w:val="Default"/>
        <w:rPr>
          <w:color w:val="auto"/>
          <w:sz w:val="22"/>
          <w:szCs w:val="22"/>
        </w:rPr>
      </w:pPr>
      <w:r w:rsidRPr="00A13A4C">
        <w:rPr>
          <w:b/>
          <w:bCs/>
          <w:i/>
          <w:iCs/>
          <w:color w:val="auto"/>
          <w:sz w:val="22"/>
          <w:szCs w:val="22"/>
          <w:highlight w:val="yellow"/>
        </w:rPr>
        <w:t>Medley Pharmaceuticals Ltd. v. CCE &amp; C., Daman 2011 (263) E.L.T. 641 (S.C.)</w:t>
      </w:r>
      <w:r>
        <w:rPr>
          <w:b/>
          <w:bCs/>
          <w:i/>
          <w:iCs/>
          <w:color w:val="auto"/>
          <w:sz w:val="22"/>
          <w:szCs w:val="22"/>
        </w:rPr>
        <w:t xml:space="preserve"> </w:t>
      </w:r>
    </w:p>
    <w:p w:rsidR="00F0321F" w:rsidRDefault="00A13A4C" w:rsidP="00F0321F">
      <w:pPr>
        <w:pStyle w:val="Default"/>
        <w:rPr>
          <w:color w:val="auto"/>
          <w:sz w:val="22"/>
          <w:szCs w:val="22"/>
        </w:rPr>
      </w:pPr>
      <w:r>
        <w:rPr>
          <w:color w:val="auto"/>
          <w:sz w:val="22"/>
          <w:szCs w:val="22"/>
        </w:rPr>
        <w:t>Yes.</w:t>
      </w:r>
      <w:r w:rsidR="00F0321F">
        <w:rPr>
          <w:color w:val="auto"/>
          <w:sz w:val="22"/>
          <w:szCs w:val="22"/>
        </w:rPr>
        <w:t>Supreme Court observed that merely because a product was statutorily prohibited from being sold, would not mean that the product was not capab</w:t>
      </w:r>
      <w:r>
        <w:rPr>
          <w:color w:val="auto"/>
          <w:sz w:val="22"/>
          <w:szCs w:val="22"/>
        </w:rPr>
        <w:t>le of being sold.</w:t>
      </w:r>
      <w:r w:rsidR="00F0321F">
        <w:rPr>
          <w:color w:val="auto"/>
          <w:sz w:val="22"/>
          <w:szCs w:val="22"/>
        </w:rPr>
        <w:t xml:space="preserve"> Prohibition on sale of physician samples under the Drugs Act did not have any bearing or effect on levy of excise duty. </w:t>
      </w:r>
    </w:p>
    <w:p w:rsidR="00F0321F" w:rsidRDefault="00F0321F" w:rsidP="00F0321F">
      <w:pPr>
        <w:pStyle w:val="Default"/>
        <w:rPr>
          <w:color w:val="auto"/>
          <w:sz w:val="22"/>
          <w:szCs w:val="22"/>
        </w:rPr>
      </w:pPr>
      <w:r>
        <w:rPr>
          <w:color w:val="auto"/>
          <w:sz w:val="22"/>
          <w:szCs w:val="22"/>
        </w:rPr>
        <w:t xml:space="preserve">Therefore, the Court inferred that the physician samples were excisable goods and were liable to excise duty. </w:t>
      </w:r>
    </w:p>
    <w:p w:rsidR="00F0321F" w:rsidRDefault="00F0321F" w:rsidP="00F0321F">
      <w:pPr>
        <w:pStyle w:val="Default"/>
        <w:rPr>
          <w:color w:val="auto"/>
          <w:sz w:val="22"/>
          <w:szCs w:val="22"/>
        </w:rPr>
      </w:pPr>
    </w:p>
    <w:p w:rsidR="00F0321F" w:rsidRDefault="00F0321F" w:rsidP="00F0321F">
      <w:pPr>
        <w:pStyle w:val="Default"/>
        <w:rPr>
          <w:color w:val="auto"/>
          <w:sz w:val="22"/>
          <w:szCs w:val="22"/>
        </w:rPr>
      </w:pPr>
      <w:r>
        <w:rPr>
          <w:b/>
          <w:bCs/>
          <w:color w:val="auto"/>
          <w:sz w:val="22"/>
          <w:szCs w:val="22"/>
        </w:rPr>
        <w:t xml:space="preserve">4. Whether assembling of the testing equipments for testing the final product in the factory amounts to manufacture? </w:t>
      </w:r>
    </w:p>
    <w:p w:rsidR="00F0321F" w:rsidRDefault="00F0321F" w:rsidP="00A13A4C">
      <w:pPr>
        <w:pStyle w:val="Default"/>
        <w:rPr>
          <w:color w:val="auto"/>
          <w:sz w:val="22"/>
          <w:szCs w:val="22"/>
        </w:rPr>
      </w:pPr>
      <w:r w:rsidRPr="00A13A4C">
        <w:rPr>
          <w:b/>
          <w:bCs/>
          <w:i/>
          <w:iCs/>
          <w:color w:val="auto"/>
          <w:sz w:val="22"/>
          <w:szCs w:val="22"/>
          <w:highlight w:val="yellow"/>
        </w:rPr>
        <w:t>Usha Rectifier Corpn. (I) Ltd. v. CCEx., New Delhi 2011 (263) E.L.T. 655 (S.C</w:t>
      </w:r>
      <w:r>
        <w:rPr>
          <w:b/>
          <w:bCs/>
          <w:i/>
          <w:iCs/>
          <w:color w:val="auto"/>
          <w:sz w:val="22"/>
          <w:szCs w:val="22"/>
        </w:rPr>
        <w:t xml:space="preserve">.) </w:t>
      </w:r>
    </w:p>
    <w:p w:rsidR="00034847" w:rsidRDefault="00F0321F" w:rsidP="00F0321F">
      <w:pPr>
        <w:pStyle w:val="Default"/>
        <w:rPr>
          <w:color w:val="auto"/>
          <w:sz w:val="22"/>
          <w:szCs w:val="22"/>
        </w:rPr>
      </w:pPr>
      <w:r>
        <w:rPr>
          <w:b/>
          <w:bCs/>
          <w:color w:val="auto"/>
          <w:sz w:val="22"/>
          <w:szCs w:val="22"/>
        </w:rPr>
        <w:t xml:space="preserve">Decision of the case: </w:t>
      </w:r>
      <w:r w:rsidR="00034847">
        <w:rPr>
          <w:b/>
          <w:bCs/>
          <w:color w:val="auto"/>
          <w:sz w:val="22"/>
          <w:szCs w:val="22"/>
        </w:rPr>
        <w:t>Yes.</w:t>
      </w:r>
      <w:r>
        <w:rPr>
          <w:color w:val="auto"/>
          <w:sz w:val="22"/>
          <w:szCs w:val="22"/>
        </w:rPr>
        <w:t xml:space="preserve">The Supreme Court observed that </w:t>
      </w:r>
    </w:p>
    <w:p w:rsidR="00034847" w:rsidRDefault="00034847" w:rsidP="00F0321F">
      <w:pPr>
        <w:pStyle w:val="Default"/>
        <w:rPr>
          <w:color w:val="auto"/>
          <w:sz w:val="22"/>
          <w:szCs w:val="22"/>
        </w:rPr>
      </w:pPr>
      <w:r>
        <w:rPr>
          <w:color w:val="auto"/>
          <w:sz w:val="22"/>
          <w:szCs w:val="22"/>
        </w:rPr>
        <w:t>1.O</w:t>
      </w:r>
      <w:r w:rsidR="00F0321F">
        <w:rPr>
          <w:color w:val="auto"/>
          <w:sz w:val="22"/>
          <w:szCs w:val="22"/>
        </w:rPr>
        <w:t xml:space="preserve">nce the appellant had </w:t>
      </w:r>
      <w:r w:rsidR="00F0321F" w:rsidRPr="00034847">
        <w:rPr>
          <w:color w:val="auto"/>
          <w:sz w:val="22"/>
          <w:szCs w:val="22"/>
          <w:u w:val="single"/>
        </w:rPr>
        <w:t>themselves made admission</w:t>
      </w:r>
      <w:r w:rsidR="00F0321F">
        <w:rPr>
          <w:color w:val="auto"/>
          <w:sz w:val="22"/>
          <w:szCs w:val="22"/>
        </w:rPr>
        <w:t xml:space="preserve"> regarding the development of testing equipments in their own </w:t>
      </w:r>
      <w:r>
        <w:rPr>
          <w:color w:val="auto"/>
          <w:sz w:val="22"/>
          <w:szCs w:val="22"/>
        </w:rPr>
        <w:t>B/S and Director Report,</w:t>
      </w:r>
      <w:r w:rsidR="00F0321F" w:rsidRPr="00034847">
        <w:rPr>
          <w:color w:val="auto"/>
          <w:sz w:val="22"/>
          <w:szCs w:val="22"/>
          <w:u w:val="single"/>
        </w:rPr>
        <w:t>it could not make contrary submissions later on</w:t>
      </w:r>
      <w:r>
        <w:rPr>
          <w:color w:val="auto"/>
          <w:sz w:val="22"/>
          <w:szCs w:val="22"/>
        </w:rPr>
        <w:t>.</w:t>
      </w:r>
    </w:p>
    <w:p w:rsidR="00034847" w:rsidRDefault="00034847" w:rsidP="00F0321F">
      <w:pPr>
        <w:pStyle w:val="Default"/>
        <w:rPr>
          <w:color w:val="auto"/>
          <w:sz w:val="22"/>
          <w:szCs w:val="22"/>
        </w:rPr>
      </w:pPr>
      <w:r>
        <w:rPr>
          <w:color w:val="auto"/>
          <w:sz w:val="22"/>
          <w:szCs w:val="22"/>
        </w:rPr>
        <w:t>2. Assessee’s</w:t>
      </w:r>
      <w:r w:rsidR="00F0321F">
        <w:rPr>
          <w:color w:val="auto"/>
          <w:sz w:val="22"/>
          <w:szCs w:val="22"/>
        </w:rPr>
        <w:t xml:space="preserve"> stand that testing equipments were developed in the factory to avoid importing of such equipments with </w:t>
      </w:r>
      <w:r w:rsidR="00F0321F" w:rsidRPr="00034847">
        <w:rPr>
          <w:color w:val="auto"/>
          <w:sz w:val="22"/>
          <w:szCs w:val="22"/>
          <w:u w:val="single"/>
        </w:rPr>
        <w:t>a view to save foreign exchange, confirmed that</w:t>
      </w:r>
      <w:r w:rsidR="00F0321F">
        <w:rPr>
          <w:color w:val="auto"/>
          <w:sz w:val="22"/>
          <w:szCs w:val="22"/>
        </w:rPr>
        <w:t xml:space="preserve"> </w:t>
      </w:r>
      <w:r w:rsidR="00F0321F" w:rsidRPr="00034847">
        <w:rPr>
          <w:color w:val="auto"/>
          <w:sz w:val="22"/>
          <w:szCs w:val="22"/>
          <w:u w:val="single"/>
        </w:rPr>
        <w:t>such equipments were saleable and marketable</w:t>
      </w:r>
      <w:r>
        <w:rPr>
          <w:color w:val="auto"/>
          <w:sz w:val="22"/>
          <w:szCs w:val="22"/>
        </w:rPr>
        <w:t>.</w:t>
      </w:r>
    </w:p>
    <w:p w:rsidR="00F0321F" w:rsidRDefault="00F0321F" w:rsidP="00F0321F">
      <w:pPr>
        <w:pStyle w:val="Default"/>
        <w:rPr>
          <w:color w:val="auto"/>
          <w:sz w:val="22"/>
          <w:szCs w:val="22"/>
        </w:rPr>
      </w:pPr>
      <w:r>
        <w:rPr>
          <w:color w:val="auto"/>
          <w:sz w:val="22"/>
          <w:szCs w:val="22"/>
        </w:rPr>
        <w:t xml:space="preserve"> </w:t>
      </w:r>
    </w:p>
    <w:p w:rsidR="00F0321F" w:rsidRDefault="00F0321F" w:rsidP="00F0321F">
      <w:pPr>
        <w:pStyle w:val="Default"/>
        <w:rPr>
          <w:color w:val="auto"/>
          <w:sz w:val="22"/>
          <w:szCs w:val="22"/>
        </w:rPr>
      </w:pPr>
      <w:r>
        <w:rPr>
          <w:b/>
          <w:bCs/>
          <w:color w:val="auto"/>
          <w:sz w:val="22"/>
          <w:szCs w:val="22"/>
        </w:rPr>
        <w:t xml:space="preserve">5. Does the process of cutting and embossing aluminum foil for packing the cigarettes amount to manufacture? </w:t>
      </w:r>
    </w:p>
    <w:p w:rsidR="00F0321F" w:rsidRDefault="00F0321F" w:rsidP="00F0321F">
      <w:pPr>
        <w:pStyle w:val="Default"/>
        <w:rPr>
          <w:color w:val="auto"/>
          <w:sz w:val="22"/>
          <w:szCs w:val="22"/>
        </w:rPr>
      </w:pPr>
      <w:r w:rsidRPr="00034847">
        <w:rPr>
          <w:b/>
          <w:bCs/>
          <w:i/>
          <w:iCs/>
          <w:color w:val="auto"/>
          <w:sz w:val="22"/>
          <w:szCs w:val="22"/>
          <w:highlight w:val="yellow"/>
        </w:rPr>
        <w:t>CCE v. GTC Industries Ltd. 2011 (266) E.L.T. 160 (Bom.)</w:t>
      </w:r>
      <w:r>
        <w:rPr>
          <w:b/>
          <w:bCs/>
          <w:i/>
          <w:iCs/>
          <w:color w:val="auto"/>
          <w:sz w:val="22"/>
          <w:szCs w:val="22"/>
        </w:rPr>
        <w:t xml:space="preserve"> </w:t>
      </w:r>
    </w:p>
    <w:p w:rsidR="00F0321F" w:rsidRDefault="00F0321F" w:rsidP="00F0321F">
      <w:pPr>
        <w:pStyle w:val="Default"/>
        <w:rPr>
          <w:color w:val="auto"/>
          <w:sz w:val="22"/>
          <w:szCs w:val="22"/>
        </w:rPr>
      </w:pPr>
      <w:r>
        <w:rPr>
          <w:b/>
          <w:bCs/>
          <w:color w:val="auto"/>
          <w:sz w:val="22"/>
          <w:szCs w:val="22"/>
        </w:rPr>
        <w:t xml:space="preserve">Decision of the case: </w:t>
      </w:r>
      <w:r w:rsidR="00034847">
        <w:rPr>
          <w:b/>
          <w:bCs/>
          <w:color w:val="auto"/>
          <w:sz w:val="22"/>
          <w:szCs w:val="22"/>
        </w:rPr>
        <w:t>No.Since the process</w:t>
      </w:r>
      <w:r w:rsidR="00034847">
        <w:rPr>
          <w:color w:val="auto"/>
          <w:sz w:val="22"/>
          <w:szCs w:val="22"/>
        </w:rPr>
        <w:t xml:space="preserve"> </w:t>
      </w:r>
      <w:r>
        <w:rPr>
          <w:color w:val="auto"/>
          <w:sz w:val="22"/>
          <w:szCs w:val="22"/>
        </w:rPr>
        <w:t xml:space="preserve"> did not change the nature and substance of foil</w:t>
      </w:r>
      <w:r w:rsidR="00034847">
        <w:rPr>
          <w:color w:val="auto"/>
          <w:sz w:val="22"/>
          <w:szCs w:val="22"/>
        </w:rPr>
        <w:t xml:space="preserve"> ,i.e. no transformation</w:t>
      </w:r>
      <w:r>
        <w:rPr>
          <w:color w:val="auto"/>
          <w:sz w:val="22"/>
          <w:szCs w:val="22"/>
        </w:rPr>
        <w:t xml:space="preserve">. </w:t>
      </w:r>
      <w:r w:rsidR="00034847">
        <w:rPr>
          <w:color w:val="auto"/>
          <w:sz w:val="22"/>
          <w:szCs w:val="22"/>
        </w:rPr>
        <w:t>A</w:t>
      </w:r>
      <w:r>
        <w:rPr>
          <w:color w:val="auto"/>
          <w:sz w:val="22"/>
          <w:szCs w:val="22"/>
        </w:rPr>
        <w:t>s per section 2(f) of Central Excise Act, 1944</w:t>
      </w:r>
      <w:r w:rsidR="00034847">
        <w:rPr>
          <w:color w:val="auto"/>
          <w:sz w:val="22"/>
          <w:szCs w:val="22"/>
        </w:rPr>
        <w:t>,</w:t>
      </w:r>
      <w:r>
        <w:rPr>
          <w:color w:val="auto"/>
          <w:sz w:val="22"/>
          <w:szCs w:val="22"/>
        </w:rPr>
        <w:t xml:space="preserve"> </w:t>
      </w:r>
      <w:r w:rsidR="00034847">
        <w:rPr>
          <w:color w:val="auto"/>
          <w:sz w:val="22"/>
          <w:szCs w:val="22"/>
        </w:rPr>
        <w:t>only</w:t>
      </w:r>
      <w:r>
        <w:rPr>
          <w:color w:val="auto"/>
          <w:sz w:val="22"/>
          <w:szCs w:val="22"/>
        </w:rPr>
        <w:t xml:space="preserve"> the process which produces distinct and identifiable commodity with marketable value can be called manufacture. </w:t>
      </w:r>
    </w:p>
    <w:p w:rsidR="00F0321F" w:rsidRDefault="00F0321F" w:rsidP="00F0321F">
      <w:pPr>
        <w:pStyle w:val="Default"/>
        <w:rPr>
          <w:rFonts w:cstheme="minorBidi"/>
          <w:color w:val="auto"/>
          <w:sz w:val="22"/>
          <w:szCs w:val="22"/>
        </w:rPr>
      </w:pPr>
    </w:p>
    <w:p w:rsidR="00F0321F" w:rsidRDefault="00F0321F" w:rsidP="00F0321F">
      <w:pPr>
        <w:pStyle w:val="Default"/>
        <w:rPr>
          <w:rFonts w:cstheme="minorBidi"/>
          <w:color w:val="auto"/>
          <w:sz w:val="22"/>
          <w:szCs w:val="22"/>
        </w:rPr>
      </w:pPr>
      <w:r>
        <w:rPr>
          <w:rFonts w:cstheme="minorBidi"/>
          <w:b/>
          <w:bCs/>
          <w:color w:val="auto"/>
          <w:sz w:val="22"/>
          <w:szCs w:val="22"/>
        </w:rPr>
        <w:t xml:space="preserve">6. Does the fabrication, assembly and erection of waste water treatment plant amount to manufacture? </w:t>
      </w:r>
    </w:p>
    <w:p w:rsidR="00A26C56" w:rsidRDefault="00F0321F" w:rsidP="00A26C56">
      <w:pPr>
        <w:pStyle w:val="Default"/>
        <w:rPr>
          <w:b/>
          <w:bCs/>
          <w:i/>
          <w:iCs/>
          <w:color w:val="auto"/>
          <w:sz w:val="22"/>
          <w:szCs w:val="22"/>
        </w:rPr>
      </w:pPr>
      <w:r w:rsidRPr="00A26C56">
        <w:rPr>
          <w:b/>
          <w:bCs/>
          <w:i/>
          <w:iCs/>
          <w:color w:val="auto"/>
          <w:sz w:val="22"/>
          <w:szCs w:val="22"/>
          <w:highlight w:val="yellow"/>
        </w:rPr>
        <w:t>Larsen &amp; Toubro Limited v. UOI 2009 (243) E.L.T. 662 (Bom</w:t>
      </w:r>
      <w:r>
        <w:rPr>
          <w:b/>
          <w:bCs/>
          <w:i/>
          <w:iCs/>
          <w:color w:val="auto"/>
          <w:sz w:val="22"/>
          <w:szCs w:val="22"/>
        </w:rPr>
        <w:t xml:space="preserve">.) </w:t>
      </w:r>
    </w:p>
    <w:p w:rsidR="00A26C56" w:rsidRDefault="00F0321F" w:rsidP="00A26C56">
      <w:pPr>
        <w:pStyle w:val="Default"/>
        <w:rPr>
          <w:rFonts w:cstheme="minorBidi"/>
          <w:color w:val="auto"/>
          <w:sz w:val="22"/>
          <w:szCs w:val="22"/>
        </w:rPr>
      </w:pPr>
      <w:r>
        <w:rPr>
          <w:b/>
          <w:bCs/>
          <w:color w:val="auto"/>
          <w:sz w:val="22"/>
          <w:szCs w:val="22"/>
        </w:rPr>
        <w:t xml:space="preserve">Decision of the case: </w:t>
      </w:r>
      <w:r w:rsidR="00A26C56">
        <w:rPr>
          <w:b/>
          <w:bCs/>
          <w:color w:val="auto"/>
          <w:sz w:val="22"/>
          <w:szCs w:val="22"/>
        </w:rPr>
        <w:t>No.</w:t>
      </w:r>
      <w:r>
        <w:rPr>
          <w:color w:val="auto"/>
          <w:sz w:val="22"/>
          <w:szCs w:val="22"/>
        </w:rPr>
        <w:t xml:space="preserve">The High Court opined that </w:t>
      </w:r>
      <w:r>
        <w:rPr>
          <w:b/>
          <w:bCs/>
          <w:color w:val="auto"/>
          <w:sz w:val="22"/>
          <w:szCs w:val="22"/>
        </w:rPr>
        <w:t>mere bringing of the duty paid parts in an unassembled form at one place, i.e. at the site does not amount to manufacture unless an excisable movable product (say a plant) comes into existence by assembly of such parts</w:t>
      </w:r>
      <w:r>
        <w:rPr>
          <w:color w:val="auto"/>
          <w:sz w:val="22"/>
          <w:szCs w:val="22"/>
        </w:rPr>
        <w:t xml:space="preserve">. </w:t>
      </w:r>
      <w:r w:rsidR="00A26C56">
        <w:rPr>
          <w:color w:val="auto"/>
          <w:sz w:val="22"/>
          <w:szCs w:val="22"/>
        </w:rPr>
        <w:t>N</w:t>
      </w:r>
      <w:r>
        <w:rPr>
          <w:color w:val="auto"/>
          <w:sz w:val="22"/>
          <w:szCs w:val="22"/>
        </w:rPr>
        <w:t>o commercial movable property came into existence until the assembling was completed by embedding different parts in the civil works.</w:t>
      </w:r>
    </w:p>
    <w:p w:rsidR="00F0321F" w:rsidRDefault="00F0321F" w:rsidP="00F0321F">
      <w:pPr>
        <w:pStyle w:val="Default"/>
        <w:rPr>
          <w:color w:val="auto"/>
          <w:sz w:val="22"/>
          <w:szCs w:val="22"/>
        </w:rPr>
      </w:pPr>
      <w:r>
        <w:rPr>
          <w:color w:val="auto"/>
          <w:sz w:val="22"/>
          <w:szCs w:val="22"/>
        </w:rPr>
        <w:t xml:space="preserve"> </w:t>
      </w:r>
    </w:p>
    <w:p w:rsidR="00A26C56" w:rsidRDefault="00A26C56" w:rsidP="00F0321F">
      <w:pPr>
        <w:pStyle w:val="Default"/>
        <w:rPr>
          <w:color w:val="auto"/>
          <w:sz w:val="22"/>
          <w:szCs w:val="22"/>
        </w:rPr>
      </w:pPr>
    </w:p>
    <w:p w:rsidR="00F0321F" w:rsidRDefault="00F0321F" w:rsidP="00F0321F">
      <w:pPr>
        <w:pStyle w:val="Default"/>
        <w:rPr>
          <w:color w:val="auto"/>
          <w:sz w:val="22"/>
          <w:szCs w:val="22"/>
        </w:rPr>
      </w:pPr>
      <w:r>
        <w:rPr>
          <w:b/>
          <w:bCs/>
          <w:color w:val="auto"/>
          <w:sz w:val="22"/>
          <w:szCs w:val="22"/>
        </w:rPr>
        <w:t xml:space="preserve">7. Whether the theoretical possibility of product being sold is sufficient to establish the marketability of a product? </w:t>
      </w:r>
    </w:p>
    <w:p w:rsidR="00F0321F" w:rsidRDefault="00F0321F" w:rsidP="00F0321F">
      <w:pPr>
        <w:pStyle w:val="Default"/>
        <w:rPr>
          <w:color w:val="auto"/>
          <w:sz w:val="22"/>
          <w:szCs w:val="22"/>
        </w:rPr>
      </w:pPr>
      <w:r w:rsidRPr="00A26C56">
        <w:rPr>
          <w:b/>
          <w:bCs/>
          <w:i/>
          <w:iCs/>
          <w:color w:val="auto"/>
          <w:sz w:val="22"/>
          <w:szCs w:val="22"/>
          <w:highlight w:val="yellow"/>
        </w:rPr>
        <w:t>Bata India Ltd. v. CCE 2010 (SC)</w:t>
      </w:r>
      <w:r>
        <w:rPr>
          <w:b/>
          <w:bCs/>
          <w:i/>
          <w:iCs/>
          <w:color w:val="auto"/>
          <w:sz w:val="22"/>
          <w:szCs w:val="22"/>
        </w:rPr>
        <w:t xml:space="preserve"> </w:t>
      </w:r>
    </w:p>
    <w:p w:rsidR="00F0321F" w:rsidRDefault="00F0321F" w:rsidP="00F0321F">
      <w:pPr>
        <w:pStyle w:val="Default"/>
        <w:rPr>
          <w:rFonts w:cstheme="minorBidi"/>
          <w:color w:val="auto"/>
          <w:sz w:val="22"/>
          <w:szCs w:val="22"/>
        </w:rPr>
      </w:pPr>
      <w:r>
        <w:rPr>
          <w:b/>
          <w:bCs/>
          <w:color w:val="auto"/>
          <w:sz w:val="22"/>
          <w:szCs w:val="22"/>
        </w:rPr>
        <w:t xml:space="preserve">Decision of the case: </w:t>
      </w:r>
      <w:r w:rsidR="00A26C56">
        <w:rPr>
          <w:b/>
          <w:bCs/>
          <w:color w:val="auto"/>
          <w:sz w:val="22"/>
          <w:szCs w:val="22"/>
        </w:rPr>
        <w:t>No.</w:t>
      </w:r>
      <w:r>
        <w:rPr>
          <w:color w:val="auto"/>
          <w:sz w:val="22"/>
          <w:szCs w:val="22"/>
        </w:rPr>
        <w:t xml:space="preserve"> </w:t>
      </w:r>
      <w:r>
        <w:rPr>
          <w:b/>
          <w:bCs/>
          <w:color w:val="auto"/>
          <w:sz w:val="22"/>
          <w:szCs w:val="22"/>
        </w:rPr>
        <w:t>The mere theoretical possibility of the product being sold is not sufficient but there should be commercial capability of being sold</w:t>
      </w:r>
      <w:r w:rsidR="00A26C56">
        <w:rPr>
          <w:b/>
          <w:bCs/>
          <w:color w:val="auto"/>
          <w:sz w:val="22"/>
          <w:szCs w:val="22"/>
        </w:rPr>
        <w:t xml:space="preserve"> with</w:t>
      </w:r>
      <w:r w:rsidR="00A26C56" w:rsidRPr="00A26C56">
        <w:rPr>
          <w:color w:val="auto"/>
          <w:sz w:val="22"/>
          <w:szCs w:val="22"/>
        </w:rPr>
        <w:t xml:space="preserve"> </w:t>
      </w:r>
      <w:r w:rsidR="00A26C56">
        <w:rPr>
          <w:color w:val="auto"/>
          <w:sz w:val="22"/>
          <w:szCs w:val="22"/>
        </w:rPr>
        <w:t>proof that the product is commercially known</w:t>
      </w:r>
      <w:r w:rsidR="00A26C56">
        <w:rPr>
          <w:b/>
          <w:bCs/>
          <w:color w:val="auto"/>
          <w:sz w:val="22"/>
          <w:szCs w:val="22"/>
        </w:rPr>
        <w:t>.</w:t>
      </w:r>
      <w:r>
        <w:rPr>
          <w:rFonts w:cstheme="minorBidi"/>
          <w:b/>
          <w:bCs/>
          <w:color w:val="auto"/>
          <w:sz w:val="22"/>
          <w:szCs w:val="22"/>
        </w:rPr>
        <w:t xml:space="preserve"> </w:t>
      </w:r>
      <w:r w:rsidR="00A26C56">
        <w:rPr>
          <w:rFonts w:cstheme="minorBidi"/>
          <w:b/>
          <w:bCs/>
          <w:color w:val="auto"/>
          <w:sz w:val="22"/>
          <w:szCs w:val="22"/>
        </w:rPr>
        <w:t xml:space="preserve">Additionally the burden of proof resides with the revenue. </w:t>
      </w:r>
    </w:p>
    <w:p w:rsidR="004A5B83" w:rsidRDefault="004A5B83" w:rsidP="00F0321F">
      <w:pPr>
        <w:pStyle w:val="Default"/>
        <w:rPr>
          <w:b/>
          <w:bCs/>
          <w:color w:val="auto"/>
          <w:sz w:val="22"/>
          <w:szCs w:val="22"/>
        </w:rPr>
      </w:pPr>
    </w:p>
    <w:p w:rsidR="00F0321F" w:rsidRDefault="00F0321F" w:rsidP="00F0321F">
      <w:pPr>
        <w:pStyle w:val="Default"/>
        <w:rPr>
          <w:color w:val="auto"/>
          <w:sz w:val="22"/>
          <w:szCs w:val="22"/>
        </w:rPr>
      </w:pPr>
      <w:r>
        <w:rPr>
          <w:b/>
          <w:bCs/>
          <w:color w:val="auto"/>
          <w:sz w:val="22"/>
          <w:szCs w:val="22"/>
        </w:rPr>
        <w:t xml:space="preserve">8. Whether the machine which is not assimilated in permanent structure would be considered to be moveable so as to be dutiable under the Central Excise Act? </w:t>
      </w:r>
    </w:p>
    <w:p w:rsidR="00F0321F" w:rsidRDefault="00F0321F" w:rsidP="00F0321F">
      <w:pPr>
        <w:pStyle w:val="Default"/>
        <w:rPr>
          <w:color w:val="auto"/>
          <w:sz w:val="22"/>
          <w:szCs w:val="22"/>
        </w:rPr>
      </w:pPr>
      <w:r w:rsidRPr="004A5B83">
        <w:rPr>
          <w:b/>
          <w:bCs/>
          <w:i/>
          <w:iCs/>
          <w:color w:val="auto"/>
          <w:sz w:val="22"/>
          <w:szCs w:val="22"/>
          <w:highlight w:val="yellow"/>
        </w:rPr>
        <w:t>CCE v. Solid &amp; Correct Engineering Works and Ors 2010 (252) ELT 481 (SC)</w:t>
      </w:r>
      <w:r>
        <w:rPr>
          <w:b/>
          <w:bCs/>
          <w:i/>
          <w:iCs/>
          <w:color w:val="auto"/>
          <w:sz w:val="22"/>
          <w:szCs w:val="22"/>
        </w:rPr>
        <w:t xml:space="preserve"> </w:t>
      </w:r>
    </w:p>
    <w:p w:rsidR="00F0321F" w:rsidRDefault="00F0321F" w:rsidP="00F0321F">
      <w:pPr>
        <w:pStyle w:val="Default"/>
        <w:rPr>
          <w:color w:val="auto"/>
          <w:sz w:val="22"/>
          <w:szCs w:val="22"/>
        </w:rPr>
      </w:pPr>
      <w:r>
        <w:rPr>
          <w:b/>
          <w:bCs/>
          <w:color w:val="auto"/>
          <w:sz w:val="22"/>
          <w:szCs w:val="22"/>
        </w:rPr>
        <w:lastRenderedPageBreak/>
        <w:t>Decision of the case:</w:t>
      </w:r>
      <w:r w:rsidR="004A5B83">
        <w:rPr>
          <w:b/>
          <w:bCs/>
          <w:color w:val="auto"/>
          <w:sz w:val="22"/>
          <w:szCs w:val="22"/>
        </w:rPr>
        <w:t>Yes.</w:t>
      </w:r>
      <w:r>
        <w:rPr>
          <w:color w:val="auto"/>
          <w:sz w:val="22"/>
          <w:szCs w:val="22"/>
        </w:rPr>
        <w:t xml:space="preserve"> </w:t>
      </w:r>
    </w:p>
    <w:p w:rsidR="00F0321F" w:rsidRDefault="00F0321F" w:rsidP="00F0321F">
      <w:pPr>
        <w:pStyle w:val="Default"/>
        <w:rPr>
          <w:color w:val="auto"/>
          <w:sz w:val="22"/>
          <w:szCs w:val="22"/>
        </w:rPr>
      </w:pPr>
      <w:r>
        <w:rPr>
          <w:color w:val="auto"/>
          <w:sz w:val="22"/>
          <w:szCs w:val="22"/>
        </w:rPr>
        <w:t xml:space="preserve">The Court observed that as per the assessee, the machine was fixed by nuts and bolts to a foundation not because the intention was to permanently attach it to the earth, but because a foundation was necessary to provide a wobble free operation to the machine. </w:t>
      </w:r>
    </w:p>
    <w:p w:rsidR="00F0321F" w:rsidRDefault="00F0321F" w:rsidP="00F0321F">
      <w:pPr>
        <w:pStyle w:val="Default"/>
        <w:rPr>
          <w:color w:val="auto"/>
          <w:sz w:val="22"/>
          <w:szCs w:val="22"/>
        </w:rPr>
      </w:pPr>
    </w:p>
    <w:p w:rsidR="00F0321F" w:rsidRDefault="00F0321F" w:rsidP="00F0321F">
      <w:pPr>
        <w:pStyle w:val="Default"/>
        <w:rPr>
          <w:color w:val="auto"/>
          <w:sz w:val="22"/>
          <w:szCs w:val="22"/>
        </w:rPr>
      </w:pPr>
      <w:r>
        <w:rPr>
          <w:b/>
          <w:bCs/>
          <w:color w:val="auto"/>
          <w:sz w:val="22"/>
          <w:szCs w:val="22"/>
        </w:rPr>
        <w:t xml:space="preserve">9. Does the activity of packing of imported compact discs in a jewel box along with inlay card amount to manufacture? </w:t>
      </w:r>
    </w:p>
    <w:p w:rsidR="00F0321F" w:rsidRDefault="00F0321F" w:rsidP="00F0321F">
      <w:pPr>
        <w:pStyle w:val="Default"/>
        <w:rPr>
          <w:color w:val="auto"/>
          <w:sz w:val="22"/>
          <w:szCs w:val="22"/>
        </w:rPr>
      </w:pPr>
      <w:r w:rsidRPr="004A5B83">
        <w:rPr>
          <w:b/>
          <w:bCs/>
          <w:color w:val="auto"/>
          <w:sz w:val="22"/>
          <w:szCs w:val="22"/>
          <w:highlight w:val="yellow"/>
        </w:rPr>
        <w:t>CCE v. Sony Music Entertainment (I)</w:t>
      </w:r>
      <w:r w:rsidR="004A5B83">
        <w:rPr>
          <w:b/>
          <w:bCs/>
          <w:color w:val="auto"/>
          <w:sz w:val="22"/>
          <w:szCs w:val="22"/>
          <w:highlight w:val="yellow"/>
        </w:rPr>
        <w:t xml:space="preserve"> Pvt. Ltd. 2010</w:t>
      </w:r>
      <w:r w:rsidRPr="004A5B83">
        <w:rPr>
          <w:b/>
          <w:bCs/>
          <w:color w:val="auto"/>
          <w:sz w:val="22"/>
          <w:szCs w:val="22"/>
          <w:highlight w:val="yellow"/>
        </w:rPr>
        <w:t xml:space="preserve"> (Bom.)</w:t>
      </w:r>
      <w:r>
        <w:rPr>
          <w:b/>
          <w:bCs/>
          <w:color w:val="auto"/>
          <w:sz w:val="22"/>
          <w:szCs w:val="22"/>
        </w:rPr>
        <w:t xml:space="preserve"> </w:t>
      </w:r>
    </w:p>
    <w:p w:rsidR="00F0321F" w:rsidRDefault="00F0321F" w:rsidP="00F0321F">
      <w:pPr>
        <w:pStyle w:val="Default"/>
        <w:rPr>
          <w:color w:val="auto"/>
          <w:sz w:val="22"/>
          <w:szCs w:val="22"/>
        </w:rPr>
      </w:pPr>
      <w:r>
        <w:rPr>
          <w:b/>
          <w:bCs/>
          <w:color w:val="auto"/>
          <w:sz w:val="22"/>
          <w:szCs w:val="22"/>
        </w:rPr>
        <w:t xml:space="preserve">Decision of the case: </w:t>
      </w:r>
      <w:r w:rsidR="004A5B83">
        <w:rPr>
          <w:b/>
          <w:bCs/>
          <w:color w:val="auto"/>
          <w:sz w:val="22"/>
          <w:szCs w:val="22"/>
        </w:rPr>
        <w:t>No.S</w:t>
      </w:r>
      <w:r>
        <w:rPr>
          <w:b/>
          <w:bCs/>
          <w:color w:val="auto"/>
          <w:sz w:val="22"/>
          <w:szCs w:val="22"/>
        </w:rPr>
        <w:t>ince the compact disc had been complete and finished when imported by the assessee</w:t>
      </w:r>
      <w:r>
        <w:rPr>
          <w:color w:val="auto"/>
          <w:sz w:val="22"/>
          <w:szCs w:val="22"/>
        </w:rPr>
        <w:t xml:space="preserve">. They had been imported in finished and completed form. </w:t>
      </w:r>
    </w:p>
    <w:p w:rsidR="00F0321F" w:rsidRDefault="00F0321F" w:rsidP="00F0321F">
      <w:pPr>
        <w:pStyle w:val="Default"/>
        <w:rPr>
          <w:rFonts w:cstheme="minorBidi"/>
          <w:color w:val="auto"/>
          <w:sz w:val="22"/>
          <w:szCs w:val="22"/>
        </w:rPr>
      </w:pPr>
    </w:p>
    <w:p w:rsidR="00F0321F" w:rsidRDefault="00F0321F" w:rsidP="00F0321F">
      <w:pPr>
        <w:pStyle w:val="Default"/>
        <w:rPr>
          <w:rFonts w:cstheme="minorBidi"/>
          <w:color w:val="auto"/>
          <w:sz w:val="22"/>
          <w:szCs w:val="22"/>
        </w:rPr>
      </w:pPr>
      <w:r>
        <w:rPr>
          <w:rFonts w:cstheme="minorBidi"/>
          <w:b/>
          <w:bCs/>
          <w:color w:val="auto"/>
          <w:sz w:val="22"/>
          <w:szCs w:val="22"/>
        </w:rPr>
        <w:t xml:space="preserve">10. Does the process of preparation of tarpaulin made-ups after cutting and stitching the tarpaulin fabric and fixing the eye-lets amount to manufacture? </w:t>
      </w:r>
    </w:p>
    <w:p w:rsidR="00F0321F" w:rsidRDefault="00F0321F" w:rsidP="00F0321F">
      <w:pPr>
        <w:pStyle w:val="Default"/>
        <w:rPr>
          <w:color w:val="auto"/>
          <w:sz w:val="22"/>
          <w:szCs w:val="22"/>
        </w:rPr>
      </w:pPr>
      <w:r w:rsidRPr="004A5B83">
        <w:rPr>
          <w:b/>
          <w:bCs/>
          <w:i/>
          <w:iCs/>
          <w:color w:val="auto"/>
          <w:sz w:val="22"/>
          <w:szCs w:val="22"/>
          <w:highlight w:val="yellow"/>
        </w:rPr>
        <w:t>CCE v. Tarpaulin Int</w:t>
      </w:r>
      <w:r w:rsidR="004A5B83">
        <w:rPr>
          <w:b/>
          <w:bCs/>
          <w:i/>
          <w:iCs/>
          <w:color w:val="auto"/>
          <w:sz w:val="22"/>
          <w:szCs w:val="22"/>
          <w:highlight w:val="yellow"/>
        </w:rPr>
        <w:t>ernational 2010</w:t>
      </w:r>
      <w:r w:rsidRPr="004A5B83">
        <w:rPr>
          <w:b/>
          <w:bCs/>
          <w:i/>
          <w:iCs/>
          <w:color w:val="auto"/>
          <w:sz w:val="22"/>
          <w:szCs w:val="22"/>
          <w:highlight w:val="yellow"/>
        </w:rPr>
        <w:t xml:space="preserve"> (S.C.)</w:t>
      </w:r>
      <w:r>
        <w:rPr>
          <w:b/>
          <w:bCs/>
          <w:i/>
          <w:iCs/>
          <w:color w:val="auto"/>
          <w:sz w:val="22"/>
          <w:szCs w:val="22"/>
        </w:rPr>
        <w:t xml:space="preserve"> </w:t>
      </w:r>
    </w:p>
    <w:p w:rsidR="00F0321F" w:rsidRDefault="00F0321F" w:rsidP="00F0321F">
      <w:pPr>
        <w:pStyle w:val="Default"/>
        <w:rPr>
          <w:color w:val="auto"/>
          <w:sz w:val="22"/>
          <w:szCs w:val="22"/>
        </w:rPr>
      </w:pPr>
    </w:p>
    <w:p w:rsidR="00F0321F" w:rsidRDefault="00F0321F" w:rsidP="004A5B83">
      <w:pPr>
        <w:pStyle w:val="Default"/>
        <w:rPr>
          <w:rFonts w:cstheme="minorBidi"/>
          <w:color w:val="auto"/>
          <w:sz w:val="22"/>
          <w:szCs w:val="22"/>
        </w:rPr>
      </w:pPr>
      <w:r>
        <w:rPr>
          <w:b/>
          <w:bCs/>
          <w:color w:val="auto"/>
          <w:sz w:val="22"/>
          <w:szCs w:val="22"/>
        </w:rPr>
        <w:t xml:space="preserve">Decision of the case: </w:t>
      </w:r>
      <w:r w:rsidR="004A5B83">
        <w:rPr>
          <w:b/>
          <w:bCs/>
          <w:color w:val="auto"/>
          <w:sz w:val="22"/>
          <w:szCs w:val="22"/>
        </w:rPr>
        <w:t>No.</w:t>
      </w:r>
      <w:r>
        <w:rPr>
          <w:color w:val="auto"/>
          <w:sz w:val="22"/>
          <w:szCs w:val="22"/>
        </w:rPr>
        <w:t xml:space="preserve">The Apex Court opined that </w:t>
      </w:r>
      <w:r>
        <w:rPr>
          <w:b/>
          <w:bCs/>
          <w:color w:val="auto"/>
          <w:sz w:val="22"/>
          <w:szCs w:val="22"/>
        </w:rPr>
        <w:t>stitching of tarpaulin sheets and making eyelets did not change basic characteristic of the raw material and end product</w:t>
      </w:r>
      <w:r>
        <w:rPr>
          <w:color w:val="auto"/>
          <w:sz w:val="22"/>
          <w:szCs w:val="22"/>
        </w:rPr>
        <w:t xml:space="preserve">. The process did not bring into existence a new and distinct product with total transformation in the original commodity. </w:t>
      </w:r>
    </w:p>
    <w:p w:rsidR="00F0321F" w:rsidRDefault="00F0321F" w:rsidP="00F0321F">
      <w:pPr>
        <w:pStyle w:val="Default"/>
        <w:pageBreakBefore/>
        <w:rPr>
          <w:rFonts w:cstheme="minorBidi"/>
          <w:color w:val="auto"/>
          <w:sz w:val="96"/>
          <w:szCs w:val="96"/>
        </w:rPr>
      </w:pPr>
      <w:r>
        <w:rPr>
          <w:rFonts w:cstheme="minorBidi"/>
          <w:b/>
          <w:bCs/>
          <w:color w:val="auto"/>
          <w:sz w:val="96"/>
          <w:szCs w:val="96"/>
        </w:rPr>
        <w:lastRenderedPageBreak/>
        <w:t xml:space="preserve">2 </w:t>
      </w:r>
    </w:p>
    <w:p w:rsidR="00F0321F" w:rsidRDefault="00F0321F" w:rsidP="00F0321F">
      <w:pPr>
        <w:pStyle w:val="Default"/>
        <w:rPr>
          <w:rFonts w:cstheme="minorBidi"/>
          <w:color w:val="auto"/>
          <w:sz w:val="38"/>
          <w:szCs w:val="38"/>
        </w:rPr>
      </w:pPr>
      <w:r>
        <w:rPr>
          <w:rFonts w:cstheme="minorBidi"/>
          <w:b/>
          <w:bCs/>
          <w:color w:val="auto"/>
          <w:sz w:val="48"/>
          <w:szCs w:val="48"/>
        </w:rPr>
        <w:t>C</w:t>
      </w:r>
      <w:r>
        <w:rPr>
          <w:rFonts w:cstheme="minorBidi"/>
          <w:b/>
          <w:bCs/>
          <w:color w:val="auto"/>
          <w:sz w:val="38"/>
          <w:szCs w:val="38"/>
        </w:rPr>
        <w:t xml:space="preserve">LASSIFICATION </w:t>
      </w:r>
      <w:r>
        <w:rPr>
          <w:rFonts w:cstheme="minorBidi"/>
          <w:b/>
          <w:bCs/>
          <w:color w:val="auto"/>
          <w:sz w:val="48"/>
          <w:szCs w:val="48"/>
        </w:rPr>
        <w:t>O</w:t>
      </w:r>
      <w:r>
        <w:rPr>
          <w:rFonts w:cstheme="minorBidi"/>
          <w:b/>
          <w:bCs/>
          <w:color w:val="auto"/>
          <w:sz w:val="38"/>
          <w:szCs w:val="38"/>
        </w:rPr>
        <w:t xml:space="preserve">F </w:t>
      </w:r>
      <w:r>
        <w:rPr>
          <w:rFonts w:cstheme="minorBidi"/>
          <w:b/>
          <w:bCs/>
          <w:color w:val="auto"/>
          <w:sz w:val="48"/>
          <w:szCs w:val="48"/>
        </w:rPr>
        <w:t>E</w:t>
      </w:r>
      <w:r>
        <w:rPr>
          <w:rFonts w:cstheme="minorBidi"/>
          <w:b/>
          <w:bCs/>
          <w:color w:val="auto"/>
          <w:sz w:val="38"/>
          <w:szCs w:val="38"/>
        </w:rPr>
        <w:t xml:space="preserve">XCISABLE </w:t>
      </w:r>
      <w:r>
        <w:rPr>
          <w:rFonts w:cstheme="minorBidi"/>
          <w:b/>
          <w:bCs/>
          <w:color w:val="auto"/>
          <w:sz w:val="48"/>
          <w:szCs w:val="48"/>
        </w:rPr>
        <w:t>G</w:t>
      </w:r>
      <w:r>
        <w:rPr>
          <w:rFonts w:cstheme="minorBidi"/>
          <w:b/>
          <w:bCs/>
          <w:color w:val="auto"/>
          <w:sz w:val="38"/>
          <w:szCs w:val="38"/>
        </w:rPr>
        <w:t xml:space="preserve">OODS </w:t>
      </w:r>
    </w:p>
    <w:p w:rsidR="00F0321F" w:rsidRDefault="00F0321F" w:rsidP="00F0321F">
      <w:pPr>
        <w:pStyle w:val="Default"/>
        <w:rPr>
          <w:rFonts w:cstheme="minorBidi"/>
          <w:color w:val="auto"/>
          <w:sz w:val="22"/>
          <w:szCs w:val="22"/>
        </w:rPr>
      </w:pPr>
      <w:r>
        <w:rPr>
          <w:rFonts w:cstheme="minorBidi"/>
          <w:b/>
          <w:bCs/>
          <w:color w:val="auto"/>
          <w:sz w:val="22"/>
          <w:szCs w:val="22"/>
        </w:rPr>
        <w:t xml:space="preserve">1. Is the product “Scrabble” classifiable under sub-heading 9503.00 or sub-heading 9504.90 of the First Schedule to the Central Excise and Tariff Act, 1985? </w:t>
      </w:r>
    </w:p>
    <w:p w:rsidR="00F0321F" w:rsidRDefault="00F0321F" w:rsidP="00F0321F">
      <w:pPr>
        <w:pStyle w:val="Default"/>
        <w:rPr>
          <w:color w:val="auto"/>
          <w:sz w:val="22"/>
          <w:szCs w:val="22"/>
        </w:rPr>
      </w:pPr>
      <w:r w:rsidRPr="004A5B83">
        <w:rPr>
          <w:b/>
          <w:bCs/>
          <w:i/>
          <w:iCs/>
          <w:color w:val="auto"/>
          <w:sz w:val="22"/>
          <w:szCs w:val="22"/>
          <w:highlight w:val="yellow"/>
        </w:rPr>
        <w:t>Pleasantime Products v. CCE 2009 (243) E.L.T. 641 (S.C.)</w:t>
      </w:r>
      <w:r>
        <w:rPr>
          <w:b/>
          <w:bCs/>
          <w:i/>
          <w:iCs/>
          <w:color w:val="auto"/>
          <w:sz w:val="22"/>
          <w:szCs w:val="22"/>
        </w:rPr>
        <w:t xml:space="preserve"> </w:t>
      </w:r>
    </w:p>
    <w:p w:rsidR="00F0321F" w:rsidRDefault="00F0321F" w:rsidP="00F0321F">
      <w:pPr>
        <w:pStyle w:val="Default"/>
        <w:rPr>
          <w:color w:val="auto"/>
          <w:sz w:val="22"/>
          <w:szCs w:val="22"/>
        </w:rPr>
      </w:pPr>
      <w:r>
        <w:rPr>
          <w:b/>
          <w:bCs/>
          <w:color w:val="auto"/>
          <w:sz w:val="22"/>
          <w:szCs w:val="22"/>
        </w:rPr>
        <w:t xml:space="preserve">Decision of the case: </w:t>
      </w:r>
      <w:r w:rsidR="004A5B83">
        <w:rPr>
          <w:b/>
          <w:bCs/>
          <w:color w:val="auto"/>
          <w:sz w:val="22"/>
          <w:szCs w:val="22"/>
        </w:rPr>
        <w:t>Under 0504.90.</w:t>
      </w:r>
      <w:r>
        <w:rPr>
          <w:color w:val="auto"/>
          <w:sz w:val="22"/>
          <w:szCs w:val="22"/>
        </w:rPr>
        <w:t xml:space="preserve">The Court opined that “Scrabble” was not a puzzle/crossword. The difference between a “game” and a “puzzle” is brought out by three distinct features, viz., outcome, clue-chance and skill. In a puzzle, the outcome is fixed or pre-determined which is not there in “Scrabble”. In a “Scrabble” there are no clues whereas in crossword puzzle, as stated above, words are written according to clues. Hence, the essential characteristic of crossword to lay down clues and having a solution is absent from “Scrabble”. Thus, </w:t>
      </w:r>
      <w:r>
        <w:rPr>
          <w:b/>
          <w:bCs/>
          <w:color w:val="auto"/>
          <w:sz w:val="22"/>
          <w:szCs w:val="22"/>
        </w:rPr>
        <w:t>“Scrabble” would not fall in the category or class mentioned in sub-heading 9503.00, namely, “puzzles of all kinds”</w:t>
      </w:r>
      <w:r>
        <w:rPr>
          <w:color w:val="auto"/>
          <w:sz w:val="22"/>
          <w:szCs w:val="22"/>
        </w:rPr>
        <w:t xml:space="preserve">. </w:t>
      </w:r>
    </w:p>
    <w:p w:rsidR="00F0321F" w:rsidRDefault="00F0321F" w:rsidP="00F0321F">
      <w:pPr>
        <w:pStyle w:val="Default"/>
        <w:rPr>
          <w:color w:val="auto"/>
          <w:sz w:val="22"/>
          <w:szCs w:val="22"/>
        </w:rPr>
      </w:pPr>
      <w:r>
        <w:rPr>
          <w:color w:val="auto"/>
          <w:sz w:val="22"/>
          <w:szCs w:val="22"/>
        </w:rPr>
        <w:t xml:space="preserve">As per the dictionary meaning, “Scrabble” is a board game in which players use lettered tiles to create words in a crossword fashion. Applying the dictionary meaning, the Apex Court held that </w:t>
      </w:r>
      <w:r>
        <w:rPr>
          <w:b/>
          <w:bCs/>
          <w:color w:val="auto"/>
          <w:sz w:val="22"/>
          <w:szCs w:val="22"/>
        </w:rPr>
        <w:t>“Scrabble” was a board game. It was not a puzzle. In the circumstances, it would fall under heading 95.04 and not under sub-heading 9503.00 of the Central Excise Tariff</w:t>
      </w:r>
      <w:r>
        <w:rPr>
          <w:color w:val="auto"/>
          <w:sz w:val="22"/>
          <w:szCs w:val="22"/>
        </w:rPr>
        <w:t xml:space="preserve">. </w:t>
      </w:r>
    </w:p>
    <w:p w:rsidR="00F0321F" w:rsidRDefault="00F0321F" w:rsidP="00F0321F">
      <w:pPr>
        <w:pStyle w:val="Default"/>
        <w:rPr>
          <w:color w:val="auto"/>
          <w:sz w:val="22"/>
          <w:szCs w:val="22"/>
        </w:rPr>
      </w:pPr>
      <w:r>
        <w:rPr>
          <w:b/>
          <w:bCs/>
          <w:color w:val="auto"/>
          <w:sz w:val="22"/>
          <w:szCs w:val="22"/>
        </w:rPr>
        <w:t xml:space="preserve">Note </w:t>
      </w:r>
      <w:r>
        <w:rPr>
          <w:color w:val="auto"/>
          <w:sz w:val="22"/>
          <w:szCs w:val="22"/>
        </w:rPr>
        <w:t xml:space="preserve">- </w:t>
      </w:r>
      <w:r>
        <w:rPr>
          <w:i/>
          <w:iCs/>
          <w:color w:val="auto"/>
          <w:sz w:val="22"/>
          <w:szCs w:val="22"/>
        </w:rPr>
        <w:t xml:space="preserve">The headings cited in the case law mentioned above may not co-relate with the headings of the present Excise Tariff as it relates to an earlier point of time. </w:t>
      </w:r>
    </w:p>
    <w:p w:rsidR="00F0321F" w:rsidRDefault="00F0321F" w:rsidP="00F0321F">
      <w:pPr>
        <w:pStyle w:val="Default"/>
        <w:rPr>
          <w:rFonts w:cstheme="minorBidi"/>
          <w:color w:val="auto"/>
          <w:sz w:val="22"/>
          <w:szCs w:val="22"/>
        </w:rPr>
      </w:pPr>
    </w:p>
    <w:p w:rsidR="00F0321F" w:rsidRDefault="00F0321F" w:rsidP="00F0321F">
      <w:pPr>
        <w:pStyle w:val="Default"/>
        <w:pageBreakBefore/>
        <w:rPr>
          <w:rFonts w:cstheme="minorBidi"/>
          <w:color w:val="auto"/>
          <w:sz w:val="96"/>
          <w:szCs w:val="96"/>
        </w:rPr>
      </w:pPr>
      <w:r>
        <w:rPr>
          <w:rFonts w:cstheme="minorBidi"/>
          <w:b/>
          <w:bCs/>
          <w:color w:val="auto"/>
          <w:sz w:val="96"/>
          <w:szCs w:val="96"/>
        </w:rPr>
        <w:lastRenderedPageBreak/>
        <w:t xml:space="preserve">3 </w:t>
      </w:r>
    </w:p>
    <w:p w:rsidR="00F0321F" w:rsidRDefault="00F0321F" w:rsidP="00F0321F">
      <w:pPr>
        <w:pStyle w:val="Default"/>
        <w:rPr>
          <w:rFonts w:cstheme="minorBidi"/>
          <w:color w:val="auto"/>
          <w:sz w:val="38"/>
          <w:szCs w:val="38"/>
        </w:rPr>
      </w:pPr>
      <w:r>
        <w:rPr>
          <w:rFonts w:cstheme="minorBidi"/>
          <w:b/>
          <w:bCs/>
          <w:color w:val="auto"/>
          <w:sz w:val="48"/>
          <w:szCs w:val="48"/>
        </w:rPr>
        <w:t>V</w:t>
      </w:r>
      <w:r>
        <w:rPr>
          <w:rFonts w:cstheme="minorBidi"/>
          <w:b/>
          <w:bCs/>
          <w:color w:val="auto"/>
          <w:sz w:val="38"/>
          <w:szCs w:val="38"/>
        </w:rPr>
        <w:t xml:space="preserve">ALUATION </w:t>
      </w:r>
      <w:r>
        <w:rPr>
          <w:rFonts w:cstheme="minorBidi"/>
          <w:b/>
          <w:bCs/>
          <w:color w:val="auto"/>
          <w:sz w:val="48"/>
          <w:szCs w:val="48"/>
        </w:rPr>
        <w:t>O</w:t>
      </w:r>
      <w:r>
        <w:rPr>
          <w:rFonts w:cstheme="minorBidi"/>
          <w:b/>
          <w:bCs/>
          <w:color w:val="auto"/>
          <w:sz w:val="38"/>
          <w:szCs w:val="38"/>
        </w:rPr>
        <w:t xml:space="preserve">F </w:t>
      </w:r>
      <w:r>
        <w:rPr>
          <w:rFonts w:cstheme="minorBidi"/>
          <w:b/>
          <w:bCs/>
          <w:color w:val="auto"/>
          <w:sz w:val="48"/>
          <w:szCs w:val="48"/>
        </w:rPr>
        <w:t>E</w:t>
      </w:r>
      <w:r>
        <w:rPr>
          <w:rFonts w:cstheme="minorBidi"/>
          <w:b/>
          <w:bCs/>
          <w:color w:val="auto"/>
          <w:sz w:val="38"/>
          <w:szCs w:val="38"/>
        </w:rPr>
        <w:t xml:space="preserve">XCISABLE </w:t>
      </w:r>
      <w:r>
        <w:rPr>
          <w:rFonts w:cstheme="minorBidi"/>
          <w:b/>
          <w:bCs/>
          <w:color w:val="auto"/>
          <w:sz w:val="48"/>
          <w:szCs w:val="48"/>
        </w:rPr>
        <w:t>G</w:t>
      </w:r>
      <w:r>
        <w:rPr>
          <w:rFonts w:cstheme="minorBidi"/>
          <w:b/>
          <w:bCs/>
          <w:color w:val="auto"/>
          <w:sz w:val="38"/>
          <w:szCs w:val="38"/>
        </w:rPr>
        <w:t xml:space="preserve">OODS </w:t>
      </w:r>
    </w:p>
    <w:p w:rsidR="00F0321F" w:rsidRDefault="00F0321F" w:rsidP="00F0321F">
      <w:pPr>
        <w:pStyle w:val="Default"/>
        <w:rPr>
          <w:rFonts w:cstheme="minorBidi"/>
          <w:color w:val="auto"/>
          <w:sz w:val="22"/>
          <w:szCs w:val="22"/>
        </w:rPr>
      </w:pPr>
      <w:r>
        <w:rPr>
          <w:rFonts w:cstheme="minorBidi"/>
          <w:b/>
          <w:bCs/>
          <w:color w:val="auto"/>
          <w:sz w:val="22"/>
          <w:szCs w:val="22"/>
        </w:rPr>
        <w:t xml:space="preserve">Section 4(3)(d) of the Central Excise Act, 1944 </w:t>
      </w:r>
    </w:p>
    <w:p w:rsidR="00F0321F" w:rsidRDefault="00F0321F" w:rsidP="00F0321F">
      <w:pPr>
        <w:pStyle w:val="Default"/>
        <w:rPr>
          <w:rFonts w:cstheme="minorBidi"/>
          <w:color w:val="auto"/>
          <w:sz w:val="22"/>
          <w:szCs w:val="22"/>
        </w:rPr>
      </w:pPr>
      <w:r>
        <w:rPr>
          <w:rFonts w:cstheme="minorBidi"/>
          <w:b/>
          <w:bCs/>
          <w:color w:val="auto"/>
          <w:sz w:val="22"/>
          <w:szCs w:val="22"/>
        </w:rPr>
        <w:t xml:space="preserve">1. Whether the charges towards pre-delivery inspection and after-sale-service recovered by dealers from buyers of the cars would be included in the assessable value of cars? </w:t>
      </w:r>
    </w:p>
    <w:p w:rsidR="00F0321F" w:rsidRDefault="00F0321F" w:rsidP="00F0321F">
      <w:pPr>
        <w:pStyle w:val="Default"/>
        <w:rPr>
          <w:color w:val="auto"/>
          <w:sz w:val="22"/>
          <w:szCs w:val="22"/>
        </w:rPr>
      </w:pPr>
      <w:r w:rsidRPr="00FD2E59">
        <w:rPr>
          <w:b/>
          <w:bCs/>
          <w:i/>
          <w:iCs/>
          <w:color w:val="auto"/>
          <w:sz w:val="22"/>
          <w:szCs w:val="22"/>
          <w:highlight w:val="yellow"/>
        </w:rPr>
        <w:t xml:space="preserve">Maruti Suzuki India Ltd. v. CCE </w:t>
      </w:r>
      <w:r w:rsidR="00B75791">
        <w:rPr>
          <w:b/>
          <w:bCs/>
          <w:i/>
          <w:iCs/>
          <w:color w:val="auto"/>
          <w:sz w:val="22"/>
          <w:szCs w:val="22"/>
          <w:highlight w:val="yellow"/>
        </w:rPr>
        <w:t xml:space="preserve"> </w:t>
      </w:r>
      <w:r w:rsidRPr="00FD2E59">
        <w:rPr>
          <w:b/>
          <w:bCs/>
          <w:i/>
          <w:iCs/>
          <w:color w:val="auto"/>
          <w:sz w:val="22"/>
          <w:szCs w:val="22"/>
          <w:highlight w:val="yellow"/>
        </w:rPr>
        <w:t>2010</w:t>
      </w:r>
    </w:p>
    <w:p w:rsidR="00F0321F" w:rsidRDefault="00F0321F" w:rsidP="00A73067">
      <w:pPr>
        <w:pStyle w:val="Default"/>
        <w:rPr>
          <w:color w:val="auto"/>
          <w:sz w:val="22"/>
          <w:szCs w:val="22"/>
        </w:rPr>
      </w:pPr>
      <w:r>
        <w:rPr>
          <w:b/>
          <w:bCs/>
          <w:color w:val="auto"/>
          <w:sz w:val="22"/>
          <w:szCs w:val="22"/>
        </w:rPr>
        <w:t>Decision of the case</w:t>
      </w:r>
      <w:r>
        <w:rPr>
          <w:color w:val="auto"/>
          <w:sz w:val="22"/>
          <w:szCs w:val="22"/>
        </w:rPr>
        <w:t xml:space="preserve">: </w:t>
      </w:r>
      <w:r w:rsidR="00A73067">
        <w:rPr>
          <w:color w:val="auto"/>
          <w:sz w:val="22"/>
          <w:szCs w:val="22"/>
        </w:rPr>
        <w:t>Yes</w:t>
      </w:r>
      <w:r>
        <w:rPr>
          <w:b/>
          <w:bCs/>
          <w:color w:val="auto"/>
          <w:sz w:val="22"/>
          <w:szCs w:val="22"/>
        </w:rPr>
        <w:t xml:space="preserve"> </w:t>
      </w:r>
    </w:p>
    <w:p w:rsidR="00F0321F" w:rsidRDefault="00A73067" w:rsidP="00F0321F">
      <w:pPr>
        <w:pStyle w:val="Default"/>
        <w:rPr>
          <w:i/>
          <w:iCs/>
          <w:color w:val="auto"/>
          <w:sz w:val="22"/>
          <w:szCs w:val="22"/>
        </w:rPr>
      </w:pPr>
      <w:r>
        <w:rPr>
          <w:i/>
          <w:iCs/>
          <w:color w:val="auto"/>
          <w:sz w:val="22"/>
          <w:szCs w:val="22"/>
        </w:rPr>
        <w:t>Note:</w:t>
      </w:r>
      <w:r w:rsidR="00F0321F">
        <w:rPr>
          <w:i/>
          <w:iCs/>
          <w:color w:val="auto"/>
          <w:sz w:val="22"/>
          <w:szCs w:val="22"/>
        </w:rPr>
        <w:t>CBEC, in view of the aforesaid judgment has clarified</w:t>
      </w:r>
      <w:r>
        <w:rPr>
          <w:i/>
          <w:iCs/>
          <w:color w:val="auto"/>
          <w:sz w:val="22"/>
          <w:szCs w:val="22"/>
        </w:rPr>
        <w:t xml:space="preserve"> by a circular</w:t>
      </w:r>
      <w:r w:rsidR="00F0321F">
        <w:rPr>
          <w:i/>
          <w:iCs/>
          <w:color w:val="auto"/>
          <w:sz w:val="22"/>
          <w:szCs w:val="22"/>
        </w:rPr>
        <w:t xml:space="preserve"> that pre-delivery Inspection charges and after-sale service charges collected by the dealers are to be included in the assessable value under section 4 of the Central Excise Act, 1944. </w:t>
      </w:r>
    </w:p>
    <w:p w:rsidR="00F0321F" w:rsidRDefault="00F0321F" w:rsidP="00F0321F">
      <w:pPr>
        <w:pStyle w:val="Default"/>
        <w:rPr>
          <w:rFonts w:cstheme="minorBidi"/>
          <w:color w:val="auto"/>
          <w:sz w:val="22"/>
          <w:szCs w:val="22"/>
        </w:rPr>
      </w:pPr>
    </w:p>
    <w:p w:rsidR="00F0321F" w:rsidRDefault="00F0321F" w:rsidP="00F0321F">
      <w:pPr>
        <w:pStyle w:val="Default"/>
        <w:pageBreakBefore/>
        <w:rPr>
          <w:rFonts w:cstheme="minorBidi"/>
          <w:color w:val="auto"/>
          <w:sz w:val="96"/>
          <w:szCs w:val="96"/>
        </w:rPr>
      </w:pPr>
      <w:r>
        <w:rPr>
          <w:rFonts w:cstheme="minorBidi"/>
          <w:b/>
          <w:bCs/>
          <w:color w:val="auto"/>
          <w:sz w:val="96"/>
          <w:szCs w:val="96"/>
        </w:rPr>
        <w:lastRenderedPageBreak/>
        <w:t xml:space="preserve">4 </w:t>
      </w:r>
    </w:p>
    <w:p w:rsidR="00F0321F" w:rsidRDefault="00F0321F" w:rsidP="00F0321F">
      <w:pPr>
        <w:pStyle w:val="Default"/>
        <w:rPr>
          <w:rFonts w:cstheme="minorBidi"/>
          <w:color w:val="auto"/>
          <w:sz w:val="38"/>
          <w:szCs w:val="38"/>
        </w:rPr>
      </w:pPr>
      <w:r>
        <w:rPr>
          <w:rFonts w:cstheme="minorBidi"/>
          <w:b/>
          <w:bCs/>
          <w:color w:val="auto"/>
          <w:sz w:val="48"/>
          <w:szCs w:val="48"/>
        </w:rPr>
        <w:t>C</w:t>
      </w:r>
      <w:r>
        <w:rPr>
          <w:rFonts w:cstheme="minorBidi"/>
          <w:b/>
          <w:bCs/>
          <w:color w:val="auto"/>
          <w:sz w:val="38"/>
          <w:szCs w:val="38"/>
        </w:rPr>
        <w:t xml:space="preserve">ENVAT </w:t>
      </w:r>
      <w:r>
        <w:rPr>
          <w:rFonts w:cstheme="minorBidi"/>
          <w:b/>
          <w:bCs/>
          <w:color w:val="auto"/>
          <w:sz w:val="48"/>
          <w:szCs w:val="48"/>
        </w:rPr>
        <w:t>C</w:t>
      </w:r>
      <w:r>
        <w:rPr>
          <w:rFonts w:cstheme="minorBidi"/>
          <w:b/>
          <w:bCs/>
          <w:color w:val="auto"/>
          <w:sz w:val="38"/>
          <w:szCs w:val="38"/>
        </w:rPr>
        <w:t xml:space="preserve">REDIT </w:t>
      </w:r>
    </w:p>
    <w:p w:rsidR="00F0321F" w:rsidRDefault="00F0321F" w:rsidP="00F0321F">
      <w:pPr>
        <w:pStyle w:val="Default"/>
        <w:rPr>
          <w:rFonts w:cstheme="minorBidi"/>
          <w:color w:val="auto"/>
          <w:sz w:val="22"/>
          <w:szCs w:val="22"/>
        </w:rPr>
      </w:pPr>
      <w:r>
        <w:rPr>
          <w:rFonts w:cstheme="minorBidi"/>
          <w:b/>
          <w:bCs/>
          <w:color w:val="auto"/>
          <w:sz w:val="22"/>
          <w:szCs w:val="22"/>
        </w:rPr>
        <w:t xml:space="preserve">1. The assessee claimed the CENVAT credit on the duty paid on capital goods which were later destroyed by fire. The Insurance Company reimbursed the amount inclusive of excise duty. Is the CENVAT credit availed by the assessee required to be reversed? </w:t>
      </w:r>
    </w:p>
    <w:p w:rsidR="00F0321F" w:rsidRDefault="00F0321F" w:rsidP="00F0321F">
      <w:pPr>
        <w:pStyle w:val="Default"/>
        <w:rPr>
          <w:color w:val="auto"/>
          <w:sz w:val="22"/>
          <w:szCs w:val="22"/>
        </w:rPr>
      </w:pPr>
      <w:r w:rsidRPr="00E50C5E">
        <w:rPr>
          <w:b/>
          <w:bCs/>
          <w:i/>
          <w:iCs/>
          <w:color w:val="auto"/>
          <w:sz w:val="22"/>
          <w:szCs w:val="22"/>
          <w:highlight w:val="yellow"/>
        </w:rPr>
        <w:t>CCE v. Tata Advanced Materials Ltd. 2011</w:t>
      </w:r>
    </w:p>
    <w:p w:rsidR="00E50C5E" w:rsidRDefault="00F0321F" w:rsidP="00E50C5E">
      <w:pPr>
        <w:pStyle w:val="Default"/>
        <w:rPr>
          <w:color w:val="auto"/>
          <w:sz w:val="22"/>
          <w:szCs w:val="22"/>
        </w:rPr>
      </w:pPr>
      <w:r>
        <w:rPr>
          <w:b/>
          <w:bCs/>
          <w:color w:val="auto"/>
          <w:sz w:val="22"/>
          <w:szCs w:val="22"/>
        </w:rPr>
        <w:t xml:space="preserve">Decision of the case: </w:t>
      </w:r>
    </w:p>
    <w:p w:rsidR="00F0321F" w:rsidRDefault="00B23F80" w:rsidP="00F0321F">
      <w:pPr>
        <w:pStyle w:val="Default"/>
        <w:rPr>
          <w:color w:val="auto"/>
          <w:sz w:val="22"/>
          <w:szCs w:val="22"/>
        </w:rPr>
      </w:pPr>
      <w:r>
        <w:rPr>
          <w:color w:val="auto"/>
          <w:sz w:val="22"/>
          <w:szCs w:val="22"/>
        </w:rPr>
        <w:t>No.</w:t>
      </w:r>
      <w:r w:rsidR="00F0321F">
        <w:rPr>
          <w:color w:val="auto"/>
          <w:sz w:val="22"/>
          <w:szCs w:val="22"/>
        </w:rPr>
        <w:t xml:space="preserve">The High Court observed that merely because the Insurance Company had paid the assessee the value of goods including the excise duty paid, it would not render the availment of the CENVAT credit wrong or irregular. It was not a case of double benefit as contended by the Department. </w:t>
      </w:r>
    </w:p>
    <w:p w:rsidR="00F0321F" w:rsidRDefault="00F0321F" w:rsidP="00F0321F">
      <w:pPr>
        <w:pStyle w:val="Default"/>
        <w:rPr>
          <w:color w:val="auto"/>
          <w:sz w:val="22"/>
          <w:szCs w:val="22"/>
        </w:rPr>
      </w:pPr>
      <w:r>
        <w:rPr>
          <w:b/>
          <w:bCs/>
          <w:color w:val="auto"/>
          <w:sz w:val="22"/>
          <w:szCs w:val="22"/>
        </w:rPr>
        <w:t xml:space="preserve">2. Head office distributed the CENVAT credit of the service tax paid on the services received to its various units. Can the CENVAT credit be denied to a particular unit on the ground that input services were obtained by another unit belonging to the same manufacturer? </w:t>
      </w:r>
    </w:p>
    <w:p w:rsidR="00F0321F" w:rsidRDefault="00F0321F" w:rsidP="00F0321F">
      <w:pPr>
        <w:pStyle w:val="Default"/>
        <w:rPr>
          <w:color w:val="auto"/>
          <w:sz w:val="22"/>
          <w:szCs w:val="22"/>
        </w:rPr>
      </w:pPr>
      <w:r w:rsidRPr="00B23F80">
        <w:rPr>
          <w:b/>
          <w:bCs/>
          <w:i/>
          <w:iCs/>
          <w:color w:val="auto"/>
          <w:sz w:val="22"/>
          <w:szCs w:val="22"/>
          <w:highlight w:val="yellow"/>
        </w:rPr>
        <w:t xml:space="preserve">CCE v. Ecof Industries Pvt. </w:t>
      </w:r>
      <w:r w:rsidR="005D4343" w:rsidRPr="00B23F80">
        <w:rPr>
          <w:b/>
          <w:bCs/>
          <w:i/>
          <w:iCs/>
          <w:color w:val="auto"/>
          <w:sz w:val="22"/>
          <w:szCs w:val="22"/>
          <w:highlight w:val="yellow"/>
        </w:rPr>
        <w:t>Ltd.</w:t>
      </w:r>
      <w:r w:rsidR="005D4343">
        <w:rPr>
          <w:b/>
          <w:bCs/>
          <w:i/>
          <w:iCs/>
          <w:color w:val="auto"/>
          <w:sz w:val="22"/>
          <w:szCs w:val="22"/>
        </w:rPr>
        <w:t xml:space="preserve"> </w:t>
      </w:r>
      <w:r w:rsidR="005D4343" w:rsidRPr="00B23F80">
        <w:rPr>
          <w:b/>
          <w:bCs/>
          <w:i/>
          <w:iCs/>
          <w:color w:val="auto"/>
          <w:sz w:val="22"/>
          <w:szCs w:val="22"/>
          <w:highlight w:val="yellow"/>
        </w:rPr>
        <w:t>2011</w:t>
      </w:r>
      <w:r>
        <w:rPr>
          <w:b/>
          <w:bCs/>
          <w:i/>
          <w:iCs/>
          <w:color w:val="auto"/>
          <w:sz w:val="22"/>
          <w:szCs w:val="22"/>
        </w:rPr>
        <w:t xml:space="preserve"> </w:t>
      </w:r>
    </w:p>
    <w:p w:rsidR="00F0321F" w:rsidRDefault="00F0321F" w:rsidP="00F0321F">
      <w:pPr>
        <w:pStyle w:val="Default"/>
        <w:rPr>
          <w:color w:val="auto"/>
          <w:sz w:val="22"/>
          <w:szCs w:val="22"/>
        </w:rPr>
      </w:pPr>
      <w:r>
        <w:rPr>
          <w:color w:val="auto"/>
          <w:sz w:val="22"/>
          <w:szCs w:val="22"/>
        </w:rPr>
        <w:t xml:space="preserve">. </w:t>
      </w:r>
    </w:p>
    <w:p w:rsidR="00B23F80" w:rsidRDefault="00F0321F" w:rsidP="00F0321F">
      <w:pPr>
        <w:pStyle w:val="Default"/>
        <w:rPr>
          <w:color w:val="auto"/>
          <w:sz w:val="22"/>
          <w:szCs w:val="22"/>
        </w:rPr>
      </w:pPr>
      <w:r>
        <w:rPr>
          <w:b/>
          <w:bCs/>
          <w:color w:val="auto"/>
          <w:sz w:val="22"/>
          <w:szCs w:val="22"/>
        </w:rPr>
        <w:t xml:space="preserve">Decision of the case: </w:t>
      </w:r>
      <w:r w:rsidR="00B23F80">
        <w:rPr>
          <w:b/>
          <w:bCs/>
          <w:color w:val="auto"/>
          <w:sz w:val="22"/>
          <w:szCs w:val="22"/>
        </w:rPr>
        <w:t xml:space="preserve">No it </w:t>
      </w:r>
      <w:r w:rsidR="00237CD8">
        <w:rPr>
          <w:b/>
          <w:bCs/>
          <w:color w:val="auto"/>
          <w:sz w:val="22"/>
          <w:szCs w:val="22"/>
        </w:rPr>
        <w:t>cannot</w:t>
      </w:r>
      <w:r w:rsidR="00B23F80">
        <w:rPr>
          <w:b/>
          <w:bCs/>
          <w:color w:val="auto"/>
          <w:sz w:val="22"/>
          <w:szCs w:val="22"/>
        </w:rPr>
        <w:t xml:space="preserve"> be </w:t>
      </w:r>
      <w:r w:rsidR="00237CD8">
        <w:rPr>
          <w:b/>
          <w:bCs/>
          <w:color w:val="auto"/>
          <w:sz w:val="22"/>
          <w:szCs w:val="22"/>
        </w:rPr>
        <w:t>denied.</w:t>
      </w:r>
      <w:r w:rsidR="00237CD8">
        <w:rPr>
          <w:color w:val="auto"/>
          <w:sz w:val="22"/>
          <w:szCs w:val="22"/>
        </w:rPr>
        <w:t xml:space="preserve"> Considering</w:t>
      </w:r>
      <w:r>
        <w:rPr>
          <w:color w:val="auto"/>
          <w:sz w:val="22"/>
          <w:szCs w:val="22"/>
        </w:rPr>
        <w:t xml:space="preserve"> rules CENVAT Credit Rules, 2004, the High Court elucidated that availment of credit of the service tax paid on the input service at a particular unit by another unit is no</w:t>
      </w:r>
      <w:r w:rsidR="00B23F80">
        <w:rPr>
          <w:color w:val="auto"/>
          <w:sz w:val="22"/>
          <w:szCs w:val="22"/>
        </w:rPr>
        <w:t>t prohibited under law, if Head Office is</w:t>
      </w:r>
      <w:r>
        <w:rPr>
          <w:color w:val="auto"/>
          <w:sz w:val="22"/>
          <w:szCs w:val="22"/>
        </w:rPr>
        <w:t xml:space="preserve"> </w:t>
      </w:r>
      <w:r w:rsidR="00237CD8">
        <w:rPr>
          <w:color w:val="auto"/>
          <w:sz w:val="22"/>
          <w:szCs w:val="22"/>
        </w:rPr>
        <w:t>registered</w:t>
      </w:r>
      <w:r>
        <w:rPr>
          <w:color w:val="auto"/>
          <w:sz w:val="22"/>
          <w:szCs w:val="22"/>
        </w:rPr>
        <w:t xml:space="preserve"> itself as an input service distributor </w:t>
      </w:r>
    </w:p>
    <w:p w:rsidR="00B23F80" w:rsidRPr="00B23F80" w:rsidRDefault="00B23F80" w:rsidP="00F0321F">
      <w:pPr>
        <w:pStyle w:val="Default"/>
        <w:rPr>
          <w:b/>
          <w:color w:val="auto"/>
          <w:sz w:val="22"/>
          <w:szCs w:val="22"/>
        </w:rPr>
      </w:pPr>
      <w:r w:rsidRPr="00B23F80">
        <w:rPr>
          <w:b/>
          <w:color w:val="auto"/>
          <w:sz w:val="22"/>
          <w:szCs w:val="22"/>
        </w:rPr>
        <w:t>IMP: Please check the amendment given in RTP page no………</w:t>
      </w:r>
      <w:r w:rsidR="00237CD8">
        <w:rPr>
          <w:b/>
          <w:color w:val="auto"/>
          <w:sz w:val="22"/>
          <w:szCs w:val="22"/>
        </w:rPr>
        <w:t>Because</w:t>
      </w:r>
      <w:r w:rsidR="009D4F7C">
        <w:rPr>
          <w:b/>
          <w:color w:val="auto"/>
          <w:sz w:val="22"/>
          <w:szCs w:val="22"/>
        </w:rPr>
        <w:t xml:space="preserve"> of that </w:t>
      </w:r>
      <w:r w:rsidR="00237CD8">
        <w:rPr>
          <w:b/>
          <w:color w:val="auto"/>
          <w:sz w:val="22"/>
          <w:szCs w:val="22"/>
        </w:rPr>
        <w:t>amendment</w:t>
      </w:r>
      <w:r>
        <w:rPr>
          <w:b/>
          <w:color w:val="auto"/>
          <w:sz w:val="22"/>
          <w:szCs w:val="22"/>
        </w:rPr>
        <w:t xml:space="preserve"> </w:t>
      </w:r>
      <w:r w:rsidRPr="00B23F80">
        <w:rPr>
          <w:b/>
          <w:color w:val="auto"/>
          <w:sz w:val="22"/>
          <w:szCs w:val="22"/>
        </w:rPr>
        <w:t xml:space="preserve">the position is being changed and to </w:t>
      </w:r>
      <w:r w:rsidR="00237CD8" w:rsidRPr="00B23F80">
        <w:rPr>
          <w:b/>
          <w:color w:val="auto"/>
          <w:sz w:val="22"/>
          <w:szCs w:val="22"/>
        </w:rPr>
        <w:t>that extend</w:t>
      </w:r>
      <w:r w:rsidRPr="00B23F80">
        <w:rPr>
          <w:b/>
          <w:color w:val="auto"/>
          <w:sz w:val="22"/>
          <w:szCs w:val="22"/>
        </w:rPr>
        <w:t xml:space="preserve"> this decision has been nullified</w:t>
      </w:r>
      <w:r w:rsidR="009D4F7C">
        <w:rPr>
          <w:b/>
          <w:color w:val="auto"/>
          <w:sz w:val="22"/>
          <w:szCs w:val="22"/>
        </w:rPr>
        <w:t xml:space="preserve"> w.e.f.</w:t>
      </w:r>
      <w:r w:rsidR="009D4F7C" w:rsidRPr="00B23F80">
        <w:rPr>
          <w:b/>
          <w:color w:val="auto"/>
          <w:sz w:val="22"/>
          <w:szCs w:val="22"/>
        </w:rPr>
        <w:t xml:space="preserve"> 1/04/2012</w:t>
      </w:r>
      <w:r w:rsidRPr="00B23F80">
        <w:rPr>
          <w:b/>
          <w:color w:val="auto"/>
          <w:sz w:val="22"/>
          <w:szCs w:val="22"/>
        </w:rPr>
        <w:t>.</w:t>
      </w:r>
    </w:p>
    <w:p w:rsidR="00B23F80" w:rsidRDefault="00B23F80" w:rsidP="00F0321F">
      <w:pPr>
        <w:pStyle w:val="Default"/>
        <w:rPr>
          <w:color w:val="auto"/>
          <w:sz w:val="22"/>
          <w:szCs w:val="22"/>
        </w:rPr>
      </w:pPr>
    </w:p>
    <w:p w:rsidR="00F0321F" w:rsidRPr="00237CD8" w:rsidRDefault="00555361" w:rsidP="00F0321F">
      <w:pPr>
        <w:pStyle w:val="Default"/>
        <w:rPr>
          <w:b/>
          <w:color w:val="auto"/>
          <w:sz w:val="22"/>
          <w:szCs w:val="22"/>
        </w:rPr>
      </w:pPr>
      <w:r w:rsidRPr="00555361">
        <w:rPr>
          <w:b/>
          <w:bCs/>
          <w:color w:val="auto"/>
          <w:sz w:val="22"/>
          <w:szCs w:val="22"/>
          <w:u w:val="single"/>
        </w:rPr>
        <w:t>VIMP</w:t>
      </w:r>
      <w:r>
        <w:rPr>
          <w:b/>
          <w:bCs/>
          <w:color w:val="auto"/>
          <w:sz w:val="22"/>
          <w:szCs w:val="22"/>
        </w:rPr>
        <w:t xml:space="preserve"> </w:t>
      </w:r>
      <w:r w:rsidR="00F0321F" w:rsidRPr="00237CD8">
        <w:rPr>
          <w:b/>
          <w:bCs/>
          <w:color w:val="auto"/>
          <w:sz w:val="22"/>
          <w:szCs w:val="22"/>
        </w:rPr>
        <w:t xml:space="preserve">3. In case of combo-pack of bought out tooth brush sold </w:t>
      </w:r>
      <w:r w:rsidR="00237CD8" w:rsidRPr="00237CD8">
        <w:rPr>
          <w:b/>
          <w:bCs/>
          <w:color w:val="auto"/>
          <w:sz w:val="22"/>
          <w:szCs w:val="22"/>
        </w:rPr>
        <w:t>along with</w:t>
      </w:r>
      <w:r w:rsidR="00F0321F" w:rsidRPr="00237CD8">
        <w:rPr>
          <w:b/>
          <w:bCs/>
          <w:color w:val="auto"/>
          <w:sz w:val="22"/>
          <w:szCs w:val="22"/>
        </w:rPr>
        <w:t xml:space="preserve"> tooth paste manufactured by assessee; is tooth brush eligible as input under the CENVAT Credit Rules, 2004? </w:t>
      </w:r>
    </w:p>
    <w:p w:rsidR="00F0321F" w:rsidRDefault="00F0321F" w:rsidP="009D4F7C">
      <w:pPr>
        <w:pStyle w:val="Default"/>
        <w:rPr>
          <w:color w:val="auto"/>
          <w:sz w:val="22"/>
          <w:szCs w:val="22"/>
        </w:rPr>
      </w:pPr>
      <w:r w:rsidRPr="009D4F7C">
        <w:rPr>
          <w:b/>
          <w:bCs/>
          <w:i/>
          <w:iCs/>
          <w:color w:val="auto"/>
          <w:sz w:val="22"/>
          <w:szCs w:val="22"/>
          <w:highlight w:val="yellow"/>
        </w:rPr>
        <w:t>CCus. v. Prime Health Care Products 2011</w:t>
      </w:r>
      <w:r>
        <w:rPr>
          <w:color w:val="auto"/>
          <w:sz w:val="22"/>
          <w:szCs w:val="22"/>
        </w:rPr>
        <w:t xml:space="preserve"> </w:t>
      </w:r>
    </w:p>
    <w:p w:rsidR="00F0321F" w:rsidRDefault="00F0321F" w:rsidP="00F0321F">
      <w:pPr>
        <w:pStyle w:val="Default"/>
        <w:rPr>
          <w:color w:val="auto"/>
          <w:sz w:val="22"/>
          <w:szCs w:val="22"/>
        </w:rPr>
      </w:pPr>
      <w:r>
        <w:rPr>
          <w:b/>
          <w:bCs/>
          <w:color w:val="auto"/>
          <w:sz w:val="22"/>
          <w:szCs w:val="22"/>
        </w:rPr>
        <w:t xml:space="preserve">Decision of the case: </w:t>
      </w:r>
      <w:r w:rsidR="009D4F7C">
        <w:rPr>
          <w:b/>
          <w:bCs/>
          <w:color w:val="auto"/>
          <w:sz w:val="22"/>
          <w:szCs w:val="22"/>
        </w:rPr>
        <w:t>Yes.</w:t>
      </w:r>
      <w:r>
        <w:rPr>
          <w:color w:val="auto"/>
          <w:sz w:val="22"/>
          <w:szCs w:val="22"/>
        </w:rPr>
        <w:t xml:space="preserve">The High Court noted that the process of packing and re-packing the input, that was, toothbrush and tooth paste in a unit container would fall within the ambit of “manufacture” [as per section 2(f)(iii) of the Central Excise Act, 1944]. </w:t>
      </w:r>
    </w:p>
    <w:p w:rsidR="00237CD8" w:rsidRPr="00907655" w:rsidRDefault="00F0321F" w:rsidP="00237CD8">
      <w:pPr>
        <w:pStyle w:val="Default"/>
        <w:pageBreakBefore/>
        <w:rPr>
          <w:color w:val="auto"/>
          <w:sz w:val="22"/>
          <w:szCs w:val="22"/>
          <w:u w:val="single"/>
        </w:rPr>
      </w:pPr>
      <w:r>
        <w:rPr>
          <w:color w:val="auto"/>
          <w:sz w:val="22"/>
          <w:szCs w:val="22"/>
        </w:rPr>
        <w:lastRenderedPageBreak/>
        <w:t xml:space="preserve">Further, the word “input” was defined in rule 2(k) of the CENVAT Credit Rules, 2004 which </w:t>
      </w:r>
      <w:r w:rsidRPr="00237CD8">
        <w:rPr>
          <w:color w:val="auto"/>
          <w:sz w:val="22"/>
          <w:szCs w:val="22"/>
          <w:u w:val="single"/>
        </w:rPr>
        <w:t>also included accessories of the final products cleared along with final product</w:t>
      </w:r>
      <w:r w:rsidR="00237CD8">
        <w:rPr>
          <w:color w:val="auto"/>
          <w:sz w:val="22"/>
          <w:szCs w:val="22"/>
          <w:u w:val="single"/>
        </w:rPr>
        <w:t xml:space="preserve"> </w:t>
      </w:r>
      <w:r w:rsidR="00907655" w:rsidRPr="00907655">
        <w:rPr>
          <w:color w:val="auto"/>
          <w:sz w:val="22"/>
          <w:szCs w:val="22"/>
          <w:u w:val="single"/>
        </w:rPr>
        <w:t xml:space="preserve">if </w:t>
      </w:r>
      <w:r w:rsidR="00907655" w:rsidRPr="00907655">
        <w:rPr>
          <w:i/>
          <w:iCs/>
          <w:color w:val="auto"/>
          <w:sz w:val="22"/>
          <w:szCs w:val="22"/>
          <w:u w:val="single"/>
        </w:rPr>
        <w:t>value of such accessory is also</w:t>
      </w:r>
      <w:r w:rsidR="00237CD8" w:rsidRPr="00907655">
        <w:rPr>
          <w:i/>
          <w:iCs/>
          <w:color w:val="auto"/>
          <w:sz w:val="22"/>
          <w:szCs w:val="22"/>
          <w:u w:val="single"/>
        </w:rPr>
        <w:t xml:space="preserve"> included in the value of the final product. </w:t>
      </w:r>
    </w:p>
    <w:p w:rsidR="00F0321F" w:rsidRDefault="00907655" w:rsidP="00F0321F">
      <w:pPr>
        <w:pStyle w:val="Default"/>
        <w:rPr>
          <w:color w:val="auto"/>
          <w:sz w:val="22"/>
          <w:szCs w:val="22"/>
        </w:rPr>
      </w:pPr>
      <w:r>
        <w:rPr>
          <w:color w:val="auto"/>
          <w:sz w:val="22"/>
          <w:szCs w:val="22"/>
        </w:rPr>
        <w:t>Here t</w:t>
      </w:r>
      <w:r w:rsidR="00F0321F">
        <w:rPr>
          <w:color w:val="auto"/>
          <w:sz w:val="22"/>
          <w:szCs w:val="22"/>
        </w:rPr>
        <w:t xml:space="preserve">here was no dispute about the fact that on toothbrush, excise duty had been paid. The toothbrush was put in the packet along with the tooth paste and </w:t>
      </w:r>
      <w:r w:rsidR="00F0321F">
        <w:rPr>
          <w:i/>
          <w:iCs/>
          <w:color w:val="auto"/>
          <w:sz w:val="22"/>
          <w:szCs w:val="22"/>
        </w:rPr>
        <w:t>no extra amount was recovered from the consumer on the toothbrush</w:t>
      </w:r>
      <w:r w:rsidR="00F0321F">
        <w:rPr>
          <w:color w:val="auto"/>
          <w:sz w:val="22"/>
          <w:szCs w:val="22"/>
        </w:rPr>
        <w:t xml:space="preserve">*. </w:t>
      </w:r>
    </w:p>
    <w:p w:rsidR="00F0321F" w:rsidRPr="00237CD8" w:rsidRDefault="00907655" w:rsidP="00F0321F">
      <w:pPr>
        <w:pStyle w:val="Default"/>
        <w:rPr>
          <w:b/>
          <w:color w:val="auto"/>
          <w:sz w:val="22"/>
          <w:szCs w:val="22"/>
        </w:rPr>
      </w:pPr>
      <w:r>
        <w:rPr>
          <w:b/>
          <w:color w:val="auto"/>
          <w:sz w:val="22"/>
          <w:szCs w:val="22"/>
        </w:rPr>
        <w:t xml:space="preserve"> </w:t>
      </w:r>
      <w:r w:rsidR="00237CD8">
        <w:rPr>
          <w:b/>
          <w:color w:val="auto"/>
          <w:sz w:val="22"/>
          <w:szCs w:val="22"/>
        </w:rPr>
        <w:t>“</w:t>
      </w:r>
      <w:r w:rsidR="00F0321F" w:rsidRPr="00237CD8">
        <w:rPr>
          <w:b/>
          <w:color w:val="auto"/>
          <w:sz w:val="22"/>
          <w:szCs w:val="22"/>
          <w:u w:val="single"/>
        </w:rPr>
        <w:t>Considering the definition given in the rules of</w:t>
      </w:r>
      <w:r w:rsidR="00F0321F" w:rsidRPr="00237CD8">
        <w:rPr>
          <w:b/>
          <w:color w:val="auto"/>
          <w:sz w:val="22"/>
          <w:szCs w:val="22"/>
        </w:rPr>
        <w:t xml:space="preserve"> “input” </w:t>
      </w:r>
      <w:r w:rsidR="00F0321F" w:rsidRPr="00237CD8">
        <w:rPr>
          <w:b/>
          <w:color w:val="auto"/>
          <w:sz w:val="22"/>
          <w:szCs w:val="22"/>
          <w:u w:val="single"/>
        </w:rPr>
        <w:t>and the provisions contained</w:t>
      </w:r>
      <w:r w:rsidR="00F0321F" w:rsidRPr="00237CD8">
        <w:rPr>
          <w:b/>
          <w:color w:val="auto"/>
          <w:sz w:val="22"/>
          <w:szCs w:val="22"/>
        </w:rPr>
        <w:t xml:space="preserve"> in rule 3, </w:t>
      </w:r>
      <w:r w:rsidR="00F0321F" w:rsidRPr="00237CD8">
        <w:rPr>
          <w:b/>
          <w:color w:val="auto"/>
          <w:sz w:val="22"/>
          <w:szCs w:val="22"/>
          <w:u w:val="single"/>
        </w:rPr>
        <w:t>the High Court upheld the Tribunal’s decision that the credit was admissib</w:t>
      </w:r>
      <w:r w:rsidR="00237CD8" w:rsidRPr="00237CD8">
        <w:rPr>
          <w:b/>
          <w:color w:val="auto"/>
          <w:sz w:val="22"/>
          <w:szCs w:val="22"/>
          <w:u w:val="single"/>
        </w:rPr>
        <w:t>le in the case of the assessee.”</w:t>
      </w:r>
    </w:p>
    <w:p w:rsidR="00F0321F" w:rsidRDefault="00F0321F" w:rsidP="00F0321F">
      <w:pPr>
        <w:pStyle w:val="Default"/>
        <w:rPr>
          <w:color w:val="auto"/>
          <w:sz w:val="22"/>
          <w:szCs w:val="22"/>
        </w:rPr>
      </w:pPr>
      <w:r>
        <w:rPr>
          <w:i/>
          <w:iCs/>
          <w:color w:val="auto"/>
          <w:sz w:val="22"/>
          <w:szCs w:val="22"/>
        </w:rPr>
        <w:t xml:space="preserve"> </w:t>
      </w:r>
    </w:p>
    <w:p w:rsidR="00F0321F" w:rsidRDefault="00F0321F" w:rsidP="00F0321F">
      <w:pPr>
        <w:pStyle w:val="Default"/>
        <w:rPr>
          <w:color w:val="auto"/>
          <w:sz w:val="22"/>
          <w:szCs w:val="22"/>
        </w:rPr>
      </w:pPr>
      <w:r>
        <w:rPr>
          <w:b/>
          <w:bCs/>
          <w:color w:val="auto"/>
          <w:sz w:val="22"/>
          <w:szCs w:val="22"/>
        </w:rPr>
        <w:t xml:space="preserve">4. Whether CENVAT credit can be denied on the ground that the weight of the inputs recorded on receipt in the premises of the manufacturer of the final products shows a shortage as compared to the weight recorded in the relevant invoice? </w:t>
      </w:r>
    </w:p>
    <w:p w:rsidR="00F0321F" w:rsidRDefault="00F0321F" w:rsidP="00F0321F">
      <w:pPr>
        <w:pStyle w:val="Default"/>
        <w:rPr>
          <w:color w:val="auto"/>
          <w:sz w:val="22"/>
          <w:szCs w:val="22"/>
        </w:rPr>
      </w:pPr>
      <w:r w:rsidRPr="00555361">
        <w:rPr>
          <w:b/>
          <w:bCs/>
          <w:i/>
          <w:iCs/>
          <w:color w:val="auto"/>
          <w:sz w:val="22"/>
          <w:szCs w:val="22"/>
          <w:highlight w:val="yellow"/>
        </w:rPr>
        <w:t>CCE v. Bhuwalka Steel Industries Ltd. 2010</w:t>
      </w:r>
    </w:p>
    <w:p w:rsidR="00F0321F" w:rsidRPr="00555361" w:rsidRDefault="00F0321F" w:rsidP="00F0321F">
      <w:pPr>
        <w:pStyle w:val="Default"/>
        <w:rPr>
          <w:color w:val="auto"/>
          <w:sz w:val="22"/>
          <w:szCs w:val="22"/>
          <w:u w:val="single"/>
        </w:rPr>
      </w:pPr>
      <w:r>
        <w:rPr>
          <w:b/>
          <w:bCs/>
          <w:color w:val="auto"/>
          <w:sz w:val="22"/>
          <w:szCs w:val="22"/>
        </w:rPr>
        <w:t xml:space="preserve">Tribunal held that each case had to be decided according to merit and no hard and fast rule can be laid down for dealing with different kinds of shortages. </w:t>
      </w:r>
      <w:r w:rsidRPr="00555361">
        <w:rPr>
          <w:b/>
          <w:bCs/>
          <w:color w:val="auto"/>
          <w:sz w:val="22"/>
          <w:szCs w:val="22"/>
          <w:u w:val="single"/>
        </w:rPr>
        <w:t>Decision to allow or not to allow credit under rule 3(1), in any particular case, will depend on various</w:t>
      </w:r>
      <w:r w:rsidR="00555361" w:rsidRPr="00555361">
        <w:rPr>
          <w:b/>
          <w:bCs/>
          <w:color w:val="auto"/>
          <w:sz w:val="22"/>
          <w:szCs w:val="22"/>
          <w:u w:val="single"/>
        </w:rPr>
        <w:t xml:space="preserve"> factors.</w:t>
      </w:r>
      <w:r w:rsidRPr="00555361">
        <w:rPr>
          <w:b/>
          <w:bCs/>
          <w:color w:val="auto"/>
          <w:sz w:val="22"/>
          <w:szCs w:val="22"/>
          <w:u w:val="single"/>
        </w:rPr>
        <w:t xml:space="preserve"> </w:t>
      </w:r>
    </w:p>
    <w:p w:rsidR="00F0321F" w:rsidRDefault="00F0321F" w:rsidP="00F0321F">
      <w:pPr>
        <w:pStyle w:val="Default"/>
        <w:rPr>
          <w:color w:val="auto"/>
          <w:sz w:val="22"/>
          <w:szCs w:val="22"/>
        </w:rPr>
      </w:pPr>
      <w:r>
        <w:rPr>
          <w:color w:val="auto"/>
          <w:sz w:val="22"/>
          <w:szCs w:val="22"/>
        </w:rPr>
        <w:t xml:space="preserve">Tolerances in respect of hygroscopic, volatile and such other cargo has to be allowed as per industry norms excluding, however, unreasonable and exorbitant claims. Similarly, minor variations arising due to weighment by different machines will also have to be ignored if such variations are within tolerance limits. </w:t>
      </w:r>
    </w:p>
    <w:p w:rsidR="00F0321F" w:rsidRDefault="00F0321F" w:rsidP="00F0321F">
      <w:pPr>
        <w:pStyle w:val="Default"/>
        <w:rPr>
          <w:rFonts w:cstheme="minorBidi"/>
          <w:color w:val="auto"/>
          <w:sz w:val="22"/>
          <w:szCs w:val="22"/>
        </w:rPr>
      </w:pPr>
    </w:p>
    <w:p w:rsidR="00F0321F" w:rsidRDefault="00F0321F" w:rsidP="00F0321F">
      <w:pPr>
        <w:pStyle w:val="Default"/>
        <w:rPr>
          <w:rFonts w:cstheme="minorBidi"/>
          <w:color w:val="auto"/>
          <w:sz w:val="22"/>
          <w:szCs w:val="22"/>
        </w:rPr>
      </w:pPr>
      <w:r>
        <w:rPr>
          <w:rFonts w:cstheme="minorBidi"/>
          <w:b/>
          <w:bCs/>
          <w:color w:val="auto"/>
          <w:sz w:val="22"/>
          <w:szCs w:val="22"/>
        </w:rPr>
        <w:t xml:space="preserve">5. Whether penalty can be imposed on the directors of the company for the wrong CENVAT credit availed by the company? </w:t>
      </w:r>
    </w:p>
    <w:p w:rsidR="00F0321F" w:rsidRDefault="00F0321F" w:rsidP="00F0321F">
      <w:pPr>
        <w:pStyle w:val="Default"/>
        <w:rPr>
          <w:color w:val="auto"/>
          <w:sz w:val="22"/>
          <w:szCs w:val="22"/>
        </w:rPr>
      </w:pPr>
      <w:r w:rsidRPr="00555361">
        <w:rPr>
          <w:b/>
          <w:bCs/>
          <w:i/>
          <w:iCs/>
          <w:color w:val="auto"/>
          <w:sz w:val="22"/>
          <w:szCs w:val="22"/>
          <w:highlight w:val="yellow"/>
        </w:rPr>
        <w:t>Ashok Kumar H. Fulwadhya v. UOI 2010</w:t>
      </w:r>
    </w:p>
    <w:p w:rsidR="00F0321F" w:rsidRDefault="00F0321F" w:rsidP="00F0321F">
      <w:pPr>
        <w:pStyle w:val="Default"/>
        <w:rPr>
          <w:color w:val="auto"/>
          <w:sz w:val="22"/>
          <w:szCs w:val="22"/>
        </w:rPr>
      </w:pPr>
      <w:r>
        <w:rPr>
          <w:b/>
          <w:bCs/>
          <w:color w:val="auto"/>
          <w:sz w:val="22"/>
          <w:szCs w:val="22"/>
        </w:rPr>
        <w:t xml:space="preserve">Decision of the case: </w:t>
      </w:r>
      <w:r w:rsidR="00B75791">
        <w:rPr>
          <w:b/>
          <w:bCs/>
          <w:color w:val="auto"/>
          <w:sz w:val="22"/>
          <w:szCs w:val="22"/>
        </w:rPr>
        <w:t>No.</w:t>
      </w:r>
      <w:r w:rsidR="00B75791">
        <w:rPr>
          <w:color w:val="auto"/>
          <w:sz w:val="22"/>
          <w:szCs w:val="22"/>
        </w:rPr>
        <w:t>The</w:t>
      </w:r>
      <w:r>
        <w:rPr>
          <w:color w:val="auto"/>
          <w:sz w:val="22"/>
          <w:szCs w:val="22"/>
        </w:rPr>
        <w:t xml:space="preserve"> words “any person” us</w:t>
      </w:r>
      <w:r w:rsidR="00555361">
        <w:rPr>
          <w:color w:val="auto"/>
          <w:sz w:val="22"/>
          <w:szCs w:val="22"/>
        </w:rPr>
        <w:t xml:space="preserve">ed in </w:t>
      </w:r>
      <w:r>
        <w:rPr>
          <w:color w:val="auto"/>
          <w:sz w:val="22"/>
          <w:szCs w:val="22"/>
        </w:rPr>
        <w:t xml:space="preserve"> rule 15(1) of</w:t>
      </w:r>
      <w:r w:rsidR="00555361">
        <w:rPr>
          <w:color w:val="auto"/>
          <w:sz w:val="22"/>
          <w:szCs w:val="22"/>
        </w:rPr>
        <w:t xml:space="preserve"> the CENVAT Credit Rules, 2004 </w:t>
      </w:r>
      <w:r>
        <w:rPr>
          <w:color w:val="auto"/>
          <w:sz w:val="22"/>
          <w:szCs w:val="22"/>
        </w:rPr>
        <w:t xml:space="preserve">clearly indicate that the person </w:t>
      </w:r>
      <w:r w:rsidRPr="00B75791">
        <w:rPr>
          <w:b/>
          <w:color w:val="auto"/>
          <w:sz w:val="22"/>
          <w:szCs w:val="22"/>
        </w:rPr>
        <w:t>who has availed CENVAT credit shall only be the person liable to the penalty</w:t>
      </w:r>
      <w:r>
        <w:rPr>
          <w:color w:val="auto"/>
          <w:sz w:val="22"/>
          <w:szCs w:val="22"/>
        </w:rPr>
        <w:t>. The Court observed that, in the instant case, CENVAT credit had been availed by the co</w:t>
      </w:r>
      <w:r w:rsidR="00B75791">
        <w:rPr>
          <w:color w:val="auto"/>
          <w:sz w:val="22"/>
          <w:szCs w:val="22"/>
        </w:rPr>
        <w:t xml:space="preserve">mpany hence </w:t>
      </w:r>
      <w:r>
        <w:rPr>
          <w:color w:val="auto"/>
          <w:sz w:val="22"/>
          <w:szCs w:val="22"/>
        </w:rPr>
        <w:t>directors of the com</w:t>
      </w:r>
      <w:r w:rsidR="00B75791">
        <w:rPr>
          <w:color w:val="auto"/>
          <w:sz w:val="22"/>
          <w:szCs w:val="22"/>
        </w:rPr>
        <w:t>pany is not liable for penalty</w:t>
      </w:r>
      <w:r>
        <w:rPr>
          <w:color w:val="auto"/>
          <w:sz w:val="22"/>
          <w:szCs w:val="22"/>
        </w:rPr>
        <w:t xml:space="preserve">. </w:t>
      </w:r>
    </w:p>
    <w:p w:rsidR="00F0321F" w:rsidRDefault="00F0321F" w:rsidP="00F0321F">
      <w:pPr>
        <w:pStyle w:val="Default"/>
        <w:rPr>
          <w:color w:val="auto"/>
          <w:sz w:val="22"/>
          <w:szCs w:val="22"/>
        </w:rPr>
      </w:pPr>
      <w:r>
        <w:rPr>
          <w:b/>
          <w:bCs/>
          <w:color w:val="auto"/>
          <w:sz w:val="22"/>
          <w:szCs w:val="22"/>
        </w:rPr>
        <w:t xml:space="preserve">6. Can CENVAT credit be taken on the basis of private challans? </w:t>
      </w:r>
    </w:p>
    <w:p w:rsidR="00F0321F" w:rsidRDefault="00F0321F" w:rsidP="00B75791">
      <w:pPr>
        <w:pStyle w:val="Default"/>
        <w:rPr>
          <w:color w:val="auto"/>
          <w:sz w:val="22"/>
          <w:szCs w:val="22"/>
        </w:rPr>
      </w:pPr>
      <w:r w:rsidRPr="00B75791">
        <w:rPr>
          <w:b/>
          <w:bCs/>
          <w:i/>
          <w:iCs/>
          <w:color w:val="auto"/>
          <w:sz w:val="22"/>
          <w:szCs w:val="22"/>
          <w:highlight w:val="yellow"/>
        </w:rPr>
        <w:t>CCEx. v. Stelko Strips Ltd. 2010</w:t>
      </w:r>
      <w:r>
        <w:rPr>
          <w:color w:val="auto"/>
          <w:sz w:val="22"/>
          <w:szCs w:val="22"/>
        </w:rPr>
        <w:t xml:space="preserve"> </w:t>
      </w:r>
    </w:p>
    <w:p w:rsidR="00F0321F" w:rsidRDefault="00F0321F" w:rsidP="00F0321F">
      <w:pPr>
        <w:pStyle w:val="Default"/>
        <w:rPr>
          <w:color w:val="auto"/>
          <w:sz w:val="22"/>
          <w:szCs w:val="22"/>
        </w:rPr>
      </w:pPr>
      <w:r>
        <w:rPr>
          <w:b/>
          <w:bCs/>
          <w:color w:val="auto"/>
          <w:sz w:val="22"/>
          <w:szCs w:val="22"/>
        </w:rPr>
        <w:t xml:space="preserve">Decision of the case: </w:t>
      </w:r>
      <w:r w:rsidR="00B75791">
        <w:rPr>
          <w:b/>
          <w:bCs/>
          <w:color w:val="auto"/>
          <w:sz w:val="22"/>
          <w:szCs w:val="22"/>
        </w:rPr>
        <w:t>Yes.O</w:t>
      </w:r>
      <w:r>
        <w:rPr>
          <w:color w:val="auto"/>
          <w:sz w:val="22"/>
          <w:szCs w:val="22"/>
        </w:rPr>
        <w:t>nce duty payment is not disputed and it is found that documents are genuine and not fraudulent, the manufacturer wo</w:t>
      </w:r>
      <w:r w:rsidR="00B75791">
        <w:rPr>
          <w:color w:val="auto"/>
          <w:sz w:val="22"/>
          <w:szCs w:val="22"/>
        </w:rPr>
        <w:t>uld be entitled to CENVAT</w:t>
      </w:r>
      <w:r>
        <w:rPr>
          <w:color w:val="auto"/>
          <w:sz w:val="22"/>
          <w:szCs w:val="22"/>
        </w:rPr>
        <w:t xml:space="preserve"> credit on duty paid on inputs. </w:t>
      </w:r>
      <w:r w:rsidR="00B75791">
        <w:rPr>
          <w:color w:val="auto"/>
          <w:sz w:val="22"/>
          <w:szCs w:val="22"/>
        </w:rPr>
        <w:t>Additionally</w:t>
      </w:r>
      <w:r>
        <w:rPr>
          <w:color w:val="auto"/>
          <w:sz w:val="22"/>
          <w:szCs w:val="22"/>
        </w:rPr>
        <w:t xml:space="preserve"> if the duty paid character of inputs and their receipt in manufacturer’s factory and utilization for manufacturing a final product is not disputed, credit cannot be denied. </w:t>
      </w:r>
    </w:p>
    <w:p w:rsidR="00F0321F" w:rsidRDefault="00F0321F" w:rsidP="00F0321F">
      <w:pPr>
        <w:pStyle w:val="Default"/>
        <w:rPr>
          <w:rFonts w:cstheme="minorBidi"/>
          <w:color w:val="auto"/>
          <w:sz w:val="22"/>
          <w:szCs w:val="22"/>
        </w:rPr>
      </w:pPr>
    </w:p>
    <w:p w:rsidR="00F0321F" w:rsidRDefault="00F0321F" w:rsidP="00F0321F">
      <w:pPr>
        <w:pStyle w:val="Default"/>
        <w:pageBreakBefore/>
        <w:rPr>
          <w:rFonts w:cstheme="minorBidi"/>
          <w:color w:val="auto"/>
          <w:sz w:val="96"/>
          <w:szCs w:val="96"/>
        </w:rPr>
      </w:pPr>
      <w:r>
        <w:rPr>
          <w:rFonts w:cstheme="minorBidi"/>
          <w:b/>
          <w:bCs/>
          <w:color w:val="auto"/>
          <w:sz w:val="96"/>
          <w:szCs w:val="96"/>
        </w:rPr>
        <w:lastRenderedPageBreak/>
        <w:t xml:space="preserve">5 </w:t>
      </w:r>
    </w:p>
    <w:p w:rsidR="00F0321F" w:rsidRDefault="00F0321F" w:rsidP="00F0321F">
      <w:pPr>
        <w:pStyle w:val="Default"/>
        <w:rPr>
          <w:rFonts w:cstheme="minorBidi"/>
          <w:color w:val="auto"/>
          <w:sz w:val="38"/>
          <w:szCs w:val="38"/>
        </w:rPr>
      </w:pPr>
      <w:r>
        <w:rPr>
          <w:rFonts w:cstheme="minorBidi"/>
          <w:b/>
          <w:bCs/>
          <w:color w:val="auto"/>
          <w:sz w:val="48"/>
          <w:szCs w:val="48"/>
        </w:rPr>
        <w:t>D</w:t>
      </w:r>
      <w:r>
        <w:rPr>
          <w:rFonts w:cstheme="minorBidi"/>
          <w:b/>
          <w:bCs/>
          <w:color w:val="auto"/>
          <w:sz w:val="38"/>
          <w:szCs w:val="38"/>
        </w:rPr>
        <w:t>EMAND</w:t>
      </w:r>
      <w:r>
        <w:rPr>
          <w:rFonts w:cstheme="minorBidi"/>
          <w:b/>
          <w:bCs/>
          <w:color w:val="auto"/>
          <w:sz w:val="48"/>
          <w:szCs w:val="48"/>
        </w:rPr>
        <w:t>, A</w:t>
      </w:r>
      <w:r>
        <w:rPr>
          <w:rFonts w:cstheme="minorBidi"/>
          <w:b/>
          <w:bCs/>
          <w:color w:val="auto"/>
          <w:sz w:val="38"/>
          <w:szCs w:val="38"/>
        </w:rPr>
        <w:t xml:space="preserve">DJUDICATION </w:t>
      </w:r>
      <w:r>
        <w:rPr>
          <w:rFonts w:cstheme="minorBidi"/>
          <w:b/>
          <w:bCs/>
          <w:color w:val="auto"/>
          <w:sz w:val="48"/>
          <w:szCs w:val="48"/>
        </w:rPr>
        <w:t>A</w:t>
      </w:r>
      <w:r>
        <w:rPr>
          <w:rFonts w:cstheme="minorBidi"/>
          <w:b/>
          <w:bCs/>
          <w:color w:val="auto"/>
          <w:sz w:val="38"/>
          <w:szCs w:val="38"/>
        </w:rPr>
        <w:t xml:space="preserve">ND </w:t>
      </w:r>
      <w:r>
        <w:rPr>
          <w:rFonts w:cstheme="minorBidi"/>
          <w:b/>
          <w:bCs/>
          <w:color w:val="auto"/>
          <w:sz w:val="48"/>
          <w:szCs w:val="48"/>
        </w:rPr>
        <w:t>O</w:t>
      </w:r>
      <w:r>
        <w:rPr>
          <w:rFonts w:cstheme="minorBidi"/>
          <w:b/>
          <w:bCs/>
          <w:color w:val="auto"/>
          <w:sz w:val="38"/>
          <w:szCs w:val="38"/>
        </w:rPr>
        <w:t xml:space="preserve">FFENCES </w:t>
      </w:r>
    </w:p>
    <w:p w:rsidR="00F0321F" w:rsidRDefault="00F0321F" w:rsidP="00F0321F">
      <w:pPr>
        <w:pStyle w:val="Default"/>
        <w:rPr>
          <w:rFonts w:cstheme="minorBidi"/>
          <w:color w:val="auto"/>
          <w:sz w:val="22"/>
          <w:szCs w:val="22"/>
        </w:rPr>
      </w:pPr>
      <w:r>
        <w:rPr>
          <w:rFonts w:cstheme="minorBidi"/>
          <w:b/>
          <w:bCs/>
          <w:color w:val="auto"/>
          <w:sz w:val="22"/>
          <w:szCs w:val="22"/>
        </w:rPr>
        <w:t xml:space="preserve">1. Whether time-limit under section 11A of the Central Excise Act, 1944 is applicable to recovery of dues under compounded levy scheme? </w:t>
      </w:r>
    </w:p>
    <w:p w:rsidR="00F0321F" w:rsidRDefault="00F0321F" w:rsidP="00F0321F">
      <w:pPr>
        <w:pStyle w:val="Default"/>
        <w:rPr>
          <w:color w:val="auto"/>
          <w:sz w:val="22"/>
          <w:szCs w:val="22"/>
        </w:rPr>
      </w:pPr>
      <w:r w:rsidRPr="00A73067">
        <w:rPr>
          <w:b/>
          <w:bCs/>
          <w:i/>
          <w:iCs/>
          <w:color w:val="auto"/>
          <w:sz w:val="22"/>
          <w:szCs w:val="22"/>
          <w:highlight w:val="yellow"/>
        </w:rPr>
        <w:t>Hans Steel Rolling Mill v. CCEx., Chandigarh 2011</w:t>
      </w:r>
    </w:p>
    <w:p w:rsidR="00F0321F" w:rsidRDefault="00460091" w:rsidP="00F0321F">
      <w:pPr>
        <w:pStyle w:val="Default"/>
        <w:rPr>
          <w:color w:val="auto"/>
          <w:sz w:val="22"/>
          <w:szCs w:val="22"/>
        </w:rPr>
      </w:pPr>
      <w:r>
        <w:rPr>
          <w:color w:val="auto"/>
          <w:sz w:val="22"/>
          <w:szCs w:val="22"/>
        </w:rPr>
        <w:t>No.</w:t>
      </w:r>
      <w:r w:rsidR="00F0321F">
        <w:rPr>
          <w:color w:val="auto"/>
          <w:sz w:val="22"/>
          <w:szCs w:val="22"/>
        </w:rPr>
        <w:t>The Apex Court elucidated that compounded levy scheme is a separate scheme from the normal scheme for collection of exc</w:t>
      </w:r>
      <w:r>
        <w:rPr>
          <w:color w:val="auto"/>
          <w:sz w:val="22"/>
          <w:szCs w:val="22"/>
        </w:rPr>
        <w:t>ise duty on goods manufactured.</w:t>
      </w:r>
      <w:r w:rsidR="00F0321F">
        <w:rPr>
          <w:color w:val="auto"/>
          <w:sz w:val="22"/>
          <w:szCs w:val="22"/>
        </w:rPr>
        <w:t xml:space="preserve">The Supreme Court affirmed that importing one scheme of tax administration to a different scheme is inappropriate and would disturb smooth functioning of such unique scheme. Hence, it held that the time-limit under section 11A of the Central Excise Act, 1944 is not applicable to recovery of dues under compounded levy scheme. </w:t>
      </w:r>
    </w:p>
    <w:p w:rsidR="00F0321F" w:rsidRDefault="00F0321F" w:rsidP="00F0321F">
      <w:pPr>
        <w:pStyle w:val="Default"/>
        <w:rPr>
          <w:color w:val="auto"/>
          <w:sz w:val="22"/>
          <w:szCs w:val="22"/>
        </w:rPr>
      </w:pPr>
    </w:p>
    <w:p w:rsidR="00F0321F" w:rsidRDefault="00460091" w:rsidP="00F0321F">
      <w:pPr>
        <w:pStyle w:val="Default"/>
        <w:rPr>
          <w:color w:val="auto"/>
          <w:sz w:val="22"/>
          <w:szCs w:val="22"/>
        </w:rPr>
      </w:pPr>
      <w:r>
        <w:rPr>
          <w:b/>
          <w:bCs/>
          <w:color w:val="auto"/>
          <w:sz w:val="22"/>
          <w:szCs w:val="22"/>
        </w:rPr>
        <w:t xml:space="preserve">(IMP) </w:t>
      </w:r>
      <w:r w:rsidR="00F0321F">
        <w:rPr>
          <w:b/>
          <w:bCs/>
          <w:color w:val="auto"/>
          <w:sz w:val="22"/>
          <w:szCs w:val="22"/>
        </w:rPr>
        <w:t xml:space="preserve">2. Whether non-disclosure of a statutory requirement under law would amount to suppression for invoking the larger period of limitation under section 11A? </w:t>
      </w:r>
    </w:p>
    <w:p w:rsidR="00F0321F" w:rsidRDefault="00F0321F" w:rsidP="00F0321F">
      <w:pPr>
        <w:pStyle w:val="Default"/>
        <w:rPr>
          <w:color w:val="auto"/>
          <w:sz w:val="22"/>
          <w:szCs w:val="22"/>
        </w:rPr>
      </w:pPr>
      <w:r w:rsidRPr="00460091">
        <w:rPr>
          <w:b/>
          <w:bCs/>
          <w:i/>
          <w:iCs/>
          <w:color w:val="auto"/>
          <w:sz w:val="22"/>
          <w:szCs w:val="22"/>
          <w:highlight w:val="yellow"/>
        </w:rPr>
        <w:t>CC Ex. &amp; C v. Accrapac (India) Pvt. Ltd. 2010</w:t>
      </w:r>
    </w:p>
    <w:p w:rsidR="00F0321F" w:rsidRDefault="00F0321F" w:rsidP="005527EC">
      <w:pPr>
        <w:pStyle w:val="Default"/>
        <w:rPr>
          <w:color w:val="auto"/>
          <w:sz w:val="22"/>
          <w:szCs w:val="22"/>
        </w:rPr>
      </w:pPr>
      <w:r>
        <w:rPr>
          <w:b/>
          <w:bCs/>
          <w:color w:val="auto"/>
          <w:sz w:val="22"/>
          <w:szCs w:val="22"/>
        </w:rPr>
        <w:t xml:space="preserve">Decision of the case: </w:t>
      </w:r>
      <w:r w:rsidR="00460091">
        <w:rPr>
          <w:b/>
          <w:bCs/>
          <w:color w:val="auto"/>
          <w:sz w:val="22"/>
          <w:szCs w:val="22"/>
        </w:rPr>
        <w:t>No.</w:t>
      </w:r>
      <w:r>
        <w:rPr>
          <w:color w:val="auto"/>
          <w:sz w:val="22"/>
          <w:szCs w:val="22"/>
        </w:rPr>
        <w:t xml:space="preserve">The Tribunal noted that denaturing process in the cosmetic industry was a statutory requirement under the Medicinal &amp; Toilet Preparations (M&amp;TP) Act. Hence, </w:t>
      </w:r>
      <w:r>
        <w:rPr>
          <w:b/>
          <w:bCs/>
          <w:color w:val="auto"/>
          <w:sz w:val="22"/>
          <w:szCs w:val="22"/>
        </w:rPr>
        <w:t>failure on the part of the respondent to declare the same could not be held to be suppression as Department, knowing the fact that the respondent was manufacturing cosmetics, must have the knowledge of the said requirement</w:t>
      </w:r>
      <w:r>
        <w:rPr>
          <w:color w:val="auto"/>
          <w:sz w:val="22"/>
          <w:szCs w:val="22"/>
        </w:rPr>
        <w:t xml:space="preserve">. </w:t>
      </w:r>
    </w:p>
    <w:p w:rsidR="00F0321F" w:rsidRDefault="00F0321F" w:rsidP="00F0321F">
      <w:pPr>
        <w:pStyle w:val="Default"/>
        <w:rPr>
          <w:rFonts w:cstheme="minorBidi"/>
          <w:color w:val="auto"/>
          <w:sz w:val="22"/>
          <w:szCs w:val="22"/>
        </w:rPr>
      </w:pPr>
    </w:p>
    <w:p w:rsidR="00F0321F" w:rsidRDefault="00F0321F" w:rsidP="00F0321F">
      <w:pPr>
        <w:pStyle w:val="Default"/>
        <w:pageBreakBefore/>
        <w:rPr>
          <w:rFonts w:cstheme="minorBidi"/>
          <w:color w:val="auto"/>
          <w:sz w:val="96"/>
          <w:szCs w:val="96"/>
        </w:rPr>
      </w:pPr>
      <w:r>
        <w:rPr>
          <w:rFonts w:cstheme="minorBidi"/>
          <w:b/>
          <w:bCs/>
          <w:color w:val="auto"/>
          <w:sz w:val="96"/>
          <w:szCs w:val="96"/>
        </w:rPr>
        <w:lastRenderedPageBreak/>
        <w:t xml:space="preserve">6 </w:t>
      </w:r>
    </w:p>
    <w:p w:rsidR="00F0321F" w:rsidRDefault="00F0321F" w:rsidP="00F0321F">
      <w:pPr>
        <w:pStyle w:val="Default"/>
        <w:rPr>
          <w:rFonts w:cstheme="minorBidi"/>
          <w:color w:val="auto"/>
          <w:sz w:val="38"/>
          <w:szCs w:val="38"/>
        </w:rPr>
      </w:pPr>
      <w:r>
        <w:rPr>
          <w:rFonts w:cstheme="minorBidi"/>
          <w:b/>
          <w:bCs/>
          <w:color w:val="auto"/>
          <w:sz w:val="48"/>
          <w:szCs w:val="48"/>
        </w:rPr>
        <w:t>R</w:t>
      </w:r>
      <w:r>
        <w:rPr>
          <w:rFonts w:cstheme="minorBidi"/>
          <w:b/>
          <w:bCs/>
          <w:color w:val="auto"/>
          <w:sz w:val="38"/>
          <w:szCs w:val="38"/>
        </w:rPr>
        <w:t xml:space="preserve">EFUND </w:t>
      </w:r>
    </w:p>
    <w:p w:rsidR="00F0321F" w:rsidRDefault="00F0321F" w:rsidP="00F0321F">
      <w:pPr>
        <w:pStyle w:val="Default"/>
        <w:rPr>
          <w:rFonts w:cstheme="minorBidi"/>
          <w:color w:val="auto"/>
          <w:sz w:val="22"/>
          <w:szCs w:val="22"/>
        </w:rPr>
      </w:pPr>
      <w:r>
        <w:rPr>
          <w:rFonts w:cstheme="minorBidi"/>
          <w:b/>
          <w:bCs/>
          <w:color w:val="auto"/>
          <w:sz w:val="22"/>
          <w:szCs w:val="22"/>
        </w:rPr>
        <w:t xml:space="preserve">Section 11BB of the Central Excise Act, 1944 </w:t>
      </w:r>
    </w:p>
    <w:p w:rsidR="00F0321F" w:rsidRDefault="00F0321F" w:rsidP="00F0321F">
      <w:pPr>
        <w:pStyle w:val="Default"/>
        <w:rPr>
          <w:rFonts w:cstheme="minorBidi"/>
          <w:color w:val="auto"/>
          <w:sz w:val="22"/>
          <w:szCs w:val="22"/>
        </w:rPr>
      </w:pPr>
      <w:r>
        <w:rPr>
          <w:rFonts w:cstheme="minorBidi"/>
          <w:b/>
          <w:bCs/>
          <w:color w:val="auto"/>
          <w:sz w:val="22"/>
          <w:szCs w:val="22"/>
        </w:rPr>
        <w:t xml:space="preserve">1. What is the date of commencement of the period for the purpose of computing interest on delayed refunds under section 11BB- the date of receipt of application for refund or date on which the order of refund is made? </w:t>
      </w:r>
    </w:p>
    <w:p w:rsidR="00F0321F" w:rsidRDefault="00F0321F" w:rsidP="00F0321F">
      <w:pPr>
        <w:pStyle w:val="Default"/>
        <w:rPr>
          <w:color w:val="auto"/>
          <w:sz w:val="22"/>
          <w:szCs w:val="22"/>
        </w:rPr>
      </w:pPr>
      <w:r w:rsidRPr="005527EC">
        <w:rPr>
          <w:b/>
          <w:bCs/>
          <w:i/>
          <w:iCs/>
          <w:color w:val="auto"/>
          <w:sz w:val="22"/>
          <w:szCs w:val="22"/>
          <w:highlight w:val="yellow"/>
        </w:rPr>
        <w:t>Ranbaxy Laboratories Ltd. v. UOI 2011 (273) E.L.T. 3 (SC)</w:t>
      </w:r>
    </w:p>
    <w:p w:rsidR="00F0321F" w:rsidRDefault="00F0321F" w:rsidP="00F0321F">
      <w:pPr>
        <w:pStyle w:val="Default"/>
        <w:rPr>
          <w:color w:val="auto"/>
          <w:sz w:val="22"/>
          <w:szCs w:val="22"/>
        </w:rPr>
      </w:pPr>
      <w:r>
        <w:rPr>
          <w:b/>
          <w:bCs/>
          <w:color w:val="auto"/>
          <w:sz w:val="22"/>
          <w:szCs w:val="22"/>
        </w:rPr>
        <w:t xml:space="preserve">Decision of the case: </w:t>
      </w:r>
      <w:r w:rsidR="00DC35A3">
        <w:rPr>
          <w:b/>
          <w:bCs/>
          <w:color w:val="auto"/>
          <w:sz w:val="22"/>
          <w:szCs w:val="22"/>
        </w:rPr>
        <w:t>I</w:t>
      </w:r>
      <w:r>
        <w:rPr>
          <w:color w:val="auto"/>
          <w:sz w:val="22"/>
          <w:szCs w:val="22"/>
        </w:rPr>
        <w:t xml:space="preserve">nterest under the said section becomes payable on the expiry of a period of three months from the </w:t>
      </w:r>
      <w:r w:rsidRPr="00DC35A3">
        <w:rPr>
          <w:color w:val="auto"/>
          <w:sz w:val="22"/>
          <w:szCs w:val="22"/>
          <w:highlight w:val="yellow"/>
        </w:rPr>
        <w:t>date of receipt of the application</w:t>
      </w:r>
      <w:r w:rsidR="00DC35A3">
        <w:rPr>
          <w:color w:val="auto"/>
          <w:sz w:val="22"/>
          <w:szCs w:val="22"/>
        </w:rPr>
        <w:t xml:space="preserve"> under section 11B (1).</w:t>
      </w:r>
    </w:p>
    <w:p w:rsidR="00DC35A3" w:rsidRDefault="00DC35A3" w:rsidP="00F0321F">
      <w:pPr>
        <w:pStyle w:val="Default"/>
        <w:rPr>
          <w:b/>
          <w:bCs/>
          <w:color w:val="auto"/>
          <w:sz w:val="22"/>
          <w:szCs w:val="22"/>
        </w:rPr>
      </w:pPr>
    </w:p>
    <w:p w:rsidR="00F0321F" w:rsidRDefault="00F0321F" w:rsidP="00F0321F">
      <w:pPr>
        <w:pStyle w:val="Default"/>
        <w:rPr>
          <w:color w:val="auto"/>
          <w:sz w:val="22"/>
          <w:szCs w:val="22"/>
        </w:rPr>
      </w:pPr>
      <w:r>
        <w:rPr>
          <w:b/>
          <w:bCs/>
          <w:color w:val="auto"/>
          <w:sz w:val="22"/>
          <w:szCs w:val="22"/>
        </w:rPr>
        <w:t xml:space="preserve">2. Can the excess duty paid by the seller be refunded on the basis of the debit note issued by the buyer? </w:t>
      </w:r>
    </w:p>
    <w:p w:rsidR="00F0321F" w:rsidRDefault="00F0321F" w:rsidP="00F0321F">
      <w:pPr>
        <w:pStyle w:val="Default"/>
        <w:rPr>
          <w:color w:val="auto"/>
          <w:sz w:val="22"/>
          <w:szCs w:val="22"/>
        </w:rPr>
      </w:pPr>
      <w:r w:rsidRPr="00DC35A3">
        <w:rPr>
          <w:b/>
          <w:bCs/>
          <w:i/>
          <w:iCs/>
          <w:color w:val="auto"/>
          <w:sz w:val="22"/>
          <w:szCs w:val="22"/>
          <w:highlight w:val="yellow"/>
        </w:rPr>
        <w:t>CCE v. Techno Rubber Industrie</w:t>
      </w:r>
      <w:r w:rsidR="00DC35A3" w:rsidRPr="00DC35A3">
        <w:rPr>
          <w:b/>
          <w:bCs/>
          <w:i/>
          <w:iCs/>
          <w:color w:val="auto"/>
          <w:sz w:val="22"/>
          <w:szCs w:val="22"/>
          <w:highlight w:val="yellow"/>
        </w:rPr>
        <w:t xml:space="preserve">s Pvt Ltd. 2011 </w:t>
      </w:r>
      <w:r w:rsidRPr="00DC35A3">
        <w:rPr>
          <w:b/>
          <w:bCs/>
          <w:i/>
          <w:iCs/>
          <w:color w:val="auto"/>
          <w:sz w:val="22"/>
          <w:szCs w:val="22"/>
          <w:highlight w:val="yellow"/>
        </w:rPr>
        <w:t xml:space="preserve"> (Kar.)</w:t>
      </w:r>
      <w:r>
        <w:rPr>
          <w:b/>
          <w:bCs/>
          <w:i/>
          <w:iCs/>
          <w:color w:val="auto"/>
          <w:sz w:val="22"/>
          <w:szCs w:val="22"/>
        </w:rPr>
        <w:t xml:space="preserve"> </w:t>
      </w:r>
    </w:p>
    <w:p w:rsidR="00F0321F" w:rsidRDefault="00F0321F" w:rsidP="00F0321F">
      <w:pPr>
        <w:pStyle w:val="Default"/>
        <w:rPr>
          <w:color w:val="auto"/>
          <w:sz w:val="22"/>
          <w:szCs w:val="22"/>
        </w:rPr>
      </w:pPr>
      <w:r>
        <w:rPr>
          <w:b/>
          <w:bCs/>
          <w:color w:val="auto"/>
          <w:sz w:val="22"/>
          <w:szCs w:val="22"/>
        </w:rPr>
        <w:t xml:space="preserve">Decision of the case: </w:t>
      </w:r>
      <w:r w:rsidR="00893838">
        <w:rPr>
          <w:b/>
          <w:bCs/>
          <w:color w:val="auto"/>
          <w:sz w:val="22"/>
          <w:szCs w:val="22"/>
        </w:rPr>
        <w:t>Yes.</w:t>
      </w:r>
      <w:r>
        <w:rPr>
          <w:color w:val="auto"/>
          <w:sz w:val="22"/>
          <w:szCs w:val="22"/>
        </w:rPr>
        <w:t>The High Court elucidated that once it is admitted that the Department has received excess duty, they are bound to refund it to the person who has paid the excess duty</w:t>
      </w:r>
      <w:r w:rsidR="00893838">
        <w:rPr>
          <w:color w:val="auto"/>
          <w:sz w:val="22"/>
          <w:szCs w:val="22"/>
        </w:rPr>
        <w:t xml:space="preserve"> to the person who have born the duty burden</w:t>
      </w:r>
      <w:r>
        <w:rPr>
          <w:color w:val="auto"/>
          <w:sz w:val="22"/>
          <w:szCs w:val="22"/>
        </w:rPr>
        <w:t xml:space="preserve">. If the buyer of the goods has paid that excess duty, he would have been entitled to the said refund. </w:t>
      </w:r>
    </w:p>
    <w:p w:rsidR="00F0321F" w:rsidRDefault="00F0321F" w:rsidP="00F0321F">
      <w:pPr>
        <w:pStyle w:val="Default"/>
        <w:rPr>
          <w:color w:val="auto"/>
          <w:sz w:val="22"/>
          <w:szCs w:val="22"/>
        </w:rPr>
      </w:pPr>
      <w:r>
        <w:rPr>
          <w:color w:val="auto"/>
          <w:sz w:val="22"/>
          <w:szCs w:val="22"/>
        </w:rPr>
        <w:t xml:space="preserve">In the instant case, when the buyer had refused to pay excess duty claimed and had raised a debit note, </w:t>
      </w:r>
      <w:r w:rsidR="00893838">
        <w:rPr>
          <w:color w:val="auto"/>
          <w:sz w:val="22"/>
          <w:szCs w:val="22"/>
        </w:rPr>
        <w:t>the duty burden is to be born by the assessee hence eligible for credit.</w:t>
      </w:r>
    </w:p>
    <w:p w:rsidR="00893838" w:rsidRDefault="00893838" w:rsidP="00F0321F">
      <w:pPr>
        <w:pStyle w:val="Default"/>
        <w:rPr>
          <w:color w:val="auto"/>
          <w:sz w:val="22"/>
          <w:szCs w:val="22"/>
        </w:rPr>
      </w:pPr>
    </w:p>
    <w:p w:rsidR="00F0321F" w:rsidRDefault="00F0321F" w:rsidP="00F0321F">
      <w:pPr>
        <w:pStyle w:val="Default"/>
        <w:rPr>
          <w:color w:val="auto"/>
          <w:sz w:val="22"/>
          <w:szCs w:val="22"/>
        </w:rPr>
      </w:pPr>
      <w:r>
        <w:rPr>
          <w:b/>
          <w:bCs/>
          <w:color w:val="auto"/>
          <w:sz w:val="22"/>
          <w:szCs w:val="22"/>
        </w:rPr>
        <w:t xml:space="preserve">3. Merely because assessee has sustained loss more than the refund claim, is it justifiable to hold that it is not a case of unjust enrichment even though the assessee failed to establish non-inclusion of duty in the cost of production? </w:t>
      </w:r>
    </w:p>
    <w:p w:rsidR="00F0321F" w:rsidRDefault="00F0321F" w:rsidP="00F0321F">
      <w:pPr>
        <w:pStyle w:val="Default"/>
        <w:rPr>
          <w:color w:val="auto"/>
          <w:sz w:val="22"/>
          <w:szCs w:val="22"/>
        </w:rPr>
      </w:pPr>
      <w:r w:rsidRPr="00893838">
        <w:rPr>
          <w:b/>
          <w:bCs/>
          <w:i/>
          <w:iCs/>
          <w:color w:val="auto"/>
          <w:sz w:val="22"/>
          <w:szCs w:val="22"/>
          <w:highlight w:val="yellow"/>
        </w:rPr>
        <w:t>CCE v. Gem Properties (P) Ltd. 2010 (257) E.L.T. 222 (Kar.)</w:t>
      </w:r>
      <w:r>
        <w:rPr>
          <w:b/>
          <w:bCs/>
          <w:i/>
          <w:iCs/>
          <w:color w:val="auto"/>
          <w:sz w:val="22"/>
          <w:szCs w:val="22"/>
        </w:rPr>
        <w:t xml:space="preserve"> </w:t>
      </w:r>
    </w:p>
    <w:p w:rsidR="00227FEA" w:rsidRDefault="00F0321F" w:rsidP="00F0321F">
      <w:pPr>
        <w:pStyle w:val="Default"/>
        <w:rPr>
          <w:color w:val="auto"/>
          <w:sz w:val="22"/>
          <w:szCs w:val="22"/>
        </w:rPr>
      </w:pPr>
      <w:r>
        <w:rPr>
          <w:b/>
          <w:bCs/>
          <w:color w:val="auto"/>
          <w:sz w:val="22"/>
          <w:szCs w:val="22"/>
        </w:rPr>
        <w:t>Decision of the case:</w:t>
      </w:r>
      <w:r w:rsidR="003418AE">
        <w:rPr>
          <w:b/>
          <w:bCs/>
          <w:color w:val="auto"/>
          <w:sz w:val="22"/>
          <w:szCs w:val="22"/>
        </w:rPr>
        <w:t>No(</w:t>
      </w:r>
      <w:r>
        <w:rPr>
          <w:color w:val="auto"/>
          <w:sz w:val="22"/>
          <w:szCs w:val="22"/>
        </w:rPr>
        <w:t>The High Court answered the question of law in favour of the Revenue.</w:t>
      </w:r>
      <w:r w:rsidR="003418AE">
        <w:rPr>
          <w:color w:val="auto"/>
          <w:sz w:val="22"/>
          <w:szCs w:val="22"/>
        </w:rPr>
        <w:t>)</w:t>
      </w:r>
    </w:p>
    <w:p w:rsidR="00F0321F" w:rsidRDefault="00F0321F" w:rsidP="00F0321F">
      <w:pPr>
        <w:pStyle w:val="Default"/>
        <w:rPr>
          <w:color w:val="auto"/>
          <w:sz w:val="22"/>
          <w:szCs w:val="22"/>
        </w:rPr>
      </w:pPr>
      <w:r>
        <w:rPr>
          <w:color w:val="auto"/>
          <w:sz w:val="22"/>
          <w:szCs w:val="22"/>
        </w:rPr>
        <w:t xml:space="preserve">The Court elucidated that merely because the assessee had sustained the loss in the relevant year, could not be a ground to hold it had not been a case of unjust enrichment. </w:t>
      </w:r>
      <w:r>
        <w:rPr>
          <w:b/>
          <w:bCs/>
          <w:color w:val="auto"/>
          <w:sz w:val="22"/>
          <w:szCs w:val="22"/>
        </w:rPr>
        <w:t>It was evident from the Chartered Accountant’s certificate that the cost of the duty was included while computing the cost of production of the material</w:t>
      </w:r>
      <w:r>
        <w:rPr>
          <w:color w:val="auto"/>
          <w:sz w:val="22"/>
          <w:szCs w:val="22"/>
        </w:rPr>
        <w:t xml:space="preserve">. Therefore, on facts of the case, the High Court held that </w:t>
      </w:r>
      <w:r>
        <w:rPr>
          <w:b/>
          <w:bCs/>
          <w:color w:val="auto"/>
          <w:sz w:val="22"/>
          <w:szCs w:val="22"/>
        </w:rPr>
        <w:t>assessee could not be granted relief since it had failed to establish that the cost of the duty was not included while computing the cost of the products</w:t>
      </w:r>
      <w:r>
        <w:rPr>
          <w:color w:val="auto"/>
          <w:sz w:val="22"/>
          <w:szCs w:val="22"/>
        </w:rPr>
        <w:t xml:space="preserve">. </w:t>
      </w:r>
    </w:p>
    <w:p w:rsidR="003418AE" w:rsidRDefault="003418AE" w:rsidP="00F0321F">
      <w:pPr>
        <w:pStyle w:val="Default"/>
        <w:rPr>
          <w:color w:val="auto"/>
          <w:sz w:val="22"/>
          <w:szCs w:val="22"/>
        </w:rPr>
      </w:pPr>
      <w:r>
        <w:rPr>
          <w:color w:val="auto"/>
          <w:sz w:val="22"/>
          <w:szCs w:val="22"/>
        </w:rPr>
        <w:t>Note: It refund should have granted than it was a case of unjust enrichment since duty burden has passed (goods sold inclusive of duty)</w:t>
      </w:r>
    </w:p>
    <w:p w:rsidR="00F0321F" w:rsidRDefault="00F0321F" w:rsidP="00F0321F">
      <w:pPr>
        <w:pStyle w:val="Default"/>
        <w:rPr>
          <w:rFonts w:cstheme="minorBidi"/>
          <w:color w:val="auto"/>
          <w:sz w:val="22"/>
          <w:szCs w:val="22"/>
        </w:rPr>
      </w:pPr>
    </w:p>
    <w:p w:rsidR="00F0321F" w:rsidRDefault="00F0321F" w:rsidP="00F0321F">
      <w:pPr>
        <w:pStyle w:val="Default"/>
        <w:pageBreakBefore/>
        <w:rPr>
          <w:rFonts w:cstheme="minorBidi"/>
          <w:color w:val="auto"/>
          <w:sz w:val="96"/>
          <w:szCs w:val="96"/>
        </w:rPr>
      </w:pPr>
      <w:r>
        <w:rPr>
          <w:rFonts w:cstheme="minorBidi"/>
          <w:b/>
          <w:bCs/>
          <w:color w:val="auto"/>
          <w:sz w:val="96"/>
          <w:szCs w:val="96"/>
        </w:rPr>
        <w:lastRenderedPageBreak/>
        <w:t xml:space="preserve">7 </w:t>
      </w:r>
    </w:p>
    <w:p w:rsidR="00F0321F" w:rsidRDefault="00F0321F" w:rsidP="00F0321F">
      <w:pPr>
        <w:pStyle w:val="Default"/>
        <w:rPr>
          <w:rFonts w:cstheme="minorBidi"/>
          <w:color w:val="auto"/>
          <w:sz w:val="48"/>
          <w:szCs w:val="48"/>
        </w:rPr>
      </w:pPr>
      <w:r>
        <w:rPr>
          <w:rFonts w:cstheme="minorBidi"/>
          <w:b/>
          <w:bCs/>
          <w:color w:val="auto"/>
          <w:sz w:val="48"/>
          <w:szCs w:val="48"/>
        </w:rPr>
        <w:t xml:space="preserve">APPEALS </w:t>
      </w:r>
    </w:p>
    <w:p w:rsidR="00F0321F" w:rsidRDefault="00F0321F" w:rsidP="00F0321F">
      <w:pPr>
        <w:pStyle w:val="Default"/>
        <w:rPr>
          <w:rFonts w:cstheme="minorBidi"/>
          <w:color w:val="auto"/>
          <w:sz w:val="22"/>
          <w:szCs w:val="22"/>
        </w:rPr>
      </w:pPr>
      <w:r>
        <w:rPr>
          <w:rFonts w:cstheme="minorBidi"/>
          <w:b/>
          <w:bCs/>
          <w:color w:val="auto"/>
          <w:sz w:val="22"/>
          <w:szCs w:val="22"/>
        </w:rPr>
        <w:t xml:space="preserve">1. Can re-appreciation of evidence by CESTAT be considered to be rectification of mistake apparent on record under section 35C(2) of the Central Excise Act, 1944? </w:t>
      </w:r>
    </w:p>
    <w:p w:rsidR="00F0321F" w:rsidRDefault="00F0321F" w:rsidP="00F0321F">
      <w:pPr>
        <w:pStyle w:val="Default"/>
        <w:rPr>
          <w:color w:val="auto"/>
          <w:sz w:val="22"/>
          <w:szCs w:val="22"/>
        </w:rPr>
      </w:pPr>
      <w:r w:rsidRPr="00EF14D2">
        <w:rPr>
          <w:b/>
          <w:bCs/>
          <w:i/>
          <w:iCs/>
          <w:color w:val="auto"/>
          <w:sz w:val="22"/>
          <w:szCs w:val="22"/>
          <w:highlight w:val="yellow"/>
        </w:rPr>
        <w:t>CCE v. RDC Concrete (India) Pvt. Ltd. 2011 (270) E.L.T. 625 (S.C.)</w:t>
      </w:r>
      <w:r>
        <w:rPr>
          <w:b/>
          <w:bCs/>
          <w:i/>
          <w:iCs/>
          <w:color w:val="auto"/>
          <w:sz w:val="22"/>
          <w:szCs w:val="22"/>
        </w:rPr>
        <w:t xml:space="preserve"> </w:t>
      </w:r>
    </w:p>
    <w:p w:rsidR="00F0321F" w:rsidRDefault="00F0321F" w:rsidP="00F0321F">
      <w:pPr>
        <w:pStyle w:val="Default"/>
        <w:rPr>
          <w:color w:val="auto"/>
          <w:sz w:val="22"/>
          <w:szCs w:val="22"/>
        </w:rPr>
      </w:pPr>
      <w:r>
        <w:rPr>
          <w:b/>
          <w:bCs/>
          <w:color w:val="auto"/>
          <w:sz w:val="22"/>
          <w:szCs w:val="22"/>
        </w:rPr>
        <w:t>Decision of the case:</w:t>
      </w:r>
      <w:r w:rsidR="00852545">
        <w:rPr>
          <w:b/>
          <w:bCs/>
          <w:color w:val="auto"/>
          <w:sz w:val="22"/>
          <w:szCs w:val="22"/>
        </w:rPr>
        <w:t>No.</w:t>
      </w:r>
      <w:r>
        <w:rPr>
          <w:color w:val="auto"/>
          <w:sz w:val="22"/>
          <w:szCs w:val="22"/>
        </w:rPr>
        <w:t xml:space="preserve">The Apex Court elucidated that re-appreciation of evidence on a debatable point cannot be said to be rectification of mistake apparent on record. It is a well settled law that a mistake apparent on record must be an obvious and patent mistake and the mistake should not be such which can be established by a long drawn process of reasoning. </w:t>
      </w:r>
    </w:p>
    <w:p w:rsidR="00F0321F" w:rsidRDefault="00F0321F" w:rsidP="00F0321F">
      <w:pPr>
        <w:pStyle w:val="Default"/>
        <w:rPr>
          <w:color w:val="auto"/>
          <w:sz w:val="22"/>
          <w:szCs w:val="22"/>
        </w:rPr>
      </w:pPr>
      <w:r>
        <w:rPr>
          <w:b/>
          <w:bCs/>
          <w:color w:val="auto"/>
          <w:sz w:val="22"/>
          <w:szCs w:val="22"/>
        </w:rPr>
        <w:t xml:space="preserve">2. Is the CESTAT order disposing appeal on a totally new ground sustainable? </w:t>
      </w:r>
    </w:p>
    <w:p w:rsidR="00374125" w:rsidRDefault="00F0321F" w:rsidP="00156A14">
      <w:pPr>
        <w:pStyle w:val="Default"/>
        <w:rPr>
          <w:color w:val="auto"/>
          <w:sz w:val="22"/>
          <w:szCs w:val="22"/>
        </w:rPr>
      </w:pPr>
      <w:r w:rsidRPr="00156A14">
        <w:rPr>
          <w:b/>
          <w:bCs/>
          <w:i/>
          <w:iCs/>
          <w:color w:val="auto"/>
          <w:sz w:val="22"/>
          <w:szCs w:val="22"/>
          <w:highlight w:val="yellow"/>
        </w:rPr>
        <w:t>CCE v. Gujchem D</w:t>
      </w:r>
      <w:r w:rsidR="00156A14" w:rsidRPr="00156A14">
        <w:rPr>
          <w:b/>
          <w:bCs/>
          <w:i/>
          <w:iCs/>
          <w:color w:val="auto"/>
          <w:sz w:val="22"/>
          <w:szCs w:val="22"/>
          <w:highlight w:val="yellow"/>
        </w:rPr>
        <w:t xml:space="preserve">istillers 2011 </w:t>
      </w:r>
      <w:r w:rsidRPr="00156A14">
        <w:rPr>
          <w:b/>
          <w:bCs/>
          <w:i/>
          <w:iCs/>
          <w:color w:val="auto"/>
          <w:sz w:val="22"/>
          <w:szCs w:val="22"/>
          <w:highlight w:val="yellow"/>
        </w:rPr>
        <w:t>(Bom.)</w:t>
      </w:r>
      <w:r>
        <w:rPr>
          <w:b/>
          <w:bCs/>
          <w:i/>
          <w:iCs/>
          <w:color w:val="auto"/>
          <w:sz w:val="22"/>
          <w:szCs w:val="22"/>
        </w:rPr>
        <w:t xml:space="preserve"> </w:t>
      </w:r>
    </w:p>
    <w:p w:rsidR="00F0321F" w:rsidRDefault="00BC78EF" w:rsidP="00156A14">
      <w:pPr>
        <w:pStyle w:val="Default"/>
        <w:rPr>
          <w:color w:val="auto"/>
          <w:sz w:val="22"/>
          <w:szCs w:val="22"/>
        </w:rPr>
      </w:pPr>
      <w:r>
        <w:rPr>
          <w:color w:val="auto"/>
          <w:sz w:val="22"/>
          <w:szCs w:val="22"/>
        </w:rPr>
        <w:t>No.</w:t>
      </w:r>
      <w:r w:rsidR="00F0321F">
        <w:rPr>
          <w:color w:val="auto"/>
          <w:sz w:val="22"/>
          <w:szCs w:val="22"/>
        </w:rPr>
        <w:t xml:space="preserve"> </w:t>
      </w:r>
    </w:p>
    <w:p w:rsidR="00F0321F" w:rsidRDefault="00F0321F" w:rsidP="00F0321F">
      <w:pPr>
        <w:pStyle w:val="Default"/>
        <w:rPr>
          <w:color w:val="auto"/>
          <w:sz w:val="22"/>
          <w:szCs w:val="22"/>
        </w:rPr>
      </w:pPr>
      <w:r>
        <w:rPr>
          <w:color w:val="auto"/>
          <w:sz w:val="22"/>
          <w:szCs w:val="22"/>
        </w:rPr>
        <w:t xml:space="preserve">The High Court explained that had the CESTAT not been satisfied with the approach of the adjudicating authority, it </w:t>
      </w:r>
      <w:r w:rsidRPr="00BC78EF">
        <w:rPr>
          <w:color w:val="auto"/>
          <w:sz w:val="22"/>
          <w:szCs w:val="22"/>
          <w:u w:val="single"/>
        </w:rPr>
        <w:t>should have remanded the matter back to the adjudicating authority</w:t>
      </w:r>
      <w:r>
        <w:rPr>
          <w:color w:val="auto"/>
          <w:sz w:val="22"/>
          <w:szCs w:val="22"/>
        </w:rPr>
        <w:t xml:space="preserve">. However, it could not have assumed to itself the jurisdiction to decide the appeal on a ground which had not been urged before the lower authorities. </w:t>
      </w:r>
    </w:p>
    <w:p w:rsidR="00F0321F" w:rsidRDefault="00F0321F" w:rsidP="00F0321F">
      <w:pPr>
        <w:pStyle w:val="Default"/>
        <w:rPr>
          <w:rFonts w:cstheme="minorBidi"/>
          <w:color w:val="auto"/>
          <w:sz w:val="22"/>
          <w:szCs w:val="22"/>
        </w:rPr>
      </w:pPr>
      <w:r>
        <w:rPr>
          <w:rFonts w:cstheme="minorBidi"/>
          <w:b/>
          <w:bCs/>
          <w:color w:val="auto"/>
          <w:sz w:val="22"/>
          <w:szCs w:val="22"/>
        </w:rPr>
        <w:t xml:space="preserve"> </w:t>
      </w:r>
    </w:p>
    <w:p w:rsidR="00F0321F" w:rsidRDefault="00F0321F" w:rsidP="00F0321F">
      <w:pPr>
        <w:pStyle w:val="Default"/>
        <w:pageBreakBefore/>
        <w:rPr>
          <w:rFonts w:cstheme="minorBidi"/>
          <w:color w:val="auto"/>
          <w:sz w:val="96"/>
          <w:szCs w:val="96"/>
        </w:rPr>
      </w:pPr>
      <w:r>
        <w:rPr>
          <w:rFonts w:cstheme="minorBidi"/>
          <w:b/>
          <w:bCs/>
          <w:color w:val="auto"/>
          <w:sz w:val="96"/>
          <w:szCs w:val="96"/>
        </w:rPr>
        <w:lastRenderedPageBreak/>
        <w:t xml:space="preserve">8 </w:t>
      </w:r>
    </w:p>
    <w:p w:rsidR="00F0321F" w:rsidRDefault="00F0321F" w:rsidP="00F0321F">
      <w:pPr>
        <w:pStyle w:val="Default"/>
        <w:rPr>
          <w:rFonts w:cstheme="minorBidi"/>
          <w:color w:val="auto"/>
          <w:sz w:val="48"/>
          <w:szCs w:val="48"/>
        </w:rPr>
      </w:pPr>
      <w:r>
        <w:rPr>
          <w:rFonts w:cstheme="minorBidi"/>
          <w:b/>
          <w:bCs/>
          <w:color w:val="auto"/>
          <w:sz w:val="48"/>
          <w:szCs w:val="48"/>
        </w:rPr>
        <w:t>E</w:t>
      </w:r>
      <w:r>
        <w:rPr>
          <w:rFonts w:cstheme="minorBidi"/>
          <w:b/>
          <w:bCs/>
          <w:color w:val="auto"/>
          <w:sz w:val="38"/>
          <w:szCs w:val="38"/>
        </w:rPr>
        <w:t xml:space="preserve">XEMPTION </w:t>
      </w:r>
      <w:r>
        <w:rPr>
          <w:rFonts w:cstheme="minorBidi"/>
          <w:b/>
          <w:bCs/>
          <w:color w:val="auto"/>
          <w:sz w:val="48"/>
          <w:szCs w:val="48"/>
        </w:rPr>
        <w:t>B</w:t>
      </w:r>
      <w:r>
        <w:rPr>
          <w:rFonts w:cstheme="minorBidi"/>
          <w:b/>
          <w:bCs/>
          <w:color w:val="auto"/>
          <w:sz w:val="38"/>
          <w:szCs w:val="38"/>
        </w:rPr>
        <w:t xml:space="preserve">ASED </w:t>
      </w:r>
      <w:r>
        <w:rPr>
          <w:rFonts w:cstheme="minorBidi"/>
          <w:b/>
          <w:bCs/>
          <w:color w:val="auto"/>
          <w:sz w:val="48"/>
          <w:szCs w:val="48"/>
        </w:rPr>
        <w:t>O</w:t>
      </w:r>
      <w:r>
        <w:rPr>
          <w:rFonts w:cstheme="minorBidi"/>
          <w:b/>
          <w:bCs/>
          <w:color w:val="auto"/>
          <w:sz w:val="38"/>
          <w:szCs w:val="38"/>
        </w:rPr>
        <w:t xml:space="preserve">N </w:t>
      </w:r>
      <w:r>
        <w:rPr>
          <w:rFonts w:cstheme="minorBidi"/>
          <w:b/>
          <w:bCs/>
          <w:color w:val="auto"/>
          <w:sz w:val="48"/>
          <w:szCs w:val="48"/>
        </w:rPr>
        <w:t>V</w:t>
      </w:r>
      <w:r>
        <w:rPr>
          <w:rFonts w:cstheme="minorBidi"/>
          <w:b/>
          <w:bCs/>
          <w:color w:val="auto"/>
          <w:sz w:val="38"/>
          <w:szCs w:val="38"/>
        </w:rPr>
        <w:t xml:space="preserve">ALUE </w:t>
      </w:r>
      <w:r>
        <w:rPr>
          <w:rFonts w:cstheme="minorBidi"/>
          <w:b/>
          <w:bCs/>
          <w:color w:val="auto"/>
          <w:sz w:val="48"/>
          <w:szCs w:val="48"/>
        </w:rPr>
        <w:t>O</w:t>
      </w:r>
      <w:r>
        <w:rPr>
          <w:rFonts w:cstheme="minorBidi"/>
          <w:b/>
          <w:bCs/>
          <w:color w:val="auto"/>
          <w:sz w:val="38"/>
          <w:szCs w:val="38"/>
        </w:rPr>
        <w:t xml:space="preserve">F </w:t>
      </w:r>
      <w:r>
        <w:rPr>
          <w:rFonts w:cstheme="minorBidi"/>
          <w:b/>
          <w:bCs/>
          <w:color w:val="auto"/>
          <w:sz w:val="48"/>
          <w:szCs w:val="48"/>
        </w:rPr>
        <w:t>C</w:t>
      </w:r>
      <w:r>
        <w:rPr>
          <w:rFonts w:cstheme="minorBidi"/>
          <w:b/>
          <w:bCs/>
          <w:color w:val="auto"/>
          <w:sz w:val="38"/>
          <w:szCs w:val="38"/>
        </w:rPr>
        <w:t xml:space="preserve">LEARANCES </w:t>
      </w:r>
      <w:r>
        <w:rPr>
          <w:rFonts w:cstheme="minorBidi"/>
          <w:b/>
          <w:bCs/>
          <w:color w:val="auto"/>
          <w:sz w:val="48"/>
          <w:szCs w:val="48"/>
        </w:rPr>
        <w:t xml:space="preserve">(SSI) </w:t>
      </w:r>
    </w:p>
    <w:p w:rsidR="00F0321F" w:rsidRDefault="00F0321F" w:rsidP="00F0321F">
      <w:pPr>
        <w:pStyle w:val="Default"/>
        <w:rPr>
          <w:rFonts w:cstheme="minorBidi"/>
          <w:color w:val="auto"/>
          <w:sz w:val="22"/>
          <w:szCs w:val="22"/>
        </w:rPr>
      </w:pPr>
      <w:r>
        <w:rPr>
          <w:rFonts w:cstheme="minorBidi"/>
          <w:b/>
          <w:bCs/>
          <w:color w:val="auto"/>
          <w:sz w:val="22"/>
          <w:szCs w:val="22"/>
        </w:rPr>
        <w:t xml:space="preserve">1. Whether the clearances of two firms having common brand name, goods being manufactured in the same factory premises, having common management and accounts etc. can be clubbed for the purposes of SSI exemption? </w:t>
      </w:r>
    </w:p>
    <w:p w:rsidR="00F0321F" w:rsidRDefault="00F0321F" w:rsidP="00F0321F">
      <w:pPr>
        <w:pStyle w:val="Default"/>
        <w:rPr>
          <w:b/>
          <w:bCs/>
          <w:i/>
          <w:iCs/>
          <w:color w:val="auto"/>
          <w:sz w:val="22"/>
          <w:szCs w:val="22"/>
        </w:rPr>
      </w:pPr>
      <w:r w:rsidRPr="00BC78EF">
        <w:rPr>
          <w:b/>
          <w:bCs/>
          <w:i/>
          <w:iCs/>
          <w:color w:val="auto"/>
          <w:sz w:val="22"/>
          <w:szCs w:val="22"/>
          <w:highlight w:val="yellow"/>
        </w:rPr>
        <w:t>CCE v. Deora Engineering Works 2010 (255)</w:t>
      </w:r>
    </w:p>
    <w:p w:rsidR="00BC78EF" w:rsidRDefault="00BC78EF" w:rsidP="00F0321F">
      <w:pPr>
        <w:pStyle w:val="Default"/>
        <w:rPr>
          <w:color w:val="auto"/>
          <w:sz w:val="22"/>
          <w:szCs w:val="22"/>
        </w:rPr>
      </w:pPr>
      <w:r>
        <w:rPr>
          <w:b/>
          <w:bCs/>
          <w:i/>
          <w:iCs/>
          <w:color w:val="auto"/>
          <w:sz w:val="22"/>
          <w:szCs w:val="22"/>
        </w:rPr>
        <w:t>Yes.</w:t>
      </w:r>
    </w:p>
    <w:p w:rsidR="00F0321F" w:rsidRDefault="00F0321F" w:rsidP="00F0321F">
      <w:pPr>
        <w:pStyle w:val="Default"/>
        <w:rPr>
          <w:color w:val="auto"/>
          <w:sz w:val="22"/>
          <w:szCs w:val="22"/>
        </w:rPr>
      </w:pPr>
      <w:r>
        <w:rPr>
          <w:color w:val="auto"/>
          <w:sz w:val="22"/>
          <w:szCs w:val="22"/>
        </w:rPr>
        <w:t xml:space="preserve">Decision of the case: The High Court held that indisputably, in the instant case, that the partners of both the firms were common and belonged to same family. </w:t>
      </w:r>
      <w:r>
        <w:rPr>
          <w:b/>
          <w:bCs/>
          <w:color w:val="auto"/>
          <w:sz w:val="22"/>
          <w:szCs w:val="22"/>
        </w:rPr>
        <w:t xml:space="preserve">They were manufacturing and clearing the goods by the common brand name, manufactured in the same factory premises, having common management and accounts etc. </w:t>
      </w:r>
      <w:r>
        <w:rPr>
          <w:color w:val="auto"/>
          <w:sz w:val="22"/>
          <w:szCs w:val="22"/>
        </w:rPr>
        <w:t xml:space="preserve">Therefore, High Court was of the considered view that </w:t>
      </w:r>
      <w:r>
        <w:rPr>
          <w:b/>
          <w:bCs/>
          <w:color w:val="auto"/>
          <w:sz w:val="22"/>
          <w:szCs w:val="22"/>
        </w:rPr>
        <w:t>the clearance of the common goods under the same brand name manufactured by both the firms had been rightly clubbed</w:t>
      </w:r>
      <w:r>
        <w:rPr>
          <w:color w:val="auto"/>
          <w:sz w:val="22"/>
          <w:szCs w:val="22"/>
        </w:rPr>
        <w:t xml:space="preserve">. </w:t>
      </w:r>
    </w:p>
    <w:p w:rsidR="00F0321F" w:rsidRDefault="00F0321F" w:rsidP="00F0321F">
      <w:pPr>
        <w:pStyle w:val="Default"/>
        <w:rPr>
          <w:rFonts w:cstheme="minorBidi"/>
          <w:color w:val="auto"/>
          <w:sz w:val="22"/>
          <w:szCs w:val="22"/>
        </w:rPr>
      </w:pPr>
    </w:p>
    <w:p w:rsidR="00F0321F" w:rsidRDefault="00F0321F" w:rsidP="00F0321F">
      <w:pPr>
        <w:pStyle w:val="Default"/>
        <w:pageBreakBefore/>
        <w:rPr>
          <w:rFonts w:cstheme="minorBidi"/>
          <w:color w:val="auto"/>
          <w:sz w:val="96"/>
          <w:szCs w:val="96"/>
        </w:rPr>
      </w:pPr>
      <w:r>
        <w:rPr>
          <w:rFonts w:cstheme="minorBidi"/>
          <w:b/>
          <w:bCs/>
          <w:color w:val="auto"/>
          <w:sz w:val="96"/>
          <w:szCs w:val="96"/>
        </w:rPr>
        <w:lastRenderedPageBreak/>
        <w:t xml:space="preserve">9 </w:t>
      </w:r>
    </w:p>
    <w:p w:rsidR="00F0321F" w:rsidRDefault="00F0321F" w:rsidP="00F0321F">
      <w:pPr>
        <w:pStyle w:val="Default"/>
        <w:rPr>
          <w:rFonts w:cstheme="minorBidi"/>
          <w:color w:val="auto"/>
          <w:sz w:val="38"/>
          <w:szCs w:val="38"/>
        </w:rPr>
      </w:pPr>
      <w:r>
        <w:rPr>
          <w:rFonts w:cstheme="minorBidi"/>
          <w:b/>
          <w:bCs/>
          <w:color w:val="auto"/>
          <w:sz w:val="48"/>
          <w:szCs w:val="48"/>
        </w:rPr>
        <w:t>S</w:t>
      </w:r>
      <w:r>
        <w:rPr>
          <w:rFonts w:cstheme="minorBidi"/>
          <w:b/>
          <w:bCs/>
          <w:color w:val="auto"/>
          <w:sz w:val="38"/>
          <w:szCs w:val="38"/>
        </w:rPr>
        <w:t xml:space="preserve">ETTLEMENT </w:t>
      </w:r>
      <w:r>
        <w:rPr>
          <w:rFonts w:cstheme="minorBidi"/>
          <w:b/>
          <w:bCs/>
          <w:color w:val="auto"/>
          <w:sz w:val="48"/>
          <w:szCs w:val="48"/>
        </w:rPr>
        <w:t>C</w:t>
      </w:r>
      <w:r>
        <w:rPr>
          <w:rFonts w:cstheme="minorBidi"/>
          <w:b/>
          <w:bCs/>
          <w:color w:val="auto"/>
          <w:sz w:val="38"/>
          <w:szCs w:val="38"/>
        </w:rPr>
        <w:t xml:space="preserve">OMMISSION </w:t>
      </w:r>
    </w:p>
    <w:p w:rsidR="00852545" w:rsidRPr="00852545" w:rsidRDefault="00852545" w:rsidP="00F0321F">
      <w:pPr>
        <w:pStyle w:val="Default"/>
        <w:rPr>
          <w:rFonts w:cstheme="minorBidi"/>
          <w:color w:val="auto"/>
          <w:sz w:val="38"/>
          <w:szCs w:val="38"/>
        </w:rPr>
      </w:pPr>
    </w:p>
    <w:p w:rsidR="00F0321F" w:rsidRDefault="00F0321F" w:rsidP="00F0321F">
      <w:pPr>
        <w:pStyle w:val="Default"/>
        <w:rPr>
          <w:rFonts w:cstheme="minorBidi"/>
          <w:color w:val="auto"/>
          <w:sz w:val="22"/>
          <w:szCs w:val="22"/>
        </w:rPr>
      </w:pPr>
      <w:r>
        <w:rPr>
          <w:rFonts w:cstheme="minorBidi"/>
          <w:b/>
          <w:bCs/>
          <w:color w:val="auto"/>
          <w:sz w:val="22"/>
          <w:szCs w:val="22"/>
        </w:rPr>
        <w:t xml:space="preserve">1. Whether a consolidated return filed by the assessee after obtaining </w:t>
      </w:r>
      <w:r w:rsidR="00852545">
        <w:rPr>
          <w:rFonts w:cstheme="minorBidi"/>
          <w:b/>
          <w:bCs/>
          <w:color w:val="auto"/>
          <w:sz w:val="22"/>
          <w:szCs w:val="22"/>
        </w:rPr>
        <w:t>registration, but</w:t>
      </w:r>
      <w:r>
        <w:rPr>
          <w:rFonts w:cstheme="minorBidi"/>
          <w:b/>
          <w:bCs/>
          <w:color w:val="auto"/>
          <w:sz w:val="22"/>
          <w:szCs w:val="22"/>
        </w:rPr>
        <w:t xml:space="preserve"> for the period prior to obtaining registration, could be treated as a return under clause (a) of first proviso to section 32E(1)? </w:t>
      </w:r>
    </w:p>
    <w:p w:rsidR="00F0321F" w:rsidRDefault="00F0321F" w:rsidP="00F0321F">
      <w:pPr>
        <w:pStyle w:val="Default"/>
        <w:rPr>
          <w:b/>
          <w:bCs/>
          <w:i/>
          <w:iCs/>
          <w:color w:val="auto"/>
          <w:sz w:val="22"/>
          <w:szCs w:val="22"/>
        </w:rPr>
      </w:pPr>
      <w:r w:rsidRPr="00852545">
        <w:rPr>
          <w:b/>
          <w:bCs/>
          <w:i/>
          <w:iCs/>
          <w:color w:val="auto"/>
          <w:sz w:val="22"/>
          <w:szCs w:val="22"/>
          <w:highlight w:val="yellow"/>
        </w:rPr>
        <w:t>Icon Industries v. UOI 2011 (273) E.L.T. 487 (Del.)</w:t>
      </w:r>
      <w:r>
        <w:rPr>
          <w:b/>
          <w:bCs/>
          <w:i/>
          <w:iCs/>
          <w:color w:val="auto"/>
          <w:sz w:val="22"/>
          <w:szCs w:val="22"/>
        </w:rPr>
        <w:t xml:space="preserve"> </w:t>
      </w:r>
    </w:p>
    <w:p w:rsidR="00852545" w:rsidRDefault="00852545" w:rsidP="00F0321F">
      <w:pPr>
        <w:pStyle w:val="Default"/>
        <w:rPr>
          <w:color w:val="auto"/>
          <w:sz w:val="22"/>
          <w:szCs w:val="22"/>
        </w:rPr>
      </w:pPr>
      <w:r>
        <w:rPr>
          <w:b/>
          <w:bCs/>
          <w:i/>
          <w:iCs/>
          <w:color w:val="auto"/>
          <w:sz w:val="22"/>
          <w:szCs w:val="22"/>
        </w:rPr>
        <w:t>No</w:t>
      </w:r>
    </w:p>
    <w:p w:rsidR="00F0321F" w:rsidRDefault="00F0321F" w:rsidP="00852545">
      <w:pPr>
        <w:pStyle w:val="Default"/>
        <w:rPr>
          <w:color w:val="auto"/>
          <w:sz w:val="22"/>
          <w:szCs w:val="22"/>
        </w:rPr>
      </w:pPr>
      <w:r>
        <w:rPr>
          <w:b/>
          <w:bCs/>
          <w:color w:val="auto"/>
          <w:sz w:val="22"/>
          <w:szCs w:val="22"/>
        </w:rPr>
        <w:t xml:space="preserve">Decision of the case: </w:t>
      </w:r>
      <w:r>
        <w:rPr>
          <w:color w:val="auto"/>
          <w:sz w:val="22"/>
          <w:szCs w:val="22"/>
        </w:rPr>
        <w:t xml:space="preserve">The High Court noted that certain riders have been provided in section 32E(1) for entertaining applications for settlement. Clause (a) of first proviso clearly lays down that unless the applicant has filed returns, showing production, clearance and Central Excise duty paid in the prescribed manner, no such application shall be entertained. </w:t>
      </w:r>
    </w:p>
    <w:p w:rsidR="00F0321F" w:rsidRDefault="00F0321F" w:rsidP="00F0321F">
      <w:pPr>
        <w:pStyle w:val="Default"/>
        <w:rPr>
          <w:color w:val="auto"/>
          <w:sz w:val="22"/>
          <w:szCs w:val="22"/>
        </w:rPr>
      </w:pPr>
      <w:r>
        <w:rPr>
          <w:b/>
          <w:bCs/>
          <w:color w:val="auto"/>
          <w:sz w:val="22"/>
          <w:szCs w:val="22"/>
        </w:rPr>
        <w:t xml:space="preserve">2. Is the Settlement Commission empowered to grant the benefit under the proviso to section 11AC in cases of settlement? </w:t>
      </w:r>
    </w:p>
    <w:p w:rsidR="00F0321F" w:rsidRDefault="00F0321F" w:rsidP="00F0321F">
      <w:pPr>
        <w:pStyle w:val="Default"/>
        <w:rPr>
          <w:color w:val="auto"/>
          <w:sz w:val="22"/>
          <w:szCs w:val="22"/>
        </w:rPr>
      </w:pPr>
      <w:r w:rsidRPr="00852545">
        <w:rPr>
          <w:b/>
          <w:bCs/>
          <w:i/>
          <w:iCs/>
          <w:color w:val="auto"/>
          <w:sz w:val="22"/>
          <w:szCs w:val="22"/>
          <w:highlight w:val="yellow"/>
        </w:rPr>
        <w:t>Ashwani Tobacco Co. Pvt. L</w:t>
      </w:r>
      <w:r w:rsidR="00852545" w:rsidRPr="00852545">
        <w:rPr>
          <w:b/>
          <w:bCs/>
          <w:i/>
          <w:iCs/>
          <w:color w:val="auto"/>
          <w:sz w:val="22"/>
          <w:szCs w:val="22"/>
          <w:highlight w:val="yellow"/>
        </w:rPr>
        <w:t>td. v. UOI 2010</w:t>
      </w:r>
      <w:r w:rsidRPr="00852545">
        <w:rPr>
          <w:b/>
          <w:bCs/>
          <w:i/>
          <w:iCs/>
          <w:color w:val="auto"/>
          <w:sz w:val="22"/>
          <w:szCs w:val="22"/>
          <w:highlight w:val="yellow"/>
        </w:rPr>
        <w:t xml:space="preserve"> (Del.)</w:t>
      </w:r>
      <w:r>
        <w:rPr>
          <w:b/>
          <w:bCs/>
          <w:i/>
          <w:iCs/>
          <w:color w:val="auto"/>
          <w:sz w:val="22"/>
          <w:szCs w:val="22"/>
        </w:rPr>
        <w:t xml:space="preserve"> </w:t>
      </w:r>
    </w:p>
    <w:p w:rsidR="00F0321F" w:rsidRDefault="00F0321F" w:rsidP="00F0321F">
      <w:pPr>
        <w:pStyle w:val="Default"/>
        <w:rPr>
          <w:color w:val="auto"/>
          <w:sz w:val="22"/>
          <w:szCs w:val="22"/>
        </w:rPr>
      </w:pPr>
      <w:r>
        <w:rPr>
          <w:b/>
          <w:bCs/>
          <w:color w:val="auto"/>
          <w:sz w:val="22"/>
          <w:szCs w:val="22"/>
        </w:rPr>
        <w:t>Decision of the case:</w:t>
      </w:r>
      <w:r w:rsidR="00837ADF">
        <w:rPr>
          <w:b/>
          <w:bCs/>
          <w:color w:val="auto"/>
          <w:sz w:val="22"/>
          <w:szCs w:val="22"/>
        </w:rPr>
        <w:t>No.</w:t>
      </w:r>
      <w:r>
        <w:rPr>
          <w:b/>
          <w:bCs/>
          <w:color w:val="auto"/>
          <w:sz w:val="22"/>
          <w:szCs w:val="22"/>
        </w:rPr>
        <w:t xml:space="preserve"> The Court ruled that benefit under the proviso to section 11AC could not be granted by the Settlement Commission in cases of settlement. </w:t>
      </w:r>
    </w:p>
    <w:p w:rsidR="00F0321F" w:rsidRDefault="00F0321F" w:rsidP="00F0321F">
      <w:pPr>
        <w:pStyle w:val="Default"/>
        <w:rPr>
          <w:color w:val="auto"/>
          <w:sz w:val="22"/>
          <w:szCs w:val="22"/>
        </w:rPr>
      </w:pPr>
      <w:r>
        <w:rPr>
          <w:color w:val="auto"/>
          <w:sz w:val="22"/>
          <w:szCs w:val="22"/>
        </w:rPr>
        <w:t xml:space="preserve">It elucidated that </w:t>
      </w:r>
      <w:r>
        <w:rPr>
          <w:b/>
          <w:bCs/>
          <w:color w:val="auto"/>
          <w:sz w:val="22"/>
          <w:szCs w:val="22"/>
        </w:rPr>
        <w:t>the order of settlement made by the Settlement Commission is distinct from the adjudication order made by the Central Excise Officer</w:t>
      </w:r>
      <w:r>
        <w:rPr>
          <w:color w:val="auto"/>
          <w:sz w:val="22"/>
          <w:szCs w:val="22"/>
        </w:rPr>
        <w:t xml:space="preserve">. </w:t>
      </w:r>
    </w:p>
    <w:p w:rsidR="00F0321F" w:rsidRDefault="00837ADF" w:rsidP="00F0321F">
      <w:pPr>
        <w:pStyle w:val="Default"/>
        <w:rPr>
          <w:color w:val="auto"/>
          <w:sz w:val="22"/>
          <w:szCs w:val="22"/>
        </w:rPr>
      </w:pPr>
      <w:r>
        <w:rPr>
          <w:color w:val="auto"/>
          <w:sz w:val="22"/>
          <w:szCs w:val="22"/>
        </w:rPr>
        <w:t>Note:</w:t>
      </w:r>
      <w:r w:rsidR="00F0321F">
        <w:rPr>
          <w:color w:val="auto"/>
          <w:sz w:val="22"/>
          <w:szCs w:val="22"/>
        </w:rPr>
        <w:t xml:space="preserve">Once the petitioner has adopted the course of settlement, he has to be governed by the provisions of Chapter V. Therefore, the benefit under the proviso to section 11AC, which could have been availed when the matter of determination of duty was before a Central Excise Officer was not attracted to the cases of a settlement, undertaken under the provisions of Chapter-V of the Act. </w:t>
      </w:r>
    </w:p>
    <w:p w:rsidR="00F0321F" w:rsidRDefault="00F0321F" w:rsidP="00F0321F">
      <w:pPr>
        <w:pStyle w:val="Default"/>
        <w:rPr>
          <w:rFonts w:cstheme="minorBidi"/>
          <w:color w:val="auto"/>
        </w:rPr>
      </w:pPr>
    </w:p>
    <w:p w:rsidR="00F0321F" w:rsidRDefault="00F0321F" w:rsidP="00F0321F">
      <w:pPr>
        <w:pStyle w:val="Default"/>
        <w:pageBreakBefore/>
        <w:rPr>
          <w:rFonts w:cstheme="minorBidi"/>
          <w:color w:val="auto"/>
          <w:sz w:val="128"/>
          <w:szCs w:val="128"/>
        </w:rPr>
      </w:pPr>
      <w:r>
        <w:rPr>
          <w:rFonts w:cstheme="minorBidi"/>
          <w:b/>
          <w:bCs/>
          <w:color w:val="auto"/>
          <w:sz w:val="128"/>
          <w:szCs w:val="128"/>
        </w:rPr>
        <w:lastRenderedPageBreak/>
        <w:t xml:space="preserve">CUSTOMS </w:t>
      </w:r>
    </w:p>
    <w:p w:rsidR="00F0321F" w:rsidRDefault="00F0321F" w:rsidP="00F0321F">
      <w:pPr>
        <w:pStyle w:val="Default"/>
        <w:pageBreakBefore/>
        <w:rPr>
          <w:rFonts w:cstheme="minorBidi"/>
          <w:color w:val="auto"/>
          <w:sz w:val="96"/>
          <w:szCs w:val="96"/>
        </w:rPr>
      </w:pPr>
      <w:r>
        <w:rPr>
          <w:rFonts w:cstheme="minorBidi"/>
          <w:b/>
          <w:bCs/>
          <w:color w:val="auto"/>
          <w:sz w:val="96"/>
          <w:szCs w:val="96"/>
        </w:rPr>
        <w:lastRenderedPageBreak/>
        <w:t xml:space="preserve">1 </w:t>
      </w:r>
    </w:p>
    <w:p w:rsidR="00F0321F" w:rsidRDefault="00F0321F" w:rsidP="00F0321F">
      <w:pPr>
        <w:pStyle w:val="Default"/>
        <w:rPr>
          <w:rFonts w:cstheme="minorBidi"/>
          <w:color w:val="auto"/>
          <w:sz w:val="48"/>
          <w:szCs w:val="48"/>
        </w:rPr>
      </w:pPr>
      <w:r>
        <w:rPr>
          <w:rFonts w:cstheme="minorBidi"/>
          <w:b/>
          <w:bCs/>
          <w:color w:val="auto"/>
          <w:sz w:val="48"/>
          <w:szCs w:val="48"/>
        </w:rPr>
        <w:t xml:space="preserve">BASIC CONCEPTS </w:t>
      </w:r>
    </w:p>
    <w:p w:rsidR="00F0321F" w:rsidRDefault="00F0321F" w:rsidP="00F0321F">
      <w:pPr>
        <w:pStyle w:val="Default"/>
        <w:rPr>
          <w:rFonts w:cstheme="minorBidi"/>
          <w:color w:val="auto"/>
          <w:sz w:val="22"/>
          <w:szCs w:val="22"/>
        </w:rPr>
      </w:pPr>
      <w:r>
        <w:rPr>
          <w:rFonts w:cstheme="minorBidi"/>
          <w:b/>
          <w:bCs/>
          <w:color w:val="auto"/>
          <w:sz w:val="22"/>
          <w:szCs w:val="22"/>
        </w:rPr>
        <w:t xml:space="preserve">1. Are the clearance of goods from DTA to Special Economic Zone chargeable to export duty under the SEZ Act, 2005 or the Customs Act, 1962? </w:t>
      </w:r>
    </w:p>
    <w:p w:rsidR="00F0321F" w:rsidRDefault="00F0321F" w:rsidP="00F0321F">
      <w:pPr>
        <w:pStyle w:val="Default"/>
        <w:rPr>
          <w:color w:val="auto"/>
          <w:sz w:val="22"/>
          <w:szCs w:val="22"/>
        </w:rPr>
      </w:pPr>
      <w:r w:rsidRPr="00706B25">
        <w:rPr>
          <w:b/>
          <w:bCs/>
          <w:i/>
          <w:iCs/>
          <w:color w:val="auto"/>
          <w:sz w:val="22"/>
          <w:szCs w:val="22"/>
          <w:highlight w:val="yellow"/>
        </w:rPr>
        <w:t>Tirupati Udyog Ltd. v. UOI 2011 (272) E.L.T. 209 (A.P.)</w:t>
      </w:r>
      <w:r>
        <w:rPr>
          <w:b/>
          <w:bCs/>
          <w:i/>
          <w:iCs/>
          <w:color w:val="auto"/>
          <w:sz w:val="22"/>
          <w:szCs w:val="22"/>
        </w:rPr>
        <w:t xml:space="preserve"> </w:t>
      </w:r>
    </w:p>
    <w:p w:rsidR="00F0321F" w:rsidRDefault="00F0321F" w:rsidP="00F0321F">
      <w:pPr>
        <w:pStyle w:val="Default"/>
        <w:rPr>
          <w:color w:val="auto"/>
          <w:sz w:val="22"/>
          <w:szCs w:val="22"/>
        </w:rPr>
      </w:pPr>
      <w:r>
        <w:rPr>
          <w:b/>
          <w:bCs/>
          <w:color w:val="auto"/>
          <w:sz w:val="22"/>
          <w:szCs w:val="22"/>
        </w:rPr>
        <w:t>Decision of the case:</w:t>
      </w:r>
      <w:r w:rsidR="00706B25">
        <w:rPr>
          <w:b/>
          <w:bCs/>
          <w:color w:val="auto"/>
          <w:sz w:val="22"/>
          <w:szCs w:val="22"/>
        </w:rPr>
        <w:t>No.</w:t>
      </w:r>
      <w:r>
        <w:rPr>
          <w:b/>
          <w:bCs/>
          <w:color w:val="auto"/>
          <w:sz w:val="22"/>
          <w:szCs w:val="22"/>
        </w:rPr>
        <w:t xml:space="preserve"> </w:t>
      </w:r>
      <w:r>
        <w:rPr>
          <w:color w:val="auto"/>
          <w:sz w:val="22"/>
          <w:szCs w:val="22"/>
        </w:rPr>
        <w:t xml:space="preserve">With regard to the Customs Act, 1962, a conjoint reading of section 12(1) with sections of the Customs Act, 1962 makes it clear that customs duty can be levied only on goods imported into or exported beyond the territorial waters of India. Since both the SEZ unit and the DTA unit are located within the territorial waters of India, Section 12(1) of the Customs Act 1962 (which is the charging section for levy of customs duty) is not attracted for supplies made by a DTA unit to a unit located within the Special Economic Zone. </w:t>
      </w:r>
    </w:p>
    <w:p w:rsidR="00F0321F" w:rsidRDefault="00F0321F" w:rsidP="00F0321F">
      <w:pPr>
        <w:pStyle w:val="Default"/>
        <w:rPr>
          <w:color w:val="auto"/>
          <w:sz w:val="22"/>
          <w:szCs w:val="22"/>
        </w:rPr>
      </w:pPr>
    </w:p>
    <w:p w:rsidR="00F0321F" w:rsidRDefault="00F0321F" w:rsidP="00F0321F">
      <w:pPr>
        <w:pStyle w:val="Default"/>
        <w:pageBreakBefore/>
        <w:rPr>
          <w:rFonts w:cstheme="minorBidi"/>
          <w:color w:val="auto"/>
          <w:sz w:val="96"/>
          <w:szCs w:val="96"/>
        </w:rPr>
      </w:pPr>
      <w:r>
        <w:rPr>
          <w:rFonts w:cstheme="minorBidi"/>
          <w:b/>
          <w:bCs/>
          <w:color w:val="auto"/>
          <w:sz w:val="96"/>
          <w:szCs w:val="96"/>
        </w:rPr>
        <w:lastRenderedPageBreak/>
        <w:t xml:space="preserve">2 </w:t>
      </w:r>
    </w:p>
    <w:p w:rsidR="00F0321F" w:rsidRDefault="00F0321F" w:rsidP="00F0321F">
      <w:pPr>
        <w:pStyle w:val="Default"/>
        <w:rPr>
          <w:rFonts w:cstheme="minorBidi"/>
          <w:color w:val="auto"/>
          <w:sz w:val="38"/>
          <w:szCs w:val="38"/>
        </w:rPr>
      </w:pPr>
      <w:r>
        <w:rPr>
          <w:rFonts w:cstheme="minorBidi"/>
          <w:b/>
          <w:bCs/>
          <w:color w:val="auto"/>
          <w:sz w:val="48"/>
          <w:szCs w:val="48"/>
        </w:rPr>
        <w:t>L</w:t>
      </w:r>
      <w:r>
        <w:rPr>
          <w:rFonts w:cstheme="minorBidi"/>
          <w:b/>
          <w:bCs/>
          <w:color w:val="auto"/>
          <w:sz w:val="38"/>
          <w:szCs w:val="38"/>
        </w:rPr>
        <w:t xml:space="preserve">EVY </w:t>
      </w:r>
      <w:r>
        <w:rPr>
          <w:rFonts w:cstheme="minorBidi"/>
          <w:b/>
          <w:bCs/>
          <w:color w:val="auto"/>
          <w:sz w:val="48"/>
          <w:szCs w:val="48"/>
        </w:rPr>
        <w:t>O</w:t>
      </w:r>
      <w:r>
        <w:rPr>
          <w:rFonts w:cstheme="minorBidi"/>
          <w:b/>
          <w:bCs/>
          <w:color w:val="auto"/>
          <w:sz w:val="38"/>
          <w:szCs w:val="38"/>
        </w:rPr>
        <w:t xml:space="preserve">F AND </w:t>
      </w:r>
      <w:r>
        <w:rPr>
          <w:rFonts w:cstheme="minorBidi"/>
          <w:b/>
          <w:bCs/>
          <w:color w:val="auto"/>
          <w:sz w:val="48"/>
          <w:szCs w:val="48"/>
        </w:rPr>
        <w:t>E</w:t>
      </w:r>
      <w:r>
        <w:rPr>
          <w:rFonts w:cstheme="minorBidi"/>
          <w:b/>
          <w:bCs/>
          <w:color w:val="auto"/>
          <w:sz w:val="38"/>
          <w:szCs w:val="38"/>
        </w:rPr>
        <w:t xml:space="preserve">XEMPTIONS </w:t>
      </w:r>
      <w:r>
        <w:rPr>
          <w:rFonts w:cstheme="minorBidi"/>
          <w:b/>
          <w:bCs/>
          <w:color w:val="auto"/>
          <w:sz w:val="48"/>
          <w:szCs w:val="48"/>
        </w:rPr>
        <w:t>F</w:t>
      </w:r>
      <w:r>
        <w:rPr>
          <w:rFonts w:cstheme="minorBidi"/>
          <w:b/>
          <w:bCs/>
          <w:color w:val="auto"/>
          <w:sz w:val="38"/>
          <w:szCs w:val="38"/>
        </w:rPr>
        <w:t xml:space="preserve">ROM </w:t>
      </w:r>
      <w:r>
        <w:rPr>
          <w:rFonts w:cstheme="minorBidi"/>
          <w:b/>
          <w:bCs/>
          <w:color w:val="auto"/>
          <w:sz w:val="48"/>
          <w:szCs w:val="48"/>
        </w:rPr>
        <w:t>C</w:t>
      </w:r>
      <w:r>
        <w:rPr>
          <w:rFonts w:cstheme="minorBidi"/>
          <w:b/>
          <w:bCs/>
          <w:color w:val="auto"/>
          <w:sz w:val="38"/>
          <w:szCs w:val="38"/>
        </w:rPr>
        <w:t xml:space="preserve">USTOMS </w:t>
      </w:r>
      <w:r>
        <w:rPr>
          <w:rFonts w:cstheme="minorBidi"/>
          <w:b/>
          <w:bCs/>
          <w:color w:val="auto"/>
          <w:sz w:val="48"/>
          <w:szCs w:val="48"/>
        </w:rPr>
        <w:t>D</w:t>
      </w:r>
      <w:r>
        <w:rPr>
          <w:rFonts w:cstheme="minorBidi"/>
          <w:b/>
          <w:bCs/>
          <w:color w:val="auto"/>
          <w:sz w:val="38"/>
          <w:szCs w:val="38"/>
        </w:rPr>
        <w:t xml:space="preserve">UTY </w:t>
      </w:r>
    </w:p>
    <w:p w:rsidR="00F0321F" w:rsidRDefault="00F0321F" w:rsidP="00F0321F">
      <w:pPr>
        <w:pStyle w:val="Default"/>
        <w:rPr>
          <w:rFonts w:cstheme="minorBidi"/>
          <w:color w:val="auto"/>
          <w:sz w:val="22"/>
          <w:szCs w:val="22"/>
        </w:rPr>
      </w:pPr>
      <w:r>
        <w:rPr>
          <w:rFonts w:cstheme="minorBidi"/>
          <w:b/>
          <w:bCs/>
          <w:color w:val="auto"/>
          <w:sz w:val="22"/>
          <w:szCs w:val="22"/>
        </w:rPr>
        <w:t xml:space="preserve">Section 23 of the Customs Act, 1962 </w:t>
      </w:r>
    </w:p>
    <w:p w:rsidR="00F0321F" w:rsidRDefault="00F0321F" w:rsidP="00F0321F">
      <w:pPr>
        <w:pStyle w:val="Default"/>
        <w:rPr>
          <w:rFonts w:cstheme="minorBidi"/>
          <w:color w:val="auto"/>
          <w:sz w:val="22"/>
          <w:szCs w:val="22"/>
        </w:rPr>
      </w:pPr>
      <w:r>
        <w:rPr>
          <w:rFonts w:cstheme="minorBidi"/>
          <w:b/>
          <w:bCs/>
          <w:color w:val="auto"/>
          <w:sz w:val="22"/>
          <w:szCs w:val="22"/>
        </w:rPr>
        <w:t xml:space="preserve">1. Whether remission of duty is permissible under section 23 of the Customs Act, 1962 when the remission application is filed after the expiry of the warehousing period (including extended warehousing period)? </w:t>
      </w:r>
    </w:p>
    <w:p w:rsidR="00F0321F" w:rsidRDefault="00F0321F" w:rsidP="00F0321F">
      <w:pPr>
        <w:pStyle w:val="Default"/>
        <w:rPr>
          <w:color w:val="auto"/>
          <w:sz w:val="22"/>
          <w:szCs w:val="22"/>
        </w:rPr>
      </w:pPr>
      <w:r w:rsidRPr="00706B25">
        <w:rPr>
          <w:b/>
          <w:bCs/>
          <w:i/>
          <w:iCs/>
          <w:color w:val="auto"/>
          <w:sz w:val="22"/>
          <w:szCs w:val="22"/>
          <w:highlight w:val="yellow"/>
        </w:rPr>
        <w:t>CCE v. Decorative Laminates (I) Pvt. Ltd. 201</w:t>
      </w:r>
      <w:r w:rsidR="00706B25">
        <w:rPr>
          <w:b/>
          <w:bCs/>
          <w:i/>
          <w:iCs/>
          <w:color w:val="auto"/>
          <w:sz w:val="22"/>
          <w:szCs w:val="22"/>
          <w:highlight w:val="yellow"/>
        </w:rPr>
        <w:t xml:space="preserve">0 </w:t>
      </w:r>
      <w:r w:rsidRPr="00706B25">
        <w:rPr>
          <w:b/>
          <w:bCs/>
          <w:i/>
          <w:iCs/>
          <w:color w:val="auto"/>
          <w:sz w:val="22"/>
          <w:szCs w:val="22"/>
          <w:highlight w:val="yellow"/>
        </w:rPr>
        <w:t xml:space="preserve"> (Kar.)</w:t>
      </w:r>
      <w:r>
        <w:rPr>
          <w:b/>
          <w:bCs/>
          <w:i/>
          <w:iCs/>
          <w:color w:val="auto"/>
          <w:sz w:val="22"/>
          <w:szCs w:val="22"/>
        </w:rPr>
        <w:t xml:space="preserve"> </w:t>
      </w:r>
    </w:p>
    <w:p w:rsidR="00F0321F" w:rsidRDefault="00F0321F" w:rsidP="00F0321F">
      <w:pPr>
        <w:pStyle w:val="Default"/>
        <w:rPr>
          <w:color w:val="auto"/>
          <w:sz w:val="22"/>
          <w:szCs w:val="22"/>
        </w:rPr>
      </w:pPr>
      <w:r>
        <w:rPr>
          <w:b/>
          <w:bCs/>
          <w:color w:val="auto"/>
          <w:sz w:val="22"/>
          <w:szCs w:val="22"/>
        </w:rPr>
        <w:t xml:space="preserve">Decision of the case: </w:t>
      </w:r>
      <w:r>
        <w:rPr>
          <w:color w:val="auto"/>
          <w:sz w:val="22"/>
          <w:szCs w:val="22"/>
        </w:rPr>
        <w:t xml:space="preserve">The High Court, while interpreting section 23, stipulated that </w:t>
      </w:r>
      <w:r>
        <w:rPr>
          <w:b/>
          <w:bCs/>
          <w:color w:val="auto"/>
          <w:sz w:val="22"/>
          <w:szCs w:val="22"/>
        </w:rPr>
        <w:t>section 23 states that only when the imported goods have been lost or destroyed at any time before clearance for home consumption, the application for remission of duty can be considered</w:t>
      </w:r>
      <w:r>
        <w:rPr>
          <w:color w:val="auto"/>
          <w:sz w:val="22"/>
          <w:szCs w:val="22"/>
        </w:rPr>
        <w:t xml:space="preserve">. Further, even before an order for clearance of goods for home consumption is made, relinquishing of title to the goods can be made; in such event also, an importer would not be liable to pay duty. </w:t>
      </w:r>
    </w:p>
    <w:p w:rsidR="00F0321F" w:rsidRDefault="00F0321F" w:rsidP="00F0321F">
      <w:pPr>
        <w:pStyle w:val="Default"/>
        <w:rPr>
          <w:color w:val="auto"/>
          <w:sz w:val="22"/>
          <w:szCs w:val="22"/>
        </w:rPr>
      </w:pPr>
      <w:r>
        <w:rPr>
          <w:color w:val="auto"/>
          <w:sz w:val="22"/>
          <w:szCs w:val="22"/>
        </w:rPr>
        <w:t xml:space="preserve">Therefore, the expression </w:t>
      </w:r>
      <w:r>
        <w:rPr>
          <w:b/>
          <w:bCs/>
          <w:i/>
          <w:iCs/>
          <w:color w:val="auto"/>
          <w:sz w:val="22"/>
          <w:szCs w:val="22"/>
        </w:rPr>
        <w:t xml:space="preserve">“at any time before clearance for home consumption” </w:t>
      </w:r>
      <w:r>
        <w:rPr>
          <w:color w:val="auto"/>
          <w:sz w:val="22"/>
          <w:szCs w:val="22"/>
        </w:rPr>
        <w:t xml:space="preserve">would mean the time period as per the initial order during which the goods are warehoused or before the expiry of the extended date for clearance and not any period after the lapse of the aforesaid periods. The said expression cannot extend to a period after the lapse of the extended period merely because the licence holder has not cleared the goods within the stipulated time. </w:t>
      </w:r>
    </w:p>
    <w:p w:rsidR="00F0321F" w:rsidRDefault="00F0321F" w:rsidP="00F0321F">
      <w:pPr>
        <w:pStyle w:val="Default"/>
        <w:rPr>
          <w:color w:val="auto"/>
          <w:sz w:val="23"/>
          <w:szCs w:val="23"/>
        </w:rPr>
      </w:pPr>
      <w:r>
        <w:rPr>
          <w:color w:val="auto"/>
          <w:sz w:val="23"/>
          <w:szCs w:val="23"/>
        </w:rPr>
        <w:t xml:space="preserve">Moreover, since in the given case, the goods continued to be in the warehouse, even after the expiry of the warehousing period, it would be a case of goods improperly removed from the warehouse as per section 72(1)(b) read with section 71. </w:t>
      </w:r>
    </w:p>
    <w:p w:rsidR="00F0321F" w:rsidRDefault="00F0321F" w:rsidP="00F0321F">
      <w:pPr>
        <w:pStyle w:val="Default"/>
        <w:rPr>
          <w:rFonts w:cstheme="minorBidi"/>
          <w:color w:val="auto"/>
          <w:sz w:val="22"/>
          <w:szCs w:val="22"/>
        </w:rPr>
      </w:pPr>
    </w:p>
    <w:p w:rsidR="00F0321F" w:rsidRDefault="00F0321F" w:rsidP="00F0321F">
      <w:pPr>
        <w:pStyle w:val="Default"/>
        <w:pageBreakBefore/>
        <w:rPr>
          <w:color w:val="auto"/>
          <w:sz w:val="22"/>
          <w:szCs w:val="22"/>
        </w:rPr>
      </w:pPr>
      <w:r>
        <w:rPr>
          <w:color w:val="auto"/>
          <w:sz w:val="22"/>
          <w:szCs w:val="22"/>
        </w:rPr>
        <w:lastRenderedPageBreak/>
        <w:t xml:space="preserve">The High Court, overruling the decision of the Tribunal, held that the circumstances made out under section 23 were not applicable to the present case since the destruction of the goods or loss of the goods had not occurred before the clearance for home consumption within the meaning of that section. When the goods are not cleared within the period or extended period as given by the authorities, their continuance in the warehouse will not attract section 23 of the Act. </w:t>
      </w:r>
    </w:p>
    <w:p w:rsidR="00F0321F" w:rsidRDefault="00F0321F" w:rsidP="00F0321F">
      <w:pPr>
        <w:pStyle w:val="Default"/>
        <w:pageBreakBefore/>
        <w:rPr>
          <w:rFonts w:cstheme="minorBidi"/>
          <w:color w:val="auto"/>
          <w:sz w:val="96"/>
          <w:szCs w:val="96"/>
        </w:rPr>
      </w:pPr>
      <w:r>
        <w:rPr>
          <w:rFonts w:cstheme="minorBidi"/>
          <w:b/>
          <w:bCs/>
          <w:color w:val="auto"/>
          <w:sz w:val="96"/>
          <w:szCs w:val="96"/>
        </w:rPr>
        <w:lastRenderedPageBreak/>
        <w:t xml:space="preserve">3 </w:t>
      </w:r>
    </w:p>
    <w:p w:rsidR="00F0321F" w:rsidRDefault="00F0321F" w:rsidP="00F0321F">
      <w:pPr>
        <w:pStyle w:val="Default"/>
        <w:rPr>
          <w:rFonts w:cstheme="minorBidi"/>
          <w:color w:val="auto"/>
          <w:sz w:val="38"/>
          <w:szCs w:val="38"/>
        </w:rPr>
      </w:pPr>
      <w:r>
        <w:rPr>
          <w:rFonts w:cstheme="minorBidi"/>
          <w:b/>
          <w:bCs/>
          <w:color w:val="auto"/>
          <w:sz w:val="48"/>
          <w:szCs w:val="48"/>
        </w:rPr>
        <w:t>C</w:t>
      </w:r>
      <w:r>
        <w:rPr>
          <w:rFonts w:cstheme="minorBidi"/>
          <w:b/>
          <w:bCs/>
          <w:color w:val="auto"/>
          <w:sz w:val="38"/>
          <w:szCs w:val="38"/>
        </w:rPr>
        <w:t xml:space="preserve">LASSIFICATION </w:t>
      </w:r>
      <w:r>
        <w:rPr>
          <w:rFonts w:cstheme="minorBidi"/>
          <w:b/>
          <w:bCs/>
          <w:color w:val="auto"/>
          <w:sz w:val="48"/>
          <w:szCs w:val="48"/>
        </w:rPr>
        <w:t>O</w:t>
      </w:r>
      <w:r>
        <w:rPr>
          <w:rFonts w:cstheme="minorBidi"/>
          <w:b/>
          <w:bCs/>
          <w:color w:val="auto"/>
          <w:sz w:val="38"/>
          <w:szCs w:val="38"/>
        </w:rPr>
        <w:t xml:space="preserve">F </w:t>
      </w:r>
      <w:r>
        <w:rPr>
          <w:rFonts w:cstheme="minorBidi"/>
          <w:b/>
          <w:bCs/>
          <w:color w:val="auto"/>
          <w:sz w:val="48"/>
          <w:szCs w:val="48"/>
        </w:rPr>
        <w:t>G</w:t>
      </w:r>
      <w:r>
        <w:rPr>
          <w:rFonts w:cstheme="minorBidi"/>
          <w:b/>
          <w:bCs/>
          <w:color w:val="auto"/>
          <w:sz w:val="38"/>
          <w:szCs w:val="38"/>
        </w:rPr>
        <w:t xml:space="preserve">OODS </w:t>
      </w:r>
    </w:p>
    <w:p w:rsidR="00F0321F" w:rsidRDefault="00F0321F" w:rsidP="00F0321F">
      <w:pPr>
        <w:pStyle w:val="Default"/>
        <w:rPr>
          <w:rFonts w:cstheme="minorBidi"/>
          <w:color w:val="auto"/>
          <w:sz w:val="22"/>
          <w:szCs w:val="22"/>
        </w:rPr>
      </w:pPr>
      <w:r>
        <w:rPr>
          <w:rFonts w:cstheme="minorBidi"/>
          <w:b/>
          <w:bCs/>
          <w:color w:val="auto"/>
          <w:sz w:val="22"/>
          <w:szCs w:val="22"/>
        </w:rPr>
        <w:t xml:space="preserve">1. Whether classification of the imported product changes if it undergoes a change after importation and before being actually used? </w:t>
      </w:r>
    </w:p>
    <w:p w:rsidR="00F0321F" w:rsidRDefault="00F0321F" w:rsidP="00F0321F">
      <w:pPr>
        <w:pStyle w:val="Default"/>
        <w:rPr>
          <w:color w:val="auto"/>
          <w:sz w:val="22"/>
          <w:szCs w:val="22"/>
        </w:rPr>
      </w:pPr>
      <w:r w:rsidRPr="00DB5E73">
        <w:rPr>
          <w:b/>
          <w:bCs/>
          <w:i/>
          <w:iCs/>
          <w:color w:val="auto"/>
          <w:sz w:val="22"/>
          <w:szCs w:val="22"/>
          <w:highlight w:val="yellow"/>
        </w:rPr>
        <w:t>Atherton Engineering Co. Pvt. Ltd. v. UOI 2010 (256) E.L.T. 358 (Cal.)</w:t>
      </w:r>
      <w:r>
        <w:rPr>
          <w:b/>
          <w:bCs/>
          <w:i/>
          <w:iCs/>
          <w:color w:val="auto"/>
          <w:sz w:val="22"/>
          <w:szCs w:val="22"/>
        </w:rPr>
        <w:t xml:space="preserve"> </w:t>
      </w:r>
    </w:p>
    <w:p w:rsidR="009A3CDB" w:rsidRDefault="00F0321F" w:rsidP="00F0321F">
      <w:pPr>
        <w:pStyle w:val="Default"/>
        <w:rPr>
          <w:b/>
          <w:bCs/>
          <w:color w:val="auto"/>
          <w:sz w:val="22"/>
          <w:szCs w:val="22"/>
        </w:rPr>
      </w:pPr>
      <w:r w:rsidRPr="009A3CDB">
        <w:rPr>
          <w:b/>
          <w:bCs/>
          <w:color w:val="auto"/>
          <w:sz w:val="22"/>
          <w:szCs w:val="22"/>
          <w:highlight w:val="yellow"/>
        </w:rPr>
        <w:t>Decision of the case:</w:t>
      </w:r>
      <w:r>
        <w:rPr>
          <w:b/>
          <w:bCs/>
          <w:color w:val="auto"/>
          <w:sz w:val="22"/>
          <w:szCs w:val="22"/>
        </w:rPr>
        <w:t xml:space="preserve"> </w:t>
      </w:r>
      <w:r w:rsidR="009A3CDB" w:rsidRPr="009A3CDB">
        <w:rPr>
          <w:b/>
          <w:bCs/>
          <w:color w:val="auto"/>
          <w:sz w:val="22"/>
          <w:szCs w:val="22"/>
          <w:highlight w:val="yellow"/>
        </w:rPr>
        <w:t xml:space="preserve">No if </w:t>
      </w:r>
      <w:r w:rsidR="004426F4" w:rsidRPr="009A3CDB">
        <w:rPr>
          <w:b/>
          <w:bCs/>
          <w:color w:val="auto"/>
          <w:sz w:val="22"/>
          <w:szCs w:val="22"/>
          <w:highlight w:val="yellow"/>
        </w:rPr>
        <w:t>use, nature</w:t>
      </w:r>
      <w:r w:rsidR="009A3CDB" w:rsidRPr="009A3CDB">
        <w:rPr>
          <w:b/>
          <w:bCs/>
          <w:color w:val="auto"/>
          <w:sz w:val="22"/>
          <w:szCs w:val="22"/>
          <w:highlight w:val="yellow"/>
        </w:rPr>
        <w:t xml:space="preserve"> and character remained the same</w:t>
      </w:r>
      <w:r w:rsidR="009A3CDB">
        <w:rPr>
          <w:b/>
          <w:bCs/>
          <w:color w:val="auto"/>
          <w:sz w:val="22"/>
          <w:szCs w:val="22"/>
        </w:rPr>
        <w:t>.</w:t>
      </w:r>
    </w:p>
    <w:p w:rsidR="00F0321F" w:rsidRDefault="009A3CDB" w:rsidP="00F0321F">
      <w:pPr>
        <w:pStyle w:val="Default"/>
        <w:rPr>
          <w:color w:val="auto"/>
          <w:sz w:val="22"/>
          <w:szCs w:val="22"/>
        </w:rPr>
      </w:pPr>
      <w:r w:rsidRPr="009A3CDB">
        <w:rPr>
          <w:b/>
          <w:color w:val="auto"/>
          <w:sz w:val="22"/>
          <w:szCs w:val="22"/>
          <w:u w:val="single"/>
        </w:rPr>
        <w:t>Concept</w:t>
      </w:r>
      <w:r w:rsidRPr="009A3CDB">
        <w:rPr>
          <w:color w:val="auto"/>
          <w:sz w:val="22"/>
          <w:szCs w:val="22"/>
        </w:rPr>
        <w:t>: if</w:t>
      </w:r>
      <w:r w:rsidR="00F0321F" w:rsidRPr="009A3CDB">
        <w:rPr>
          <w:color w:val="auto"/>
          <w:sz w:val="22"/>
          <w:szCs w:val="22"/>
        </w:rPr>
        <w:t xml:space="preserve"> the embryo within the egg was incubated in controlled temperature and under hydration, a larva was born. This larva did not assume the character of any different product. Its nature and characteristics were same as the product or organism which was within the egg.</w:t>
      </w:r>
      <w:r w:rsidR="00F0321F">
        <w:rPr>
          <w:color w:val="auto"/>
          <w:sz w:val="22"/>
          <w:szCs w:val="22"/>
        </w:rPr>
        <w:t xml:space="preserve"> </w:t>
      </w:r>
    </w:p>
    <w:p w:rsidR="009A3CDB" w:rsidRDefault="009A3CDB" w:rsidP="00F0321F">
      <w:pPr>
        <w:pStyle w:val="Default"/>
        <w:rPr>
          <w:color w:val="auto"/>
          <w:sz w:val="22"/>
          <w:szCs w:val="22"/>
        </w:rPr>
      </w:pPr>
    </w:p>
    <w:p w:rsidR="00F0321F" w:rsidRDefault="00F0321F" w:rsidP="00F0321F">
      <w:pPr>
        <w:pStyle w:val="Default"/>
        <w:rPr>
          <w:color w:val="auto"/>
          <w:sz w:val="22"/>
          <w:szCs w:val="22"/>
        </w:rPr>
      </w:pPr>
      <w:r>
        <w:rPr>
          <w:b/>
          <w:bCs/>
          <w:color w:val="auto"/>
          <w:sz w:val="22"/>
          <w:szCs w:val="22"/>
        </w:rPr>
        <w:t xml:space="preserve">2. Will the description of the goods as per the documents submitted along with the Shipping Bill be a relevant criterion for the purpose of classification, if not otherwise disputed on the basis of any technical opinion or test? Whether a separate notice is required to be issued for payment of interest which is mandatory and automatically applies for recovery of excess drawback? </w:t>
      </w:r>
    </w:p>
    <w:p w:rsidR="00F0321F" w:rsidRDefault="00F0321F" w:rsidP="00F0321F">
      <w:pPr>
        <w:pStyle w:val="Default"/>
        <w:rPr>
          <w:color w:val="auto"/>
          <w:sz w:val="22"/>
          <w:szCs w:val="22"/>
        </w:rPr>
      </w:pPr>
      <w:r w:rsidRPr="009A3CDB">
        <w:rPr>
          <w:b/>
          <w:bCs/>
          <w:i/>
          <w:iCs/>
          <w:color w:val="auto"/>
          <w:sz w:val="22"/>
          <w:szCs w:val="22"/>
          <w:highlight w:val="yellow"/>
        </w:rPr>
        <w:t>M/s CPS Textiles P Ltd. v. Joint Sec</w:t>
      </w:r>
      <w:r w:rsidR="009A3CDB" w:rsidRPr="009A3CDB">
        <w:rPr>
          <w:b/>
          <w:bCs/>
          <w:i/>
          <w:iCs/>
          <w:color w:val="auto"/>
          <w:sz w:val="22"/>
          <w:szCs w:val="22"/>
          <w:highlight w:val="yellow"/>
        </w:rPr>
        <w:t>retary 2010 (Mad.)</w:t>
      </w:r>
      <w:r>
        <w:rPr>
          <w:b/>
          <w:bCs/>
          <w:i/>
          <w:iCs/>
          <w:color w:val="auto"/>
          <w:sz w:val="22"/>
          <w:szCs w:val="22"/>
        </w:rPr>
        <w:t xml:space="preserve"> </w:t>
      </w:r>
    </w:p>
    <w:p w:rsidR="00BE4D51" w:rsidRDefault="00F0321F" w:rsidP="004426F4">
      <w:pPr>
        <w:pStyle w:val="Default"/>
        <w:rPr>
          <w:color w:val="auto"/>
          <w:sz w:val="22"/>
          <w:szCs w:val="22"/>
        </w:rPr>
      </w:pPr>
      <w:r>
        <w:rPr>
          <w:b/>
          <w:bCs/>
          <w:color w:val="auto"/>
          <w:sz w:val="22"/>
          <w:szCs w:val="22"/>
        </w:rPr>
        <w:t xml:space="preserve">Decision of the case: </w:t>
      </w:r>
      <w:r w:rsidR="00BE4D51">
        <w:rPr>
          <w:b/>
          <w:bCs/>
          <w:color w:val="auto"/>
          <w:sz w:val="22"/>
          <w:szCs w:val="22"/>
        </w:rPr>
        <w:t>Yes.</w:t>
      </w:r>
      <w:r>
        <w:rPr>
          <w:color w:val="auto"/>
          <w:sz w:val="22"/>
          <w:szCs w:val="22"/>
        </w:rPr>
        <w:t xml:space="preserve">The High Court held that the description of the goods as per the documents submitted along with the Shipping Bill would be a relevant criteria for the purpose of classification, if not otherwise disputed on the basis of any technical opinion or test. </w:t>
      </w:r>
    </w:p>
    <w:p w:rsidR="00F0321F" w:rsidRDefault="00BE4D51" w:rsidP="004426F4">
      <w:pPr>
        <w:pStyle w:val="Default"/>
        <w:rPr>
          <w:color w:val="auto"/>
          <w:sz w:val="22"/>
          <w:szCs w:val="22"/>
        </w:rPr>
      </w:pPr>
      <w:r>
        <w:rPr>
          <w:color w:val="auto"/>
          <w:sz w:val="22"/>
          <w:szCs w:val="22"/>
        </w:rPr>
        <w:t>Note.W</w:t>
      </w:r>
      <w:r w:rsidR="00F0321F">
        <w:rPr>
          <w:color w:val="auto"/>
          <w:sz w:val="22"/>
          <w:szCs w:val="22"/>
        </w:rPr>
        <w:t xml:space="preserve">hen the claimant is liable to pay the excess amount of drawback, he is liable to pay interest as well. The section provides for payment of interest automatically along with excess drawback. </w:t>
      </w:r>
      <w:r>
        <w:rPr>
          <w:color w:val="auto"/>
          <w:sz w:val="22"/>
          <w:szCs w:val="22"/>
        </w:rPr>
        <w:t>Here n</w:t>
      </w:r>
      <w:r w:rsidR="00F0321F">
        <w:rPr>
          <w:color w:val="auto"/>
          <w:sz w:val="22"/>
          <w:szCs w:val="22"/>
        </w:rPr>
        <w:t>o notice</w:t>
      </w:r>
      <w:r>
        <w:rPr>
          <w:color w:val="auto"/>
          <w:sz w:val="22"/>
          <w:szCs w:val="22"/>
        </w:rPr>
        <w:t xml:space="preserve"> need be issued separately.</w:t>
      </w:r>
    </w:p>
    <w:p w:rsidR="00F0321F" w:rsidRDefault="00F0321F" w:rsidP="00F0321F">
      <w:pPr>
        <w:pStyle w:val="Default"/>
        <w:rPr>
          <w:rFonts w:cstheme="minorBidi"/>
          <w:color w:val="auto"/>
          <w:sz w:val="22"/>
          <w:szCs w:val="22"/>
        </w:rPr>
      </w:pPr>
    </w:p>
    <w:p w:rsidR="00F0321F" w:rsidRDefault="00F0321F" w:rsidP="00F0321F">
      <w:pPr>
        <w:pStyle w:val="Default"/>
        <w:pageBreakBefore/>
        <w:rPr>
          <w:rFonts w:cstheme="minorBidi"/>
          <w:color w:val="auto"/>
          <w:sz w:val="96"/>
          <w:szCs w:val="96"/>
        </w:rPr>
      </w:pPr>
      <w:r>
        <w:rPr>
          <w:rFonts w:cstheme="minorBidi"/>
          <w:b/>
          <w:bCs/>
          <w:color w:val="auto"/>
          <w:sz w:val="96"/>
          <w:szCs w:val="96"/>
        </w:rPr>
        <w:lastRenderedPageBreak/>
        <w:t xml:space="preserve">4 </w:t>
      </w:r>
    </w:p>
    <w:p w:rsidR="00F0321F" w:rsidRDefault="00F0321F" w:rsidP="00F0321F">
      <w:pPr>
        <w:pStyle w:val="Default"/>
        <w:rPr>
          <w:rFonts w:cstheme="minorBidi"/>
          <w:color w:val="auto"/>
          <w:sz w:val="38"/>
          <w:szCs w:val="38"/>
        </w:rPr>
      </w:pPr>
      <w:r>
        <w:rPr>
          <w:rFonts w:cstheme="minorBidi"/>
          <w:b/>
          <w:bCs/>
          <w:color w:val="auto"/>
          <w:sz w:val="48"/>
          <w:szCs w:val="48"/>
        </w:rPr>
        <w:t>W</w:t>
      </w:r>
      <w:r>
        <w:rPr>
          <w:rFonts w:cstheme="minorBidi"/>
          <w:b/>
          <w:bCs/>
          <w:color w:val="auto"/>
          <w:sz w:val="38"/>
          <w:szCs w:val="38"/>
        </w:rPr>
        <w:t xml:space="preserve">AREHOUSING </w:t>
      </w:r>
    </w:p>
    <w:p w:rsidR="00F0321F" w:rsidRDefault="00F0321F" w:rsidP="00F0321F">
      <w:pPr>
        <w:pStyle w:val="Default"/>
        <w:rPr>
          <w:rFonts w:cstheme="minorBidi"/>
          <w:color w:val="auto"/>
          <w:sz w:val="22"/>
          <w:szCs w:val="22"/>
        </w:rPr>
      </w:pPr>
      <w:r>
        <w:rPr>
          <w:rFonts w:cstheme="minorBidi"/>
          <w:b/>
          <w:bCs/>
          <w:color w:val="auto"/>
          <w:sz w:val="22"/>
          <w:szCs w:val="22"/>
        </w:rPr>
        <w:t xml:space="preserve">1. Whether the issue of the imported goods warehoused in the premises of 100% EOU for manufacture/production/processing in 100% EOU would amount to clearance for home consumption? </w:t>
      </w:r>
    </w:p>
    <w:p w:rsidR="00BE4D51" w:rsidRDefault="00F0321F" w:rsidP="00BE4D51">
      <w:pPr>
        <w:pStyle w:val="Default"/>
        <w:rPr>
          <w:b/>
          <w:bCs/>
          <w:i/>
          <w:iCs/>
          <w:color w:val="auto"/>
          <w:sz w:val="22"/>
          <w:szCs w:val="22"/>
        </w:rPr>
      </w:pPr>
      <w:r w:rsidRPr="00BE4D51">
        <w:rPr>
          <w:b/>
          <w:bCs/>
          <w:i/>
          <w:iCs/>
          <w:color w:val="auto"/>
          <w:sz w:val="22"/>
          <w:szCs w:val="22"/>
          <w:highlight w:val="yellow"/>
        </w:rPr>
        <w:t>Paras Fab Internatio</w:t>
      </w:r>
      <w:r w:rsidR="00BE4D51">
        <w:rPr>
          <w:b/>
          <w:bCs/>
          <w:i/>
          <w:iCs/>
          <w:color w:val="auto"/>
          <w:sz w:val="22"/>
          <w:szCs w:val="22"/>
          <w:highlight w:val="yellow"/>
        </w:rPr>
        <w:t>nal v. CCE 2010 (256)</w:t>
      </w:r>
      <w:r w:rsidRPr="00BE4D51">
        <w:rPr>
          <w:b/>
          <w:bCs/>
          <w:i/>
          <w:iCs/>
          <w:color w:val="auto"/>
          <w:sz w:val="22"/>
          <w:szCs w:val="22"/>
          <w:highlight w:val="yellow"/>
        </w:rPr>
        <w:t xml:space="preserve"> (Tri. – LB)</w:t>
      </w:r>
    </w:p>
    <w:p w:rsidR="00F0321F" w:rsidRDefault="00F0321F" w:rsidP="00BE4D51">
      <w:pPr>
        <w:pStyle w:val="Default"/>
        <w:rPr>
          <w:color w:val="auto"/>
          <w:sz w:val="22"/>
          <w:szCs w:val="22"/>
        </w:rPr>
      </w:pPr>
      <w:r>
        <w:rPr>
          <w:rFonts w:cstheme="minorBidi"/>
          <w:b/>
          <w:bCs/>
          <w:color w:val="auto"/>
          <w:sz w:val="22"/>
          <w:szCs w:val="22"/>
        </w:rPr>
        <w:t>Decision of the case:</w:t>
      </w:r>
      <w:r w:rsidR="00703616">
        <w:rPr>
          <w:rFonts w:cstheme="minorBidi"/>
          <w:b/>
          <w:bCs/>
          <w:color w:val="auto"/>
          <w:sz w:val="22"/>
          <w:szCs w:val="22"/>
        </w:rPr>
        <w:t>No.</w:t>
      </w:r>
      <w:r>
        <w:rPr>
          <w:color w:val="auto"/>
          <w:sz w:val="22"/>
          <w:szCs w:val="22"/>
        </w:rPr>
        <w:t xml:space="preserve"> </w:t>
      </w:r>
    </w:p>
    <w:p w:rsidR="00F0321F" w:rsidRPr="00BE4D51" w:rsidRDefault="00F0321F" w:rsidP="00F0321F">
      <w:pPr>
        <w:pStyle w:val="Default"/>
        <w:rPr>
          <w:color w:val="auto"/>
          <w:sz w:val="22"/>
          <w:szCs w:val="22"/>
        </w:rPr>
      </w:pPr>
      <w:r>
        <w:rPr>
          <w:color w:val="auto"/>
          <w:sz w:val="22"/>
          <w:szCs w:val="22"/>
        </w:rPr>
        <w:t xml:space="preserve">The entire premises of a 100% EOU has to be treated as a warehouse if the licence granted under section 58 to the unit is in respect of the entire premises. </w:t>
      </w:r>
      <w:r w:rsidR="00703616">
        <w:rPr>
          <w:color w:val="auto"/>
          <w:sz w:val="22"/>
          <w:szCs w:val="22"/>
        </w:rPr>
        <w:t xml:space="preserve">Further </w:t>
      </w:r>
      <w:r>
        <w:rPr>
          <w:color w:val="auto"/>
          <w:sz w:val="22"/>
          <w:szCs w:val="22"/>
        </w:rPr>
        <w:t xml:space="preserve">Imported goods warehoused in the premises of a 100% EOU (which is licensed as a Customs bonded warehouse) and used for the purpose of manufacturing in bond as authorized under section 65 of the Customs Act, 1962, cannot be treated to have been removed for home consumption. </w:t>
      </w:r>
    </w:p>
    <w:p w:rsidR="00F0321F" w:rsidRDefault="00F0321F" w:rsidP="00F0321F">
      <w:pPr>
        <w:pStyle w:val="Default"/>
        <w:pageBreakBefore/>
        <w:rPr>
          <w:rFonts w:cstheme="minorBidi"/>
          <w:color w:val="auto"/>
          <w:sz w:val="96"/>
          <w:szCs w:val="96"/>
        </w:rPr>
      </w:pPr>
      <w:r>
        <w:rPr>
          <w:rFonts w:cstheme="minorBidi"/>
          <w:b/>
          <w:bCs/>
          <w:color w:val="auto"/>
          <w:sz w:val="96"/>
          <w:szCs w:val="96"/>
        </w:rPr>
        <w:lastRenderedPageBreak/>
        <w:t xml:space="preserve">5 </w:t>
      </w:r>
    </w:p>
    <w:p w:rsidR="00F0321F" w:rsidRDefault="00F0321F" w:rsidP="00F0321F">
      <w:pPr>
        <w:pStyle w:val="Default"/>
        <w:rPr>
          <w:rFonts w:cstheme="minorBidi"/>
          <w:color w:val="auto"/>
          <w:sz w:val="38"/>
          <w:szCs w:val="38"/>
        </w:rPr>
      </w:pPr>
      <w:r>
        <w:rPr>
          <w:rFonts w:cstheme="minorBidi"/>
          <w:b/>
          <w:bCs/>
          <w:color w:val="auto"/>
          <w:sz w:val="48"/>
          <w:szCs w:val="48"/>
        </w:rPr>
        <w:t>D</w:t>
      </w:r>
      <w:r>
        <w:rPr>
          <w:rFonts w:cstheme="minorBidi"/>
          <w:b/>
          <w:bCs/>
          <w:color w:val="auto"/>
          <w:sz w:val="38"/>
          <w:szCs w:val="38"/>
        </w:rPr>
        <w:t xml:space="preserve">EMAND </w:t>
      </w:r>
      <w:r>
        <w:rPr>
          <w:rFonts w:cstheme="minorBidi"/>
          <w:b/>
          <w:bCs/>
          <w:color w:val="auto"/>
          <w:sz w:val="48"/>
          <w:szCs w:val="48"/>
        </w:rPr>
        <w:t>&amp; A</w:t>
      </w:r>
      <w:r>
        <w:rPr>
          <w:rFonts w:cstheme="minorBidi"/>
          <w:b/>
          <w:bCs/>
          <w:color w:val="auto"/>
          <w:sz w:val="38"/>
          <w:szCs w:val="38"/>
        </w:rPr>
        <w:t xml:space="preserve">PPEALS </w:t>
      </w:r>
    </w:p>
    <w:p w:rsidR="00F0321F" w:rsidRDefault="00F0321F" w:rsidP="00F0321F">
      <w:pPr>
        <w:pStyle w:val="Default"/>
        <w:rPr>
          <w:rFonts w:cstheme="minorBidi"/>
          <w:color w:val="auto"/>
          <w:sz w:val="22"/>
          <w:szCs w:val="22"/>
        </w:rPr>
      </w:pPr>
      <w:r>
        <w:rPr>
          <w:rFonts w:cstheme="minorBidi"/>
          <w:b/>
          <w:bCs/>
          <w:color w:val="auto"/>
          <w:sz w:val="22"/>
          <w:szCs w:val="22"/>
        </w:rPr>
        <w:t xml:space="preserve">1. Whether Revenue can prefer an appeal in case of a consent order? </w:t>
      </w:r>
    </w:p>
    <w:p w:rsidR="00F0321F" w:rsidRDefault="00F0321F" w:rsidP="00F0321F">
      <w:pPr>
        <w:pStyle w:val="Default"/>
        <w:rPr>
          <w:color w:val="auto"/>
          <w:sz w:val="22"/>
          <w:szCs w:val="22"/>
        </w:rPr>
      </w:pPr>
      <w:r w:rsidRPr="00703616">
        <w:rPr>
          <w:b/>
          <w:bCs/>
          <w:i/>
          <w:iCs/>
          <w:color w:val="auto"/>
          <w:sz w:val="22"/>
          <w:szCs w:val="22"/>
          <w:highlight w:val="yellow"/>
        </w:rPr>
        <w:t>CCus v. Trilux Electronics 2010 (253) E.L.T</w:t>
      </w:r>
      <w:r>
        <w:rPr>
          <w:b/>
          <w:bCs/>
          <w:i/>
          <w:iCs/>
          <w:color w:val="auto"/>
          <w:sz w:val="22"/>
          <w:szCs w:val="22"/>
        </w:rPr>
        <w:t xml:space="preserve">. </w:t>
      </w:r>
    </w:p>
    <w:p w:rsidR="00F0321F" w:rsidRDefault="00F0321F" w:rsidP="00F0321F">
      <w:pPr>
        <w:pStyle w:val="Default"/>
        <w:rPr>
          <w:color w:val="auto"/>
          <w:sz w:val="22"/>
          <w:szCs w:val="22"/>
        </w:rPr>
      </w:pPr>
      <w:r>
        <w:rPr>
          <w:b/>
          <w:bCs/>
          <w:color w:val="auto"/>
          <w:sz w:val="22"/>
          <w:szCs w:val="22"/>
        </w:rPr>
        <w:t xml:space="preserve">Decision of the case: </w:t>
      </w:r>
      <w:r w:rsidR="00703616">
        <w:rPr>
          <w:b/>
          <w:bCs/>
          <w:color w:val="auto"/>
          <w:sz w:val="22"/>
          <w:szCs w:val="22"/>
        </w:rPr>
        <w:t>No.</w:t>
      </w:r>
    </w:p>
    <w:p w:rsidR="00F0321F" w:rsidRDefault="00703616" w:rsidP="00F0321F">
      <w:pPr>
        <w:pStyle w:val="Default"/>
        <w:rPr>
          <w:color w:val="auto"/>
          <w:sz w:val="22"/>
          <w:szCs w:val="22"/>
        </w:rPr>
      </w:pPr>
      <w:r>
        <w:rPr>
          <w:color w:val="auto"/>
          <w:sz w:val="22"/>
          <w:szCs w:val="22"/>
        </w:rPr>
        <w:t>I</w:t>
      </w:r>
      <w:r w:rsidR="00F0321F">
        <w:rPr>
          <w:color w:val="auto"/>
          <w:sz w:val="22"/>
          <w:szCs w:val="22"/>
        </w:rPr>
        <w:t>f an order was passed by CESTAT based on consent and the matter was remanded at the instance of Revenue, then Revenue could not pursue an appeal against such order in a higher forum</w:t>
      </w:r>
      <w:r w:rsidR="00F0321F">
        <w:rPr>
          <w:b/>
          <w:bCs/>
          <w:color w:val="auto"/>
          <w:sz w:val="22"/>
          <w:szCs w:val="22"/>
        </w:rPr>
        <w:t xml:space="preserve">. </w:t>
      </w:r>
    </w:p>
    <w:p w:rsidR="00F0321F" w:rsidRDefault="00F0321F" w:rsidP="00F0321F">
      <w:pPr>
        <w:pStyle w:val="Default"/>
        <w:rPr>
          <w:color w:val="auto"/>
          <w:sz w:val="22"/>
          <w:szCs w:val="22"/>
        </w:rPr>
      </w:pPr>
      <w:r>
        <w:rPr>
          <w:i/>
          <w:iCs/>
          <w:color w:val="auto"/>
          <w:sz w:val="22"/>
          <w:szCs w:val="22"/>
        </w:rPr>
        <w:t xml:space="preserve">Note: A consent order is a judicial decree expressing a voluntary agreement between parties to a suit, especially an agreement by a defendant to cease activities alleged by the Government to be illegal in return for an end to the charges. </w:t>
      </w:r>
    </w:p>
    <w:p w:rsidR="00F0321F" w:rsidRDefault="00F0321F" w:rsidP="00F0321F">
      <w:pPr>
        <w:pStyle w:val="Default"/>
        <w:rPr>
          <w:rFonts w:cstheme="minorBidi"/>
          <w:color w:val="auto"/>
          <w:sz w:val="22"/>
          <w:szCs w:val="22"/>
        </w:rPr>
      </w:pPr>
      <w:r>
        <w:rPr>
          <w:rFonts w:cstheme="minorBidi"/>
          <w:b/>
          <w:bCs/>
          <w:color w:val="auto"/>
          <w:sz w:val="22"/>
          <w:szCs w:val="22"/>
        </w:rPr>
        <w:t xml:space="preserve"> </w:t>
      </w:r>
    </w:p>
    <w:p w:rsidR="00F0321F" w:rsidRDefault="00F0321F" w:rsidP="00F0321F">
      <w:pPr>
        <w:pStyle w:val="Default"/>
        <w:pageBreakBefore/>
        <w:rPr>
          <w:rFonts w:cstheme="minorBidi"/>
          <w:color w:val="auto"/>
          <w:sz w:val="96"/>
          <w:szCs w:val="96"/>
        </w:rPr>
      </w:pPr>
      <w:r>
        <w:rPr>
          <w:rFonts w:cstheme="minorBidi"/>
          <w:b/>
          <w:bCs/>
          <w:color w:val="auto"/>
          <w:sz w:val="96"/>
          <w:szCs w:val="96"/>
        </w:rPr>
        <w:lastRenderedPageBreak/>
        <w:t xml:space="preserve">6 </w:t>
      </w:r>
    </w:p>
    <w:p w:rsidR="00F0321F" w:rsidRDefault="00F0321F" w:rsidP="00F0321F">
      <w:pPr>
        <w:pStyle w:val="Default"/>
        <w:rPr>
          <w:rFonts w:cstheme="minorBidi"/>
          <w:color w:val="auto"/>
          <w:sz w:val="38"/>
          <w:szCs w:val="38"/>
        </w:rPr>
      </w:pPr>
      <w:r>
        <w:rPr>
          <w:rFonts w:cstheme="minorBidi"/>
          <w:b/>
          <w:bCs/>
          <w:color w:val="auto"/>
          <w:sz w:val="48"/>
          <w:szCs w:val="48"/>
        </w:rPr>
        <w:t>R</w:t>
      </w:r>
      <w:r>
        <w:rPr>
          <w:rFonts w:cstheme="minorBidi"/>
          <w:b/>
          <w:bCs/>
          <w:color w:val="auto"/>
          <w:sz w:val="38"/>
          <w:szCs w:val="38"/>
        </w:rPr>
        <w:t xml:space="preserve">EFUND </w:t>
      </w:r>
    </w:p>
    <w:p w:rsidR="00F0321F" w:rsidRDefault="00F0321F" w:rsidP="00F0321F">
      <w:pPr>
        <w:pStyle w:val="Default"/>
        <w:rPr>
          <w:rFonts w:cstheme="minorBidi"/>
          <w:color w:val="auto"/>
          <w:sz w:val="22"/>
          <w:szCs w:val="22"/>
        </w:rPr>
      </w:pPr>
      <w:r>
        <w:rPr>
          <w:rFonts w:cstheme="minorBidi"/>
          <w:b/>
          <w:bCs/>
          <w:color w:val="auto"/>
          <w:sz w:val="22"/>
          <w:szCs w:val="22"/>
        </w:rPr>
        <w:t xml:space="preserve">1. Whether Chartered Accountant’s certificate alone is sufficient evidence to rule out the unjust enrichment under customs? </w:t>
      </w:r>
    </w:p>
    <w:p w:rsidR="00F0321F" w:rsidRDefault="00F0321F" w:rsidP="00F0321F">
      <w:pPr>
        <w:pStyle w:val="Default"/>
        <w:rPr>
          <w:color w:val="auto"/>
          <w:sz w:val="22"/>
          <w:szCs w:val="22"/>
        </w:rPr>
      </w:pPr>
      <w:r w:rsidRPr="001A34FA">
        <w:rPr>
          <w:b/>
          <w:bCs/>
          <w:i/>
          <w:iCs/>
          <w:color w:val="auto"/>
          <w:sz w:val="22"/>
          <w:szCs w:val="22"/>
          <w:highlight w:val="yellow"/>
        </w:rPr>
        <w:t>CCus., Chennai v</w:t>
      </w:r>
      <w:r w:rsidR="001A34FA" w:rsidRPr="001A34FA">
        <w:rPr>
          <w:b/>
          <w:bCs/>
          <w:i/>
          <w:iCs/>
          <w:color w:val="auto"/>
          <w:sz w:val="22"/>
          <w:szCs w:val="22"/>
          <w:highlight w:val="yellow"/>
        </w:rPr>
        <w:t xml:space="preserve">. BPL Ltd. 2010 (259) </w:t>
      </w:r>
      <w:r w:rsidRPr="001A34FA">
        <w:rPr>
          <w:b/>
          <w:bCs/>
          <w:i/>
          <w:iCs/>
          <w:color w:val="auto"/>
          <w:sz w:val="22"/>
          <w:szCs w:val="22"/>
          <w:highlight w:val="yellow"/>
        </w:rPr>
        <w:t xml:space="preserve"> (Mad.)</w:t>
      </w:r>
      <w:r>
        <w:rPr>
          <w:b/>
          <w:bCs/>
          <w:i/>
          <w:iCs/>
          <w:color w:val="auto"/>
          <w:sz w:val="22"/>
          <w:szCs w:val="22"/>
        </w:rPr>
        <w:t xml:space="preserve"> </w:t>
      </w:r>
    </w:p>
    <w:p w:rsidR="00F0321F" w:rsidRDefault="00F0321F" w:rsidP="00F0321F">
      <w:pPr>
        <w:pStyle w:val="Default"/>
        <w:rPr>
          <w:color w:val="auto"/>
          <w:sz w:val="22"/>
          <w:szCs w:val="22"/>
        </w:rPr>
      </w:pPr>
      <w:r>
        <w:rPr>
          <w:b/>
          <w:bCs/>
          <w:color w:val="auto"/>
          <w:sz w:val="22"/>
          <w:szCs w:val="22"/>
        </w:rPr>
        <w:t xml:space="preserve">Decision of the case: </w:t>
      </w:r>
      <w:r w:rsidR="001A34FA">
        <w:rPr>
          <w:b/>
          <w:bCs/>
          <w:color w:val="auto"/>
          <w:sz w:val="22"/>
          <w:szCs w:val="22"/>
        </w:rPr>
        <w:t>No.</w:t>
      </w:r>
      <w:r>
        <w:rPr>
          <w:color w:val="auto"/>
          <w:sz w:val="22"/>
          <w:szCs w:val="22"/>
        </w:rPr>
        <w:t xml:space="preserve">The High Court noted that section 27 of the Customs Act mandates on the importer to produce such documents or other evidence, while seeking refund, to establish that the amount of duty in relation to which such refund is claimed, </w:t>
      </w:r>
      <w:r w:rsidRPr="001A34FA">
        <w:rPr>
          <w:color w:val="auto"/>
          <w:sz w:val="22"/>
          <w:szCs w:val="22"/>
          <w:u w:val="single"/>
        </w:rPr>
        <w:t>has not been passed on</w:t>
      </w:r>
      <w:r>
        <w:rPr>
          <w:color w:val="auto"/>
          <w:sz w:val="22"/>
          <w:szCs w:val="22"/>
        </w:rPr>
        <w:t xml:space="preserve"> by him to any other person. </w:t>
      </w:r>
    </w:p>
    <w:p w:rsidR="00F0321F" w:rsidRDefault="001A34FA" w:rsidP="00F0321F">
      <w:pPr>
        <w:pStyle w:val="Default"/>
        <w:rPr>
          <w:color w:val="auto"/>
          <w:sz w:val="22"/>
          <w:szCs w:val="22"/>
        </w:rPr>
      </w:pPr>
      <w:r>
        <w:rPr>
          <w:color w:val="auto"/>
          <w:sz w:val="22"/>
          <w:szCs w:val="22"/>
        </w:rPr>
        <w:t>Here t</w:t>
      </w:r>
      <w:r w:rsidR="00F0321F">
        <w:rPr>
          <w:color w:val="auto"/>
          <w:sz w:val="22"/>
          <w:szCs w:val="22"/>
        </w:rPr>
        <w:t xml:space="preserve">he certificate issued by the Chartered Accountant was merely a piece of evidence acknowledging certain facts. It would not automatically entitle a person to refund in the absence of any other evidence. </w:t>
      </w:r>
    </w:p>
    <w:p w:rsidR="001A34FA" w:rsidRDefault="001A34FA" w:rsidP="00F0321F">
      <w:pPr>
        <w:pStyle w:val="Default"/>
        <w:rPr>
          <w:color w:val="auto"/>
          <w:sz w:val="22"/>
          <w:szCs w:val="22"/>
        </w:rPr>
      </w:pPr>
    </w:p>
    <w:p w:rsidR="00F0321F" w:rsidRDefault="00F0321F" w:rsidP="00F0321F">
      <w:pPr>
        <w:pStyle w:val="Default"/>
        <w:rPr>
          <w:color w:val="auto"/>
          <w:sz w:val="22"/>
          <w:szCs w:val="22"/>
        </w:rPr>
      </w:pPr>
      <w:r>
        <w:rPr>
          <w:b/>
          <w:bCs/>
          <w:color w:val="auto"/>
          <w:sz w:val="22"/>
          <w:szCs w:val="22"/>
        </w:rPr>
        <w:t>2. Can a refund claim be filed under section 27</w:t>
      </w:r>
      <w:r w:rsidR="001A34FA">
        <w:rPr>
          <w:b/>
          <w:bCs/>
          <w:color w:val="auto"/>
          <w:sz w:val="22"/>
          <w:szCs w:val="22"/>
        </w:rPr>
        <w:t>(b)</w:t>
      </w:r>
      <w:r>
        <w:rPr>
          <w:b/>
          <w:bCs/>
          <w:color w:val="auto"/>
          <w:sz w:val="22"/>
          <w:szCs w:val="22"/>
        </w:rPr>
        <w:t xml:space="preserve"> of the Customs Act, 1962 if the payment of duty has not been made pursuant to an assessment order? </w:t>
      </w:r>
    </w:p>
    <w:p w:rsidR="00F0321F" w:rsidRDefault="00F0321F" w:rsidP="00F0321F">
      <w:pPr>
        <w:pStyle w:val="Default"/>
        <w:rPr>
          <w:color w:val="auto"/>
          <w:sz w:val="22"/>
          <w:szCs w:val="22"/>
        </w:rPr>
      </w:pPr>
      <w:r w:rsidRPr="001A34FA">
        <w:rPr>
          <w:b/>
          <w:bCs/>
          <w:i/>
          <w:iCs/>
          <w:color w:val="auto"/>
          <w:sz w:val="22"/>
          <w:szCs w:val="22"/>
          <w:highlight w:val="yellow"/>
        </w:rPr>
        <w:t>Aman Medical products Ltd. v. CCus., Delhi 2010</w:t>
      </w:r>
      <w:r>
        <w:rPr>
          <w:b/>
          <w:bCs/>
          <w:i/>
          <w:iCs/>
          <w:color w:val="auto"/>
          <w:sz w:val="22"/>
          <w:szCs w:val="22"/>
        </w:rPr>
        <w:t xml:space="preserve"> </w:t>
      </w:r>
    </w:p>
    <w:p w:rsidR="00F0321F" w:rsidRDefault="00F0321F" w:rsidP="00F0321F">
      <w:pPr>
        <w:pStyle w:val="Default"/>
        <w:rPr>
          <w:color w:val="auto"/>
          <w:sz w:val="22"/>
          <w:szCs w:val="22"/>
        </w:rPr>
      </w:pPr>
    </w:p>
    <w:p w:rsidR="00F0321F" w:rsidRDefault="00F0321F" w:rsidP="001A34FA">
      <w:pPr>
        <w:pStyle w:val="Default"/>
        <w:rPr>
          <w:color w:val="auto"/>
          <w:sz w:val="22"/>
          <w:szCs w:val="22"/>
        </w:rPr>
      </w:pPr>
      <w:r>
        <w:rPr>
          <w:b/>
          <w:bCs/>
          <w:color w:val="auto"/>
          <w:sz w:val="22"/>
          <w:szCs w:val="22"/>
        </w:rPr>
        <w:t>Decision of the case:</w:t>
      </w:r>
      <w:r w:rsidR="001A34FA">
        <w:rPr>
          <w:b/>
          <w:bCs/>
          <w:color w:val="auto"/>
          <w:sz w:val="22"/>
          <w:szCs w:val="22"/>
        </w:rPr>
        <w:t>Yes</w:t>
      </w:r>
      <w:r>
        <w:rPr>
          <w:color w:val="auto"/>
          <w:sz w:val="22"/>
          <w:szCs w:val="22"/>
        </w:rPr>
        <w:t xml:space="preserve">. </w:t>
      </w:r>
    </w:p>
    <w:p w:rsidR="00F0321F" w:rsidRDefault="00F0321F" w:rsidP="00F0321F">
      <w:pPr>
        <w:pStyle w:val="Default"/>
        <w:rPr>
          <w:color w:val="auto"/>
          <w:sz w:val="22"/>
          <w:szCs w:val="22"/>
        </w:rPr>
      </w:pPr>
      <w:r>
        <w:rPr>
          <w:color w:val="auto"/>
          <w:sz w:val="22"/>
          <w:szCs w:val="22"/>
        </w:rPr>
        <w:t xml:space="preserve">The High Court held that the refund claim of the appellant was maintainable under section 27 and the non-filing of the appeal against the assessed bill of entry did not deprive the appellant to file its claim for refund under section 27 of the Customs Act, 1962. </w:t>
      </w:r>
    </w:p>
    <w:p w:rsidR="00F0321F" w:rsidRDefault="00F0321F" w:rsidP="00F0321F">
      <w:pPr>
        <w:pStyle w:val="Default"/>
        <w:rPr>
          <w:color w:val="auto"/>
          <w:sz w:val="22"/>
          <w:szCs w:val="22"/>
        </w:rPr>
      </w:pPr>
      <w:r>
        <w:rPr>
          <w:b/>
          <w:bCs/>
          <w:color w:val="auto"/>
          <w:sz w:val="22"/>
          <w:szCs w:val="22"/>
        </w:rPr>
        <w:t xml:space="preserve"> </w:t>
      </w:r>
    </w:p>
    <w:p w:rsidR="00F0321F" w:rsidRDefault="00F0321F" w:rsidP="00F0321F">
      <w:pPr>
        <w:pStyle w:val="Default"/>
        <w:rPr>
          <w:color w:val="auto"/>
          <w:sz w:val="22"/>
          <w:szCs w:val="22"/>
        </w:rPr>
      </w:pPr>
      <w:r>
        <w:rPr>
          <w:b/>
          <w:bCs/>
          <w:color w:val="auto"/>
          <w:sz w:val="22"/>
          <w:szCs w:val="22"/>
        </w:rPr>
        <w:t xml:space="preserve">3. Can the assessee be denied the refund claim only on the basis of contention that he had produced the attested copy of </w:t>
      </w:r>
      <w:r w:rsidR="001A34FA">
        <w:rPr>
          <w:b/>
          <w:bCs/>
          <w:color w:val="auto"/>
          <w:sz w:val="22"/>
          <w:szCs w:val="22"/>
        </w:rPr>
        <w:t>GAR 7 challan</w:t>
      </w:r>
      <w:r>
        <w:rPr>
          <w:b/>
          <w:bCs/>
          <w:color w:val="auto"/>
          <w:sz w:val="22"/>
          <w:szCs w:val="22"/>
        </w:rPr>
        <w:t xml:space="preserve"> and not the original of the </w:t>
      </w:r>
      <w:r w:rsidR="001A34FA">
        <w:rPr>
          <w:b/>
          <w:bCs/>
          <w:color w:val="auto"/>
          <w:sz w:val="22"/>
          <w:szCs w:val="22"/>
        </w:rPr>
        <w:t>GAR 7 challan</w:t>
      </w:r>
      <w:r>
        <w:rPr>
          <w:b/>
          <w:bCs/>
          <w:color w:val="auto"/>
          <w:sz w:val="22"/>
          <w:szCs w:val="22"/>
        </w:rPr>
        <w:t xml:space="preserve">? </w:t>
      </w:r>
    </w:p>
    <w:p w:rsidR="00F0321F" w:rsidRDefault="00F0321F" w:rsidP="00F0321F">
      <w:pPr>
        <w:pStyle w:val="Default"/>
        <w:rPr>
          <w:color w:val="auto"/>
          <w:sz w:val="22"/>
          <w:szCs w:val="22"/>
        </w:rPr>
      </w:pPr>
      <w:r w:rsidRPr="00893140">
        <w:rPr>
          <w:b/>
          <w:bCs/>
          <w:i/>
          <w:iCs/>
          <w:color w:val="auto"/>
          <w:sz w:val="22"/>
          <w:szCs w:val="22"/>
          <w:highlight w:val="yellow"/>
        </w:rPr>
        <w:t>Narayan Nambiar Meloths v. CCus. 2010 (251)</w:t>
      </w:r>
    </w:p>
    <w:p w:rsidR="00F0321F" w:rsidRDefault="00F0321F" w:rsidP="00F0321F">
      <w:pPr>
        <w:pStyle w:val="Default"/>
        <w:rPr>
          <w:color w:val="auto"/>
          <w:sz w:val="22"/>
          <w:szCs w:val="22"/>
        </w:rPr>
      </w:pPr>
      <w:r>
        <w:rPr>
          <w:b/>
          <w:bCs/>
          <w:color w:val="auto"/>
          <w:sz w:val="22"/>
          <w:szCs w:val="22"/>
        </w:rPr>
        <w:t xml:space="preserve">Decision of the case: </w:t>
      </w:r>
      <w:r w:rsidR="00893140">
        <w:rPr>
          <w:b/>
          <w:bCs/>
          <w:color w:val="auto"/>
          <w:sz w:val="22"/>
          <w:szCs w:val="22"/>
        </w:rPr>
        <w:t>No.</w:t>
      </w:r>
      <w:r>
        <w:rPr>
          <w:color w:val="auto"/>
          <w:sz w:val="22"/>
          <w:szCs w:val="22"/>
        </w:rPr>
        <w:t xml:space="preserve">:- </w:t>
      </w:r>
    </w:p>
    <w:p w:rsidR="00F0321F" w:rsidRDefault="00893140" w:rsidP="00F0321F">
      <w:pPr>
        <w:pStyle w:val="Default"/>
        <w:rPr>
          <w:color w:val="auto"/>
          <w:sz w:val="22"/>
          <w:szCs w:val="22"/>
        </w:rPr>
      </w:pPr>
      <w:r>
        <w:rPr>
          <w:color w:val="auto"/>
          <w:sz w:val="22"/>
          <w:szCs w:val="22"/>
        </w:rPr>
        <w:t>T</w:t>
      </w:r>
      <w:r w:rsidR="00F0321F">
        <w:rPr>
          <w:color w:val="auto"/>
          <w:sz w:val="22"/>
          <w:szCs w:val="22"/>
        </w:rPr>
        <w:t>he Court opined that the only contention raised again</w:t>
      </w:r>
      <w:r>
        <w:rPr>
          <w:color w:val="auto"/>
          <w:sz w:val="22"/>
          <w:szCs w:val="22"/>
        </w:rPr>
        <w:t>st the petitioner was that Challan</w:t>
      </w:r>
      <w:r w:rsidR="00F0321F">
        <w:rPr>
          <w:color w:val="auto"/>
          <w:sz w:val="22"/>
          <w:szCs w:val="22"/>
        </w:rPr>
        <w:t xml:space="preserve"> he produced was only an attested copy, </w:t>
      </w:r>
      <w:r w:rsidR="00F0321F" w:rsidRPr="00893140">
        <w:rPr>
          <w:color w:val="auto"/>
          <w:sz w:val="22"/>
          <w:szCs w:val="22"/>
          <w:u w:val="single"/>
        </w:rPr>
        <w:t>which was purely a technical contention and could not be accepted</w:t>
      </w:r>
      <w:r w:rsidR="00F0321F">
        <w:rPr>
          <w:color w:val="auto"/>
          <w:sz w:val="22"/>
          <w:szCs w:val="22"/>
        </w:rPr>
        <w:t xml:space="preserve">. </w:t>
      </w:r>
    </w:p>
    <w:p w:rsidR="00F0321F" w:rsidRPr="00893140" w:rsidRDefault="00893140" w:rsidP="00F0321F">
      <w:pPr>
        <w:pStyle w:val="Default"/>
        <w:rPr>
          <w:color w:val="auto"/>
          <w:sz w:val="22"/>
          <w:szCs w:val="22"/>
        </w:rPr>
      </w:pPr>
      <w:r>
        <w:rPr>
          <w:color w:val="auto"/>
          <w:sz w:val="22"/>
          <w:szCs w:val="22"/>
        </w:rPr>
        <w:t>Further</w:t>
      </w:r>
      <w:r w:rsidR="00F0321F">
        <w:rPr>
          <w:color w:val="auto"/>
          <w:sz w:val="22"/>
          <w:szCs w:val="22"/>
        </w:rPr>
        <w:t xml:space="preserve"> as per</w:t>
      </w:r>
      <w:r>
        <w:rPr>
          <w:color w:val="auto"/>
          <w:sz w:val="22"/>
          <w:szCs w:val="22"/>
        </w:rPr>
        <w:t xml:space="preserve"> a</w:t>
      </w:r>
      <w:r w:rsidR="00F0321F">
        <w:rPr>
          <w:color w:val="auto"/>
          <w:sz w:val="22"/>
          <w:szCs w:val="22"/>
        </w:rPr>
        <w:t xml:space="preserve"> clarification issued</w:t>
      </w:r>
      <w:r w:rsidR="00F0321F">
        <w:rPr>
          <w:i/>
          <w:iCs/>
          <w:color w:val="auto"/>
          <w:sz w:val="22"/>
          <w:szCs w:val="22"/>
        </w:rPr>
        <w:t xml:space="preserve">, </w:t>
      </w:r>
      <w:r w:rsidR="00F0321F">
        <w:rPr>
          <w:b/>
          <w:bCs/>
          <w:color w:val="auto"/>
          <w:sz w:val="22"/>
          <w:szCs w:val="22"/>
        </w:rPr>
        <w:t xml:space="preserve">a simple letter from the person who made the deposit, requesting for return of the amount, along with the appellate order and attested Xerox </w:t>
      </w:r>
      <w:r>
        <w:rPr>
          <w:b/>
          <w:bCs/>
          <w:color w:val="auto"/>
          <w:sz w:val="22"/>
          <w:szCs w:val="22"/>
        </w:rPr>
        <w:t>copy of the Challan in Form GAR 7</w:t>
      </w:r>
      <w:r w:rsidR="00F0321F">
        <w:rPr>
          <w:b/>
          <w:bCs/>
          <w:color w:val="auto"/>
          <w:sz w:val="22"/>
          <w:szCs w:val="22"/>
        </w:rPr>
        <w:t xml:space="preserve"> would suffice for processing the refund application</w:t>
      </w:r>
      <w:r w:rsidR="00F0321F">
        <w:rPr>
          <w:color w:val="auto"/>
          <w:sz w:val="22"/>
          <w:szCs w:val="22"/>
        </w:rPr>
        <w:t xml:space="preserve">. </w:t>
      </w:r>
    </w:p>
    <w:p w:rsidR="00F0321F" w:rsidRDefault="00F0321F" w:rsidP="00F0321F">
      <w:pPr>
        <w:pStyle w:val="Default"/>
        <w:pageBreakBefore/>
        <w:rPr>
          <w:rFonts w:cstheme="minorBidi"/>
          <w:color w:val="auto"/>
          <w:sz w:val="96"/>
          <w:szCs w:val="96"/>
        </w:rPr>
      </w:pPr>
      <w:r>
        <w:rPr>
          <w:rFonts w:cstheme="minorBidi"/>
          <w:b/>
          <w:bCs/>
          <w:color w:val="auto"/>
          <w:sz w:val="96"/>
          <w:szCs w:val="96"/>
        </w:rPr>
        <w:lastRenderedPageBreak/>
        <w:t xml:space="preserve">7 </w:t>
      </w:r>
    </w:p>
    <w:p w:rsidR="00F0321F" w:rsidRDefault="00F0321F" w:rsidP="00F0321F">
      <w:pPr>
        <w:pStyle w:val="Default"/>
        <w:rPr>
          <w:rFonts w:cstheme="minorBidi"/>
          <w:color w:val="auto"/>
          <w:sz w:val="38"/>
          <w:szCs w:val="38"/>
        </w:rPr>
      </w:pPr>
      <w:r>
        <w:rPr>
          <w:rFonts w:cstheme="minorBidi"/>
          <w:b/>
          <w:bCs/>
          <w:color w:val="auto"/>
          <w:sz w:val="48"/>
          <w:szCs w:val="48"/>
        </w:rPr>
        <w:t>P</w:t>
      </w:r>
      <w:r>
        <w:rPr>
          <w:rFonts w:cstheme="minorBidi"/>
          <w:b/>
          <w:bCs/>
          <w:color w:val="auto"/>
          <w:sz w:val="38"/>
          <w:szCs w:val="38"/>
        </w:rPr>
        <w:t xml:space="preserve">ROVISIONS </w:t>
      </w:r>
      <w:r>
        <w:rPr>
          <w:rFonts w:cstheme="minorBidi"/>
          <w:b/>
          <w:bCs/>
          <w:color w:val="auto"/>
          <w:sz w:val="48"/>
          <w:szCs w:val="48"/>
        </w:rPr>
        <w:t>R</w:t>
      </w:r>
      <w:r>
        <w:rPr>
          <w:rFonts w:cstheme="minorBidi"/>
          <w:b/>
          <w:bCs/>
          <w:color w:val="auto"/>
          <w:sz w:val="38"/>
          <w:szCs w:val="38"/>
        </w:rPr>
        <w:t xml:space="preserve">ELATING </w:t>
      </w:r>
      <w:r>
        <w:rPr>
          <w:rFonts w:cstheme="minorBidi"/>
          <w:b/>
          <w:bCs/>
          <w:color w:val="auto"/>
          <w:sz w:val="48"/>
          <w:szCs w:val="48"/>
        </w:rPr>
        <w:t>T</w:t>
      </w:r>
      <w:r>
        <w:rPr>
          <w:rFonts w:cstheme="minorBidi"/>
          <w:b/>
          <w:bCs/>
          <w:color w:val="auto"/>
          <w:sz w:val="38"/>
          <w:szCs w:val="38"/>
        </w:rPr>
        <w:t xml:space="preserve">O </w:t>
      </w:r>
      <w:r>
        <w:rPr>
          <w:rFonts w:cstheme="minorBidi"/>
          <w:b/>
          <w:bCs/>
          <w:color w:val="auto"/>
          <w:sz w:val="48"/>
          <w:szCs w:val="48"/>
        </w:rPr>
        <w:t>I</w:t>
      </w:r>
      <w:r>
        <w:rPr>
          <w:rFonts w:cstheme="minorBidi"/>
          <w:b/>
          <w:bCs/>
          <w:color w:val="auto"/>
          <w:sz w:val="38"/>
          <w:szCs w:val="38"/>
        </w:rPr>
        <w:t xml:space="preserve">LLEGAL </w:t>
      </w:r>
      <w:r>
        <w:rPr>
          <w:rFonts w:cstheme="minorBidi"/>
          <w:b/>
          <w:bCs/>
          <w:color w:val="auto"/>
          <w:sz w:val="48"/>
          <w:szCs w:val="48"/>
        </w:rPr>
        <w:t>I</w:t>
      </w:r>
      <w:r>
        <w:rPr>
          <w:rFonts w:cstheme="minorBidi"/>
          <w:b/>
          <w:bCs/>
          <w:color w:val="auto"/>
          <w:sz w:val="38"/>
          <w:szCs w:val="38"/>
        </w:rPr>
        <w:t>MPORT</w:t>
      </w:r>
      <w:r>
        <w:rPr>
          <w:rFonts w:cstheme="minorBidi"/>
          <w:b/>
          <w:bCs/>
          <w:color w:val="auto"/>
          <w:sz w:val="48"/>
          <w:szCs w:val="48"/>
        </w:rPr>
        <w:t>, I</w:t>
      </w:r>
      <w:r>
        <w:rPr>
          <w:rFonts w:cstheme="minorBidi"/>
          <w:b/>
          <w:bCs/>
          <w:color w:val="auto"/>
          <w:sz w:val="38"/>
          <w:szCs w:val="38"/>
        </w:rPr>
        <w:t xml:space="preserve">LLEGAL </w:t>
      </w:r>
      <w:r>
        <w:rPr>
          <w:rFonts w:cstheme="minorBidi"/>
          <w:b/>
          <w:bCs/>
          <w:color w:val="auto"/>
          <w:sz w:val="48"/>
          <w:szCs w:val="48"/>
        </w:rPr>
        <w:t>E</w:t>
      </w:r>
      <w:r>
        <w:rPr>
          <w:rFonts w:cstheme="minorBidi"/>
          <w:b/>
          <w:bCs/>
          <w:color w:val="auto"/>
          <w:sz w:val="38"/>
          <w:szCs w:val="38"/>
        </w:rPr>
        <w:t>XPORT</w:t>
      </w:r>
      <w:r>
        <w:rPr>
          <w:rFonts w:cstheme="minorBidi"/>
          <w:b/>
          <w:bCs/>
          <w:color w:val="auto"/>
          <w:sz w:val="48"/>
          <w:szCs w:val="48"/>
        </w:rPr>
        <w:t>, C</w:t>
      </w:r>
      <w:r>
        <w:rPr>
          <w:rFonts w:cstheme="minorBidi"/>
          <w:b/>
          <w:bCs/>
          <w:color w:val="auto"/>
          <w:sz w:val="38"/>
          <w:szCs w:val="38"/>
        </w:rPr>
        <w:t>ONFISCATION</w:t>
      </w:r>
      <w:r>
        <w:rPr>
          <w:rFonts w:cstheme="minorBidi"/>
          <w:b/>
          <w:bCs/>
          <w:color w:val="auto"/>
          <w:sz w:val="48"/>
          <w:szCs w:val="48"/>
        </w:rPr>
        <w:t>, P</w:t>
      </w:r>
      <w:r>
        <w:rPr>
          <w:rFonts w:cstheme="minorBidi"/>
          <w:b/>
          <w:bCs/>
          <w:color w:val="auto"/>
          <w:sz w:val="38"/>
          <w:szCs w:val="38"/>
        </w:rPr>
        <w:t xml:space="preserve">ENALTY </w:t>
      </w:r>
      <w:r>
        <w:rPr>
          <w:rFonts w:cstheme="minorBidi"/>
          <w:b/>
          <w:bCs/>
          <w:color w:val="auto"/>
          <w:sz w:val="48"/>
          <w:szCs w:val="48"/>
        </w:rPr>
        <w:t>&amp; A</w:t>
      </w:r>
      <w:r>
        <w:rPr>
          <w:rFonts w:cstheme="minorBidi"/>
          <w:b/>
          <w:bCs/>
          <w:color w:val="auto"/>
          <w:sz w:val="38"/>
          <w:szCs w:val="38"/>
        </w:rPr>
        <w:t xml:space="preserve">LLIED </w:t>
      </w:r>
      <w:r>
        <w:rPr>
          <w:rFonts w:cstheme="minorBidi"/>
          <w:b/>
          <w:bCs/>
          <w:color w:val="auto"/>
          <w:sz w:val="48"/>
          <w:szCs w:val="48"/>
        </w:rPr>
        <w:t>P</w:t>
      </w:r>
      <w:r>
        <w:rPr>
          <w:rFonts w:cstheme="minorBidi"/>
          <w:b/>
          <w:bCs/>
          <w:color w:val="auto"/>
          <w:sz w:val="38"/>
          <w:szCs w:val="38"/>
        </w:rPr>
        <w:t xml:space="preserve">ROVISIONS </w:t>
      </w:r>
    </w:p>
    <w:p w:rsidR="00F0321F" w:rsidRDefault="00316425" w:rsidP="00F0321F">
      <w:pPr>
        <w:pStyle w:val="Default"/>
        <w:rPr>
          <w:rFonts w:cstheme="minorBidi"/>
          <w:color w:val="auto"/>
          <w:sz w:val="22"/>
          <w:szCs w:val="22"/>
        </w:rPr>
      </w:pPr>
      <w:r>
        <w:rPr>
          <w:rFonts w:cstheme="minorBidi"/>
          <w:b/>
          <w:bCs/>
          <w:color w:val="auto"/>
          <w:sz w:val="22"/>
          <w:szCs w:val="22"/>
        </w:rPr>
        <w:t xml:space="preserve">(Imp) </w:t>
      </w:r>
      <w:r w:rsidR="00F0321F">
        <w:rPr>
          <w:rFonts w:cstheme="minorBidi"/>
          <w:b/>
          <w:bCs/>
          <w:color w:val="auto"/>
          <w:sz w:val="22"/>
          <w:szCs w:val="22"/>
        </w:rPr>
        <w:t xml:space="preserve">1. Whether the benefit of exemption meant for imported goods can also be given to the smuggled goods? </w:t>
      </w:r>
    </w:p>
    <w:p w:rsidR="00F0321F" w:rsidRDefault="00F0321F" w:rsidP="00F0321F">
      <w:pPr>
        <w:pStyle w:val="Default"/>
        <w:rPr>
          <w:color w:val="auto"/>
          <w:sz w:val="22"/>
          <w:szCs w:val="22"/>
        </w:rPr>
      </w:pPr>
      <w:r w:rsidRPr="00316425">
        <w:rPr>
          <w:b/>
          <w:bCs/>
          <w:i/>
          <w:iCs/>
          <w:color w:val="auto"/>
          <w:sz w:val="22"/>
          <w:szCs w:val="22"/>
          <w:highlight w:val="yellow"/>
        </w:rPr>
        <w:t>CCus. (Prev.), Mumbai v. M. Ambalal &amp; Co. 2010 (SC)</w:t>
      </w:r>
      <w:r>
        <w:rPr>
          <w:b/>
          <w:bCs/>
          <w:i/>
          <w:iCs/>
          <w:color w:val="auto"/>
          <w:sz w:val="22"/>
          <w:szCs w:val="22"/>
        </w:rPr>
        <w:t xml:space="preserve"> </w:t>
      </w:r>
    </w:p>
    <w:p w:rsidR="00F0321F" w:rsidRDefault="00F0321F" w:rsidP="00F0321F">
      <w:pPr>
        <w:pStyle w:val="Default"/>
        <w:rPr>
          <w:color w:val="auto"/>
          <w:sz w:val="22"/>
          <w:szCs w:val="22"/>
        </w:rPr>
      </w:pPr>
      <w:r>
        <w:rPr>
          <w:b/>
          <w:bCs/>
          <w:color w:val="auto"/>
          <w:sz w:val="22"/>
          <w:szCs w:val="22"/>
        </w:rPr>
        <w:t xml:space="preserve">Decision of the case: </w:t>
      </w:r>
      <w:r w:rsidR="00316425">
        <w:rPr>
          <w:b/>
          <w:bCs/>
          <w:color w:val="auto"/>
          <w:sz w:val="22"/>
          <w:szCs w:val="22"/>
        </w:rPr>
        <w:t>No.I</w:t>
      </w:r>
      <w:r>
        <w:rPr>
          <w:color w:val="auto"/>
          <w:sz w:val="22"/>
          <w:szCs w:val="22"/>
        </w:rPr>
        <w:t xml:space="preserve">f the smuggled goods and imported goods were to be treated as the same, then there would have been no need for two different definitions under the Customs Act, 1962. </w:t>
      </w:r>
    </w:p>
    <w:p w:rsidR="00F0321F" w:rsidRPr="00316425" w:rsidRDefault="00F0321F" w:rsidP="00F0321F">
      <w:pPr>
        <w:pStyle w:val="Default"/>
        <w:rPr>
          <w:color w:val="auto"/>
          <w:sz w:val="22"/>
          <w:szCs w:val="22"/>
          <w:u w:val="single"/>
        </w:rPr>
      </w:pPr>
      <w:r w:rsidRPr="00316425">
        <w:rPr>
          <w:color w:val="auto"/>
          <w:sz w:val="22"/>
          <w:szCs w:val="22"/>
          <w:u w:val="single"/>
        </w:rPr>
        <w:t xml:space="preserve">The Court observed that one of the principal functions of the Customs Act was to curb the ills of smuggling on the economy. Hence, it held that it would be contrary to the purpose of exemption notifications to give the benefit meant for imported goods to smuggled goods. </w:t>
      </w:r>
    </w:p>
    <w:p w:rsidR="00316425" w:rsidRDefault="00316425" w:rsidP="00F0321F">
      <w:pPr>
        <w:pStyle w:val="Default"/>
        <w:rPr>
          <w:b/>
          <w:bCs/>
          <w:color w:val="auto"/>
          <w:sz w:val="22"/>
          <w:szCs w:val="22"/>
        </w:rPr>
      </w:pPr>
    </w:p>
    <w:p w:rsidR="00F0321F" w:rsidRDefault="00F0321F" w:rsidP="00F0321F">
      <w:pPr>
        <w:pStyle w:val="Default"/>
        <w:rPr>
          <w:color w:val="auto"/>
          <w:sz w:val="22"/>
          <w:szCs w:val="22"/>
        </w:rPr>
      </w:pPr>
      <w:r>
        <w:rPr>
          <w:b/>
          <w:bCs/>
          <w:color w:val="auto"/>
          <w:sz w:val="22"/>
          <w:szCs w:val="22"/>
        </w:rPr>
        <w:t xml:space="preserve">2. Can the goods be detained indefinitely without any formal order under section 110 of the Customs Act, 1962? </w:t>
      </w:r>
    </w:p>
    <w:p w:rsidR="00F0321F" w:rsidRDefault="00F0321F" w:rsidP="00F0321F">
      <w:pPr>
        <w:pStyle w:val="Default"/>
        <w:rPr>
          <w:color w:val="auto"/>
          <w:sz w:val="22"/>
          <w:szCs w:val="22"/>
        </w:rPr>
      </w:pPr>
      <w:r w:rsidRPr="00316425">
        <w:rPr>
          <w:b/>
          <w:bCs/>
          <w:i/>
          <w:iCs/>
          <w:color w:val="auto"/>
          <w:sz w:val="22"/>
          <w:szCs w:val="22"/>
          <w:highlight w:val="yellow"/>
        </w:rPr>
        <w:t>S.J. Fabrics Pvt. L</w:t>
      </w:r>
      <w:r w:rsidR="00316425">
        <w:rPr>
          <w:b/>
          <w:bCs/>
          <w:i/>
          <w:iCs/>
          <w:color w:val="auto"/>
          <w:sz w:val="22"/>
          <w:szCs w:val="22"/>
          <w:highlight w:val="yellow"/>
        </w:rPr>
        <w:t>td. v. UOI 2011</w:t>
      </w:r>
      <w:r w:rsidRPr="00316425">
        <w:rPr>
          <w:b/>
          <w:bCs/>
          <w:i/>
          <w:iCs/>
          <w:color w:val="auto"/>
          <w:sz w:val="22"/>
          <w:szCs w:val="22"/>
          <w:highlight w:val="yellow"/>
        </w:rPr>
        <w:t xml:space="preserve"> (Cal.)</w:t>
      </w:r>
      <w:r>
        <w:rPr>
          <w:b/>
          <w:bCs/>
          <w:i/>
          <w:iCs/>
          <w:color w:val="auto"/>
          <w:sz w:val="22"/>
          <w:szCs w:val="22"/>
        </w:rPr>
        <w:t xml:space="preserve"> </w:t>
      </w:r>
    </w:p>
    <w:p w:rsidR="00F0321F" w:rsidRDefault="00F0321F" w:rsidP="00F0321F">
      <w:pPr>
        <w:pStyle w:val="Default"/>
        <w:rPr>
          <w:color w:val="auto"/>
          <w:sz w:val="22"/>
          <w:szCs w:val="22"/>
        </w:rPr>
      </w:pPr>
      <w:r>
        <w:rPr>
          <w:b/>
          <w:bCs/>
          <w:color w:val="auto"/>
          <w:sz w:val="22"/>
          <w:szCs w:val="22"/>
        </w:rPr>
        <w:t xml:space="preserve">Decision of the </w:t>
      </w:r>
      <w:r w:rsidR="00962283">
        <w:rPr>
          <w:b/>
          <w:bCs/>
          <w:color w:val="auto"/>
          <w:sz w:val="22"/>
          <w:szCs w:val="22"/>
        </w:rPr>
        <w:t>case (A very good decision)</w:t>
      </w:r>
      <w:r>
        <w:rPr>
          <w:b/>
          <w:bCs/>
          <w:color w:val="auto"/>
          <w:sz w:val="22"/>
          <w:szCs w:val="22"/>
        </w:rPr>
        <w:t xml:space="preserve">: </w:t>
      </w:r>
      <w:r w:rsidR="00962283">
        <w:rPr>
          <w:b/>
          <w:bCs/>
          <w:color w:val="auto"/>
          <w:sz w:val="22"/>
          <w:szCs w:val="22"/>
        </w:rPr>
        <w:t>No.</w:t>
      </w:r>
      <w:r>
        <w:rPr>
          <w:color w:val="auto"/>
          <w:sz w:val="22"/>
          <w:szCs w:val="22"/>
        </w:rPr>
        <w:t xml:space="preserve">The High Court held that there is no time limit for issuance of an order under section 110 and/or the proviso thereof. However, such notice </w:t>
      </w:r>
      <w:r w:rsidRPr="00BC7C1F">
        <w:rPr>
          <w:color w:val="auto"/>
          <w:sz w:val="22"/>
          <w:szCs w:val="22"/>
          <w:u w:val="single"/>
        </w:rPr>
        <w:t>should ordinarily be issued immediately upon interception and detention of the goods.</w:t>
      </w:r>
      <w:r>
        <w:rPr>
          <w:color w:val="auto"/>
          <w:sz w:val="22"/>
          <w:szCs w:val="22"/>
        </w:rPr>
        <w:t xml:space="preserve"> The goods cannot indefinitely be detained without any order under section 110. </w:t>
      </w:r>
    </w:p>
    <w:p w:rsidR="00F0321F" w:rsidRDefault="00F0321F" w:rsidP="00316425">
      <w:pPr>
        <w:pStyle w:val="Default"/>
        <w:rPr>
          <w:color w:val="auto"/>
          <w:sz w:val="22"/>
          <w:szCs w:val="22"/>
        </w:rPr>
      </w:pPr>
      <w:r>
        <w:rPr>
          <w:color w:val="auto"/>
          <w:sz w:val="22"/>
          <w:szCs w:val="22"/>
        </w:rPr>
        <w:t>The High Court observed that section 110(2) provides that when any goods are seized under sub-section (1) and no notice in respect thereof is given under clause (a) of section 124 within six months of the seizure of the goods, the goods shall be returned to the person from whose possession, the goods were seized. The proviso to Section 110(2)</w:t>
      </w:r>
      <w:r w:rsidR="00BC7C1F">
        <w:rPr>
          <w:color w:val="auto"/>
          <w:sz w:val="22"/>
          <w:szCs w:val="22"/>
        </w:rPr>
        <w:t>, however</w:t>
      </w:r>
      <w:r>
        <w:rPr>
          <w:color w:val="auto"/>
          <w:sz w:val="22"/>
          <w:szCs w:val="22"/>
        </w:rPr>
        <w:t xml:space="preserve">, empowers the Commissioner of Customs to extend the aforesaid period of six months by a further period of not exceeding six months on sufficient cause being shown. </w:t>
      </w:r>
    </w:p>
    <w:p w:rsidR="00F0321F" w:rsidRDefault="00F0321F" w:rsidP="00F0321F">
      <w:pPr>
        <w:pStyle w:val="Default"/>
        <w:rPr>
          <w:color w:val="auto"/>
          <w:sz w:val="22"/>
          <w:szCs w:val="22"/>
        </w:rPr>
      </w:pPr>
      <w:r>
        <w:rPr>
          <w:color w:val="auto"/>
          <w:sz w:val="22"/>
          <w:szCs w:val="22"/>
        </w:rPr>
        <w:t xml:space="preserve">. </w:t>
      </w:r>
    </w:p>
    <w:p w:rsidR="00F0321F" w:rsidRDefault="00F0321F" w:rsidP="00F0321F">
      <w:pPr>
        <w:pStyle w:val="Default"/>
        <w:rPr>
          <w:color w:val="auto"/>
          <w:sz w:val="22"/>
          <w:szCs w:val="22"/>
        </w:rPr>
      </w:pPr>
      <w:r>
        <w:rPr>
          <w:b/>
          <w:bCs/>
          <w:color w:val="auto"/>
          <w:sz w:val="22"/>
          <w:szCs w:val="22"/>
        </w:rPr>
        <w:t xml:space="preserve">3. Is it mandatory for the Revenue officers to make available the copies of the seized documents to the person from whose custody such documents were seized? </w:t>
      </w:r>
    </w:p>
    <w:p w:rsidR="00F0321F" w:rsidRDefault="00F0321F" w:rsidP="00F0321F">
      <w:pPr>
        <w:pStyle w:val="Default"/>
        <w:rPr>
          <w:color w:val="auto"/>
          <w:sz w:val="22"/>
          <w:szCs w:val="22"/>
        </w:rPr>
      </w:pPr>
      <w:r w:rsidRPr="00962283">
        <w:rPr>
          <w:b/>
          <w:bCs/>
          <w:i/>
          <w:iCs/>
          <w:color w:val="auto"/>
          <w:sz w:val="22"/>
          <w:szCs w:val="22"/>
          <w:highlight w:val="yellow"/>
        </w:rPr>
        <w:t>Manish Lalit Kumar Bavi</w:t>
      </w:r>
      <w:r w:rsidR="00962283" w:rsidRPr="00962283">
        <w:rPr>
          <w:b/>
          <w:bCs/>
          <w:i/>
          <w:iCs/>
          <w:color w:val="auto"/>
          <w:sz w:val="22"/>
          <w:szCs w:val="22"/>
          <w:highlight w:val="yellow"/>
        </w:rPr>
        <w:t>shi v. Addl. DIR. General</w:t>
      </w:r>
      <w:r w:rsidRPr="00962283">
        <w:rPr>
          <w:b/>
          <w:bCs/>
          <w:i/>
          <w:iCs/>
          <w:color w:val="auto"/>
          <w:sz w:val="22"/>
          <w:szCs w:val="22"/>
          <w:highlight w:val="yellow"/>
        </w:rPr>
        <w:t xml:space="preserve"> (Bom.)</w:t>
      </w:r>
      <w:r>
        <w:rPr>
          <w:b/>
          <w:bCs/>
          <w:i/>
          <w:iCs/>
          <w:color w:val="auto"/>
          <w:sz w:val="22"/>
          <w:szCs w:val="22"/>
        </w:rPr>
        <w:t xml:space="preserve"> </w:t>
      </w:r>
    </w:p>
    <w:p w:rsidR="00962283" w:rsidRDefault="00F0321F" w:rsidP="00962283">
      <w:pPr>
        <w:pStyle w:val="Default"/>
        <w:rPr>
          <w:color w:val="auto"/>
          <w:sz w:val="22"/>
          <w:szCs w:val="22"/>
        </w:rPr>
      </w:pPr>
      <w:r>
        <w:rPr>
          <w:b/>
          <w:bCs/>
          <w:color w:val="auto"/>
          <w:sz w:val="22"/>
          <w:szCs w:val="22"/>
        </w:rPr>
        <w:t xml:space="preserve">Decision of the case: </w:t>
      </w:r>
      <w:r w:rsidR="00962283">
        <w:rPr>
          <w:b/>
          <w:bCs/>
          <w:color w:val="auto"/>
          <w:sz w:val="22"/>
          <w:szCs w:val="22"/>
        </w:rPr>
        <w:t>Yes. Relevant Section :</w:t>
      </w:r>
      <w:r>
        <w:rPr>
          <w:color w:val="auto"/>
          <w:sz w:val="22"/>
          <w:szCs w:val="22"/>
        </w:rPr>
        <w:t>110(4</w:t>
      </w:r>
      <w:r w:rsidR="00962283">
        <w:rPr>
          <w:color w:val="auto"/>
          <w:sz w:val="22"/>
          <w:szCs w:val="22"/>
        </w:rPr>
        <w:t>)</w:t>
      </w:r>
    </w:p>
    <w:p w:rsidR="00F0321F" w:rsidRDefault="00F0321F" w:rsidP="00962283">
      <w:pPr>
        <w:pStyle w:val="Default"/>
        <w:rPr>
          <w:color w:val="auto"/>
          <w:sz w:val="22"/>
          <w:szCs w:val="22"/>
        </w:rPr>
      </w:pPr>
      <w:r>
        <w:rPr>
          <w:color w:val="auto"/>
          <w:sz w:val="22"/>
          <w:szCs w:val="22"/>
        </w:rPr>
        <w:t xml:space="preserve"> </w:t>
      </w:r>
    </w:p>
    <w:p w:rsidR="00F0321F" w:rsidRDefault="00F0321F" w:rsidP="00F0321F">
      <w:pPr>
        <w:pStyle w:val="Default"/>
        <w:rPr>
          <w:color w:val="auto"/>
          <w:sz w:val="22"/>
          <w:szCs w:val="22"/>
        </w:rPr>
      </w:pPr>
      <w:r>
        <w:rPr>
          <w:b/>
          <w:bCs/>
          <w:color w:val="auto"/>
          <w:sz w:val="22"/>
          <w:szCs w:val="22"/>
        </w:rPr>
        <w:t xml:space="preserve">4. Under what circumstances can the penalty be imposed in terms of section 112(a)(ii) of the Customs Act, 1962? </w:t>
      </w:r>
    </w:p>
    <w:p w:rsidR="00F0321F" w:rsidRDefault="00F0321F" w:rsidP="00F0321F">
      <w:pPr>
        <w:pStyle w:val="Default"/>
        <w:rPr>
          <w:color w:val="auto"/>
          <w:sz w:val="22"/>
          <w:szCs w:val="22"/>
        </w:rPr>
      </w:pPr>
      <w:r w:rsidRPr="00962283">
        <w:rPr>
          <w:b/>
          <w:bCs/>
          <w:i/>
          <w:iCs/>
          <w:color w:val="auto"/>
          <w:sz w:val="22"/>
          <w:szCs w:val="22"/>
          <w:highlight w:val="yellow"/>
        </w:rPr>
        <w:t>O.T. En</w:t>
      </w:r>
      <w:r w:rsidR="00962283">
        <w:rPr>
          <w:b/>
          <w:bCs/>
          <w:i/>
          <w:iCs/>
          <w:color w:val="auto"/>
          <w:sz w:val="22"/>
          <w:szCs w:val="22"/>
          <w:highlight w:val="yellow"/>
        </w:rPr>
        <w:t xml:space="preserve">asu v. UOI 2011 </w:t>
      </w:r>
      <w:r w:rsidRPr="00962283">
        <w:rPr>
          <w:b/>
          <w:bCs/>
          <w:i/>
          <w:iCs/>
          <w:color w:val="auto"/>
          <w:sz w:val="22"/>
          <w:szCs w:val="22"/>
          <w:highlight w:val="yellow"/>
        </w:rPr>
        <w:t>(Ker.)</w:t>
      </w:r>
      <w:r>
        <w:rPr>
          <w:b/>
          <w:bCs/>
          <w:i/>
          <w:iCs/>
          <w:color w:val="auto"/>
          <w:sz w:val="22"/>
          <w:szCs w:val="22"/>
        </w:rPr>
        <w:t xml:space="preserve"> </w:t>
      </w:r>
    </w:p>
    <w:p w:rsidR="00962283" w:rsidRDefault="00F0321F" w:rsidP="00962283">
      <w:pPr>
        <w:pStyle w:val="Default"/>
        <w:rPr>
          <w:color w:val="auto"/>
          <w:sz w:val="22"/>
          <w:szCs w:val="22"/>
        </w:rPr>
      </w:pPr>
      <w:r>
        <w:rPr>
          <w:color w:val="auto"/>
          <w:sz w:val="22"/>
          <w:szCs w:val="22"/>
        </w:rPr>
        <w:t xml:space="preserve">the High Court inferred that unless it is established that a person has, by his omissions or commissions, led to a situation </w:t>
      </w:r>
      <w:r w:rsidRPr="00962283">
        <w:rPr>
          <w:color w:val="auto"/>
          <w:sz w:val="22"/>
          <w:szCs w:val="22"/>
          <w:u w:val="single"/>
        </w:rPr>
        <w:t>where duty is sought to be evaded</w:t>
      </w:r>
      <w:r>
        <w:rPr>
          <w:color w:val="auto"/>
          <w:sz w:val="22"/>
          <w:szCs w:val="22"/>
        </w:rPr>
        <w:t xml:space="preserve">, there cannot be an imposition of penalty in terms of section 112(a)(ii) of the Act. </w:t>
      </w:r>
    </w:p>
    <w:p w:rsidR="00962283" w:rsidRDefault="00962283" w:rsidP="00962283">
      <w:pPr>
        <w:pStyle w:val="Default"/>
        <w:rPr>
          <w:color w:val="auto"/>
          <w:sz w:val="22"/>
          <w:szCs w:val="22"/>
        </w:rPr>
      </w:pPr>
    </w:p>
    <w:p w:rsidR="00F0321F" w:rsidRDefault="00F0321F" w:rsidP="00962283">
      <w:pPr>
        <w:pStyle w:val="Default"/>
        <w:rPr>
          <w:rFonts w:cstheme="minorBidi"/>
          <w:color w:val="auto"/>
          <w:sz w:val="22"/>
          <w:szCs w:val="22"/>
        </w:rPr>
      </w:pPr>
      <w:r>
        <w:rPr>
          <w:rFonts w:cstheme="minorBidi"/>
          <w:b/>
          <w:bCs/>
          <w:color w:val="auto"/>
          <w:sz w:val="22"/>
          <w:szCs w:val="22"/>
        </w:rPr>
        <w:t xml:space="preserve">5. Can separate penalty under section 112 of the Customs Act be imposed on the partners when the same has already been imposed on partnership firm? </w:t>
      </w:r>
    </w:p>
    <w:p w:rsidR="00F0321F" w:rsidRDefault="00F0321F" w:rsidP="00F0321F">
      <w:pPr>
        <w:pStyle w:val="Default"/>
        <w:rPr>
          <w:color w:val="auto"/>
          <w:sz w:val="22"/>
          <w:szCs w:val="22"/>
        </w:rPr>
      </w:pPr>
      <w:r w:rsidRPr="00962283">
        <w:rPr>
          <w:i/>
          <w:iCs/>
          <w:color w:val="auto"/>
          <w:sz w:val="22"/>
          <w:szCs w:val="22"/>
          <w:highlight w:val="yellow"/>
        </w:rPr>
        <w:t xml:space="preserve">Textoplast Industries v. Additional Commissioner </w:t>
      </w:r>
      <w:r w:rsidR="00962283">
        <w:rPr>
          <w:i/>
          <w:iCs/>
          <w:color w:val="auto"/>
          <w:sz w:val="22"/>
          <w:szCs w:val="22"/>
          <w:highlight w:val="yellow"/>
        </w:rPr>
        <w:t>of Customs 2011</w:t>
      </w:r>
      <w:r w:rsidRPr="00962283">
        <w:rPr>
          <w:i/>
          <w:iCs/>
          <w:color w:val="auto"/>
          <w:sz w:val="22"/>
          <w:szCs w:val="22"/>
          <w:highlight w:val="yellow"/>
        </w:rPr>
        <w:t xml:space="preserve"> (Bom.)</w:t>
      </w:r>
      <w:r>
        <w:rPr>
          <w:i/>
          <w:iCs/>
          <w:color w:val="auto"/>
          <w:sz w:val="22"/>
          <w:szCs w:val="22"/>
        </w:rPr>
        <w:t xml:space="preserve"> </w:t>
      </w:r>
    </w:p>
    <w:p w:rsidR="00F0321F" w:rsidRDefault="00F0321F" w:rsidP="00320559">
      <w:pPr>
        <w:pStyle w:val="Default"/>
        <w:rPr>
          <w:color w:val="auto"/>
          <w:sz w:val="22"/>
          <w:szCs w:val="22"/>
        </w:rPr>
      </w:pPr>
      <w:r>
        <w:rPr>
          <w:b/>
          <w:bCs/>
          <w:color w:val="auto"/>
          <w:sz w:val="22"/>
          <w:szCs w:val="22"/>
        </w:rPr>
        <w:t xml:space="preserve">Decision of the case: </w:t>
      </w:r>
      <w:r w:rsidR="00320559">
        <w:rPr>
          <w:b/>
          <w:bCs/>
          <w:color w:val="auto"/>
          <w:sz w:val="22"/>
          <w:szCs w:val="22"/>
        </w:rPr>
        <w:t>Yes.</w:t>
      </w:r>
      <w:r>
        <w:rPr>
          <w:color w:val="auto"/>
          <w:sz w:val="22"/>
          <w:szCs w:val="22"/>
        </w:rPr>
        <w:t xml:space="preserve">The High Court noted that Explanation to section 140 of the Customs Act, 1962 brings within purview of “Company”, a firm or an association of individuals, and “Director” in relation to firm, includes its partner.. </w:t>
      </w:r>
    </w:p>
    <w:p w:rsidR="00F0321F" w:rsidRDefault="00320559" w:rsidP="00F0321F">
      <w:pPr>
        <w:pStyle w:val="Default"/>
        <w:rPr>
          <w:color w:val="auto"/>
          <w:sz w:val="22"/>
          <w:szCs w:val="22"/>
        </w:rPr>
      </w:pPr>
      <w:r>
        <w:rPr>
          <w:b/>
          <w:bCs/>
          <w:color w:val="auto"/>
          <w:sz w:val="22"/>
          <w:szCs w:val="22"/>
        </w:rPr>
        <w:lastRenderedPageBreak/>
        <w:t xml:space="preserve">(Imp) </w:t>
      </w:r>
      <w:r w:rsidR="00F0321F">
        <w:rPr>
          <w:b/>
          <w:bCs/>
          <w:color w:val="auto"/>
          <w:sz w:val="22"/>
          <w:szCs w:val="22"/>
        </w:rPr>
        <w:t xml:space="preserve">6. Whether, under section 125 of the Customs Act, 1962, discretion vests with the Adjudicating Authority to give option to redeem the goods even though the said goods are liable to absolute confiscation (since the importation of said goods is </w:t>
      </w:r>
      <w:r w:rsidR="00F0321F" w:rsidRPr="00320559">
        <w:rPr>
          <w:b/>
          <w:bCs/>
          <w:color w:val="auto"/>
          <w:sz w:val="22"/>
          <w:szCs w:val="22"/>
          <w:highlight w:val="yellow"/>
          <w:u w:val="single"/>
        </w:rPr>
        <w:t>prohibited</w:t>
      </w:r>
      <w:r w:rsidR="00F0321F">
        <w:rPr>
          <w:b/>
          <w:bCs/>
          <w:color w:val="auto"/>
          <w:sz w:val="22"/>
          <w:szCs w:val="22"/>
        </w:rPr>
        <w:t xml:space="preserve">)? </w:t>
      </w:r>
    </w:p>
    <w:p w:rsidR="00F0321F" w:rsidRDefault="00F0321F" w:rsidP="00F0321F">
      <w:pPr>
        <w:pStyle w:val="Default"/>
        <w:rPr>
          <w:color w:val="auto"/>
          <w:sz w:val="23"/>
          <w:szCs w:val="23"/>
        </w:rPr>
      </w:pPr>
      <w:r w:rsidRPr="00320559">
        <w:rPr>
          <w:b/>
          <w:bCs/>
          <w:i/>
          <w:iCs/>
          <w:color w:val="auto"/>
          <w:sz w:val="23"/>
          <w:szCs w:val="23"/>
          <w:highlight w:val="yellow"/>
        </w:rPr>
        <w:t>CCus v. Alfre</w:t>
      </w:r>
      <w:r w:rsidR="00320559" w:rsidRPr="00320559">
        <w:rPr>
          <w:b/>
          <w:bCs/>
          <w:i/>
          <w:iCs/>
          <w:color w:val="auto"/>
          <w:sz w:val="23"/>
          <w:szCs w:val="23"/>
          <w:highlight w:val="yellow"/>
        </w:rPr>
        <w:t xml:space="preserve">d Menezes 2009 </w:t>
      </w:r>
      <w:r w:rsidRPr="00320559">
        <w:rPr>
          <w:b/>
          <w:bCs/>
          <w:i/>
          <w:iCs/>
          <w:color w:val="auto"/>
          <w:sz w:val="23"/>
          <w:szCs w:val="23"/>
          <w:highlight w:val="yellow"/>
        </w:rPr>
        <w:t>(Bom.)</w:t>
      </w:r>
      <w:r>
        <w:rPr>
          <w:b/>
          <w:bCs/>
          <w:i/>
          <w:iCs/>
          <w:color w:val="auto"/>
          <w:sz w:val="23"/>
          <w:szCs w:val="23"/>
        </w:rPr>
        <w:t xml:space="preserve"> </w:t>
      </w:r>
    </w:p>
    <w:p w:rsidR="00F0321F" w:rsidRDefault="00F0321F" w:rsidP="00320559">
      <w:pPr>
        <w:pStyle w:val="Default"/>
        <w:rPr>
          <w:color w:val="auto"/>
          <w:sz w:val="22"/>
          <w:szCs w:val="22"/>
        </w:rPr>
      </w:pPr>
      <w:r>
        <w:rPr>
          <w:b/>
          <w:bCs/>
          <w:color w:val="auto"/>
          <w:sz w:val="22"/>
          <w:szCs w:val="22"/>
        </w:rPr>
        <w:t>Decision of the case</w:t>
      </w:r>
      <w:r>
        <w:rPr>
          <w:color w:val="auto"/>
          <w:sz w:val="22"/>
          <w:szCs w:val="22"/>
        </w:rPr>
        <w:t>:</w:t>
      </w:r>
      <w:r w:rsidR="00320559">
        <w:rPr>
          <w:color w:val="auto"/>
          <w:sz w:val="22"/>
          <w:szCs w:val="22"/>
        </w:rPr>
        <w:t>Yes.</w:t>
      </w:r>
      <w:r>
        <w:rPr>
          <w:color w:val="auto"/>
          <w:sz w:val="22"/>
          <w:szCs w:val="22"/>
        </w:rPr>
        <w:t xml:space="preserve"> The High Court observed that section 125(1) deals with two situations:-  </w:t>
      </w:r>
    </w:p>
    <w:p w:rsidR="00F0321F" w:rsidRDefault="00F0321F" w:rsidP="00F0321F">
      <w:pPr>
        <w:pStyle w:val="Default"/>
        <w:rPr>
          <w:color w:val="auto"/>
          <w:sz w:val="22"/>
          <w:szCs w:val="22"/>
        </w:rPr>
      </w:pPr>
      <w:r>
        <w:rPr>
          <w:b/>
          <w:bCs/>
          <w:color w:val="auto"/>
          <w:sz w:val="22"/>
          <w:szCs w:val="22"/>
        </w:rPr>
        <w:t xml:space="preserve">(1) Importation and exportation </w:t>
      </w:r>
      <w:r w:rsidRPr="00320559">
        <w:rPr>
          <w:b/>
          <w:bCs/>
          <w:color w:val="auto"/>
          <w:sz w:val="22"/>
          <w:szCs w:val="22"/>
          <w:highlight w:val="yellow"/>
        </w:rPr>
        <w:t>of prohibited goods</w:t>
      </w:r>
      <w:r>
        <w:rPr>
          <w:b/>
          <w:bCs/>
          <w:color w:val="auto"/>
          <w:sz w:val="22"/>
          <w:szCs w:val="22"/>
        </w:rPr>
        <w:t xml:space="preserve"> </w:t>
      </w:r>
    </w:p>
    <w:p w:rsidR="00F0321F" w:rsidRDefault="00F0321F" w:rsidP="00F0321F">
      <w:pPr>
        <w:pStyle w:val="Default"/>
        <w:rPr>
          <w:color w:val="auto"/>
          <w:sz w:val="22"/>
          <w:szCs w:val="22"/>
        </w:rPr>
      </w:pPr>
      <w:r>
        <w:rPr>
          <w:color w:val="auto"/>
          <w:sz w:val="22"/>
          <w:szCs w:val="22"/>
        </w:rPr>
        <w:t xml:space="preserve">In case of importation or exportation of prohibited goods, where the goods were confiscated, the word used is </w:t>
      </w:r>
      <w:r w:rsidRPr="00320559">
        <w:rPr>
          <w:color w:val="auto"/>
          <w:sz w:val="22"/>
          <w:szCs w:val="22"/>
          <w:highlight w:val="yellow"/>
          <w:u w:val="single"/>
        </w:rPr>
        <w:t>“may”.</w:t>
      </w:r>
      <w:r>
        <w:rPr>
          <w:color w:val="auto"/>
          <w:sz w:val="22"/>
          <w:szCs w:val="22"/>
        </w:rPr>
        <w:t xml:space="preserve"> Hence, in case of prohibited goods, there is discretion in the officer either to release the confiscated goods in terms as set out therein or not. </w:t>
      </w:r>
    </w:p>
    <w:p w:rsidR="00F0321F" w:rsidRDefault="00F0321F" w:rsidP="00F0321F">
      <w:pPr>
        <w:pStyle w:val="Default"/>
        <w:rPr>
          <w:color w:val="auto"/>
          <w:sz w:val="22"/>
          <w:szCs w:val="22"/>
        </w:rPr>
      </w:pPr>
      <w:r>
        <w:rPr>
          <w:b/>
          <w:bCs/>
          <w:color w:val="auto"/>
          <w:sz w:val="22"/>
          <w:szCs w:val="22"/>
        </w:rPr>
        <w:t xml:space="preserve">(2) Importation and exportation of any other goods </w:t>
      </w:r>
    </w:p>
    <w:p w:rsidR="00F0321F" w:rsidRDefault="00F0321F" w:rsidP="00F0321F">
      <w:pPr>
        <w:pStyle w:val="Default"/>
        <w:rPr>
          <w:color w:val="auto"/>
          <w:sz w:val="22"/>
          <w:szCs w:val="22"/>
        </w:rPr>
      </w:pPr>
      <w:r>
        <w:rPr>
          <w:color w:val="auto"/>
          <w:sz w:val="22"/>
          <w:szCs w:val="22"/>
        </w:rPr>
        <w:t xml:space="preserve">In the case of any other goods, which are confiscated, the word used is “shall”. Thus, in case of other goods, the officer is bound to release the goods. </w:t>
      </w:r>
    </w:p>
    <w:p w:rsidR="00320559" w:rsidRDefault="00F0321F" w:rsidP="00F0321F">
      <w:pPr>
        <w:pStyle w:val="Default"/>
        <w:rPr>
          <w:color w:val="auto"/>
          <w:sz w:val="22"/>
          <w:szCs w:val="22"/>
        </w:rPr>
      </w:pPr>
      <w:r>
        <w:rPr>
          <w:color w:val="auto"/>
          <w:sz w:val="22"/>
          <w:szCs w:val="22"/>
        </w:rPr>
        <w:t xml:space="preserve">The High Court pronounced that in the instant case, the adjudicating officer’s action was justified. </w:t>
      </w:r>
    </w:p>
    <w:p w:rsidR="00320559" w:rsidRDefault="00320559" w:rsidP="00F0321F">
      <w:pPr>
        <w:pStyle w:val="Default"/>
        <w:rPr>
          <w:color w:val="auto"/>
          <w:sz w:val="22"/>
          <w:szCs w:val="22"/>
        </w:rPr>
      </w:pPr>
    </w:p>
    <w:p w:rsidR="00F0321F" w:rsidRDefault="00F0321F" w:rsidP="00F0321F">
      <w:pPr>
        <w:pStyle w:val="Default"/>
        <w:rPr>
          <w:color w:val="auto"/>
          <w:sz w:val="22"/>
          <w:szCs w:val="22"/>
        </w:rPr>
      </w:pPr>
      <w:r>
        <w:rPr>
          <w:b/>
          <w:bCs/>
          <w:color w:val="auto"/>
          <w:sz w:val="22"/>
          <w:szCs w:val="22"/>
        </w:rPr>
        <w:t xml:space="preserve">7. In case the imported goods are confiscated, and goods are not redeemed by paying fine, whether the importer is bound to pay the customs duty? </w:t>
      </w:r>
    </w:p>
    <w:p w:rsidR="00F0321F" w:rsidRDefault="00F0321F" w:rsidP="00F0321F">
      <w:pPr>
        <w:pStyle w:val="Default"/>
        <w:rPr>
          <w:color w:val="auto"/>
          <w:sz w:val="22"/>
          <w:szCs w:val="22"/>
        </w:rPr>
      </w:pPr>
      <w:r w:rsidRPr="00320559">
        <w:rPr>
          <w:b/>
          <w:bCs/>
          <w:i/>
          <w:iCs/>
          <w:color w:val="auto"/>
          <w:sz w:val="22"/>
          <w:szCs w:val="22"/>
          <w:highlight w:val="yellow"/>
        </w:rPr>
        <w:t>Poona Health Service</w:t>
      </w:r>
      <w:r w:rsidR="00320559" w:rsidRPr="00320559">
        <w:rPr>
          <w:b/>
          <w:bCs/>
          <w:i/>
          <w:iCs/>
          <w:color w:val="auto"/>
          <w:sz w:val="22"/>
          <w:szCs w:val="22"/>
          <w:highlight w:val="yellow"/>
        </w:rPr>
        <w:t xml:space="preserve">s v. CCus. 2009 </w:t>
      </w:r>
      <w:r w:rsidRPr="00320559">
        <w:rPr>
          <w:b/>
          <w:bCs/>
          <w:i/>
          <w:iCs/>
          <w:color w:val="auto"/>
          <w:sz w:val="22"/>
          <w:szCs w:val="22"/>
          <w:highlight w:val="yellow"/>
        </w:rPr>
        <w:t xml:space="preserve"> (Bom.)</w:t>
      </w:r>
      <w:r>
        <w:rPr>
          <w:b/>
          <w:bCs/>
          <w:i/>
          <w:iCs/>
          <w:color w:val="auto"/>
          <w:sz w:val="22"/>
          <w:szCs w:val="22"/>
        </w:rPr>
        <w:t xml:space="preserve"> </w:t>
      </w:r>
    </w:p>
    <w:p w:rsidR="00F0321F" w:rsidRDefault="00F0321F" w:rsidP="00F0321F">
      <w:pPr>
        <w:pStyle w:val="Default"/>
        <w:rPr>
          <w:color w:val="auto"/>
          <w:sz w:val="22"/>
          <w:szCs w:val="22"/>
        </w:rPr>
      </w:pPr>
      <w:r>
        <w:rPr>
          <w:b/>
          <w:bCs/>
          <w:color w:val="auto"/>
          <w:sz w:val="22"/>
          <w:szCs w:val="22"/>
        </w:rPr>
        <w:t xml:space="preserve">Decision of the case: </w:t>
      </w:r>
      <w:r w:rsidR="00D142CE">
        <w:rPr>
          <w:b/>
          <w:bCs/>
          <w:color w:val="auto"/>
          <w:sz w:val="22"/>
          <w:szCs w:val="22"/>
        </w:rPr>
        <w:t>Yes.</w:t>
      </w:r>
      <w:r w:rsidR="00D142CE">
        <w:rPr>
          <w:color w:val="auto"/>
          <w:sz w:val="22"/>
          <w:szCs w:val="22"/>
        </w:rPr>
        <w:t xml:space="preserve"> If goods surrendered u/s 23 ,no fine or duty is payable since  the good vest with the states.</w:t>
      </w:r>
      <w:r>
        <w:rPr>
          <w:color w:val="auto"/>
          <w:sz w:val="22"/>
          <w:szCs w:val="22"/>
        </w:rPr>
        <w:t xml:space="preserve"> </w:t>
      </w:r>
      <w:r w:rsidRPr="00D142CE">
        <w:rPr>
          <w:color w:val="auto"/>
          <w:sz w:val="22"/>
          <w:szCs w:val="22"/>
          <w:u w:val="single"/>
        </w:rPr>
        <w:t>By surrendering title in the goods, the person importing the goods or the owner of the goods ceases to have a right to claim the goods</w:t>
      </w:r>
      <w:r>
        <w:rPr>
          <w:color w:val="auto"/>
          <w:sz w:val="22"/>
          <w:szCs w:val="22"/>
        </w:rPr>
        <w:t xml:space="preserve">. </w:t>
      </w:r>
    </w:p>
    <w:p w:rsidR="00F0321F" w:rsidRDefault="00F0321F" w:rsidP="00F0321F">
      <w:pPr>
        <w:pStyle w:val="Default"/>
        <w:rPr>
          <w:color w:val="auto"/>
          <w:sz w:val="22"/>
          <w:szCs w:val="22"/>
        </w:rPr>
      </w:pPr>
      <w:r>
        <w:rPr>
          <w:color w:val="auto"/>
          <w:sz w:val="22"/>
          <w:szCs w:val="22"/>
        </w:rPr>
        <w:t xml:space="preserve">On the other hand, the order of confiscation is passed in respect of the person who has claimed to import or export the goods. It implies that he claims title or right in the property. </w:t>
      </w:r>
      <w:r w:rsidRPr="00D142CE">
        <w:rPr>
          <w:b/>
          <w:bCs/>
          <w:color w:val="auto"/>
          <w:sz w:val="22"/>
          <w:szCs w:val="22"/>
          <w:u w:val="single"/>
        </w:rPr>
        <w:t>The fine under section 125 is payable by the person who seeks redemption of the goods.</w:t>
      </w:r>
      <w:r>
        <w:rPr>
          <w:b/>
          <w:bCs/>
          <w:color w:val="auto"/>
          <w:sz w:val="22"/>
          <w:szCs w:val="22"/>
        </w:rPr>
        <w:t xml:space="preserve"> </w:t>
      </w:r>
      <w:r>
        <w:rPr>
          <w:color w:val="auto"/>
          <w:sz w:val="22"/>
          <w:szCs w:val="22"/>
        </w:rPr>
        <w:t xml:space="preserve">Hence, </w:t>
      </w:r>
      <w:r>
        <w:rPr>
          <w:b/>
          <w:bCs/>
          <w:color w:val="auto"/>
          <w:sz w:val="22"/>
          <w:szCs w:val="22"/>
        </w:rPr>
        <w:t xml:space="preserve">in case the imported goods are confiscated, and goods are not redeemed by paying fine, the importer is bound to pay the customs duty. </w:t>
      </w:r>
    </w:p>
    <w:p w:rsidR="00D142CE" w:rsidRDefault="00D142CE" w:rsidP="00F0321F">
      <w:pPr>
        <w:pStyle w:val="Default"/>
        <w:rPr>
          <w:b/>
          <w:bCs/>
          <w:color w:val="auto"/>
          <w:sz w:val="22"/>
          <w:szCs w:val="22"/>
        </w:rPr>
      </w:pPr>
    </w:p>
    <w:p w:rsidR="00F0321F" w:rsidRDefault="00F0321F" w:rsidP="00F0321F">
      <w:pPr>
        <w:pStyle w:val="Default"/>
        <w:rPr>
          <w:color w:val="auto"/>
          <w:sz w:val="22"/>
          <w:szCs w:val="22"/>
        </w:rPr>
      </w:pPr>
      <w:r>
        <w:rPr>
          <w:b/>
          <w:bCs/>
          <w:color w:val="auto"/>
          <w:sz w:val="22"/>
          <w:szCs w:val="22"/>
        </w:rPr>
        <w:t xml:space="preserve">8. Whether the goods held to be improperly imported are liable for confiscation under section 111 of the Customs Act, 1962, even though the same are cleared and not available for seizure? Whether redemption fine can be imposed with regard to such goods? </w:t>
      </w:r>
    </w:p>
    <w:p w:rsidR="00F0321F" w:rsidRDefault="00F0321F" w:rsidP="00F0321F">
      <w:pPr>
        <w:pStyle w:val="Default"/>
        <w:rPr>
          <w:color w:val="auto"/>
          <w:sz w:val="22"/>
          <w:szCs w:val="22"/>
        </w:rPr>
      </w:pPr>
      <w:r w:rsidRPr="00451C7F">
        <w:rPr>
          <w:b/>
          <w:bCs/>
          <w:i/>
          <w:iCs/>
          <w:color w:val="auto"/>
          <w:sz w:val="22"/>
          <w:szCs w:val="22"/>
          <w:highlight w:val="yellow"/>
        </w:rPr>
        <w:t>CCus v. Finesse Cre</w:t>
      </w:r>
      <w:r w:rsidR="00451C7F" w:rsidRPr="00451C7F">
        <w:rPr>
          <w:b/>
          <w:bCs/>
          <w:i/>
          <w:iCs/>
          <w:color w:val="auto"/>
          <w:sz w:val="22"/>
          <w:szCs w:val="22"/>
          <w:highlight w:val="yellow"/>
        </w:rPr>
        <w:t xml:space="preserve">ation Inc. 2009 </w:t>
      </w:r>
      <w:r w:rsidRPr="00451C7F">
        <w:rPr>
          <w:b/>
          <w:bCs/>
          <w:i/>
          <w:iCs/>
          <w:color w:val="auto"/>
          <w:sz w:val="22"/>
          <w:szCs w:val="22"/>
          <w:highlight w:val="yellow"/>
        </w:rPr>
        <w:t xml:space="preserve"> (Bom.)</w:t>
      </w:r>
      <w:r>
        <w:rPr>
          <w:b/>
          <w:bCs/>
          <w:i/>
          <w:iCs/>
          <w:color w:val="auto"/>
          <w:sz w:val="22"/>
          <w:szCs w:val="22"/>
        </w:rPr>
        <w:t xml:space="preserve"> </w:t>
      </w:r>
    </w:p>
    <w:p w:rsidR="00F0321F" w:rsidRDefault="00F0321F" w:rsidP="00F0321F">
      <w:pPr>
        <w:pStyle w:val="Default"/>
        <w:rPr>
          <w:color w:val="auto"/>
          <w:sz w:val="22"/>
          <w:szCs w:val="22"/>
        </w:rPr>
      </w:pPr>
      <w:r>
        <w:rPr>
          <w:b/>
          <w:bCs/>
          <w:color w:val="auto"/>
          <w:sz w:val="22"/>
          <w:szCs w:val="22"/>
        </w:rPr>
        <w:t xml:space="preserve">Decision of the case: </w:t>
      </w:r>
      <w:r w:rsidR="00451C7F">
        <w:rPr>
          <w:b/>
          <w:bCs/>
          <w:color w:val="auto"/>
          <w:sz w:val="22"/>
          <w:szCs w:val="22"/>
        </w:rPr>
        <w:t>No.</w:t>
      </w:r>
      <w:r>
        <w:rPr>
          <w:color w:val="auto"/>
          <w:sz w:val="22"/>
          <w:szCs w:val="22"/>
        </w:rPr>
        <w:t xml:space="preserve"> </w:t>
      </w:r>
    </w:p>
    <w:p w:rsidR="00F0321F" w:rsidRDefault="00F0321F" w:rsidP="00F0321F">
      <w:pPr>
        <w:pStyle w:val="Default"/>
        <w:rPr>
          <w:color w:val="auto"/>
          <w:sz w:val="22"/>
          <w:szCs w:val="22"/>
        </w:rPr>
      </w:pPr>
      <w:r>
        <w:rPr>
          <w:b/>
          <w:bCs/>
          <w:color w:val="auto"/>
          <w:sz w:val="22"/>
          <w:szCs w:val="22"/>
        </w:rPr>
        <w:t>The question of confiscating the goods would not arise if there are no goods available for confiscation nor consequently redemption. Once goods cannot be redeemed, no fine can be imposed</w:t>
      </w:r>
      <w:r>
        <w:rPr>
          <w:color w:val="auto"/>
          <w:sz w:val="22"/>
          <w:szCs w:val="22"/>
        </w:rPr>
        <w:t xml:space="preserve">. </w:t>
      </w:r>
    </w:p>
    <w:p w:rsidR="00F0321F" w:rsidRDefault="00F0321F" w:rsidP="00F0321F">
      <w:pPr>
        <w:pStyle w:val="Default"/>
        <w:rPr>
          <w:color w:val="auto"/>
          <w:sz w:val="22"/>
          <w:szCs w:val="22"/>
        </w:rPr>
      </w:pPr>
      <w:r>
        <w:rPr>
          <w:color w:val="auto"/>
          <w:sz w:val="22"/>
          <w:szCs w:val="22"/>
        </w:rPr>
        <w:t xml:space="preserve">Consequently, the Court held that in the absence of the goods being available, no fine in lieu of confiscation could have been imposed. </w:t>
      </w:r>
    </w:p>
    <w:p w:rsidR="00F0321F" w:rsidRDefault="00F0321F" w:rsidP="00F0321F">
      <w:pPr>
        <w:pStyle w:val="Default"/>
        <w:rPr>
          <w:color w:val="auto"/>
          <w:sz w:val="22"/>
          <w:szCs w:val="22"/>
        </w:rPr>
      </w:pPr>
      <w:r>
        <w:rPr>
          <w:b/>
          <w:bCs/>
          <w:color w:val="auto"/>
          <w:sz w:val="22"/>
          <w:szCs w:val="22"/>
        </w:rPr>
        <w:t xml:space="preserve">9. In case of the goods liable to confiscation under section 111, issuing of a notice to the owner-original importer of the goods is enough or whether notice is also required to be issued to the person from whose custody the goods are seized? </w:t>
      </w:r>
    </w:p>
    <w:p w:rsidR="00F0321F" w:rsidRDefault="00F0321F" w:rsidP="00F0321F">
      <w:pPr>
        <w:pStyle w:val="Default"/>
        <w:rPr>
          <w:color w:val="auto"/>
          <w:sz w:val="22"/>
          <w:szCs w:val="22"/>
        </w:rPr>
      </w:pPr>
      <w:r w:rsidRPr="00DE4D73">
        <w:rPr>
          <w:b/>
          <w:bCs/>
          <w:i/>
          <w:iCs/>
          <w:color w:val="auto"/>
          <w:sz w:val="22"/>
          <w:szCs w:val="22"/>
          <w:highlight w:val="yellow"/>
        </w:rPr>
        <w:t>Gawar Construction Ltd. v. UOI 2009 (243) E.L.T. 484 (Bom.)</w:t>
      </w:r>
      <w:r>
        <w:rPr>
          <w:b/>
          <w:bCs/>
          <w:i/>
          <w:iCs/>
          <w:color w:val="auto"/>
          <w:sz w:val="22"/>
          <w:szCs w:val="22"/>
        </w:rPr>
        <w:t xml:space="preserve"> </w:t>
      </w:r>
    </w:p>
    <w:p w:rsidR="00DE4D73" w:rsidRPr="00DE4D73" w:rsidRDefault="00F0321F" w:rsidP="00DE4D73">
      <w:pPr>
        <w:pStyle w:val="Default"/>
        <w:rPr>
          <w:color w:val="auto"/>
          <w:sz w:val="22"/>
          <w:szCs w:val="22"/>
          <w:u w:val="single"/>
        </w:rPr>
      </w:pPr>
      <w:r>
        <w:rPr>
          <w:b/>
          <w:bCs/>
          <w:color w:val="auto"/>
          <w:sz w:val="22"/>
          <w:szCs w:val="22"/>
        </w:rPr>
        <w:t xml:space="preserve">Decision of the </w:t>
      </w:r>
      <w:r w:rsidR="00DE4D73">
        <w:rPr>
          <w:b/>
          <w:bCs/>
          <w:color w:val="auto"/>
          <w:sz w:val="22"/>
          <w:szCs w:val="22"/>
        </w:rPr>
        <w:t>case</w:t>
      </w:r>
      <w:r w:rsidR="00DE4D73">
        <w:rPr>
          <w:color w:val="auto"/>
          <w:sz w:val="22"/>
          <w:szCs w:val="22"/>
        </w:rPr>
        <w:t>: To both.</w:t>
      </w:r>
    </w:p>
    <w:p w:rsidR="00F0321F" w:rsidRDefault="00DE4D73" w:rsidP="00F0321F">
      <w:pPr>
        <w:pStyle w:val="Default"/>
        <w:rPr>
          <w:color w:val="auto"/>
          <w:sz w:val="22"/>
          <w:szCs w:val="22"/>
        </w:rPr>
      </w:pPr>
      <w:r w:rsidRPr="00DE4D73">
        <w:rPr>
          <w:color w:val="auto"/>
          <w:sz w:val="22"/>
          <w:szCs w:val="22"/>
        </w:rPr>
        <w:t>T</w:t>
      </w:r>
      <w:r w:rsidR="00F0321F" w:rsidRPr="00DE4D73">
        <w:rPr>
          <w:color w:val="auto"/>
          <w:sz w:val="22"/>
          <w:szCs w:val="22"/>
        </w:rPr>
        <w:t xml:space="preserve">he notice for confiscation is required to be issued to owner when owner is in possession of goods and goods are seized from his custody. </w:t>
      </w:r>
      <w:r w:rsidR="00F0321F" w:rsidRPr="00DE4D73">
        <w:rPr>
          <w:b/>
          <w:bCs/>
          <w:color w:val="auto"/>
          <w:sz w:val="22"/>
          <w:szCs w:val="22"/>
        </w:rPr>
        <w:t xml:space="preserve">In case of seizure of goods from the custody of person other than importer, notice must also be given to person from whose custody goods were seized. </w:t>
      </w:r>
      <w:r w:rsidR="00F0321F" w:rsidRPr="00DE4D73">
        <w:rPr>
          <w:color w:val="auto"/>
          <w:sz w:val="22"/>
          <w:szCs w:val="22"/>
        </w:rPr>
        <w:t xml:space="preserve">Opportunity must be given to the person in possession of the goods because their confiscation would affect his civil right to possess the goods which were seized from his custody. </w:t>
      </w:r>
    </w:p>
    <w:p w:rsidR="00F0321F" w:rsidRDefault="00F0321F" w:rsidP="00F0321F">
      <w:pPr>
        <w:pStyle w:val="Default"/>
        <w:rPr>
          <w:color w:val="auto"/>
          <w:sz w:val="22"/>
          <w:szCs w:val="22"/>
        </w:rPr>
      </w:pPr>
      <w:r>
        <w:rPr>
          <w:b/>
          <w:bCs/>
          <w:color w:val="auto"/>
          <w:sz w:val="22"/>
          <w:szCs w:val="22"/>
        </w:rPr>
        <w:t xml:space="preserve">10 Is the want of evidence from foreign supplier enough to cancel the confiscation order of goods undervalued? </w:t>
      </w:r>
    </w:p>
    <w:p w:rsidR="00F0321F" w:rsidRPr="00DE4D73" w:rsidRDefault="00F0321F" w:rsidP="00F0321F">
      <w:pPr>
        <w:pStyle w:val="Default"/>
        <w:rPr>
          <w:color w:val="auto"/>
          <w:sz w:val="22"/>
          <w:szCs w:val="22"/>
          <w:u w:val="single"/>
        </w:rPr>
      </w:pPr>
      <w:r w:rsidRPr="00DE4D73">
        <w:rPr>
          <w:b/>
          <w:bCs/>
          <w:i/>
          <w:iCs/>
          <w:color w:val="auto"/>
          <w:sz w:val="22"/>
          <w:szCs w:val="22"/>
          <w:highlight w:val="yellow"/>
          <w:u w:val="single"/>
        </w:rPr>
        <w:t>CCus. v. Jaya Singh Vija</w:t>
      </w:r>
      <w:r w:rsidR="00DE4D73" w:rsidRPr="00DE4D73">
        <w:rPr>
          <w:b/>
          <w:bCs/>
          <w:i/>
          <w:iCs/>
          <w:color w:val="auto"/>
          <w:sz w:val="22"/>
          <w:szCs w:val="22"/>
          <w:highlight w:val="yellow"/>
          <w:u w:val="single"/>
        </w:rPr>
        <w:t>ya Jhaveri 2010</w:t>
      </w:r>
      <w:r w:rsidRPr="00DE4D73">
        <w:rPr>
          <w:b/>
          <w:bCs/>
          <w:i/>
          <w:iCs/>
          <w:color w:val="auto"/>
          <w:sz w:val="22"/>
          <w:szCs w:val="22"/>
          <w:highlight w:val="yellow"/>
          <w:u w:val="single"/>
        </w:rPr>
        <w:t>(Ker.)</w:t>
      </w:r>
      <w:r w:rsidRPr="00DE4D73">
        <w:rPr>
          <w:b/>
          <w:bCs/>
          <w:i/>
          <w:iCs/>
          <w:color w:val="auto"/>
          <w:sz w:val="22"/>
          <w:szCs w:val="22"/>
          <w:u w:val="single"/>
        </w:rPr>
        <w:t xml:space="preserve"> </w:t>
      </w:r>
    </w:p>
    <w:p w:rsidR="00F0321F" w:rsidRDefault="00F0321F" w:rsidP="00F0321F">
      <w:pPr>
        <w:pStyle w:val="Default"/>
        <w:rPr>
          <w:color w:val="auto"/>
          <w:sz w:val="22"/>
          <w:szCs w:val="22"/>
        </w:rPr>
      </w:pPr>
      <w:r>
        <w:rPr>
          <w:b/>
          <w:bCs/>
          <w:color w:val="auto"/>
          <w:sz w:val="22"/>
          <w:szCs w:val="22"/>
        </w:rPr>
        <w:t>Decision of the case:</w:t>
      </w:r>
      <w:r w:rsidR="00DE4D73">
        <w:rPr>
          <w:color w:val="auto"/>
          <w:sz w:val="22"/>
          <w:szCs w:val="22"/>
        </w:rPr>
        <w:t>.No.</w:t>
      </w:r>
      <w:r>
        <w:rPr>
          <w:color w:val="auto"/>
          <w:sz w:val="22"/>
          <w:szCs w:val="22"/>
        </w:rPr>
        <w:t xml:space="preserve">The Court considered it be illogical that a person who was a party to undervaluation would give evidence to the Department to prove the case that the invoice raised by him on the respondent was a bogus one and that they had received underhand payment of the differential price. Resultantly, the Court upheld the confiscation order. </w:t>
      </w:r>
    </w:p>
    <w:p w:rsidR="00F0321F" w:rsidRDefault="00F0321F" w:rsidP="00F0321F">
      <w:pPr>
        <w:pStyle w:val="Default"/>
        <w:pageBreakBefore/>
        <w:rPr>
          <w:rFonts w:cstheme="minorBidi"/>
          <w:color w:val="auto"/>
          <w:sz w:val="96"/>
          <w:szCs w:val="96"/>
        </w:rPr>
      </w:pPr>
      <w:r>
        <w:rPr>
          <w:rFonts w:cstheme="minorBidi"/>
          <w:b/>
          <w:bCs/>
          <w:color w:val="auto"/>
          <w:sz w:val="96"/>
          <w:szCs w:val="96"/>
        </w:rPr>
        <w:lastRenderedPageBreak/>
        <w:t xml:space="preserve">8 </w:t>
      </w:r>
    </w:p>
    <w:p w:rsidR="00F0321F" w:rsidRDefault="00F0321F" w:rsidP="00F0321F">
      <w:pPr>
        <w:pStyle w:val="Default"/>
        <w:rPr>
          <w:rFonts w:cstheme="minorBidi"/>
          <w:color w:val="auto"/>
          <w:sz w:val="38"/>
          <w:szCs w:val="38"/>
        </w:rPr>
      </w:pPr>
      <w:r>
        <w:rPr>
          <w:rFonts w:cstheme="minorBidi"/>
          <w:b/>
          <w:bCs/>
          <w:color w:val="auto"/>
          <w:sz w:val="48"/>
          <w:szCs w:val="48"/>
        </w:rPr>
        <w:t>S</w:t>
      </w:r>
      <w:r>
        <w:rPr>
          <w:rFonts w:cstheme="minorBidi"/>
          <w:b/>
          <w:bCs/>
          <w:color w:val="auto"/>
          <w:sz w:val="38"/>
          <w:szCs w:val="38"/>
        </w:rPr>
        <w:t xml:space="preserve">ETTLEMENT </w:t>
      </w:r>
      <w:r>
        <w:rPr>
          <w:rFonts w:cstheme="minorBidi"/>
          <w:b/>
          <w:bCs/>
          <w:color w:val="auto"/>
          <w:sz w:val="48"/>
          <w:szCs w:val="48"/>
        </w:rPr>
        <w:t>C</w:t>
      </w:r>
      <w:r>
        <w:rPr>
          <w:rFonts w:cstheme="minorBidi"/>
          <w:b/>
          <w:bCs/>
          <w:color w:val="auto"/>
          <w:sz w:val="38"/>
          <w:szCs w:val="38"/>
        </w:rPr>
        <w:t xml:space="preserve">OMMISSION </w:t>
      </w:r>
    </w:p>
    <w:p w:rsidR="00F0321F" w:rsidRDefault="00F0321F" w:rsidP="00F0321F">
      <w:pPr>
        <w:pStyle w:val="Default"/>
        <w:rPr>
          <w:rFonts w:cstheme="minorBidi"/>
          <w:color w:val="auto"/>
          <w:sz w:val="22"/>
          <w:szCs w:val="22"/>
        </w:rPr>
      </w:pPr>
      <w:r>
        <w:rPr>
          <w:rFonts w:cstheme="minorBidi"/>
          <w:b/>
          <w:bCs/>
          <w:color w:val="auto"/>
          <w:sz w:val="22"/>
          <w:szCs w:val="22"/>
        </w:rPr>
        <w:t xml:space="preserve">Section 127B of the Customs act, 1962 </w:t>
      </w:r>
    </w:p>
    <w:p w:rsidR="00F0321F" w:rsidRDefault="00F0321F" w:rsidP="00F0321F">
      <w:pPr>
        <w:pStyle w:val="Default"/>
        <w:rPr>
          <w:rFonts w:cstheme="minorBidi"/>
          <w:color w:val="auto"/>
          <w:sz w:val="22"/>
          <w:szCs w:val="22"/>
        </w:rPr>
      </w:pPr>
      <w:r>
        <w:rPr>
          <w:rFonts w:cstheme="minorBidi"/>
          <w:b/>
          <w:bCs/>
          <w:color w:val="auto"/>
          <w:sz w:val="22"/>
          <w:szCs w:val="22"/>
        </w:rPr>
        <w:t xml:space="preserve">1. In case of a Settlement Commission's order, can the assessee be permitted to accept what is favourable to them and reject what is not? </w:t>
      </w:r>
    </w:p>
    <w:p w:rsidR="00F0321F" w:rsidRDefault="00F0321F" w:rsidP="00F0321F">
      <w:pPr>
        <w:pStyle w:val="Default"/>
        <w:rPr>
          <w:color w:val="auto"/>
          <w:sz w:val="22"/>
          <w:szCs w:val="22"/>
        </w:rPr>
      </w:pPr>
      <w:r w:rsidRPr="00FB31AB">
        <w:rPr>
          <w:b/>
          <w:bCs/>
          <w:i/>
          <w:iCs/>
          <w:color w:val="auto"/>
          <w:sz w:val="22"/>
          <w:szCs w:val="22"/>
          <w:highlight w:val="yellow"/>
        </w:rPr>
        <w:t>Sanghvi Reconditioners Pvt. Ltd. V. UOI 2010 (SC)</w:t>
      </w:r>
      <w:r>
        <w:rPr>
          <w:b/>
          <w:bCs/>
          <w:i/>
          <w:iCs/>
          <w:color w:val="auto"/>
          <w:sz w:val="22"/>
          <w:szCs w:val="22"/>
        </w:rPr>
        <w:t xml:space="preserve"> </w:t>
      </w:r>
    </w:p>
    <w:p w:rsidR="00F0321F" w:rsidRDefault="00F0321F" w:rsidP="00F0321F">
      <w:pPr>
        <w:pStyle w:val="Default"/>
        <w:rPr>
          <w:color w:val="auto"/>
          <w:sz w:val="22"/>
          <w:szCs w:val="22"/>
        </w:rPr>
      </w:pPr>
      <w:r>
        <w:rPr>
          <w:b/>
          <w:bCs/>
          <w:color w:val="auto"/>
          <w:sz w:val="22"/>
          <w:szCs w:val="22"/>
        </w:rPr>
        <w:t xml:space="preserve">Decision of the case: </w:t>
      </w:r>
      <w:r w:rsidR="00FB31AB">
        <w:rPr>
          <w:b/>
          <w:bCs/>
          <w:color w:val="auto"/>
          <w:sz w:val="22"/>
          <w:szCs w:val="22"/>
        </w:rPr>
        <w:t>No.</w:t>
      </w:r>
      <w:r w:rsidR="00FB31AB">
        <w:rPr>
          <w:color w:val="auto"/>
          <w:sz w:val="22"/>
          <w:szCs w:val="22"/>
        </w:rPr>
        <w:t xml:space="preserve"> The</w:t>
      </w:r>
      <w:r w:rsidR="00316425">
        <w:rPr>
          <w:color w:val="auto"/>
          <w:sz w:val="22"/>
          <w:szCs w:val="22"/>
        </w:rPr>
        <w:t xml:space="preserve"> Court </w:t>
      </w:r>
      <w:r>
        <w:rPr>
          <w:color w:val="auto"/>
          <w:sz w:val="22"/>
          <w:szCs w:val="22"/>
        </w:rPr>
        <w:t xml:space="preserve">opined that having opted to get their customs duty liability settled by the Settlement Commission, </w:t>
      </w:r>
      <w:r>
        <w:rPr>
          <w:b/>
          <w:bCs/>
          <w:color w:val="auto"/>
          <w:sz w:val="22"/>
          <w:szCs w:val="22"/>
        </w:rPr>
        <w:t xml:space="preserve">the appellant could not be permitted to dissect the Settlement Commission's order with a view to accept what is </w:t>
      </w:r>
      <w:r w:rsidR="00FB31AB">
        <w:rPr>
          <w:b/>
          <w:bCs/>
          <w:color w:val="auto"/>
          <w:sz w:val="22"/>
          <w:szCs w:val="22"/>
        </w:rPr>
        <w:t>favorable</w:t>
      </w:r>
      <w:r>
        <w:rPr>
          <w:b/>
          <w:bCs/>
          <w:color w:val="auto"/>
          <w:sz w:val="22"/>
          <w:szCs w:val="22"/>
        </w:rPr>
        <w:t xml:space="preserve"> to them and reject what is not</w:t>
      </w:r>
      <w:r>
        <w:rPr>
          <w:color w:val="auto"/>
          <w:sz w:val="22"/>
          <w:szCs w:val="22"/>
        </w:rPr>
        <w:t xml:space="preserve">. </w:t>
      </w:r>
    </w:p>
    <w:p w:rsidR="00F0321F" w:rsidRDefault="00F0321F" w:rsidP="00F0321F">
      <w:pPr>
        <w:pStyle w:val="Default"/>
        <w:rPr>
          <w:color w:val="auto"/>
          <w:sz w:val="22"/>
          <w:szCs w:val="22"/>
        </w:rPr>
      </w:pPr>
    </w:p>
    <w:p w:rsidR="00F0321F" w:rsidRDefault="00F0321F" w:rsidP="00F0321F">
      <w:pPr>
        <w:pStyle w:val="Default"/>
        <w:rPr>
          <w:color w:val="auto"/>
          <w:sz w:val="22"/>
          <w:szCs w:val="22"/>
        </w:rPr>
      </w:pPr>
      <w:r>
        <w:rPr>
          <w:b/>
          <w:bCs/>
          <w:color w:val="auto"/>
          <w:sz w:val="22"/>
          <w:szCs w:val="22"/>
        </w:rPr>
        <w:t xml:space="preserve">2. Can the order of the Settlement Commission be considered to be a judicial proceeding? </w:t>
      </w:r>
    </w:p>
    <w:p w:rsidR="00F0321F" w:rsidRDefault="00F0321F" w:rsidP="00F0321F">
      <w:pPr>
        <w:pStyle w:val="Default"/>
        <w:rPr>
          <w:color w:val="auto"/>
          <w:sz w:val="22"/>
          <w:szCs w:val="22"/>
        </w:rPr>
      </w:pPr>
      <w:r w:rsidRPr="00316425">
        <w:rPr>
          <w:b/>
          <w:bCs/>
          <w:i/>
          <w:iCs/>
          <w:color w:val="auto"/>
          <w:sz w:val="22"/>
          <w:szCs w:val="22"/>
          <w:highlight w:val="yellow"/>
        </w:rPr>
        <w:t>UOI v. East and West Ship</w:t>
      </w:r>
      <w:r w:rsidR="00316425" w:rsidRPr="00316425">
        <w:rPr>
          <w:b/>
          <w:bCs/>
          <w:i/>
          <w:iCs/>
          <w:color w:val="auto"/>
          <w:sz w:val="22"/>
          <w:szCs w:val="22"/>
          <w:highlight w:val="yellow"/>
        </w:rPr>
        <w:t>ping Agency 2010</w:t>
      </w:r>
      <w:r w:rsidRPr="00316425">
        <w:rPr>
          <w:b/>
          <w:bCs/>
          <w:i/>
          <w:iCs/>
          <w:color w:val="auto"/>
          <w:sz w:val="22"/>
          <w:szCs w:val="22"/>
          <w:highlight w:val="yellow"/>
        </w:rPr>
        <w:t xml:space="preserve"> (Bom.)</w:t>
      </w:r>
      <w:r>
        <w:rPr>
          <w:b/>
          <w:bCs/>
          <w:i/>
          <w:iCs/>
          <w:color w:val="auto"/>
          <w:sz w:val="22"/>
          <w:szCs w:val="22"/>
        </w:rPr>
        <w:t xml:space="preserve"> </w:t>
      </w:r>
    </w:p>
    <w:p w:rsidR="00F0321F" w:rsidRDefault="00F0321F" w:rsidP="00FB31AB">
      <w:pPr>
        <w:pStyle w:val="Default"/>
        <w:rPr>
          <w:color w:val="auto"/>
          <w:sz w:val="22"/>
          <w:szCs w:val="22"/>
        </w:rPr>
      </w:pPr>
      <w:r>
        <w:rPr>
          <w:color w:val="auto"/>
          <w:sz w:val="22"/>
          <w:szCs w:val="22"/>
        </w:rPr>
        <w:t xml:space="preserve">. </w:t>
      </w:r>
      <w:r>
        <w:rPr>
          <w:rFonts w:cstheme="minorBidi"/>
          <w:b/>
          <w:bCs/>
          <w:color w:val="auto"/>
          <w:sz w:val="22"/>
          <w:szCs w:val="22"/>
        </w:rPr>
        <w:t xml:space="preserve">Decision of the case: </w:t>
      </w:r>
      <w:r w:rsidR="00316425">
        <w:rPr>
          <w:rFonts w:cstheme="minorBidi"/>
          <w:b/>
          <w:bCs/>
          <w:color w:val="auto"/>
          <w:sz w:val="22"/>
          <w:szCs w:val="22"/>
        </w:rPr>
        <w:t>Yes.</w:t>
      </w:r>
      <w:r>
        <w:rPr>
          <w:color w:val="auto"/>
          <w:sz w:val="22"/>
          <w:szCs w:val="22"/>
        </w:rPr>
        <w:t xml:space="preserve">The High Court observed that as per section 127M of the Customs Act, 1962, the order passed by the Settlement Commissioner is in judicial proceedings and it is a judicial order. It must be held good in law so long as it is not set aside </w:t>
      </w:r>
    </w:p>
    <w:p w:rsidR="00F0321F" w:rsidRDefault="00F0321F" w:rsidP="00F0321F">
      <w:pPr>
        <w:pStyle w:val="Default"/>
        <w:rPr>
          <w:color w:val="auto"/>
          <w:sz w:val="22"/>
          <w:szCs w:val="22"/>
        </w:rPr>
      </w:pPr>
      <w:r>
        <w:rPr>
          <w:b/>
          <w:bCs/>
          <w:color w:val="auto"/>
          <w:sz w:val="22"/>
          <w:szCs w:val="22"/>
        </w:rPr>
        <w:t xml:space="preserve"> </w:t>
      </w:r>
    </w:p>
    <w:p w:rsidR="00F0321F" w:rsidRDefault="00F0321F" w:rsidP="00F0321F">
      <w:pPr>
        <w:pStyle w:val="Default"/>
        <w:rPr>
          <w:color w:val="auto"/>
          <w:sz w:val="22"/>
          <w:szCs w:val="22"/>
        </w:rPr>
      </w:pPr>
      <w:r>
        <w:rPr>
          <w:b/>
          <w:bCs/>
          <w:color w:val="auto"/>
          <w:sz w:val="22"/>
          <w:szCs w:val="22"/>
        </w:rPr>
        <w:t xml:space="preserve">3. Does the Settlement Commission have jurisdiction to settle cases relating to the recovery of drawback erroneously paid by the Revenue? </w:t>
      </w:r>
    </w:p>
    <w:p w:rsidR="00F0321F" w:rsidRDefault="00F0321F" w:rsidP="00F0321F">
      <w:pPr>
        <w:pStyle w:val="Default"/>
        <w:rPr>
          <w:color w:val="auto"/>
          <w:sz w:val="22"/>
          <w:szCs w:val="22"/>
        </w:rPr>
      </w:pPr>
      <w:r w:rsidRPr="00893140">
        <w:rPr>
          <w:b/>
          <w:bCs/>
          <w:i/>
          <w:iCs/>
          <w:color w:val="auto"/>
          <w:sz w:val="22"/>
          <w:szCs w:val="22"/>
          <w:highlight w:val="yellow"/>
        </w:rPr>
        <w:t>Union of India v. Cus. &amp; C. Ex.</w:t>
      </w:r>
      <w:r w:rsidR="00893140">
        <w:rPr>
          <w:b/>
          <w:bCs/>
          <w:i/>
          <w:iCs/>
          <w:color w:val="auto"/>
          <w:sz w:val="22"/>
          <w:szCs w:val="22"/>
          <w:highlight w:val="yellow"/>
        </w:rPr>
        <w:t xml:space="preserve"> Settlement Commission 2010 </w:t>
      </w:r>
      <w:r>
        <w:rPr>
          <w:b/>
          <w:bCs/>
          <w:i/>
          <w:iCs/>
          <w:color w:val="auto"/>
          <w:sz w:val="22"/>
          <w:szCs w:val="22"/>
        </w:rPr>
        <w:t xml:space="preserve"> (Bom.) </w:t>
      </w:r>
    </w:p>
    <w:p w:rsidR="00F0321F" w:rsidRDefault="00F0321F" w:rsidP="00F0321F">
      <w:pPr>
        <w:pStyle w:val="Default"/>
        <w:rPr>
          <w:color w:val="auto"/>
          <w:sz w:val="22"/>
          <w:szCs w:val="22"/>
        </w:rPr>
      </w:pPr>
      <w:r>
        <w:rPr>
          <w:b/>
          <w:bCs/>
          <w:color w:val="auto"/>
          <w:sz w:val="22"/>
          <w:szCs w:val="22"/>
        </w:rPr>
        <w:t>Decision of the case:</w:t>
      </w:r>
      <w:r w:rsidR="00FB31AB">
        <w:rPr>
          <w:b/>
          <w:bCs/>
          <w:color w:val="auto"/>
          <w:sz w:val="22"/>
          <w:szCs w:val="22"/>
        </w:rPr>
        <w:t>Yes.</w:t>
      </w:r>
      <w:r>
        <w:rPr>
          <w:color w:val="auto"/>
          <w:sz w:val="22"/>
          <w:szCs w:val="22"/>
        </w:rPr>
        <w:t xml:space="preserve">The High Court stated that the reasons given by the Settlement Commission in support of its order are in consonance with the law laid down by the Supreme Court in the case of </w:t>
      </w:r>
      <w:r w:rsidRPr="00FB31AB">
        <w:rPr>
          <w:i/>
          <w:iCs/>
          <w:color w:val="auto"/>
          <w:sz w:val="22"/>
          <w:szCs w:val="22"/>
          <w:highlight w:val="yellow"/>
        </w:rPr>
        <w:t xml:space="preserve">Liberty India v. Commissioner of </w:t>
      </w:r>
      <w:r w:rsidRPr="00FB31AB">
        <w:rPr>
          <w:i/>
          <w:iCs/>
          <w:color w:val="auto"/>
          <w:sz w:val="22"/>
          <w:szCs w:val="22"/>
          <w:highlight w:val="yellow"/>
          <w:u w:val="single"/>
        </w:rPr>
        <w:t>In</w:t>
      </w:r>
      <w:r w:rsidR="00FB31AB" w:rsidRPr="00FB31AB">
        <w:rPr>
          <w:i/>
          <w:iCs/>
          <w:color w:val="auto"/>
          <w:sz w:val="22"/>
          <w:szCs w:val="22"/>
          <w:highlight w:val="yellow"/>
          <w:u w:val="single"/>
        </w:rPr>
        <w:t>come Tax</w:t>
      </w:r>
      <w:r w:rsidR="00FB31AB" w:rsidRPr="00FB31AB">
        <w:rPr>
          <w:i/>
          <w:iCs/>
          <w:color w:val="auto"/>
          <w:sz w:val="22"/>
          <w:szCs w:val="22"/>
          <w:highlight w:val="yellow"/>
        </w:rPr>
        <w:t xml:space="preserve"> (2009)</w:t>
      </w:r>
      <w:r w:rsidR="00FB31AB">
        <w:rPr>
          <w:i/>
          <w:iCs/>
          <w:color w:val="auto"/>
          <w:sz w:val="22"/>
          <w:szCs w:val="22"/>
        </w:rPr>
        <w:t xml:space="preserve"> </w:t>
      </w:r>
      <w:r>
        <w:rPr>
          <w:i/>
          <w:iCs/>
          <w:color w:val="auto"/>
          <w:sz w:val="22"/>
          <w:szCs w:val="22"/>
        </w:rPr>
        <w:t xml:space="preserve"> </w:t>
      </w:r>
      <w:r>
        <w:rPr>
          <w:color w:val="auto"/>
          <w:sz w:val="22"/>
          <w:szCs w:val="22"/>
        </w:rPr>
        <w:t xml:space="preserve">wherein the Supreme Court has observed that </w:t>
      </w:r>
      <w:r>
        <w:rPr>
          <w:b/>
          <w:bCs/>
          <w:color w:val="auto"/>
          <w:sz w:val="22"/>
          <w:szCs w:val="22"/>
        </w:rPr>
        <w:t>drawback is nothing but remission of duty on account of statutory provisions in the Act and Scheme framed by the Government of India</w:t>
      </w:r>
      <w:r>
        <w:rPr>
          <w:color w:val="auto"/>
          <w:sz w:val="22"/>
          <w:szCs w:val="22"/>
        </w:rPr>
        <w:t xml:space="preserve">. Thus, the High Court held that the </w:t>
      </w:r>
      <w:r>
        <w:rPr>
          <w:b/>
          <w:bCs/>
          <w:color w:val="auto"/>
          <w:sz w:val="22"/>
          <w:szCs w:val="22"/>
        </w:rPr>
        <w:t>Settlement Commission has jurisdiction to deal with the question relating to the recovery of drawback erroneously paid by the Revenue</w:t>
      </w:r>
      <w:r>
        <w:rPr>
          <w:color w:val="auto"/>
          <w:sz w:val="22"/>
          <w:szCs w:val="22"/>
        </w:rPr>
        <w:t xml:space="preserve">. </w:t>
      </w:r>
    </w:p>
    <w:p w:rsidR="00F0321F" w:rsidRPr="00D140FF" w:rsidRDefault="00F0321F" w:rsidP="00F0321F">
      <w:pPr>
        <w:pStyle w:val="Default"/>
        <w:pageBreakBefore/>
        <w:rPr>
          <w:rFonts w:cstheme="minorBidi"/>
          <w:color w:val="auto"/>
          <w:sz w:val="96"/>
          <w:szCs w:val="96"/>
        </w:rPr>
      </w:pPr>
      <w:r w:rsidRPr="00D140FF">
        <w:rPr>
          <w:rFonts w:cstheme="minorBidi"/>
          <w:b/>
          <w:bCs/>
          <w:color w:val="auto"/>
          <w:sz w:val="96"/>
          <w:szCs w:val="96"/>
        </w:rPr>
        <w:lastRenderedPageBreak/>
        <w:t xml:space="preserve">SERVICE TAX </w:t>
      </w:r>
    </w:p>
    <w:p w:rsidR="00F0321F" w:rsidRDefault="00F0321F" w:rsidP="00F0321F">
      <w:pPr>
        <w:pStyle w:val="Default"/>
        <w:rPr>
          <w:rFonts w:cstheme="minorBidi"/>
          <w:color w:val="auto"/>
          <w:sz w:val="22"/>
          <w:szCs w:val="22"/>
        </w:rPr>
      </w:pPr>
    </w:p>
    <w:p w:rsidR="00D140FF" w:rsidRDefault="00D140FF" w:rsidP="00D140FF">
      <w:pPr>
        <w:pStyle w:val="Default"/>
        <w:rPr>
          <w:sz w:val="96"/>
          <w:szCs w:val="96"/>
        </w:rPr>
      </w:pPr>
      <w:r>
        <w:rPr>
          <w:b/>
          <w:bCs/>
          <w:sz w:val="96"/>
          <w:szCs w:val="96"/>
        </w:rPr>
        <w:t xml:space="preserve">1 </w:t>
      </w:r>
    </w:p>
    <w:p w:rsidR="00D140FF" w:rsidRDefault="00D140FF" w:rsidP="00D140FF">
      <w:pPr>
        <w:pStyle w:val="Default"/>
        <w:rPr>
          <w:sz w:val="38"/>
          <w:szCs w:val="38"/>
        </w:rPr>
      </w:pPr>
      <w:r>
        <w:rPr>
          <w:b/>
          <w:bCs/>
          <w:sz w:val="48"/>
          <w:szCs w:val="48"/>
        </w:rPr>
        <w:t>P</w:t>
      </w:r>
      <w:r>
        <w:rPr>
          <w:b/>
          <w:bCs/>
          <w:sz w:val="38"/>
          <w:szCs w:val="38"/>
        </w:rPr>
        <w:t xml:space="preserve">RELIMINARY </w:t>
      </w:r>
      <w:r>
        <w:rPr>
          <w:b/>
          <w:bCs/>
          <w:sz w:val="48"/>
          <w:szCs w:val="48"/>
        </w:rPr>
        <w:t>L</w:t>
      </w:r>
      <w:r>
        <w:rPr>
          <w:b/>
          <w:bCs/>
          <w:sz w:val="38"/>
          <w:szCs w:val="38"/>
        </w:rPr>
        <w:t xml:space="preserve">EGAL </w:t>
      </w:r>
      <w:r>
        <w:rPr>
          <w:b/>
          <w:bCs/>
          <w:sz w:val="48"/>
          <w:szCs w:val="48"/>
        </w:rPr>
        <w:t>P</w:t>
      </w:r>
      <w:r>
        <w:rPr>
          <w:b/>
          <w:bCs/>
          <w:sz w:val="38"/>
          <w:szCs w:val="38"/>
        </w:rPr>
        <w:t xml:space="preserve">ROVISIONS </w:t>
      </w:r>
    </w:p>
    <w:p w:rsidR="00D140FF" w:rsidRDefault="00D140FF" w:rsidP="00D140FF">
      <w:pPr>
        <w:pStyle w:val="Default"/>
        <w:rPr>
          <w:sz w:val="22"/>
          <w:szCs w:val="22"/>
        </w:rPr>
      </w:pPr>
      <w:r>
        <w:rPr>
          <w:b/>
          <w:bCs/>
          <w:sz w:val="22"/>
          <w:szCs w:val="22"/>
        </w:rPr>
        <w:t xml:space="preserve">1. Is the service tax and excise liability mutually exclusive? </w:t>
      </w:r>
    </w:p>
    <w:p w:rsidR="00D140FF" w:rsidRDefault="00D140FF" w:rsidP="00D140FF">
      <w:pPr>
        <w:pStyle w:val="Default"/>
        <w:rPr>
          <w:sz w:val="22"/>
          <w:szCs w:val="22"/>
        </w:rPr>
      </w:pPr>
      <w:r w:rsidRPr="00C8477E">
        <w:rPr>
          <w:b/>
          <w:bCs/>
          <w:i/>
          <w:iCs/>
          <w:sz w:val="22"/>
          <w:szCs w:val="22"/>
          <w:highlight w:val="yellow"/>
        </w:rPr>
        <w:t>Commissioner of Service Tax v. Lincoln Helios (India) Ltd. 2011 (23) S.T.R. 112 (Kar.)</w:t>
      </w:r>
      <w:r>
        <w:rPr>
          <w:b/>
          <w:bCs/>
          <w:i/>
          <w:iCs/>
          <w:sz w:val="22"/>
          <w:szCs w:val="22"/>
        </w:rPr>
        <w:t xml:space="preserve"> </w:t>
      </w:r>
    </w:p>
    <w:p w:rsidR="00D140FF" w:rsidRDefault="00D140FF" w:rsidP="00D140FF">
      <w:pPr>
        <w:pStyle w:val="Default"/>
        <w:rPr>
          <w:sz w:val="22"/>
          <w:szCs w:val="22"/>
        </w:rPr>
      </w:pPr>
      <w:r>
        <w:rPr>
          <w:b/>
          <w:bCs/>
          <w:sz w:val="22"/>
          <w:szCs w:val="22"/>
        </w:rPr>
        <w:t>Decision of the case: Yes.</w:t>
      </w:r>
      <w:r>
        <w:rPr>
          <w:sz w:val="22"/>
          <w:szCs w:val="22"/>
        </w:rPr>
        <w:t xml:space="preserve">The High Court held that the excise duty is levied on the aspect of manufacture and service tax is levied on the aspect of services rendered. Hence, it would not amount to payment of tax twice and the assessee would be liable to pay service tax on the value of services. </w:t>
      </w:r>
    </w:p>
    <w:p w:rsidR="00D140FF" w:rsidRDefault="00D140FF" w:rsidP="00D140FF">
      <w:pPr>
        <w:pStyle w:val="Default"/>
        <w:rPr>
          <w:b/>
          <w:bCs/>
          <w:sz w:val="22"/>
          <w:szCs w:val="22"/>
        </w:rPr>
      </w:pPr>
    </w:p>
    <w:p w:rsidR="00D140FF" w:rsidRDefault="00D140FF" w:rsidP="00D140FF">
      <w:pPr>
        <w:pStyle w:val="Default"/>
        <w:rPr>
          <w:sz w:val="22"/>
          <w:szCs w:val="22"/>
        </w:rPr>
      </w:pPr>
      <w:r>
        <w:rPr>
          <w:b/>
          <w:bCs/>
          <w:sz w:val="22"/>
          <w:szCs w:val="22"/>
        </w:rPr>
        <w:t xml:space="preserve">2. Whether the value of SIM cards sold by the mobile phone companies to their subscribers has to be included in value of taxable service under ‘telecommunication service’ or it is taxable as sale of goods under the Sales Tax Act? </w:t>
      </w:r>
    </w:p>
    <w:p w:rsidR="00D140FF" w:rsidRDefault="00D140FF" w:rsidP="00D140FF">
      <w:pPr>
        <w:pStyle w:val="Default"/>
        <w:rPr>
          <w:sz w:val="22"/>
          <w:szCs w:val="22"/>
        </w:rPr>
      </w:pPr>
      <w:r>
        <w:rPr>
          <w:b/>
          <w:bCs/>
          <w:i/>
          <w:iCs/>
          <w:sz w:val="22"/>
          <w:szCs w:val="22"/>
        </w:rPr>
        <w:t xml:space="preserve">CCE v. Idea Mobile Communications Ltd. 2010 (19) STR 18 (Ker.) </w:t>
      </w:r>
    </w:p>
    <w:p w:rsidR="00D140FF" w:rsidRDefault="00D140FF" w:rsidP="00D140FF">
      <w:pPr>
        <w:pStyle w:val="Default"/>
        <w:rPr>
          <w:sz w:val="22"/>
          <w:szCs w:val="22"/>
        </w:rPr>
      </w:pPr>
      <w:r>
        <w:rPr>
          <w:b/>
          <w:bCs/>
          <w:sz w:val="22"/>
          <w:szCs w:val="22"/>
        </w:rPr>
        <w:t>Decision of the case: Taxable under telecommunication Service.Since</w:t>
      </w:r>
      <w:r>
        <w:rPr>
          <w:sz w:val="22"/>
          <w:szCs w:val="22"/>
        </w:rPr>
        <w:t xml:space="preserve"> it is an integral part required to provide mobile service to the customer. </w:t>
      </w:r>
    </w:p>
    <w:p w:rsidR="00D140FF" w:rsidRDefault="00D140FF" w:rsidP="00D140FF">
      <w:pPr>
        <w:pStyle w:val="Default"/>
        <w:rPr>
          <w:color w:val="auto"/>
          <w:sz w:val="22"/>
          <w:szCs w:val="22"/>
        </w:rPr>
      </w:pPr>
      <w:r>
        <w:rPr>
          <w:sz w:val="22"/>
          <w:szCs w:val="22"/>
        </w:rPr>
        <w:t xml:space="preserve">Further, SIM card has no intrinsic value or purpose other than use in mobile phone for receiving mobile telephone service from the service provider. Thus, the Court accepted the view that </w:t>
      </w:r>
      <w:r>
        <w:rPr>
          <w:b/>
          <w:bCs/>
          <w:sz w:val="22"/>
          <w:szCs w:val="22"/>
        </w:rPr>
        <w:t>SIM cards were not goods sold or intended to be sold to the customer, but supplied as part of service</w:t>
      </w:r>
      <w:r>
        <w:rPr>
          <w:sz w:val="22"/>
          <w:szCs w:val="22"/>
        </w:rPr>
        <w:t xml:space="preserve">. </w:t>
      </w:r>
    </w:p>
    <w:p w:rsidR="00D140FF" w:rsidRDefault="00D140FF" w:rsidP="00D140FF">
      <w:pPr>
        <w:pStyle w:val="Default"/>
        <w:rPr>
          <w:color w:val="auto"/>
          <w:sz w:val="22"/>
          <w:szCs w:val="22"/>
        </w:rPr>
      </w:pPr>
      <w:r>
        <w:rPr>
          <w:b/>
          <w:bCs/>
          <w:i/>
          <w:iCs/>
          <w:color w:val="auto"/>
          <w:sz w:val="22"/>
          <w:szCs w:val="22"/>
        </w:rPr>
        <w:t xml:space="preserve">Note: </w:t>
      </w:r>
      <w:r>
        <w:rPr>
          <w:i/>
          <w:iCs/>
          <w:color w:val="auto"/>
          <w:sz w:val="22"/>
          <w:szCs w:val="22"/>
        </w:rPr>
        <w:t xml:space="preserve">Supreme Court, in case of </w:t>
      </w:r>
      <w:r w:rsidRPr="00092C38">
        <w:rPr>
          <w:i/>
          <w:iCs/>
          <w:color w:val="auto"/>
          <w:sz w:val="22"/>
          <w:szCs w:val="22"/>
          <w:highlight w:val="yellow"/>
        </w:rPr>
        <w:t>Idea Mobile Communications Ltd. v. CCE</w:t>
      </w:r>
      <w:r>
        <w:rPr>
          <w:i/>
          <w:iCs/>
          <w:color w:val="auto"/>
          <w:sz w:val="22"/>
          <w:szCs w:val="22"/>
        </w:rPr>
        <w:t xml:space="preserve"> 2011 (23) S.T.R. 433, has affirmed the aforesaid decision. . </w:t>
      </w:r>
    </w:p>
    <w:p w:rsidR="00D140FF" w:rsidRDefault="00D140FF" w:rsidP="00D140FF">
      <w:pPr>
        <w:pStyle w:val="Default"/>
        <w:rPr>
          <w:rFonts w:cstheme="minorBidi"/>
          <w:color w:val="auto"/>
          <w:sz w:val="22"/>
          <w:szCs w:val="22"/>
        </w:rPr>
      </w:pPr>
    </w:p>
    <w:p w:rsidR="00D140FF" w:rsidRDefault="00D140FF" w:rsidP="00D140FF">
      <w:pPr>
        <w:pStyle w:val="Default"/>
        <w:pageBreakBefore/>
        <w:rPr>
          <w:rFonts w:cstheme="minorBidi"/>
          <w:color w:val="auto"/>
          <w:sz w:val="96"/>
          <w:szCs w:val="96"/>
        </w:rPr>
      </w:pPr>
      <w:r>
        <w:rPr>
          <w:rFonts w:cstheme="minorBidi"/>
          <w:b/>
          <w:bCs/>
          <w:color w:val="auto"/>
          <w:sz w:val="96"/>
          <w:szCs w:val="96"/>
        </w:rPr>
        <w:lastRenderedPageBreak/>
        <w:t xml:space="preserve">2 </w:t>
      </w:r>
    </w:p>
    <w:p w:rsidR="00D140FF" w:rsidRDefault="00D140FF" w:rsidP="00D140FF">
      <w:pPr>
        <w:pStyle w:val="Default"/>
        <w:rPr>
          <w:rFonts w:cstheme="minorBidi"/>
          <w:color w:val="auto"/>
          <w:sz w:val="38"/>
          <w:szCs w:val="38"/>
        </w:rPr>
      </w:pPr>
      <w:r>
        <w:rPr>
          <w:rFonts w:cstheme="minorBidi"/>
          <w:b/>
          <w:bCs/>
          <w:color w:val="auto"/>
          <w:sz w:val="48"/>
          <w:szCs w:val="48"/>
        </w:rPr>
        <w:t>G</w:t>
      </w:r>
      <w:r>
        <w:rPr>
          <w:rFonts w:cstheme="minorBidi"/>
          <w:b/>
          <w:bCs/>
          <w:color w:val="auto"/>
          <w:sz w:val="38"/>
          <w:szCs w:val="38"/>
        </w:rPr>
        <w:t xml:space="preserve">AMUT </w:t>
      </w:r>
      <w:r>
        <w:rPr>
          <w:rFonts w:cstheme="minorBidi"/>
          <w:b/>
          <w:bCs/>
          <w:color w:val="auto"/>
          <w:sz w:val="48"/>
          <w:szCs w:val="48"/>
        </w:rPr>
        <w:t>A</w:t>
      </w:r>
      <w:r>
        <w:rPr>
          <w:rFonts w:cstheme="minorBidi"/>
          <w:b/>
          <w:bCs/>
          <w:color w:val="auto"/>
          <w:sz w:val="38"/>
          <w:szCs w:val="38"/>
        </w:rPr>
        <w:t xml:space="preserve">ND </w:t>
      </w:r>
      <w:r>
        <w:rPr>
          <w:rFonts w:cstheme="minorBidi"/>
          <w:b/>
          <w:bCs/>
          <w:color w:val="auto"/>
          <w:sz w:val="48"/>
          <w:szCs w:val="48"/>
        </w:rPr>
        <w:t>C</w:t>
      </w:r>
      <w:r>
        <w:rPr>
          <w:rFonts w:cstheme="minorBidi"/>
          <w:b/>
          <w:bCs/>
          <w:color w:val="auto"/>
          <w:sz w:val="38"/>
          <w:szCs w:val="38"/>
        </w:rPr>
        <w:t xml:space="preserve">OVERAGE </w:t>
      </w:r>
      <w:r>
        <w:rPr>
          <w:rFonts w:cstheme="minorBidi"/>
          <w:b/>
          <w:bCs/>
          <w:color w:val="auto"/>
          <w:sz w:val="48"/>
          <w:szCs w:val="48"/>
        </w:rPr>
        <w:t>O</w:t>
      </w:r>
      <w:r>
        <w:rPr>
          <w:rFonts w:cstheme="minorBidi"/>
          <w:b/>
          <w:bCs/>
          <w:color w:val="auto"/>
          <w:sz w:val="38"/>
          <w:szCs w:val="38"/>
        </w:rPr>
        <w:t xml:space="preserve">F </w:t>
      </w:r>
      <w:r>
        <w:rPr>
          <w:rFonts w:cstheme="minorBidi"/>
          <w:b/>
          <w:bCs/>
          <w:color w:val="auto"/>
          <w:sz w:val="48"/>
          <w:szCs w:val="48"/>
        </w:rPr>
        <w:t>T</w:t>
      </w:r>
      <w:r>
        <w:rPr>
          <w:rFonts w:cstheme="minorBidi"/>
          <w:b/>
          <w:bCs/>
          <w:color w:val="auto"/>
          <w:sz w:val="38"/>
          <w:szCs w:val="38"/>
        </w:rPr>
        <w:t xml:space="preserve">AXABLE </w:t>
      </w:r>
      <w:r>
        <w:rPr>
          <w:rFonts w:cstheme="minorBidi"/>
          <w:b/>
          <w:bCs/>
          <w:color w:val="auto"/>
          <w:sz w:val="48"/>
          <w:szCs w:val="48"/>
        </w:rPr>
        <w:t>S</w:t>
      </w:r>
      <w:r>
        <w:rPr>
          <w:rFonts w:cstheme="minorBidi"/>
          <w:b/>
          <w:bCs/>
          <w:color w:val="auto"/>
          <w:sz w:val="38"/>
          <w:szCs w:val="38"/>
        </w:rPr>
        <w:t xml:space="preserve">ERVICES </w:t>
      </w:r>
    </w:p>
    <w:p w:rsidR="00D140FF" w:rsidRDefault="00D140FF" w:rsidP="00D140FF">
      <w:pPr>
        <w:pStyle w:val="Default"/>
        <w:rPr>
          <w:rFonts w:cstheme="minorBidi"/>
          <w:color w:val="auto"/>
          <w:sz w:val="22"/>
          <w:szCs w:val="22"/>
        </w:rPr>
      </w:pPr>
      <w:r>
        <w:rPr>
          <w:rFonts w:cstheme="minorBidi"/>
          <w:b/>
          <w:bCs/>
          <w:color w:val="auto"/>
          <w:sz w:val="22"/>
          <w:szCs w:val="22"/>
        </w:rPr>
        <w:t xml:space="preserve">Security agency services </w:t>
      </w:r>
    </w:p>
    <w:p w:rsidR="00D140FF" w:rsidRDefault="00D140FF" w:rsidP="00D140FF">
      <w:pPr>
        <w:pStyle w:val="Default"/>
        <w:rPr>
          <w:rFonts w:cstheme="minorBidi"/>
          <w:color w:val="auto"/>
          <w:sz w:val="22"/>
          <w:szCs w:val="22"/>
        </w:rPr>
      </w:pPr>
      <w:r>
        <w:rPr>
          <w:rFonts w:cstheme="minorBidi"/>
          <w:b/>
          <w:bCs/>
          <w:color w:val="auto"/>
          <w:sz w:val="22"/>
          <w:szCs w:val="22"/>
        </w:rPr>
        <w:t xml:space="preserve">1. Whether a concern not having profit motive can be regarded as a security agency under section 65(94) of the Finance Act, 1994? </w:t>
      </w:r>
    </w:p>
    <w:p w:rsidR="00D140FF" w:rsidRDefault="00D140FF" w:rsidP="00D140FF">
      <w:pPr>
        <w:pStyle w:val="Default"/>
        <w:rPr>
          <w:color w:val="auto"/>
          <w:sz w:val="22"/>
          <w:szCs w:val="22"/>
        </w:rPr>
      </w:pPr>
      <w:r w:rsidRPr="00092C38">
        <w:rPr>
          <w:b/>
          <w:bCs/>
          <w:i/>
          <w:iCs/>
          <w:color w:val="auto"/>
          <w:sz w:val="22"/>
          <w:szCs w:val="22"/>
          <w:highlight w:val="yellow"/>
        </w:rPr>
        <w:t>Punjab Ex-Servicemen Corporation v. UOI 2012 (25) S.T.R. 122 (P &amp; H)</w:t>
      </w:r>
      <w:r>
        <w:rPr>
          <w:b/>
          <w:bCs/>
          <w:i/>
          <w:iCs/>
          <w:color w:val="auto"/>
          <w:sz w:val="22"/>
          <w:szCs w:val="22"/>
        </w:rPr>
        <w:t xml:space="preserve"> </w:t>
      </w:r>
    </w:p>
    <w:p w:rsidR="00D140FF" w:rsidRDefault="00D140FF" w:rsidP="00D140FF">
      <w:pPr>
        <w:pStyle w:val="Default"/>
        <w:rPr>
          <w:color w:val="auto"/>
          <w:sz w:val="22"/>
          <w:szCs w:val="22"/>
        </w:rPr>
      </w:pPr>
      <w:r>
        <w:rPr>
          <w:b/>
          <w:bCs/>
          <w:color w:val="auto"/>
          <w:sz w:val="22"/>
          <w:szCs w:val="22"/>
        </w:rPr>
        <w:t>Decision of the case</w:t>
      </w:r>
      <w:r>
        <w:rPr>
          <w:color w:val="auto"/>
          <w:sz w:val="22"/>
          <w:szCs w:val="22"/>
        </w:rPr>
        <w:t xml:space="preserve">: Yes.Considering the charging provision under section 68 and definition of value of taxable service under section 67, the High Court observed that there was no requirement that the service provider should provide service for profit motive. </w:t>
      </w:r>
    </w:p>
    <w:p w:rsidR="00D140FF" w:rsidRDefault="00D140FF" w:rsidP="00D140FF">
      <w:pPr>
        <w:pStyle w:val="Default"/>
        <w:rPr>
          <w:color w:val="auto"/>
          <w:sz w:val="22"/>
          <w:szCs w:val="22"/>
        </w:rPr>
      </w:pPr>
      <w:r>
        <w:rPr>
          <w:color w:val="auto"/>
          <w:sz w:val="22"/>
          <w:szCs w:val="22"/>
        </w:rPr>
        <w:t xml:space="preserve">The expression is used in a taxing statute in the sense of occupation or profession which occupies time, attention and labour normally with the object of making of profit as against support or pleasure. </w:t>
      </w:r>
    </w:p>
    <w:p w:rsidR="00D140FF" w:rsidRDefault="00D140FF" w:rsidP="00D140FF">
      <w:pPr>
        <w:pStyle w:val="Default"/>
        <w:rPr>
          <w:color w:val="auto"/>
          <w:sz w:val="22"/>
          <w:szCs w:val="22"/>
        </w:rPr>
      </w:pPr>
      <w:r>
        <w:rPr>
          <w:color w:val="auto"/>
          <w:sz w:val="22"/>
          <w:szCs w:val="22"/>
        </w:rPr>
        <w:t xml:space="preserve">Hence, the assessee was held liable to service tax in the given case. </w:t>
      </w:r>
    </w:p>
    <w:p w:rsidR="00D140FF" w:rsidRDefault="00D140FF" w:rsidP="00D140FF">
      <w:pPr>
        <w:pStyle w:val="Default"/>
        <w:rPr>
          <w:b/>
          <w:bCs/>
          <w:color w:val="auto"/>
          <w:sz w:val="22"/>
          <w:szCs w:val="22"/>
        </w:rPr>
      </w:pPr>
    </w:p>
    <w:p w:rsidR="00D140FF" w:rsidRDefault="00D140FF" w:rsidP="00D140FF">
      <w:pPr>
        <w:pStyle w:val="Default"/>
        <w:rPr>
          <w:color w:val="auto"/>
          <w:sz w:val="22"/>
          <w:szCs w:val="22"/>
        </w:rPr>
      </w:pPr>
      <w:r>
        <w:rPr>
          <w:b/>
          <w:bCs/>
          <w:color w:val="auto"/>
          <w:sz w:val="22"/>
          <w:szCs w:val="22"/>
        </w:rPr>
        <w:t xml:space="preserve">2. In case where rooms have been rented out by Municipality, can it pass the burden of service tax to the service receivers i.e. tenants? </w:t>
      </w:r>
    </w:p>
    <w:p w:rsidR="00D140FF" w:rsidRDefault="00D140FF" w:rsidP="00D140FF">
      <w:pPr>
        <w:pStyle w:val="Default"/>
        <w:rPr>
          <w:color w:val="auto"/>
          <w:sz w:val="22"/>
          <w:szCs w:val="22"/>
        </w:rPr>
      </w:pPr>
      <w:r w:rsidRPr="00092C38">
        <w:rPr>
          <w:b/>
          <w:bCs/>
          <w:i/>
          <w:iCs/>
          <w:color w:val="auto"/>
          <w:sz w:val="22"/>
          <w:szCs w:val="22"/>
          <w:highlight w:val="yellow"/>
        </w:rPr>
        <w:t>Kishore K.S. v. Cherthala Municipality 2011 (24) S.T.R. 538 (Ker.)</w:t>
      </w:r>
      <w:r>
        <w:rPr>
          <w:b/>
          <w:bCs/>
          <w:i/>
          <w:iCs/>
          <w:color w:val="auto"/>
          <w:sz w:val="22"/>
          <w:szCs w:val="22"/>
        </w:rPr>
        <w:t xml:space="preserve"> </w:t>
      </w:r>
    </w:p>
    <w:p w:rsidR="00D140FF" w:rsidRDefault="00D140FF" w:rsidP="00D140FF">
      <w:pPr>
        <w:pStyle w:val="Default"/>
        <w:rPr>
          <w:color w:val="auto"/>
          <w:sz w:val="22"/>
          <w:szCs w:val="22"/>
        </w:rPr>
      </w:pPr>
      <w:r>
        <w:rPr>
          <w:b/>
          <w:bCs/>
          <w:color w:val="auto"/>
          <w:sz w:val="22"/>
          <w:szCs w:val="22"/>
        </w:rPr>
        <w:t>Decision of the case:Yes.S</w:t>
      </w:r>
      <w:r>
        <w:rPr>
          <w:color w:val="auto"/>
          <w:sz w:val="22"/>
          <w:szCs w:val="22"/>
        </w:rPr>
        <w:t xml:space="preserve">ervice tax is an indirect tax and the law provides that it can be passed on to the beneficiary. Hence, the service tax can be passed on by the service provider i.e. Municipality. </w:t>
      </w:r>
    </w:p>
    <w:p w:rsidR="00D140FF" w:rsidRDefault="00D140FF" w:rsidP="00D140FF">
      <w:pPr>
        <w:pStyle w:val="Default"/>
        <w:rPr>
          <w:color w:val="auto"/>
          <w:sz w:val="22"/>
          <w:szCs w:val="22"/>
        </w:rPr>
      </w:pPr>
      <w:r>
        <w:rPr>
          <w:color w:val="auto"/>
          <w:sz w:val="22"/>
          <w:szCs w:val="22"/>
        </w:rPr>
        <w:t xml:space="preserve">Further the word “State” in Article 289 does not embrace within its scope the Municipalities. Hence, when service tax is levied on the Municipality there is no violation of Article 289. Moreover, Municipality has not raised the contention that there was a violation of Article 289. </w:t>
      </w:r>
    </w:p>
    <w:p w:rsidR="00D140FF" w:rsidRDefault="00D140FF" w:rsidP="00D140FF">
      <w:pPr>
        <w:pStyle w:val="Default"/>
        <w:rPr>
          <w:color w:val="auto"/>
          <w:sz w:val="22"/>
          <w:szCs w:val="22"/>
        </w:rPr>
      </w:pPr>
      <w:r>
        <w:rPr>
          <w:color w:val="auto"/>
          <w:sz w:val="22"/>
          <w:szCs w:val="22"/>
        </w:rPr>
        <w:t xml:space="preserve">Hence, it was held that Municipality can pass on the burden of service tax to the tenants. </w:t>
      </w:r>
    </w:p>
    <w:p w:rsidR="00D140FF" w:rsidRDefault="00D140FF" w:rsidP="00D140FF">
      <w:pPr>
        <w:pStyle w:val="Default"/>
        <w:rPr>
          <w:rFonts w:cstheme="minorBidi"/>
          <w:color w:val="auto"/>
          <w:sz w:val="22"/>
          <w:szCs w:val="22"/>
        </w:rPr>
      </w:pPr>
    </w:p>
    <w:p w:rsidR="00D140FF" w:rsidRDefault="00D140FF" w:rsidP="00D140FF">
      <w:pPr>
        <w:pStyle w:val="Default"/>
        <w:pageBreakBefore/>
        <w:rPr>
          <w:rFonts w:cstheme="minorBidi"/>
          <w:color w:val="auto"/>
          <w:sz w:val="22"/>
          <w:szCs w:val="22"/>
        </w:rPr>
      </w:pPr>
    </w:p>
    <w:p w:rsidR="00D140FF" w:rsidRDefault="00D140FF" w:rsidP="00D140FF">
      <w:pPr>
        <w:pStyle w:val="Default"/>
        <w:rPr>
          <w:rFonts w:cstheme="minorBidi"/>
          <w:color w:val="auto"/>
          <w:sz w:val="22"/>
          <w:szCs w:val="22"/>
        </w:rPr>
      </w:pPr>
      <w:r>
        <w:rPr>
          <w:rFonts w:cstheme="minorBidi"/>
          <w:b/>
          <w:bCs/>
          <w:color w:val="auto"/>
          <w:sz w:val="22"/>
          <w:szCs w:val="22"/>
        </w:rPr>
        <w:t xml:space="preserve">3. Can marriage be regarded as a social function for the purpose of levying service tax under pandal or shamiana contractor services? </w:t>
      </w:r>
    </w:p>
    <w:p w:rsidR="00D140FF" w:rsidRDefault="00D140FF" w:rsidP="00D140FF">
      <w:pPr>
        <w:pStyle w:val="Default"/>
        <w:rPr>
          <w:color w:val="auto"/>
          <w:sz w:val="22"/>
          <w:szCs w:val="22"/>
        </w:rPr>
      </w:pPr>
      <w:r w:rsidRPr="00D45224">
        <w:rPr>
          <w:b/>
          <w:bCs/>
          <w:i/>
          <w:iCs/>
          <w:color w:val="auto"/>
          <w:sz w:val="22"/>
          <w:szCs w:val="22"/>
          <w:highlight w:val="yellow"/>
        </w:rPr>
        <w:t>All India Tent Dealers Welfare Organiza</w:t>
      </w:r>
      <w:r>
        <w:rPr>
          <w:b/>
          <w:bCs/>
          <w:i/>
          <w:iCs/>
          <w:color w:val="auto"/>
          <w:sz w:val="22"/>
          <w:szCs w:val="22"/>
          <w:highlight w:val="yellow"/>
        </w:rPr>
        <w:t xml:space="preserve">tion v. UOI 2011 </w:t>
      </w:r>
      <w:r w:rsidRPr="00D45224">
        <w:rPr>
          <w:b/>
          <w:bCs/>
          <w:i/>
          <w:iCs/>
          <w:color w:val="auto"/>
          <w:sz w:val="22"/>
          <w:szCs w:val="22"/>
          <w:highlight w:val="yellow"/>
        </w:rPr>
        <w:t xml:space="preserve"> (Del.)</w:t>
      </w:r>
      <w:r>
        <w:rPr>
          <w:b/>
          <w:bCs/>
          <w:i/>
          <w:iCs/>
          <w:color w:val="auto"/>
          <w:sz w:val="22"/>
          <w:szCs w:val="22"/>
        </w:rPr>
        <w:t xml:space="preserve"> </w:t>
      </w:r>
    </w:p>
    <w:p w:rsidR="00D140FF" w:rsidRDefault="00D140FF" w:rsidP="00D140FF">
      <w:pPr>
        <w:pStyle w:val="Default"/>
        <w:rPr>
          <w:color w:val="auto"/>
          <w:sz w:val="22"/>
          <w:szCs w:val="22"/>
        </w:rPr>
      </w:pPr>
      <w:r>
        <w:rPr>
          <w:b/>
          <w:bCs/>
          <w:color w:val="auto"/>
          <w:sz w:val="22"/>
          <w:szCs w:val="22"/>
        </w:rPr>
        <w:t>Decision of the case: Yes.</w:t>
      </w:r>
    </w:p>
    <w:p w:rsidR="00D140FF" w:rsidRDefault="00D140FF" w:rsidP="00D140FF">
      <w:pPr>
        <w:pStyle w:val="Default"/>
        <w:rPr>
          <w:color w:val="auto"/>
          <w:sz w:val="22"/>
          <w:szCs w:val="22"/>
        </w:rPr>
      </w:pPr>
      <w:r>
        <w:rPr>
          <w:i/>
          <w:iCs/>
          <w:color w:val="auto"/>
          <w:sz w:val="22"/>
          <w:szCs w:val="22"/>
        </w:rPr>
        <w:t xml:space="preserve">*Note: Explanation to section 65(77a) was inserted by the Finance Act, 2007. Section 65(77a) reads as under:- </w:t>
      </w:r>
    </w:p>
    <w:p w:rsidR="00D140FF" w:rsidRDefault="00D140FF" w:rsidP="00D140FF">
      <w:pPr>
        <w:pStyle w:val="Default"/>
        <w:rPr>
          <w:color w:val="auto"/>
          <w:sz w:val="22"/>
          <w:szCs w:val="22"/>
        </w:rPr>
      </w:pPr>
      <w:r>
        <w:rPr>
          <w:i/>
          <w:iCs/>
          <w:color w:val="auto"/>
          <w:sz w:val="22"/>
          <w:szCs w:val="22"/>
        </w:rPr>
        <w:t xml:space="preserve">“Pandal or shamiana” means a place specially prepared or arranged for organising an official, social or business function. </w:t>
      </w:r>
    </w:p>
    <w:p w:rsidR="00D140FF" w:rsidRDefault="00D140FF" w:rsidP="00D140FF">
      <w:pPr>
        <w:pStyle w:val="Default"/>
        <w:rPr>
          <w:i/>
          <w:iCs/>
          <w:color w:val="auto"/>
          <w:sz w:val="22"/>
          <w:szCs w:val="22"/>
        </w:rPr>
      </w:pPr>
      <w:r>
        <w:rPr>
          <w:i/>
          <w:iCs/>
          <w:color w:val="auto"/>
          <w:sz w:val="22"/>
          <w:szCs w:val="22"/>
        </w:rPr>
        <w:t xml:space="preserve">Explanation: For the purposes of this clause, “social function” includes marriage. </w:t>
      </w:r>
    </w:p>
    <w:p w:rsidR="00D140FF" w:rsidRDefault="00D140FF" w:rsidP="00D140FF">
      <w:pPr>
        <w:pStyle w:val="Default"/>
        <w:rPr>
          <w:color w:val="auto"/>
          <w:sz w:val="22"/>
          <w:szCs w:val="22"/>
        </w:rPr>
      </w:pPr>
    </w:p>
    <w:p w:rsidR="00D140FF" w:rsidRDefault="00D140FF" w:rsidP="00D140FF">
      <w:pPr>
        <w:pStyle w:val="Default"/>
        <w:rPr>
          <w:color w:val="auto"/>
          <w:sz w:val="22"/>
          <w:szCs w:val="22"/>
        </w:rPr>
      </w:pPr>
      <w:r>
        <w:rPr>
          <w:b/>
          <w:bCs/>
          <w:color w:val="auto"/>
          <w:sz w:val="22"/>
          <w:szCs w:val="22"/>
        </w:rPr>
        <w:t xml:space="preserve">4. Can a commission agent also acting as a consignment agent be covered under the definition of ‘clearing and forwarding agent’? </w:t>
      </w:r>
    </w:p>
    <w:p w:rsidR="00D140FF" w:rsidRDefault="00D140FF" w:rsidP="00D140FF">
      <w:pPr>
        <w:pStyle w:val="Default"/>
        <w:rPr>
          <w:color w:val="auto"/>
          <w:sz w:val="22"/>
          <w:szCs w:val="22"/>
        </w:rPr>
      </w:pPr>
      <w:r w:rsidRPr="00D45224">
        <w:rPr>
          <w:b/>
          <w:bCs/>
          <w:i/>
          <w:iCs/>
          <w:color w:val="auto"/>
          <w:sz w:val="22"/>
          <w:szCs w:val="22"/>
          <w:highlight w:val="yellow"/>
        </w:rPr>
        <w:t>CCE v. Mahaveer Generics 2010 (Kar.)</w:t>
      </w:r>
      <w:r>
        <w:rPr>
          <w:b/>
          <w:bCs/>
          <w:i/>
          <w:iCs/>
          <w:color w:val="auto"/>
          <w:sz w:val="22"/>
          <w:szCs w:val="22"/>
        </w:rPr>
        <w:t xml:space="preserve"> </w:t>
      </w:r>
    </w:p>
    <w:p w:rsidR="00D140FF" w:rsidRDefault="00D140FF" w:rsidP="00D140FF">
      <w:pPr>
        <w:pStyle w:val="Default"/>
        <w:rPr>
          <w:color w:val="auto"/>
          <w:sz w:val="22"/>
          <w:szCs w:val="22"/>
        </w:rPr>
      </w:pPr>
      <w:r>
        <w:rPr>
          <w:b/>
          <w:bCs/>
          <w:color w:val="auto"/>
          <w:sz w:val="22"/>
          <w:szCs w:val="22"/>
        </w:rPr>
        <w:t>Decision of the case: Yes.</w:t>
      </w:r>
      <w:r>
        <w:rPr>
          <w:color w:val="auto"/>
          <w:sz w:val="22"/>
          <w:szCs w:val="22"/>
        </w:rPr>
        <w:t xml:space="preserve"> </w:t>
      </w:r>
      <w:r>
        <w:rPr>
          <w:b/>
          <w:bCs/>
          <w:color w:val="auto"/>
          <w:sz w:val="22"/>
          <w:szCs w:val="22"/>
        </w:rPr>
        <w:t xml:space="preserve">Since the consignment agent had been brought under statutory definition of ‘clearing and forwarding agent’ by inclusive clause, the High Court held that the assessee falls under the definition of ‘clearing and forwarding agent’ </w:t>
      </w:r>
      <w:r>
        <w:rPr>
          <w:color w:val="auto"/>
          <w:sz w:val="22"/>
          <w:szCs w:val="22"/>
        </w:rPr>
        <w:t xml:space="preserve">after considering the following points:- </w:t>
      </w:r>
    </w:p>
    <w:p w:rsidR="00D140FF" w:rsidRDefault="00D140FF" w:rsidP="00D140FF">
      <w:pPr>
        <w:pStyle w:val="Default"/>
        <w:spacing w:after="29"/>
        <w:rPr>
          <w:color w:val="auto"/>
          <w:sz w:val="22"/>
          <w:szCs w:val="22"/>
        </w:rPr>
      </w:pPr>
      <w:r>
        <w:rPr>
          <w:rFonts w:ascii="Symbol" w:hAnsi="Symbol" w:cs="Symbol"/>
          <w:color w:val="auto"/>
          <w:sz w:val="22"/>
          <w:szCs w:val="22"/>
        </w:rPr>
        <w:t></w:t>
      </w:r>
      <w:r>
        <w:rPr>
          <w:rFonts w:ascii="Symbol" w:hAnsi="Symbol" w:cs="Symbol"/>
          <w:color w:val="auto"/>
          <w:sz w:val="22"/>
          <w:szCs w:val="22"/>
        </w:rPr>
        <w:t></w:t>
      </w:r>
      <w:r>
        <w:rPr>
          <w:color w:val="auto"/>
          <w:sz w:val="22"/>
          <w:szCs w:val="22"/>
        </w:rPr>
        <w:t xml:space="preserve">Agreement itself termed the assessee as a consignment agent. </w:t>
      </w:r>
    </w:p>
    <w:p w:rsidR="00D140FF" w:rsidRPr="00C35D7C" w:rsidRDefault="00D140FF" w:rsidP="00D140FF">
      <w:pPr>
        <w:pStyle w:val="Default"/>
        <w:rPr>
          <w:color w:val="auto"/>
          <w:sz w:val="22"/>
          <w:szCs w:val="22"/>
        </w:rPr>
      </w:pPr>
      <w:r>
        <w:rPr>
          <w:rFonts w:ascii="Symbol" w:hAnsi="Symbol" w:cs="Symbol"/>
          <w:color w:val="auto"/>
          <w:sz w:val="22"/>
          <w:szCs w:val="22"/>
        </w:rPr>
        <w:t></w:t>
      </w:r>
      <w:r>
        <w:rPr>
          <w:rFonts w:ascii="Symbol" w:hAnsi="Symbol" w:cs="Symbol"/>
          <w:color w:val="auto"/>
          <w:sz w:val="22"/>
          <w:szCs w:val="22"/>
        </w:rPr>
        <w:t></w:t>
      </w:r>
      <w:r>
        <w:rPr>
          <w:color w:val="auto"/>
          <w:sz w:val="22"/>
          <w:szCs w:val="22"/>
        </w:rPr>
        <w:t>Price was mutually decided by the principal and the agent (assessee). Had the assessee been merely a commission agent, price determination would not have been within his domain.</w:t>
      </w:r>
    </w:p>
    <w:p w:rsidR="00D140FF" w:rsidRDefault="00D140FF" w:rsidP="00D140FF">
      <w:pPr>
        <w:pStyle w:val="Default"/>
        <w:pageBreakBefore/>
        <w:rPr>
          <w:rFonts w:cstheme="minorBidi"/>
          <w:color w:val="auto"/>
          <w:sz w:val="22"/>
          <w:szCs w:val="22"/>
        </w:rPr>
      </w:pPr>
    </w:p>
    <w:p w:rsidR="00D140FF" w:rsidRDefault="00D140FF" w:rsidP="00D140FF">
      <w:pPr>
        <w:pStyle w:val="Default"/>
        <w:spacing w:after="29"/>
        <w:rPr>
          <w:color w:val="auto"/>
          <w:sz w:val="22"/>
          <w:szCs w:val="22"/>
        </w:rPr>
      </w:pPr>
      <w:r>
        <w:rPr>
          <w:rFonts w:ascii="Symbol" w:hAnsi="Symbol" w:cs="Symbol"/>
          <w:color w:val="auto"/>
          <w:sz w:val="22"/>
          <w:szCs w:val="22"/>
        </w:rPr>
        <w:t></w:t>
      </w:r>
      <w:r>
        <w:rPr>
          <w:rFonts w:ascii="Symbol" w:hAnsi="Symbol" w:cs="Symbol"/>
          <w:color w:val="auto"/>
          <w:sz w:val="22"/>
          <w:szCs w:val="22"/>
        </w:rPr>
        <w:t></w:t>
      </w:r>
      <w:r>
        <w:rPr>
          <w:color w:val="auto"/>
          <w:sz w:val="22"/>
          <w:szCs w:val="22"/>
        </w:rPr>
        <w:t xml:space="preserve">Since assessee had been given the authority and power to appoint dealers, stockists and distributors, it implied that it was not merely a commission agent. </w:t>
      </w:r>
    </w:p>
    <w:p w:rsidR="00D140FF" w:rsidRDefault="00D140FF" w:rsidP="00D140FF">
      <w:pPr>
        <w:pStyle w:val="Default"/>
        <w:rPr>
          <w:color w:val="auto"/>
          <w:sz w:val="22"/>
          <w:szCs w:val="22"/>
        </w:rPr>
      </w:pPr>
      <w:r>
        <w:rPr>
          <w:rFonts w:ascii="Symbol" w:hAnsi="Symbol" w:cs="Symbol"/>
          <w:color w:val="auto"/>
          <w:sz w:val="22"/>
          <w:szCs w:val="22"/>
        </w:rPr>
        <w:t></w:t>
      </w:r>
      <w:r>
        <w:rPr>
          <w:rFonts w:ascii="Symbol" w:hAnsi="Symbol" w:cs="Symbol"/>
          <w:color w:val="auto"/>
          <w:sz w:val="22"/>
          <w:szCs w:val="22"/>
        </w:rPr>
        <w:t></w:t>
      </w:r>
      <w:r>
        <w:rPr>
          <w:color w:val="auto"/>
          <w:sz w:val="22"/>
          <w:szCs w:val="22"/>
        </w:rPr>
        <w:t xml:space="preserve">Mere procurement of purchase orders was not involved, but stored goods were also cleared and forwarded to stockists and dealers by the assessee. </w:t>
      </w:r>
    </w:p>
    <w:p w:rsidR="00D140FF" w:rsidRDefault="00D140FF" w:rsidP="00D140FF">
      <w:pPr>
        <w:pStyle w:val="Default"/>
        <w:rPr>
          <w:color w:val="auto"/>
          <w:sz w:val="22"/>
          <w:szCs w:val="22"/>
        </w:rPr>
      </w:pPr>
    </w:p>
    <w:p w:rsidR="00D140FF" w:rsidRDefault="00D140FF" w:rsidP="00D140FF">
      <w:pPr>
        <w:pStyle w:val="Default"/>
        <w:rPr>
          <w:color w:val="auto"/>
          <w:sz w:val="22"/>
          <w:szCs w:val="22"/>
        </w:rPr>
      </w:pPr>
      <w:r>
        <w:rPr>
          <w:b/>
          <w:bCs/>
          <w:color w:val="auto"/>
          <w:sz w:val="22"/>
          <w:szCs w:val="22"/>
        </w:rPr>
        <w:t xml:space="preserve">5. Whether the levy of service tax on hire purchase and leasing transactions falling under section 65(12) of the Finance Act, 1994 is constitutionally valid? </w:t>
      </w:r>
    </w:p>
    <w:p w:rsidR="00D140FF" w:rsidRDefault="00D140FF" w:rsidP="00D140FF">
      <w:pPr>
        <w:pStyle w:val="Default"/>
        <w:rPr>
          <w:color w:val="auto"/>
          <w:sz w:val="22"/>
          <w:szCs w:val="22"/>
        </w:rPr>
      </w:pPr>
      <w:r>
        <w:rPr>
          <w:b/>
          <w:bCs/>
          <w:i/>
          <w:iCs/>
          <w:color w:val="auto"/>
          <w:sz w:val="22"/>
          <w:szCs w:val="22"/>
        </w:rPr>
        <w:t xml:space="preserve">Madras Hire Purchase Association v. UOI 2009 (16) S.T.R. 3 (Mad.) </w:t>
      </w:r>
    </w:p>
    <w:p w:rsidR="00D140FF" w:rsidRDefault="00D140FF" w:rsidP="00D140FF">
      <w:pPr>
        <w:pStyle w:val="Default"/>
        <w:rPr>
          <w:color w:val="auto"/>
          <w:sz w:val="22"/>
          <w:szCs w:val="22"/>
        </w:rPr>
      </w:pPr>
      <w:r>
        <w:rPr>
          <w:b/>
          <w:bCs/>
          <w:color w:val="auto"/>
          <w:sz w:val="22"/>
          <w:szCs w:val="22"/>
        </w:rPr>
        <w:t>Yes.</w:t>
      </w:r>
      <w:r>
        <w:rPr>
          <w:color w:val="auto"/>
          <w:sz w:val="22"/>
          <w:szCs w:val="22"/>
        </w:rPr>
        <w:t xml:space="preserve"> The High Court rejected the plea that levy of service tax on hire purchase/leasing transaction is violative of Articles 14 and 19(1)(g) of the Constitution after observing that a taxing statute was not </w:t>
      </w:r>
      <w:r>
        <w:rPr>
          <w:i/>
          <w:iCs/>
          <w:color w:val="auto"/>
          <w:sz w:val="22"/>
          <w:szCs w:val="22"/>
        </w:rPr>
        <w:t>per se</w:t>
      </w:r>
      <w:r>
        <w:rPr>
          <w:color w:val="auto"/>
          <w:sz w:val="22"/>
          <w:szCs w:val="22"/>
        </w:rPr>
        <w:t xml:space="preserve">, a restriction of the freedom under Article 19(1)(g) and policy of a tax, in its effectuation, might, bring in some hardship in some individual cases but that was inevitable. </w:t>
      </w:r>
    </w:p>
    <w:p w:rsidR="00D140FF" w:rsidRDefault="00D140FF" w:rsidP="00D140FF">
      <w:pPr>
        <w:pStyle w:val="Default"/>
        <w:rPr>
          <w:color w:val="auto"/>
          <w:sz w:val="22"/>
          <w:szCs w:val="22"/>
        </w:rPr>
      </w:pPr>
      <w:r>
        <w:rPr>
          <w:b/>
          <w:bCs/>
          <w:color w:val="auto"/>
          <w:sz w:val="22"/>
          <w:szCs w:val="22"/>
        </w:rPr>
        <w:t xml:space="preserve">Section 65(105)(zzzze) of the Finance Act, 1994 </w:t>
      </w:r>
    </w:p>
    <w:p w:rsidR="00D140FF" w:rsidRDefault="00D140FF" w:rsidP="00D140FF">
      <w:pPr>
        <w:pStyle w:val="Default"/>
        <w:rPr>
          <w:color w:val="auto"/>
          <w:sz w:val="22"/>
          <w:szCs w:val="22"/>
        </w:rPr>
      </w:pPr>
      <w:r>
        <w:rPr>
          <w:b/>
          <w:bCs/>
          <w:color w:val="auto"/>
          <w:sz w:val="22"/>
          <w:szCs w:val="22"/>
        </w:rPr>
        <w:t xml:space="preserve">6. Can a software be treated as goods and if so, whether its supply to a customer as per an "End User Licence Agreement" (EULA) would be treated as sale or service? </w:t>
      </w:r>
    </w:p>
    <w:p w:rsidR="00D140FF" w:rsidRDefault="00D140FF" w:rsidP="00D140FF">
      <w:pPr>
        <w:pStyle w:val="Default"/>
        <w:rPr>
          <w:color w:val="auto"/>
          <w:sz w:val="22"/>
          <w:szCs w:val="22"/>
        </w:rPr>
      </w:pPr>
      <w:r w:rsidRPr="00740E55">
        <w:rPr>
          <w:b/>
          <w:bCs/>
          <w:i/>
          <w:iCs/>
          <w:color w:val="auto"/>
          <w:sz w:val="22"/>
          <w:szCs w:val="22"/>
          <w:highlight w:val="yellow"/>
        </w:rPr>
        <w:t>Infotech Software Dealers Association (ISODA) v. Union of India 2010 (Mad.)</w:t>
      </w:r>
      <w:r>
        <w:rPr>
          <w:b/>
          <w:bCs/>
          <w:i/>
          <w:iCs/>
          <w:color w:val="auto"/>
          <w:sz w:val="22"/>
          <w:szCs w:val="22"/>
        </w:rPr>
        <w:t xml:space="preserve"> </w:t>
      </w:r>
    </w:p>
    <w:p w:rsidR="00D140FF" w:rsidRDefault="00D140FF" w:rsidP="00D140FF">
      <w:pPr>
        <w:pStyle w:val="Default"/>
        <w:rPr>
          <w:color w:val="auto"/>
          <w:sz w:val="22"/>
          <w:szCs w:val="22"/>
        </w:rPr>
      </w:pPr>
      <w:r>
        <w:rPr>
          <w:b/>
          <w:bCs/>
          <w:color w:val="auto"/>
          <w:sz w:val="22"/>
          <w:szCs w:val="22"/>
        </w:rPr>
        <w:t>Decision of the case:</w:t>
      </w:r>
    </w:p>
    <w:p w:rsidR="00D140FF" w:rsidRDefault="00D140FF" w:rsidP="00D140FF">
      <w:pPr>
        <w:pStyle w:val="Default"/>
        <w:rPr>
          <w:color w:val="auto"/>
          <w:sz w:val="22"/>
          <w:szCs w:val="22"/>
        </w:rPr>
      </w:pPr>
      <w:r>
        <w:rPr>
          <w:color w:val="auto"/>
          <w:sz w:val="22"/>
          <w:szCs w:val="22"/>
        </w:rPr>
        <w:t xml:space="preserve">Yes.The High Court stated that the relevant test for this purpose would be whether section 65(105)(zzzze) of the Finance Act, 1994 can be brought under Enty 97 of List I of Schedule VII of Constitution as the Parliament has the legislative competence to make laws for service tax in terms of the said entry. Entry 97 is a residuary entry and relates to taxable service. The High Court referred to the case of </w:t>
      </w:r>
      <w:r>
        <w:rPr>
          <w:i/>
          <w:iCs/>
          <w:color w:val="auto"/>
          <w:sz w:val="22"/>
          <w:szCs w:val="22"/>
        </w:rPr>
        <w:t xml:space="preserve">Tamil Nadu Kalyana Mandapam Association v. Union Of Inida 2006 (3) STR 260 (SC) </w:t>
      </w:r>
      <w:r>
        <w:rPr>
          <w:color w:val="auto"/>
          <w:sz w:val="22"/>
          <w:szCs w:val="22"/>
        </w:rPr>
        <w:t xml:space="preserve">wherein it was held by the Apex Court that the Parliament is empowered to make law for service tax under said residuary powers in the absence of entry under List II. Thus, the High Court held that amended provisions to levy service tax on IT software service are not unconstitutional by virtue of the residuary power available to the Parliament under Entry 97. </w:t>
      </w:r>
    </w:p>
    <w:p w:rsidR="00D140FF" w:rsidRDefault="00D140FF" w:rsidP="00D140FF">
      <w:pPr>
        <w:pStyle w:val="Default"/>
        <w:rPr>
          <w:color w:val="auto"/>
          <w:sz w:val="22"/>
          <w:szCs w:val="22"/>
        </w:rPr>
      </w:pPr>
      <w:r>
        <w:rPr>
          <w:b/>
          <w:bCs/>
          <w:color w:val="auto"/>
          <w:sz w:val="22"/>
          <w:szCs w:val="22"/>
        </w:rPr>
        <w:t xml:space="preserve">7. Whether service tax is chargeable on the buffer subsidy provided by the Government for storage of free sale sugar, under the category of `storage and warehousing services'? </w:t>
      </w:r>
    </w:p>
    <w:p w:rsidR="00D140FF" w:rsidRDefault="00D140FF" w:rsidP="00D140FF">
      <w:pPr>
        <w:pStyle w:val="Default"/>
        <w:rPr>
          <w:color w:val="auto"/>
          <w:sz w:val="22"/>
          <w:szCs w:val="22"/>
        </w:rPr>
      </w:pPr>
      <w:r w:rsidRPr="00740E55">
        <w:rPr>
          <w:b/>
          <w:bCs/>
          <w:i/>
          <w:iCs/>
          <w:color w:val="auto"/>
          <w:sz w:val="22"/>
          <w:szCs w:val="22"/>
          <w:highlight w:val="yellow"/>
        </w:rPr>
        <w:t>CCE v. Nahar Industrial Enterprises Ltd. 2010(P &amp; H)</w:t>
      </w:r>
      <w:r>
        <w:rPr>
          <w:b/>
          <w:bCs/>
          <w:i/>
          <w:iCs/>
          <w:color w:val="auto"/>
          <w:sz w:val="22"/>
          <w:szCs w:val="22"/>
        </w:rPr>
        <w:t xml:space="preserve"> </w:t>
      </w:r>
    </w:p>
    <w:p w:rsidR="00D140FF" w:rsidRDefault="00D140FF" w:rsidP="00D140FF">
      <w:pPr>
        <w:pStyle w:val="Default"/>
        <w:rPr>
          <w:color w:val="auto"/>
          <w:sz w:val="22"/>
          <w:szCs w:val="22"/>
        </w:rPr>
      </w:pPr>
      <w:r>
        <w:rPr>
          <w:b/>
          <w:bCs/>
          <w:color w:val="auto"/>
          <w:sz w:val="22"/>
          <w:szCs w:val="22"/>
        </w:rPr>
        <w:t>Decision of the case: No.</w:t>
      </w:r>
      <w:r>
        <w:rPr>
          <w:color w:val="auto"/>
          <w:sz w:val="22"/>
          <w:szCs w:val="22"/>
        </w:rPr>
        <w:t xml:space="preserve">The High Court noted that apparently, service tax could be levied only if service of `storage and warehousing' was provided. Nobody can provide service to himself. In the instant case, the assessee stored the goods owned by him. After the expiry of storage period, he was free to sell them to the buyers of its own choice. He had stored goods in compliance to directions of Government of India issued under the Sugar Development Fund Act, 1982. He had received subsidy not on account of services rendered to Government of India, but had received compensation on account of loss of interest, cost of insurance etc. incurred on account of maintenance of stock. Hence, the act of assessee could not be called as rendering of services. </w:t>
      </w:r>
    </w:p>
    <w:p w:rsidR="00D140FF" w:rsidRDefault="00D140FF" w:rsidP="00D140FF">
      <w:pPr>
        <w:pStyle w:val="Default"/>
        <w:rPr>
          <w:color w:val="auto"/>
          <w:sz w:val="22"/>
          <w:szCs w:val="22"/>
        </w:rPr>
      </w:pPr>
      <w:r>
        <w:rPr>
          <w:b/>
          <w:bCs/>
          <w:color w:val="auto"/>
          <w:sz w:val="22"/>
          <w:szCs w:val="22"/>
        </w:rPr>
        <w:t xml:space="preserve">8. Will the service provided by way of “advice, consultancy or technical assistance” in the case of turnkey contracts attract service tax and can these turnkey contracts be vivisected? </w:t>
      </w:r>
    </w:p>
    <w:p w:rsidR="00D140FF" w:rsidRDefault="00D140FF" w:rsidP="00D140FF">
      <w:pPr>
        <w:pStyle w:val="Default"/>
        <w:rPr>
          <w:color w:val="auto"/>
          <w:sz w:val="22"/>
          <w:szCs w:val="22"/>
        </w:rPr>
      </w:pPr>
      <w:r>
        <w:rPr>
          <w:b/>
          <w:bCs/>
          <w:i/>
          <w:iCs/>
          <w:color w:val="auto"/>
          <w:sz w:val="22"/>
          <w:szCs w:val="22"/>
        </w:rPr>
        <w:t xml:space="preserve">CCE v. BSBK Pvt. Ltd. 2010 (18) (Tri. – LB) </w:t>
      </w:r>
    </w:p>
    <w:p w:rsidR="00D140FF" w:rsidRDefault="00D140FF" w:rsidP="00D140FF">
      <w:pPr>
        <w:pStyle w:val="Default"/>
        <w:rPr>
          <w:color w:val="auto"/>
          <w:sz w:val="22"/>
          <w:szCs w:val="22"/>
        </w:rPr>
      </w:pPr>
      <w:r>
        <w:rPr>
          <w:b/>
          <w:bCs/>
          <w:color w:val="auto"/>
          <w:sz w:val="22"/>
          <w:szCs w:val="22"/>
        </w:rPr>
        <w:t>Decision of the case: Yes.</w:t>
      </w:r>
      <w:r>
        <w:rPr>
          <w:color w:val="auto"/>
          <w:sz w:val="22"/>
          <w:szCs w:val="22"/>
        </w:rPr>
        <w:t xml:space="preserve">The Larger Bench of the Tribunal noted that Article 366(29-A)(b) to the Constitution has allowed the vivisection of indivisible contracts in order to find out goods component and value thereof. Therefore, the remnant part of the contract may be attributable to the scope of service tax under the provisions of the Finance Act, 1994. </w:t>
      </w:r>
    </w:p>
    <w:p w:rsidR="00D140FF" w:rsidRDefault="00D140FF" w:rsidP="00D140FF">
      <w:pPr>
        <w:pStyle w:val="Default"/>
        <w:rPr>
          <w:color w:val="auto"/>
          <w:sz w:val="22"/>
          <w:szCs w:val="22"/>
        </w:rPr>
      </w:pPr>
      <w:r>
        <w:rPr>
          <w:color w:val="auto"/>
          <w:sz w:val="22"/>
          <w:szCs w:val="22"/>
        </w:rPr>
        <w:t xml:space="preserve">It inferred that </w:t>
      </w:r>
      <w:r>
        <w:rPr>
          <w:b/>
          <w:bCs/>
          <w:color w:val="auto"/>
          <w:sz w:val="22"/>
          <w:szCs w:val="22"/>
        </w:rPr>
        <w:t xml:space="preserve">turnkey contracts can be vivisected and discernible service elements involved therein can be segregated and classifiable as well as valued for levy of service tax under the Finance Act, 1994 provided such services are taxable services </w:t>
      </w:r>
      <w:r>
        <w:rPr>
          <w:color w:val="auto"/>
          <w:sz w:val="22"/>
          <w:szCs w:val="22"/>
        </w:rPr>
        <w:t xml:space="preserve">as defined by that Act and depending on the facts and circumstance of each case, services by way of advice, consultancy or technical assistance in the case of turnkey contract shall attract service tax liability. </w:t>
      </w:r>
    </w:p>
    <w:p w:rsidR="00D140FF" w:rsidRDefault="00D140FF" w:rsidP="00D140FF">
      <w:pPr>
        <w:pStyle w:val="Default"/>
        <w:rPr>
          <w:color w:val="auto"/>
          <w:sz w:val="22"/>
          <w:szCs w:val="22"/>
        </w:rPr>
      </w:pPr>
      <w:r>
        <w:rPr>
          <w:b/>
          <w:bCs/>
          <w:color w:val="auto"/>
          <w:sz w:val="22"/>
          <w:szCs w:val="22"/>
        </w:rPr>
        <w:t xml:space="preserve">9. In case where the respondent is authorized by the airport authority to collect entrance fee from visitors to airport, who is liable to pay service tax –respondent or Airport Authority? </w:t>
      </w:r>
    </w:p>
    <w:p w:rsidR="00D140FF" w:rsidRDefault="00D140FF" w:rsidP="00D140FF">
      <w:pPr>
        <w:pStyle w:val="Default"/>
        <w:pageBreakBefore/>
        <w:rPr>
          <w:color w:val="auto"/>
          <w:sz w:val="22"/>
          <w:szCs w:val="22"/>
        </w:rPr>
      </w:pPr>
      <w:r w:rsidRPr="004954E3">
        <w:rPr>
          <w:b/>
          <w:bCs/>
          <w:i/>
          <w:iCs/>
          <w:color w:val="auto"/>
          <w:sz w:val="22"/>
          <w:szCs w:val="22"/>
          <w:highlight w:val="yellow"/>
        </w:rPr>
        <w:lastRenderedPageBreak/>
        <w:t>CCE v. P. C. Paulose 2010 (19) STR 487 (Ker.)</w:t>
      </w:r>
      <w:r>
        <w:rPr>
          <w:b/>
          <w:bCs/>
          <w:i/>
          <w:iCs/>
          <w:color w:val="auto"/>
          <w:sz w:val="22"/>
          <w:szCs w:val="22"/>
        </w:rPr>
        <w:t xml:space="preserve"> </w:t>
      </w:r>
    </w:p>
    <w:p w:rsidR="00D140FF" w:rsidRDefault="00D140FF" w:rsidP="00D140FF">
      <w:pPr>
        <w:pStyle w:val="Default"/>
        <w:rPr>
          <w:color w:val="auto"/>
          <w:sz w:val="22"/>
          <w:szCs w:val="22"/>
        </w:rPr>
      </w:pPr>
      <w:r>
        <w:rPr>
          <w:b/>
          <w:bCs/>
          <w:color w:val="auto"/>
          <w:sz w:val="22"/>
          <w:szCs w:val="22"/>
        </w:rPr>
        <w:t>Decision of the case: Respondent.</w:t>
      </w:r>
      <w:r>
        <w:rPr>
          <w:color w:val="auto"/>
          <w:sz w:val="22"/>
          <w:szCs w:val="22"/>
        </w:rPr>
        <w:t xml:space="preserve"> The High Court elucidated that </w:t>
      </w:r>
      <w:r>
        <w:rPr>
          <w:b/>
          <w:bCs/>
          <w:color w:val="auto"/>
          <w:sz w:val="22"/>
          <w:szCs w:val="22"/>
        </w:rPr>
        <w:t xml:space="preserve">even though respondent was not providing the service in the Airport which was done by the Airport Authority, once the license was given by the Airport Authority to the respondent to permit entry and allow enjoyment of the services provided there to the customers, respondent in fact became the service provider, </w:t>
      </w:r>
      <w:r>
        <w:rPr>
          <w:color w:val="auto"/>
          <w:sz w:val="22"/>
          <w:szCs w:val="22"/>
        </w:rPr>
        <w:t xml:space="preserve">though he was only acting as an agent under the licence agreement with the Airport Authority. </w:t>
      </w:r>
    </w:p>
    <w:p w:rsidR="00D140FF" w:rsidRDefault="00D140FF" w:rsidP="00D140FF">
      <w:pPr>
        <w:pStyle w:val="Default"/>
        <w:rPr>
          <w:rFonts w:cstheme="minorBidi"/>
          <w:color w:val="auto"/>
          <w:sz w:val="22"/>
          <w:szCs w:val="22"/>
        </w:rPr>
      </w:pPr>
    </w:p>
    <w:p w:rsidR="00D140FF" w:rsidRDefault="00D140FF" w:rsidP="00D140FF">
      <w:pPr>
        <w:pStyle w:val="Default"/>
        <w:pageBreakBefore/>
        <w:rPr>
          <w:rFonts w:cstheme="minorBidi"/>
          <w:color w:val="auto"/>
          <w:sz w:val="96"/>
          <w:szCs w:val="96"/>
        </w:rPr>
      </w:pPr>
      <w:r>
        <w:rPr>
          <w:rFonts w:cstheme="minorBidi"/>
          <w:b/>
          <w:bCs/>
          <w:color w:val="auto"/>
          <w:sz w:val="96"/>
          <w:szCs w:val="96"/>
        </w:rPr>
        <w:lastRenderedPageBreak/>
        <w:t xml:space="preserve">3 </w:t>
      </w:r>
    </w:p>
    <w:p w:rsidR="00D140FF" w:rsidRDefault="00D140FF" w:rsidP="00D140FF">
      <w:pPr>
        <w:pStyle w:val="Default"/>
        <w:rPr>
          <w:rFonts w:cstheme="minorBidi"/>
          <w:color w:val="auto"/>
          <w:sz w:val="38"/>
          <w:szCs w:val="38"/>
        </w:rPr>
      </w:pPr>
      <w:r>
        <w:rPr>
          <w:rFonts w:cstheme="minorBidi"/>
          <w:b/>
          <w:bCs/>
          <w:color w:val="auto"/>
          <w:sz w:val="48"/>
          <w:szCs w:val="48"/>
        </w:rPr>
        <w:t>S</w:t>
      </w:r>
      <w:r>
        <w:rPr>
          <w:rFonts w:cstheme="minorBidi"/>
          <w:b/>
          <w:bCs/>
          <w:color w:val="auto"/>
          <w:sz w:val="38"/>
          <w:szCs w:val="38"/>
        </w:rPr>
        <w:t xml:space="preserve">ERVICE </w:t>
      </w:r>
      <w:r>
        <w:rPr>
          <w:rFonts w:cstheme="minorBidi"/>
          <w:b/>
          <w:bCs/>
          <w:color w:val="auto"/>
          <w:sz w:val="48"/>
          <w:szCs w:val="48"/>
        </w:rPr>
        <w:t>T</w:t>
      </w:r>
      <w:r>
        <w:rPr>
          <w:rFonts w:cstheme="minorBidi"/>
          <w:b/>
          <w:bCs/>
          <w:color w:val="auto"/>
          <w:sz w:val="38"/>
          <w:szCs w:val="38"/>
        </w:rPr>
        <w:t xml:space="preserve">AX </w:t>
      </w:r>
      <w:r>
        <w:rPr>
          <w:rFonts w:cstheme="minorBidi"/>
          <w:b/>
          <w:bCs/>
          <w:color w:val="auto"/>
          <w:sz w:val="48"/>
          <w:szCs w:val="48"/>
        </w:rPr>
        <w:t>P</w:t>
      </w:r>
      <w:r>
        <w:rPr>
          <w:rFonts w:cstheme="minorBidi"/>
          <w:b/>
          <w:bCs/>
          <w:color w:val="auto"/>
          <w:sz w:val="38"/>
          <w:szCs w:val="38"/>
        </w:rPr>
        <w:t xml:space="preserve">ROCEDURES </w:t>
      </w:r>
    </w:p>
    <w:p w:rsidR="00D140FF" w:rsidRDefault="00D140FF" w:rsidP="00D140FF">
      <w:pPr>
        <w:pStyle w:val="Default"/>
        <w:rPr>
          <w:rFonts w:cstheme="minorBidi"/>
          <w:color w:val="auto"/>
          <w:sz w:val="22"/>
          <w:szCs w:val="22"/>
        </w:rPr>
      </w:pPr>
      <w:r>
        <w:rPr>
          <w:rFonts w:cstheme="minorBidi"/>
          <w:b/>
          <w:bCs/>
          <w:color w:val="auto"/>
          <w:sz w:val="22"/>
          <w:szCs w:val="22"/>
        </w:rPr>
        <w:t xml:space="preserve">1. Can appeal be filed to High Court for deciding the question relating to the taxability of service tax? </w:t>
      </w:r>
    </w:p>
    <w:p w:rsidR="00D140FF" w:rsidRDefault="00D140FF" w:rsidP="00D140FF">
      <w:pPr>
        <w:pStyle w:val="Default"/>
        <w:rPr>
          <w:color w:val="auto"/>
          <w:sz w:val="22"/>
          <w:szCs w:val="22"/>
        </w:rPr>
      </w:pPr>
      <w:r w:rsidRPr="00C8477E">
        <w:rPr>
          <w:b/>
          <w:bCs/>
          <w:i/>
          <w:iCs/>
          <w:color w:val="auto"/>
          <w:sz w:val="22"/>
          <w:szCs w:val="22"/>
          <w:highlight w:val="yellow"/>
        </w:rPr>
        <w:t>CCEx. &amp; ST v. Volv</w:t>
      </w:r>
      <w:r>
        <w:rPr>
          <w:b/>
          <w:bCs/>
          <w:i/>
          <w:iCs/>
          <w:color w:val="auto"/>
          <w:sz w:val="22"/>
          <w:szCs w:val="22"/>
          <w:highlight w:val="yellow"/>
        </w:rPr>
        <w:t xml:space="preserve">o India Ltd. 2011 </w:t>
      </w:r>
      <w:r w:rsidRPr="00C8477E">
        <w:rPr>
          <w:b/>
          <w:bCs/>
          <w:i/>
          <w:iCs/>
          <w:color w:val="auto"/>
          <w:sz w:val="22"/>
          <w:szCs w:val="22"/>
          <w:highlight w:val="yellow"/>
        </w:rPr>
        <w:t xml:space="preserve"> (Kar.)</w:t>
      </w:r>
      <w:r>
        <w:rPr>
          <w:b/>
          <w:bCs/>
          <w:i/>
          <w:iCs/>
          <w:color w:val="auto"/>
          <w:sz w:val="22"/>
          <w:szCs w:val="22"/>
        </w:rPr>
        <w:t xml:space="preserve"> </w:t>
      </w:r>
    </w:p>
    <w:p w:rsidR="00D140FF" w:rsidRDefault="00D140FF" w:rsidP="00D140FF">
      <w:pPr>
        <w:pStyle w:val="Default"/>
        <w:rPr>
          <w:color w:val="auto"/>
          <w:sz w:val="22"/>
          <w:szCs w:val="22"/>
        </w:rPr>
      </w:pPr>
      <w:r>
        <w:rPr>
          <w:b/>
          <w:bCs/>
          <w:color w:val="auto"/>
          <w:sz w:val="22"/>
          <w:szCs w:val="22"/>
        </w:rPr>
        <w:t>Decision of the case : No.</w:t>
      </w:r>
      <w:r>
        <w:rPr>
          <w:color w:val="auto"/>
          <w:sz w:val="22"/>
          <w:szCs w:val="22"/>
        </w:rPr>
        <w:t xml:space="preserve">The High Court held that the question as to whether the assessee is liable to pay service tax falls squarely within the exception carved cut in section 35G of the Central Excise Act, 1944, </w:t>
      </w:r>
      <w:r>
        <w:rPr>
          <w:i/>
          <w:iCs/>
          <w:color w:val="auto"/>
          <w:sz w:val="22"/>
          <w:szCs w:val="22"/>
        </w:rPr>
        <w:t>‘an order relating, among other things, to the determination of any question having a relation to the rate of duty of excise or to the value of goods for purposes of assessment’</w:t>
      </w:r>
      <w:r>
        <w:rPr>
          <w:color w:val="auto"/>
          <w:sz w:val="22"/>
          <w:szCs w:val="22"/>
        </w:rPr>
        <w:t xml:space="preserve">, and the High Court has no jurisdiction to adjudicate the said issue. The appeal lies to the Apex Court under section 35L of the Central Excise Act, 1944, which alone has exclusive jurisdiction to decide the said question. </w:t>
      </w:r>
    </w:p>
    <w:p w:rsidR="00D140FF" w:rsidRDefault="00D140FF" w:rsidP="00D140FF">
      <w:pPr>
        <w:pStyle w:val="Default"/>
        <w:rPr>
          <w:b/>
          <w:bCs/>
          <w:color w:val="auto"/>
          <w:sz w:val="22"/>
          <w:szCs w:val="22"/>
        </w:rPr>
      </w:pPr>
    </w:p>
    <w:p w:rsidR="00D140FF" w:rsidRDefault="00D140FF" w:rsidP="00D140FF">
      <w:pPr>
        <w:pStyle w:val="Default"/>
        <w:rPr>
          <w:color w:val="auto"/>
          <w:sz w:val="22"/>
          <w:szCs w:val="22"/>
        </w:rPr>
      </w:pPr>
      <w:r>
        <w:rPr>
          <w:b/>
          <w:bCs/>
          <w:color w:val="auto"/>
          <w:sz w:val="22"/>
          <w:szCs w:val="22"/>
        </w:rPr>
        <w:t xml:space="preserve">2. Can the option for composition scheme under works contract service be exercised after payment of service tax on a particular works contract? </w:t>
      </w:r>
    </w:p>
    <w:p w:rsidR="00D140FF" w:rsidRDefault="00D140FF" w:rsidP="00D140FF">
      <w:pPr>
        <w:pStyle w:val="Default"/>
        <w:rPr>
          <w:color w:val="auto"/>
          <w:sz w:val="22"/>
          <w:szCs w:val="22"/>
        </w:rPr>
      </w:pPr>
      <w:r w:rsidRPr="00C8477E">
        <w:rPr>
          <w:b/>
          <w:bCs/>
          <w:i/>
          <w:iCs/>
          <w:color w:val="auto"/>
          <w:sz w:val="22"/>
          <w:szCs w:val="22"/>
          <w:highlight w:val="yellow"/>
        </w:rPr>
        <w:t>Nagarjuna Construction Company Ltd v. GOI 2010 (19) STR 321 (A.P.)</w:t>
      </w:r>
      <w:r>
        <w:rPr>
          <w:b/>
          <w:bCs/>
          <w:i/>
          <w:iCs/>
          <w:color w:val="auto"/>
          <w:sz w:val="22"/>
          <w:szCs w:val="22"/>
        </w:rPr>
        <w:t xml:space="preserve"> </w:t>
      </w:r>
    </w:p>
    <w:p w:rsidR="00D140FF" w:rsidRDefault="00D140FF" w:rsidP="00D140FF">
      <w:pPr>
        <w:pStyle w:val="Default"/>
        <w:rPr>
          <w:color w:val="auto"/>
          <w:sz w:val="22"/>
          <w:szCs w:val="22"/>
        </w:rPr>
      </w:pPr>
      <w:r>
        <w:rPr>
          <w:b/>
          <w:bCs/>
          <w:color w:val="auto"/>
          <w:sz w:val="22"/>
          <w:szCs w:val="22"/>
        </w:rPr>
        <w:t>Decision of the case: No.</w:t>
      </w:r>
      <w:r>
        <w:rPr>
          <w:color w:val="auto"/>
          <w:sz w:val="22"/>
          <w:szCs w:val="22"/>
        </w:rPr>
        <w:t>The High Court held that on a true and fair construction of rule 3(3) of the Works Contract (Composition Scheme for Payment of Service Tax) Rules, 2007, unambiguously</w:t>
      </w:r>
      <w:r w:rsidRPr="00006501">
        <w:rPr>
          <w:color w:val="auto"/>
          <w:sz w:val="22"/>
          <w:szCs w:val="22"/>
          <w:u w:val="single"/>
        </w:rPr>
        <w:t>, it was clear that where in respect of a works contract service tax had been paid, no option to pay service tax under the composition scheme could be exercised.</w:t>
      </w:r>
      <w:r>
        <w:rPr>
          <w:color w:val="auto"/>
          <w:sz w:val="22"/>
          <w:szCs w:val="22"/>
        </w:rPr>
        <w:t xml:space="preserve"> In other words, </w:t>
      </w:r>
      <w:r>
        <w:rPr>
          <w:b/>
          <w:bCs/>
          <w:color w:val="auto"/>
          <w:sz w:val="22"/>
          <w:szCs w:val="22"/>
        </w:rPr>
        <w:t>where service tax has been paid in respect of a works contract, the eligibility to exercise an option to avail the benefits of the composition scheme is excluded</w:t>
      </w:r>
      <w:r>
        <w:rPr>
          <w:color w:val="auto"/>
          <w:sz w:val="22"/>
          <w:szCs w:val="22"/>
        </w:rPr>
        <w:t xml:space="preserve">. </w:t>
      </w:r>
    </w:p>
    <w:p w:rsidR="00D140FF" w:rsidRDefault="00D140FF" w:rsidP="00D140FF">
      <w:pPr>
        <w:pStyle w:val="Default"/>
        <w:rPr>
          <w:color w:val="auto"/>
          <w:sz w:val="22"/>
          <w:szCs w:val="22"/>
        </w:rPr>
      </w:pPr>
    </w:p>
    <w:p w:rsidR="00893087" w:rsidRDefault="00893087" w:rsidP="00F0321F"/>
    <w:sectPr w:rsidR="00893087" w:rsidSect="00BC4926">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1E8E" w:rsidRDefault="00001E8E" w:rsidP="004A5B83">
      <w:pPr>
        <w:spacing w:after="0" w:line="240" w:lineRule="auto"/>
      </w:pPr>
      <w:r>
        <w:separator/>
      </w:r>
    </w:p>
  </w:endnote>
  <w:endnote w:type="continuationSeparator" w:id="1">
    <w:p w:rsidR="00001E8E" w:rsidRDefault="00001E8E" w:rsidP="004A5B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FD5" w:rsidRDefault="00CF3FD5">
    <w:pPr>
      <w:pStyle w:val="Footer"/>
      <w:pBdr>
        <w:top w:val="thinThickSmallGap" w:sz="24" w:space="1" w:color="622423" w:themeColor="accent2" w:themeShade="7F"/>
      </w:pBdr>
      <w:rPr>
        <w:rFonts w:asciiTheme="majorHAnsi" w:hAnsiTheme="majorHAnsi"/>
      </w:rPr>
    </w:pPr>
    <w:r>
      <w:rPr>
        <w:rFonts w:asciiTheme="majorHAnsi" w:hAnsiTheme="majorHAnsi"/>
      </w:rPr>
      <w:t xml:space="preserve">                                                                         With Best Wishes </w:t>
    </w:r>
    <w:r>
      <w:rPr>
        <w:rFonts w:asciiTheme="majorHAnsi" w:hAnsiTheme="majorHAnsi"/>
      </w:rPr>
      <w:ptab w:relativeTo="margin" w:alignment="right" w:leader="none"/>
    </w:r>
    <w:r>
      <w:rPr>
        <w:rFonts w:asciiTheme="majorHAnsi" w:hAnsiTheme="majorHAnsi"/>
      </w:rPr>
      <w:t xml:space="preserve">Page </w:t>
    </w:r>
    <w:fldSimple w:instr=" PAGE   \* MERGEFORMAT ">
      <w:r w:rsidR="00204FF3" w:rsidRPr="00204FF3">
        <w:rPr>
          <w:rFonts w:asciiTheme="majorHAnsi" w:hAnsiTheme="majorHAnsi"/>
          <w:noProof/>
        </w:rPr>
        <w:t>1</w:t>
      </w:r>
    </w:fldSimple>
  </w:p>
  <w:p w:rsidR="00CF3FD5" w:rsidRDefault="00CF3F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1E8E" w:rsidRDefault="00001E8E" w:rsidP="004A5B83">
      <w:pPr>
        <w:spacing w:after="0" w:line="240" w:lineRule="auto"/>
      </w:pPr>
      <w:r>
        <w:separator/>
      </w:r>
    </w:p>
  </w:footnote>
  <w:footnote w:type="continuationSeparator" w:id="1">
    <w:p w:rsidR="00001E8E" w:rsidRDefault="00001E8E" w:rsidP="004A5B8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28"/>
        <w:szCs w:val="28"/>
      </w:rPr>
      <w:alias w:val="Title"/>
      <w:id w:val="77738743"/>
      <w:placeholder>
        <w:docPart w:val="9E43E1123A3A43C4B169873A15DB8747"/>
      </w:placeholder>
      <w:dataBinding w:prefixMappings="xmlns:ns0='http://schemas.openxmlformats.org/package/2006/metadata/core-properties' xmlns:ns1='http://purl.org/dc/elements/1.1/'" w:xpath="/ns0:coreProperties[1]/ns1:title[1]" w:storeItemID="{6C3C8BC8-F283-45AE-878A-BAB7291924A1}"/>
      <w:text/>
    </w:sdtPr>
    <w:sdtContent>
      <w:p w:rsidR="00CF3FD5" w:rsidRDefault="00755685" w:rsidP="00204FF3">
        <w:pPr>
          <w:pStyle w:val="Header"/>
          <w:pBdr>
            <w:bottom w:val="thickThinSmallGap" w:sz="24" w:space="1" w:color="622423" w:themeColor="accent2" w:themeShade="7F"/>
          </w:pBdr>
        </w:pPr>
        <w:r>
          <w:rPr>
            <w:rFonts w:asciiTheme="majorHAnsi" w:eastAsiaTheme="majorEastAsia" w:hAnsiTheme="majorHAnsi" w:cstheme="majorBidi"/>
            <w:sz w:val="28"/>
            <w:szCs w:val="28"/>
          </w:rPr>
          <w:t xml:space="preserve">Summary of Imp Case Laws </w:t>
        </w:r>
        <w:r w:rsidR="00204FF3">
          <w:rPr>
            <w:rFonts w:asciiTheme="majorHAnsi" w:eastAsiaTheme="majorEastAsia" w:hAnsiTheme="majorHAnsi" w:cstheme="majorBidi"/>
            <w:sz w:val="28"/>
            <w:szCs w:val="28"/>
          </w:rPr>
          <w:t xml:space="preserve"> of IDT </w:t>
        </w:r>
        <w:r>
          <w:rPr>
            <w:rFonts w:asciiTheme="majorHAnsi" w:eastAsiaTheme="majorEastAsia" w:hAnsiTheme="majorHAnsi" w:cstheme="majorBidi"/>
            <w:sz w:val="28"/>
            <w:szCs w:val="28"/>
          </w:rPr>
          <w:t>for</w:t>
        </w:r>
        <w:r w:rsidR="00204FF3">
          <w:rPr>
            <w:rFonts w:asciiTheme="majorHAnsi" w:eastAsiaTheme="majorEastAsia" w:hAnsiTheme="majorHAnsi" w:cstheme="majorBidi"/>
            <w:sz w:val="28"/>
            <w:szCs w:val="28"/>
          </w:rPr>
          <w:t xml:space="preserve"> CA Final ,</w:t>
        </w:r>
        <w:r>
          <w:rPr>
            <w:rFonts w:asciiTheme="majorHAnsi" w:eastAsiaTheme="majorEastAsia" w:hAnsiTheme="majorHAnsi" w:cstheme="majorBidi"/>
            <w:sz w:val="28"/>
            <w:szCs w:val="28"/>
          </w:rPr>
          <w:t xml:space="preserve"> Nov 2012 exams issued by ICAI</w:t>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useFELayout/>
  </w:compat>
  <w:rsids>
    <w:rsidRoot w:val="00F0321F"/>
    <w:rsid w:val="00001E8E"/>
    <w:rsid w:val="00034847"/>
    <w:rsid w:val="00092A19"/>
    <w:rsid w:val="000A2751"/>
    <w:rsid w:val="000B5126"/>
    <w:rsid w:val="001247E7"/>
    <w:rsid w:val="00156A14"/>
    <w:rsid w:val="00160B6F"/>
    <w:rsid w:val="001A34FA"/>
    <w:rsid w:val="00204FF3"/>
    <w:rsid w:val="0022114A"/>
    <w:rsid w:val="00227FEA"/>
    <w:rsid w:val="00237CD8"/>
    <w:rsid w:val="002E295E"/>
    <w:rsid w:val="00316425"/>
    <w:rsid w:val="00320559"/>
    <w:rsid w:val="003418AE"/>
    <w:rsid w:val="00374125"/>
    <w:rsid w:val="00383BDD"/>
    <w:rsid w:val="00402D4E"/>
    <w:rsid w:val="00436921"/>
    <w:rsid w:val="004426F4"/>
    <w:rsid w:val="00451C7F"/>
    <w:rsid w:val="004559A7"/>
    <w:rsid w:val="00460091"/>
    <w:rsid w:val="004A5B83"/>
    <w:rsid w:val="004C2291"/>
    <w:rsid w:val="004E39D9"/>
    <w:rsid w:val="005527EC"/>
    <w:rsid w:val="00555361"/>
    <w:rsid w:val="005D4343"/>
    <w:rsid w:val="00703616"/>
    <w:rsid w:val="00706B25"/>
    <w:rsid w:val="00755685"/>
    <w:rsid w:val="00780EFD"/>
    <w:rsid w:val="00784C96"/>
    <w:rsid w:val="0082056D"/>
    <w:rsid w:val="00826364"/>
    <w:rsid w:val="00837ADF"/>
    <w:rsid w:val="00852545"/>
    <w:rsid w:val="008607D6"/>
    <w:rsid w:val="00893087"/>
    <w:rsid w:val="00893140"/>
    <w:rsid w:val="00893838"/>
    <w:rsid w:val="00907655"/>
    <w:rsid w:val="00962283"/>
    <w:rsid w:val="00996534"/>
    <w:rsid w:val="009A3CDB"/>
    <w:rsid w:val="009D4F7C"/>
    <w:rsid w:val="00A13A4C"/>
    <w:rsid w:val="00A26C56"/>
    <w:rsid w:val="00A73067"/>
    <w:rsid w:val="00B23F80"/>
    <w:rsid w:val="00B75791"/>
    <w:rsid w:val="00BC4926"/>
    <w:rsid w:val="00BC78EF"/>
    <w:rsid w:val="00BC7C1F"/>
    <w:rsid w:val="00BE4D51"/>
    <w:rsid w:val="00C65BD9"/>
    <w:rsid w:val="00CB115E"/>
    <w:rsid w:val="00CF3FD5"/>
    <w:rsid w:val="00D1307C"/>
    <w:rsid w:val="00D140FF"/>
    <w:rsid w:val="00D142CE"/>
    <w:rsid w:val="00D4596B"/>
    <w:rsid w:val="00DB5E73"/>
    <w:rsid w:val="00DC35A3"/>
    <w:rsid w:val="00DE4D73"/>
    <w:rsid w:val="00DF54B6"/>
    <w:rsid w:val="00E50C5E"/>
    <w:rsid w:val="00E7362A"/>
    <w:rsid w:val="00EF14D2"/>
    <w:rsid w:val="00F0321F"/>
    <w:rsid w:val="00F11C32"/>
    <w:rsid w:val="00FB31AB"/>
    <w:rsid w:val="00FD2E59"/>
    <w:rsid w:val="00FD55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492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0321F"/>
    <w:pPr>
      <w:autoSpaceDE w:val="0"/>
      <w:autoSpaceDN w:val="0"/>
      <w:adjustRightInd w:val="0"/>
      <w:spacing w:after="0" w:line="240" w:lineRule="auto"/>
    </w:pPr>
    <w:rPr>
      <w:rFonts w:ascii="Arial Narrow" w:hAnsi="Arial Narrow" w:cs="Arial Narrow"/>
      <w:color w:val="000000"/>
      <w:sz w:val="24"/>
      <w:szCs w:val="24"/>
    </w:rPr>
  </w:style>
  <w:style w:type="paragraph" w:styleId="Header">
    <w:name w:val="header"/>
    <w:basedOn w:val="Normal"/>
    <w:link w:val="HeaderChar"/>
    <w:uiPriority w:val="99"/>
    <w:unhideWhenUsed/>
    <w:rsid w:val="004A5B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5B83"/>
  </w:style>
  <w:style w:type="paragraph" w:styleId="Footer">
    <w:name w:val="footer"/>
    <w:basedOn w:val="Normal"/>
    <w:link w:val="FooterChar"/>
    <w:uiPriority w:val="99"/>
    <w:unhideWhenUsed/>
    <w:rsid w:val="004A5B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5B83"/>
  </w:style>
  <w:style w:type="paragraph" w:styleId="BalloonText">
    <w:name w:val="Balloon Text"/>
    <w:basedOn w:val="Normal"/>
    <w:link w:val="BalloonTextChar"/>
    <w:uiPriority w:val="99"/>
    <w:semiHidden/>
    <w:unhideWhenUsed/>
    <w:rsid w:val="00CF3F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3FD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7792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E43E1123A3A43C4B169873A15DB8747"/>
        <w:category>
          <w:name w:val="General"/>
          <w:gallery w:val="placeholder"/>
        </w:category>
        <w:types>
          <w:type w:val="bbPlcHdr"/>
        </w:types>
        <w:behaviors>
          <w:behavior w:val="content"/>
        </w:behaviors>
        <w:guid w:val="{4BD1177A-3D25-4163-A0EE-DAE2C28EE517}"/>
      </w:docPartPr>
      <w:docPartBody>
        <w:p w:rsidR="00494CE4" w:rsidRDefault="00847204" w:rsidP="00847204">
          <w:pPr>
            <w:pStyle w:val="9E43E1123A3A43C4B169873A15DB8747"/>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847204"/>
    <w:rsid w:val="00494CE4"/>
    <w:rsid w:val="006F1315"/>
    <w:rsid w:val="00847204"/>
    <w:rsid w:val="00D3138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4CE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E43E1123A3A43C4B169873A15DB8747">
    <w:name w:val="9E43E1123A3A43C4B169873A15DB8747"/>
    <w:rsid w:val="00847204"/>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1043</TotalTime>
  <Pages>1</Pages>
  <Words>6867</Words>
  <Characters>39143</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Imp Case Laws  of IDT for CA Final , Nov 2012 exams issued by ICAI</dc:title>
  <dc:subject/>
  <dc:creator>nema</dc:creator>
  <cp:keywords/>
  <dc:description/>
  <cp:lastModifiedBy>my pc</cp:lastModifiedBy>
  <cp:revision>18</cp:revision>
  <dcterms:created xsi:type="dcterms:W3CDTF">2012-10-09T18:41:00Z</dcterms:created>
  <dcterms:modified xsi:type="dcterms:W3CDTF">2012-10-24T13:20:00Z</dcterms:modified>
</cp:coreProperties>
</file>