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713" w:rsidRDefault="00335713" w:rsidP="00335713">
      <w:pPr>
        <w:pStyle w:val="Default"/>
      </w:pPr>
    </w:p>
    <w:p w:rsidR="00335713" w:rsidRDefault="00335713" w:rsidP="00335713">
      <w:pPr>
        <w:pStyle w:val="Default"/>
        <w:rPr>
          <w:sz w:val="98"/>
          <w:szCs w:val="98"/>
        </w:rPr>
      </w:pPr>
      <w:r>
        <w:t xml:space="preserve"> </w:t>
      </w:r>
      <w:r>
        <w:rPr>
          <w:b/>
          <w:bCs/>
          <w:sz w:val="98"/>
          <w:szCs w:val="98"/>
        </w:rPr>
        <w:t xml:space="preserve">INCOME TAX </w:t>
      </w:r>
    </w:p>
    <w:p w:rsidR="00335713" w:rsidRDefault="00682190" w:rsidP="00335713">
      <w:pPr>
        <w:pStyle w:val="Default"/>
        <w:rPr>
          <w:rFonts w:cstheme="minorBidi"/>
          <w:color w:val="auto"/>
          <w:sz w:val="38"/>
          <w:szCs w:val="38"/>
        </w:rPr>
      </w:pPr>
      <w:r>
        <w:rPr>
          <w:rFonts w:cstheme="minorBidi"/>
          <w:b/>
          <w:bCs/>
          <w:color w:val="auto"/>
          <w:sz w:val="38"/>
          <w:szCs w:val="38"/>
        </w:rPr>
        <w:t>B</w:t>
      </w:r>
      <w:r w:rsidR="00335713">
        <w:rPr>
          <w:rFonts w:cstheme="minorBidi"/>
          <w:b/>
          <w:bCs/>
          <w:color w:val="auto"/>
          <w:sz w:val="38"/>
          <w:szCs w:val="38"/>
        </w:rPr>
        <w:t xml:space="preserve">ASIC </w:t>
      </w:r>
      <w:r w:rsidR="00335713">
        <w:rPr>
          <w:rFonts w:cstheme="minorBidi"/>
          <w:b/>
          <w:bCs/>
          <w:color w:val="auto"/>
          <w:sz w:val="48"/>
          <w:szCs w:val="48"/>
        </w:rPr>
        <w:t>C</w:t>
      </w:r>
      <w:r w:rsidR="00335713">
        <w:rPr>
          <w:rFonts w:cstheme="minorBidi"/>
          <w:b/>
          <w:bCs/>
          <w:color w:val="auto"/>
          <w:sz w:val="38"/>
          <w:szCs w:val="38"/>
        </w:rPr>
        <w:t xml:space="preserve">ONCEPTS </w:t>
      </w:r>
    </w:p>
    <w:p w:rsidR="00335713" w:rsidRDefault="00335713" w:rsidP="00335713">
      <w:pPr>
        <w:pStyle w:val="Default"/>
        <w:rPr>
          <w:rFonts w:cstheme="minorBidi"/>
          <w:color w:val="auto"/>
          <w:sz w:val="22"/>
          <w:szCs w:val="22"/>
        </w:rPr>
      </w:pPr>
      <w:r>
        <w:rPr>
          <w:rFonts w:cstheme="minorBidi"/>
          <w:b/>
          <w:bCs/>
          <w:color w:val="auto"/>
          <w:sz w:val="22"/>
          <w:szCs w:val="22"/>
        </w:rPr>
        <w:t xml:space="preserve">1. What is the nature of expenditure incurred on demolition and re-erection of a cell room and expenditure incurred on purchase of pumping set, mono block pump and two transformers, which were parts of a bigger plant – revenue or capital? </w:t>
      </w:r>
    </w:p>
    <w:p w:rsidR="00335713" w:rsidRDefault="00335713" w:rsidP="00335713">
      <w:pPr>
        <w:pStyle w:val="Default"/>
        <w:rPr>
          <w:color w:val="auto"/>
          <w:sz w:val="22"/>
          <w:szCs w:val="22"/>
        </w:rPr>
      </w:pPr>
      <w:r>
        <w:rPr>
          <w:b/>
          <w:bCs/>
          <w:i/>
          <w:iCs/>
          <w:color w:val="auto"/>
          <w:sz w:val="22"/>
          <w:szCs w:val="22"/>
        </w:rPr>
        <w:t xml:space="preserve">CIT v. Modi Industries Ltd. (2011) 339 ITR 467 (Del.) </w:t>
      </w:r>
    </w:p>
    <w:p w:rsidR="00335713" w:rsidRDefault="001D3466" w:rsidP="00DE6B90">
      <w:pPr>
        <w:pStyle w:val="Default"/>
        <w:rPr>
          <w:color w:val="auto"/>
          <w:sz w:val="22"/>
          <w:szCs w:val="22"/>
        </w:rPr>
      </w:pPr>
      <w:r>
        <w:rPr>
          <w:color w:val="auto"/>
          <w:sz w:val="22"/>
          <w:szCs w:val="22"/>
        </w:rPr>
        <w:t>Exp on purchase of pumping set, mono block pump with HP motors and two transformers :</w:t>
      </w:r>
      <w:r w:rsidR="00DE6B90">
        <w:rPr>
          <w:color w:val="auto"/>
          <w:sz w:val="22"/>
          <w:szCs w:val="22"/>
        </w:rPr>
        <w:t>Revenue.</w:t>
      </w:r>
      <w:r w:rsidR="00335713">
        <w:rPr>
          <w:color w:val="auto"/>
          <w:sz w:val="22"/>
          <w:szCs w:val="22"/>
        </w:rPr>
        <w:t xml:space="preserve"> </w:t>
      </w:r>
      <w:r w:rsidR="00DE6B90">
        <w:rPr>
          <w:color w:val="auto"/>
          <w:sz w:val="22"/>
          <w:szCs w:val="22"/>
        </w:rPr>
        <w:t>I</w:t>
      </w:r>
      <w:r w:rsidR="00335713">
        <w:rPr>
          <w:color w:val="auto"/>
          <w:sz w:val="22"/>
          <w:szCs w:val="22"/>
        </w:rPr>
        <w:t>f a part of a structure becomes dilapidated and repairs/reinforcement of some parts of the structure is required, it would be treate</w:t>
      </w:r>
      <w:r w:rsidR="00DE6B90">
        <w:rPr>
          <w:color w:val="auto"/>
          <w:sz w:val="22"/>
          <w:szCs w:val="22"/>
        </w:rPr>
        <w:t>d as "current repairs". O</w:t>
      </w:r>
      <w:r w:rsidR="00335713">
        <w:rPr>
          <w:color w:val="auto"/>
          <w:sz w:val="22"/>
          <w:szCs w:val="22"/>
        </w:rPr>
        <w:t xml:space="preserve">n the other hand, if a part of the building is demolished and a new structure is erected on that place, it has to be treated as capital expenditure, as in that case a totally new asset is created even if it may be a part of the building. </w:t>
      </w:r>
    </w:p>
    <w:p w:rsidR="00335713" w:rsidRDefault="00335713" w:rsidP="00335713">
      <w:pPr>
        <w:pStyle w:val="Default"/>
        <w:rPr>
          <w:color w:val="auto"/>
          <w:sz w:val="22"/>
          <w:szCs w:val="22"/>
        </w:rPr>
      </w:pPr>
      <w:r>
        <w:rPr>
          <w:color w:val="auto"/>
          <w:sz w:val="22"/>
          <w:szCs w:val="22"/>
        </w:rPr>
        <w:t xml:space="preserve">However, so far as purchase of pumping set, mono block pump with HP motors and two transformers were concerned, they were not stand alone equipment, but were part of the bigger plant. Therefore, it would be treated as replacement of those parts and the expenditure would be eligible for deduction under section 37(1). </w:t>
      </w:r>
    </w:p>
    <w:p w:rsidR="00335713" w:rsidRDefault="001D3466" w:rsidP="001D3466">
      <w:pPr>
        <w:pStyle w:val="Default"/>
        <w:rPr>
          <w:color w:val="auto"/>
          <w:sz w:val="22"/>
          <w:szCs w:val="22"/>
        </w:rPr>
      </w:pPr>
      <w:r>
        <w:rPr>
          <w:rFonts w:cstheme="minorBidi"/>
          <w:b/>
          <w:bCs/>
          <w:color w:val="auto"/>
          <w:sz w:val="22"/>
          <w:szCs w:val="22"/>
        </w:rPr>
        <w:t xml:space="preserve">Expenditure incurred on demolition and re-erection of a cell room: Capital. </w:t>
      </w:r>
      <w:r w:rsidR="00335713">
        <w:rPr>
          <w:i/>
          <w:iCs/>
          <w:color w:val="auto"/>
          <w:sz w:val="22"/>
          <w:szCs w:val="22"/>
        </w:rPr>
        <w:t xml:space="preserve">The Explanation in section 31 inserted by the Finance Act, 2003 w.e.f. 01.04.2004 clarifies that the amount paid on account of current repairs shall not include any expenditure in the nature of capital expenditure. Therefore, as per this clarification also,expenditure on demolition and re-erection of a cell room cannot be treated as current repairs. </w:t>
      </w:r>
    </w:p>
    <w:p w:rsidR="00335713" w:rsidRDefault="00335713" w:rsidP="00335713">
      <w:pPr>
        <w:pStyle w:val="Default"/>
        <w:rPr>
          <w:color w:val="auto"/>
          <w:sz w:val="22"/>
          <w:szCs w:val="22"/>
        </w:rPr>
      </w:pPr>
      <w:r>
        <w:rPr>
          <w:b/>
          <w:bCs/>
          <w:color w:val="auto"/>
          <w:sz w:val="22"/>
          <w:szCs w:val="22"/>
        </w:rPr>
        <w:t xml:space="preserve">2. In case the share capital is raised in a foreign country and repatriated to India on need basis from time to time for approved uses, can the gain arising on the balance sheet date due to fluctuation in foreign exchange, in respect of that part of share capital which is to be used as working capital, be treated as a revenue receipt? </w:t>
      </w:r>
    </w:p>
    <w:p w:rsidR="00335713" w:rsidRDefault="00335713" w:rsidP="00335713">
      <w:pPr>
        <w:pStyle w:val="Default"/>
        <w:rPr>
          <w:color w:val="auto"/>
          <w:sz w:val="22"/>
          <w:szCs w:val="22"/>
        </w:rPr>
      </w:pPr>
      <w:r>
        <w:rPr>
          <w:b/>
          <w:bCs/>
          <w:i/>
          <w:iCs/>
          <w:color w:val="auto"/>
          <w:sz w:val="22"/>
          <w:szCs w:val="22"/>
        </w:rPr>
        <w:t xml:space="preserve">CIT v. Jagatjit Industries Ltd. (2011) 337 ITR 21 (Delhi) </w:t>
      </w:r>
    </w:p>
    <w:p w:rsidR="00335713" w:rsidRDefault="002B7D3B" w:rsidP="00335713">
      <w:pPr>
        <w:pStyle w:val="Default"/>
        <w:rPr>
          <w:color w:val="auto"/>
          <w:sz w:val="22"/>
          <w:szCs w:val="22"/>
        </w:rPr>
      </w:pPr>
      <w:r>
        <w:rPr>
          <w:color w:val="auto"/>
          <w:sz w:val="22"/>
          <w:szCs w:val="22"/>
        </w:rPr>
        <w:t xml:space="preserve">Capital. </w:t>
      </w:r>
      <w:r w:rsidR="00335713">
        <w:rPr>
          <w:color w:val="auto"/>
          <w:sz w:val="22"/>
          <w:szCs w:val="22"/>
        </w:rPr>
        <w:t xml:space="preserve">For determining the nature of receipts, due consideration should be given to the source of funds and not to the ultimate use of the funds. </w:t>
      </w:r>
    </w:p>
    <w:p w:rsidR="00335713" w:rsidRDefault="00335713" w:rsidP="00335713">
      <w:pPr>
        <w:pStyle w:val="Default"/>
        <w:rPr>
          <w:color w:val="auto"/>
          <w:sz w:val="22"/>
          <w:szCs w:val="22"/>
        </w:rPr>
      </w:pPr>
      <w:r>
        <w:rPr>
          <w:color w:val="auto"/>
          <w:sz w:val="22"/>
          <w:szCs w:val="22"/>
        </w:rPr>
        <w:t xml:space="preserve">Therefore, the entire gain has to be treated as capital receipt as the source of fund in this case is capital in nature. </w:t>
      </w:r>
    </w:p>
    <w:p w:rsidR="00335713" w:rsidRDefault="00335713" w:rsidP="00335713">
      <w:pPr>
        <w:pStyle w:val="Default"/>
        <w:rPr>
          <w:color w:val="auto"/>
          <w:sz w:val="22"/>
          <w:szCs w:val="22"/>
        </w:rPr>
      </w:pPr>
      <w:r>
        <w:rPr>
          <w:b/>
          <w:bCs/>
          <w:color w:val="auto"/>
          <w:sz w:val="22"/>
          <w:szCs w:val="22"/>
        </w:rPr>
        <w:t xml:space="preserve">3. In case there is no possibility of recovery of loan given by a NBFC, which is an NPA as per RBI guidelines, can the interest on such loan be treated as income of the NBFC, following mercantile sytem of accounting? </w:t>
      </w:r>
    </w:p>
    <w:p w:rsidR="00335713" w:rsidRDefault="00335713" w:rsidP="00335713">
      <w:pPr>
        <w:pStyle w:val="Default"/>
        <w:rPr>
          <w:color w:val="auto"/>
          <w:sz w:val="22"/>
          <w:szCs w:val="22"/>
        </w:rPr>
      </w:pPr>
      <w:r>
        <w:rPr>
          <w:b/>
          <w:bCs/>
          <w:i/>
          <w:iCs/>
          <w:color w:val="auto"/>
          <w:sz w:val="22"/>
          <w:szCs w:val="22"/>
        </w:rPr>
        <w:t xml:space="preserve">DIT v. Brahamputra Capital Financial Services Ltd. (2011) 335 ITR 182 (Delhi) </w:t>
      </w:r>
    </w:p>
    <w:p w:rsidR="00B56EA3" w:rsidRPr="00B56EA3" w:rsidRDefault="00335713" w:rsidP="00B56EA3">
      <w:pPr>
        <w:pStyle w:val="Default"/>
      </w:pPr>
      <w:r>
        <w:rPr>
          <w:color w:val="auto"/>
          <w:sz w:val="22"/>
          <w:szCs w:val="22"/>
        </w:rPr>
        <w:t xml:space="preserve">. </w:t>
      </w:r>
    </w:p>
    <w:p w:rsidR="00B56EA3" w:rsidRPr="00B56EA3" w:rsidRDefault="00B56EA3" w:rsidP="00B56EA3"/>
    <w:p w:rsidR="00B56EA3" w:rsidRPr="00B56EA3" w:rsidRDefault="00B56EA3" w:rsidP="00B56EA3"/>
    <w:p w:rsidR="00B56EA3" w:rsidRPr="00B56EA3" w:rsidRDefault="00B56EA3" w:rsidP="00B56EA3"/>
    <w:p w:rsidR="00B56EA3" w:rsidRPr="00B56EA3" w:rsidRDefault="00B56EA3" w:rsidP="00B56EA3"/>
    <w:p w:rsidR="00B56EA3" w:rsidRPr="00B56EA3" w:rsidRDefault="00B56EA3" w:rsidP="00B56EA3"/>
    <w:p w:rsidR="00B56EA3" w:rsidRDefault="00B56EA3" w:rsidP="00B56EA3"/>
    <w:p w:rsidR="00335713" w:rsidRPr="00B56EA3" w:rsidRDefault="00B56EA3" w:rsidP="00B56EA3">
      <w:pPr>
        <w:tabs>
          <w:tab w:val="left" w:pos="7740"/>
        </w:tabs>
      </w:pPr>
      <w:r>
        <w:tab/>
      </w:r>
    </w:p>
    <w:p w:rsidR="00335713" w:rsidRDefault="00B56EA3" w:rsidP="00335713">
      <w:pPr>
        <w:pStyle w:val="Default"/>
        <w:rPr>
          <w:color w:val="auto"/>
          <w:sz w:val="22"/>
          <w:szCs w:val="22"/>
        </w:rPr>
      </w:pPr>
      <w:r>
        <w:rPr>
          <w:color w:val="auto"/>
          <w:sz w:val="22"/>
          <w:szCs w:val="22"/>
        </w:rPr>
        <w:lastRenderedPageBreak/>
        <w:t xml:space="preserve">No. On the said issue, the </w:t>
      </w:r>
      <w:r w:rsidR="00335713">
        <w:rPr>
          <w:color w:val="auto"/>
          <w:sz w:val="22"/>
          <w:szCs w:val="22"/>
        </w:rPr>
        <w:t xml:space="preserve">High Court held </w:t>
      </w:r>
      <w:r w:rsidR="00335713" w:rsidRPr="00B56EA3">
        <w:rPr>
          <w:color w:val="auto"/>
          <w:sz w:val="22"/>
          <w:szCs w:val="22"/>
          <w:u w:val="single"/>
        </w:rPr>
        <w:t xml:space="preserve">that it was </w:t>
      </w:r>
      <w:r w:rsidR="00335713" w:rsidRPr="00B56EA3">
        <w:rPr>
          <w:b/>
          <w:color w:val="auto"/>
          <w:sz w:val="22"/>
          <w:szCs w:val="22"/>
          <w:u w:val="single"/>
        </w:rPr>
        <w:t>prudent</w:t>
      </w:r>
      <w:r w:rsidR="00335713" w:rsidRPr="00B56EA3">
        <w:rPr>
          <w:color w:val="auto"/>
          <w:sz w:val="22"/>
          <w:szCs w:val="22"/>
          <w:u w:val="single"/>
        </w:rPr>
        <w:t xml:space="preserve"> decision on the part of the assessee that the interest on the non-performing asset, whose recovery was doubtful, was not accounted for in the books of account.</w:t>
      </w:r>
      <w:r w:rsidR="00335713">
        <w:rPr>
          <w:color w:val="auto"/>
          <w:sz w:val="22"/>
          <w:szCs w:val="22"/>
        </w:rPr>
        <w:t xml:space="preserve"> Also, the assessee was bound by the RBI guidelines, which required the said treatment of the interest income. </w:t>
      </w:r>
    </w:p>
    <w:p w:rsidR="00335713" w:rsidRDefault="00335713" w:rsidP="00335713">
      <w:pPr>
        <w:pStyle w:val="Default"/>
        <w:rPr>
          <w:color w:val="auto"/>
          <w:sz w:val="22"/>
          <w:szCs w:val="22"/>
        </w:rPr>
      </w:pPr>
      <w:r>
        <w:rPr>
          <w:color w:val="auto"/>
          <w:sz w:val="22"/>
          <w:szCs w:val="22"/>
        </w:rPr>
        <w:t xml:space="preserve">Therefore, in this case, the High Court held that there was </w:t>
      </w:r>
      <w:r w:rsidRPr="00B56EA3">
        <w:rPr>
          <w:b/>
          <w:color w:val="auto"/>
          <w:sz w:val="22"/>
          <w:szCs w:val="22"/>
        </w:rPr>
        <w:t>no real accrual of interest income</w:t>
      </w:r>
      <w:r>
        <w:rPr>
          <w:color w:val="auto"/>
          <w:sz w:val="22"/>
          <w:szCs w:val="22"/>
        </w:rPr>
        <w:t xml:space="preserve"> in the hands of assessee and, hence, it would not be c</w:t>
      </w:r>
      <w:r w:rsidR="00B56EA3">
        <w:rPr>
          <w:color w:val="auto"/>
          <w:sz w:val="22"/>
          <w:szCs w:val="22"/>
        </w:rPr>
        <w:t>hargeable to tax</w:t>
      </w:r>
      <w:r>
        <w:rPr>
          <w:color w:val="auto"/>
          <w:sz w:val="22"/>
          <w:szCs w:val="22"/>
        </w:rPr>
        <w:t xml:space="preserve">. </w:t>
      </w:r>
    </w:p>
    <w:p w:rsidR="00335713" w:rsidRDefault="00335713" w:rsidP="00335713">
      <w:pPr>
        <w:pStyle w:val="Default"/>
        <w:rPr>
          <w:color w:val="auto"/>
          <w:sz w:val="22"/>
          <w:szCs w:val="22"/>
        </w:rPr>
      </w:pPr>
      <w:r>
        <w:rPr>
          <w:b/>
          <w:bCs/>
          <w:color w:val="auto"/>
          <w:sz w:val="22"/>
          <w:szCs w:val="22"/>
        </w:rPr>
        <w:t xml:space="preserve">4. Would refund of excise duty and grant of interest subsidy under the incentive scheme formulated by Central Government for public interest, namely, to accelerate industrial development, generate employment and create opportunities for self-employment in state of Jammu and Kashmir be treated as a revenue receipt or a capital receipt? </w:t>
      </w:r>
    </w:p>
    <w:p w:rsidR="00335713" w:rsidRDefault="00335713" w:rsidP="00335713">
      <w:pPr>
        <w:pStyle w:val="Default"/>
        <w:rPr>
          <w:color w:val="auto"/>
          <w:sz w:val="22"/>
          <w:szCs w:val="22"/>
        </w:rPr>
      </w:pPr>
      <w:r>
        <w:rPr>
          <w:b/>
          <w:bCs/>
          <w:i/>
          <w:iCs/>
          <w:color w:val="auto"/>
          <w:sz w:val="22"/>
          <w:szCs w:val="22"/>
        </w:rPr>
        <w:t xml:space="preserve">Shree Balaji Alloys v. CIT (2011) 333 ITR 335 (J&amp;K) </w:t>
      </w:r>
    </w:p>
    <w:p w:rsidR="00335713" w:rsidRDefault="0075615E" w:rsidP="0075615E">
      <w:pPr>
        <w:pStyle w:val="Default"/>
        <w:rPr>
          <w:color w:val="auto"/>
          <w:sz w:val="22"/>
          <w:szCs w:val="22"/>
        </w:rPr>
      </w:pPr>
      <w:r>
        <w:rPr>
          <w:color w:val="auto"/>
          <w:sz w:val="22"/>
          <w:szCs w:val="22"/>
        </w:rPr>
        <w:t>Capital receipt. The</w:t>
      </w:r>
      <w:r w:rsidR="00335713">
        <w:rPr>
          <w:color w:val="auto"/>
          <w:sz w:val="22"/>
          <w:szCs w:val="22"/>
        </w:rPr>
        <w:t xml:space="preserve"> High Court observed that the fact that incentives would become available to industrial units entitled thereto from the date of commencement of commercial production and the fact that these were not granted for creation of new assets were not the sole criteria for determining the nature of subsidy. The fact that such incentives were </w:t>
      </w:r>
      <w:r w:rsidR="00335713" w:rsidRPr="0075615E">
        <w:rPr>
          <w:b/>
          <w:color w:val="auto"/>
          <w:sz w:val="22"/>
          <w:szCs w:val="22"/>
        </w:rPr>
        <w:t>provided to achieve a public purpose should also be considered to determine the nature of subsidy</w:t>
      </w:r>
      <w:r w:rsidR="00335713">
        <w:rPr>
          <w:color w:val="auto"/>
          <w:sz w:val="22"/>
          <w:szCs w:val="22"/>
        </w:rPr>
        <w:t xml:space="preserve"> and hence</w:t>
      </w:r>
      <w:r w:rsidR="00335713" w:rsidRPr="0075615E">
        <w:rPr>
          <w:color w:val="auto"/>
          <w:sz w:val="22"/>
          <w:szCs w:val="22"/>
          <w:u w:val="single"/>
        </w:rPr>
        <w:t>, such subsidy could not be construed as a production or operational incentive for the benefit of the assessee.</w:t>
      </w:r>
      <w:r w:rsidR="00335713">
        <w:rPr>
          <w:color w:val="auto"/>
          <w:sz w:val="22"/>
          <w:szCs w:val="22"/>
        </w:rPr>
        <w:t xml:space="preserve"> Hence, the aforesaid incentives are capital receipts not liable to taxation. </w:t>
      </w:r>
    </w:p>
    <w:p w:rsidR="0075615E" w:rsidRDefault="0075615E" w:rsidP="0075615E">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5. What is the nature of incentive received under the scheme formulated by the Central Government for recoupment of capital employed and repayment of loans taken for setting up/expansion of a sugar factory – Capital or Revenue? </w:t>
      </w:r>
    </w:p>
    <w:p w:rsidR="00335713" w:rsidRDefault="00335713" w:rsidP="00335713">
      <w:pPr>
        <w:pStyle w:val="Default"/>
        <w:rPr>
          <w:color w:val="auto"/>
          <w:sz w:val="22"/>
          <w:szCs w:val="22"/>
        </w:rPr>
      </w:pPr>
      <w:r>
        <w:rPr>
          <w:b/>
          <w:bCs/>
          <w:i/>
          <w:iCs/>
          <w:color w:val="auto"/>
          <w:sz w:val="22"/>
          <w:szCs w:val="22"/>
        </w:rPr>
        <w:t xml:space="preserve">CIT v. Kisan Sahkari Chini Mills Ltd. (2010) 328 ITR 27 (All.) </w:t>
      </w:r>
    </w:p>
    <w:p w:rsidR="00335713" w:rsidRDefault="0075615E" w:rsidP="007325CD">
      <w:pPr>
        <w:pStyle w:val="Default"/>
        <w:rPr>
          <w:color w:val="auto"/>
          <w:sz w:val="22"/>
          <w:szCs w:val="22"/>
        </w:rPr>
      </w:pPr>
      <w:r>
        <w:rPr>
          <w:color w:val="auto"/>
          <w:sz w:val="22"/>
          <w:szCs w:val="22"/>
        </w:rPr>
        <w:t>Capital.</w:t>
      </w:r>
      <w:r w:rsidR="00335713">
        <w:rPr>
          <w:color w:val="auto"/>
          <w:sz w:val="22"/>
          <w:szCs w:val="22"/>
        </w:rPr>
        <w:t xml:space="preserve"> </w:t>
      </w:r>
      <w:r w:rsidR="007325CD">
        <w:rPr>
          <w:color w:val="auto"/>
          <w:sz w:val="22"/>
          <w:szCs w:val="22"/>
        </w:rPr>
        <w:t>T</w:t>
      </w:r>
      <w:r w:rsidR="00335713">
        <w:rPr>
          <w:color w:val="auto"/>
          <w:sz w:val="22"/>
          <w:szCs w:val="22"/>
        </w:rPr>
        <w:t xml:space="preserve">he main eligibility condition for the scheme was </w:t>
      </w:r>
      <w:r w:rsidR="00335713" w:rsidRPr="007325CD">
        <w:rPr>
          <w:color w:val="auto"/>
          <w:sz w:val="22"/>
          <w:szCs w:val="22"/>
          <w:u w:val="single"/>
        </w:rPr>
        <w:t>that the incentive had to be utilized for the repayment of loans taken by the assessee to set up a new unit or substantial expansion of an existing unit.</w:t>
      </w:r>
      <w:r w:rsidR="00335713">
        <w:rPr>
          <w:color w:val="auto"/>
          <w:sz w:val="22"/>
          <w:szCs w:val="22"/>
        </w:rPr>
        <w:t xml:space="preserve"> The subsidy receipt by the assessee was, therefore, </w:t>
      </w:r>
      <w:r w:rsidR="00335713" w:rsidRPr="007325CD">
        <w:rPr>
          <w:color w:val="auto"/>
          <w:sz w:val="22"/>
          <w:szCs w:val="22"/>
          <w:u w:val="single"/>
        </w:rPr>
        <w:t>not in the course of a trade</w:t>
      </w:r>
      <w:r w:rsidR="00335713">
        <w:rPr>
          <w:color w:val="auto"/>
          <w:sz w:val="22"/>
          <w:szCs w:val="22"/>
        </w:rPr>
        <w:t xml:space="preserve"> and hence, was of capital nature. </w:t>
      </w:r>
    </w:p>
    <w:p w:rsidR="007325CD" w:rsidRDefault="007325CD" w:rsidP="007325CD">
      <w:pPr>
        <w:pStyle w:val="Default"/>
        <w:rPr>
          <w:color w:val="auto"/>
          <w:sz w:val="22"/>
          <w:szCs w:val="22"/>
        </w:rPr>
      </w:pPr>
    </w:p>
    <w:p w:rsidR="00335713" w:rsidRDefault="007325CD" w:rsidP="00335713">
      <w:pPr>
        <w:pStyle w:val="Default"/>
        <w:rPr>
          <w:color w:val="auto"/>
          <w:sz w:val="22"/>
          <w:szCs w:val="22"/>
        </w:rPr>
      </w:pPr>
      <w:r>
        <w:rPr>
          <w:b/>
          <w:bCs/>
          <w:color w:val="auto"/>
          <w:sz w:val="22"/>
          <w:szCs w:val="22"/>
        </w:rPr>
        <w:t xml:space="preserve">(Imp) </w:t>
      </w:r>
      <w:r w:rsidR="00335713">
        <w:rPr>
          <w:b/>
          <w:bCs/>
          <w:color w:val="auto"/>
          <w:sz w:val="22"/>
          <w:szCs w:val="22"/>
        </w:rPr>
        <w:t xml:space="preserve">6. What is the nature of liquidated damages received by a company from the supplier of plant for failure to supply machinery to the company within the stipulated time – a capital receipt or a revenue receipt? </w:t>
      </w:r>
    </w:p>
    <w:p w:rsidR="00335713" w:rsidRDefault="00335713" w:rsidP="00335713">
      <w:pPr>
        <w:pStyle w:val="Default"/>
        <w:rPr>
          <w:color w:val="auto"/>
          <w:sz w:val="22"/>
          <w:szCs w:val="22"/>
        </w:rPr>
      </w:pPr>
      <w:r>
        <w:rPr>
          <w:b/>
          <w:bCs/>
          <w:i/>
          <w:iCs/>
          <w:color w:val="auto"/>
          <w:sz w:val="22"/>
          <w:szCs w:val="22"/>
        </w:rPr>
        <w:t xml:space="preserve">CIT v. Saurashtra Cement Ltd. (2010) 325 ITR 422 (SC) </w:t>
      </w:r>
    </w:p>
    <w:p w:rsidR="00335713" w:rsidRDefault="007325CD" w:rsidP="007325CD">
      <w:pPr>
        <w:pStyle w:val="Default"/>
        <w:rPr>
          <w:color w:val="auto"/>
          <w:sz w:val="22"/>
          <w:szCs w:val="22"/>
        </w:rPr>
      </w:pPr>
      <w:r>
        <w:rPr>
          <w:color w:val="auto"/>
          <w:sz w:val="22"/>
          <w:szCs w:val="22"/>
        </w:rPr>
        <w:t>Capital.T</w:t>
      </w:r>
      <w:r w:rsidR="00335713">
        <w:rPr>
          <w:color w:val="auto"/>
          <w:sz w:val="22"/>
          <w:szCs w:val="22"/>
        </w:rPr>
        <w:t>he damages were directly and intimately linked with the procurement of a capital asset i.e., the cement plant, which lead to delay in coming into existence of the profit-making apparatus. It was not a receipt in the co</w:t>
      </w:r>
      <w:r>
        <w:rPr>
          <w:color w:val="auto"/>
          <w:sz w:val="22"/>
          <w:szCs w:val="22"/>
        </w:rPr>
        <w:t>urse of profit earning process, t</w:t>
      </w:r>
      <w:r w:rsidR="00335713">
        <w:rPr>
          <w:color w:val="auto"/>
          <w:sz w:val="22"/>
          <w:szCs w:val="22"/>
        </w:rPr>
        <w:t>herefore</w:t>
      </w:r>
      <w:r>
        <w:rPr>
          <w:color w:val="auto"/>
          <w:sz w:val="22"/>
          <w:szCs w:val="22"/>
        </w:rPr>
        <w:t xml:space="preserve"> </w:t>
      </w:r>
      <w:r w:rsidR="00335713">
        <w:rPr>
          <w:color w:val="auto"/>
          <w:sz w:val="22"/>
          <w:szCs w:val="22"/>
        </w:rPr>
        <w:t xml:space="preserve">not in the ordinary course of business. </w:t>
      </w:r>
    </w:p>
    <w:p w:rsidR="007325CD" w:rsidRDefault="007325CD" w:rsidP="007325CD">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7. Where the hotel industry was established based on subsidy announced by the State Government, can such subsidy be treated as a revenue receipt solely due to the reason that the same was received by the assessee after completion of the hotel projects and commencement of the business? </w:t>
      </w:r>
    </w:p>
    <w:p w:rsidR="00335713" w:rsidRDefault="00335713" w:rsidP="00335713">
      <w:pPr>
        <w:pStyle w:val="Default"/>
        <w:rPr>
          <w:color w:val="auto"/>
          <w:sz w:val="22"/>
          <w:szCs w:val="22"/>
        </w:rPr>
      </w:pPr>
      <w:r>
        <w:rPr>
          <w:b/>
          <w:bCs/>
          <w:i/>
          <w:iCs/>
          <w:color w:val="auto"/>
          <w:sz w:val="22"/>
          <w:szCs w:val="22"/>
        </w:rPr>
        <w:t xml:space="preserve">CIT v. Udupi Builders P. Ltd. (2009) 319 ITR 440 (Kar.) </w:t>
      </w:r>
    </w:p>
    <w:p w:rsidR="00335713" w:rsidRDefault="00390A3D" w:rsidP="00335713">
      <w:pPr>
        <w:pStyle w:val="Default"/>
        <w:rPr>
          <w:color w:val="auto"/>
          <w:sz w:val="22"/>
          <w:szCs w:val="22"/>
        </w:rPr>
      </w:pPr>
      <w:r>
        <w:rPr>
          <w:color w:val="auto"/>
          <w:sz w:val="22"/>
          <w:szCs w:val="22"/>
        </w:rPr>
        <w:t>No.</w:t>
      </w:r>
      <w:r w:rsidR="00335713">
        <w:rPr>
          <w:color w:val="auto"/>
          <w:sz w:val="22"/>
          <w:szCs w:val="22"/>
        </w:rPr>
        <w:t xml:space="preserve">The High Court held that the hotel industry was established based on the subsidy announced by the State Government to encourage tourism and the State Government was in the habit of releasing the subsidy amount depending upon the budgetary allocation in each year. In several cases, the State Government had released the subsidy amount even after ten years of the commencement of the project. Therefore, the subsidy received has to be treated as a capital receipt and would not be liable to tax. </w:t>
      </w:r>
    </w:p>
    <w:p w:rsidR="00335713" w:rsidRDefault="00335713" w:rsidP="00335713">
      <w:pPr>
        <w:pStyle w:val="Default"/>
        <w:pageBreakBefore/>
        <w:rPr>
          <w:rFonts w:cstheme="minorBidi"/>
          <w:color w:val="auto"/>
          <w:sz w:val="96"/>
          <w:szCs w:val="96"/>
        </w:rPr>
      </w:pPr>
      <w:r>
        <w:rPr>
          <w:rFonts w:cstheme="minorBidi"/>
          <w:b/>
          <w:bCs/>
          <w:color w:val="auto"/>
          <w:sz w:val="96"/>
          <w:szCs w:val="96"/>
        </w:rPr>
        <w:lastRenderedPageBreak/>
        <w:t xml:space="preserve">2 </w:t>
      </w:r>
    </w:p>
    <w:p w:rsidR="00335713" w:rsidRDefault="00335713" w:rsidP="00335713">
      <w:pPr>
        <w:pStyle w:val="Default"/>
        <w:rPr>
          <w:rFonts w:cstheme="minorBidi"/>
          <w:color w:val="auto"/>
          <w:sz w:val="38"/>
          <w:szCs w:val="38"/>
        </w:rPr>
      </w:pPr>
      <w:r>
        <w:rPr>
          <w:rFonts w:cstheme="minorBidi"/>
          <w:b/>
          <w:bCs/>
          <w:color w:val="auto"/>
          <w:sz w:val="48"/>
          <w:szCs w:val="48"/>
        </w:rPr>
        <w:t>I</w:t>
      </w:r>
      <w:r>
        <w:rPr>
          <w:rFonts w:cstheme="minorBidi"/>
          <w:b/>
          <w:bCs/>
          <w:color w:val="auto"/>
          <w:sz w:val="38"/>
          <w:szCs w:val="38"/>
        </w:rPr>
        <w:t xml:space="preserve">NCOME </w:t>
      </w:r>
      <w:r>
        <w:rPr>
          <w:rFonts w:cstheme="minorBidi"/>
          <w:b/>
          <w:bCs/>
          <w:color w:val="auto"/>
          <w:sz w:val="48"/>
          <w:szCs w:val="48"/>
        </w:rPr>
        <w:t>F</w:t>
      </w:r>
      <w:r>
        <w:rPr>
          <w:rFonts w:cstheme="minorBidi"/>
          <w:b/>
          <w:bCs/>
          <w:color w:val="auto"/>
          <w:sz w:val="38"/>
          <w:szCs w:val="38"/>
        </w:rPr>
        <w:t xml:space="preserve">ROM </w:t>
      </w:r>
      <w:r>
        <w:rPr>
          <w:rFonts w:cstheme="minorBidi"/>
          <w:b/>
          <w:bCs/>
          <w:color w:val="auto"/>
          <w:sz w:val="48"/>
          <w:szCs w:val="48"/>
        </w:rPr>
        <w:t>H</w:t>
      </w:r>
      <w:r>
        <w:rPr>
          <w:rFonts w:cstheme="minorBidi"/>
          <w:b/>
          <w:bCs/>
          <w:color w:val="auto"/>
          <w:sz w:val="38"/>
          <w:szCs w:val="38"/>
        </w:rPr>
        <w:t xml:space="preserve">OUSE </w:t>
      </w:r>
      <w:r>
        <w:rPr>
          <w:rFonts w:cstheme="minorBidi"/>
          <w:b/>
          <w:bCs/>
          <w:color w:val="auto"/>
          <w:sz w:val="48"/>
          <w:szCs w:val="48"/>
        </w:rPr>
        <w:t>P</w:t>
      </w:r>
      <w:r>
        <w:rPr>
          <w:rFonts w:cstheme="minorBidi"/>
          <w:b/>
          <w:bCs/>
          <w:color w:val="auto"/>
          <w:sz w:val="38"/>
          <w:szCs w:val="38"/>
        </w:rPr>
        <w:t xml:space="preserve">ROPERTY </w:t>
      </w:r>
    </w:p>
    <w:p w:rsidR="00335713" w:rsidRDefault="00335713" w:rsidP="00335713">
      <w:pPr>
        <w:pStyle w:val="Default"/>
        <w:rPr>
          <w:rFonts w:cstheme="minorBidi"/>
          <w:color w:val="auto"/>
          <w:sz w:val="22"/>
          <w:szCs w:val="22"/>
        </w:rPr>
      </w:pPr>
      <w:r>
        <w:rPr>
          <w:rFonts w:cstheme="minorBidi"/>
          <w:b/>
          <w:bCs/>
          <w:color w:val="auto"/>
          <w:sz w:val="22"/>
          <w:szCs w:val="22"/>
        </w:rPr>
        <w:t xml:space="preserve">1. Can an assessee engaged in letting out of rooms in a lodging house also treat the income from renting of a building to bank on long term lease as business income? </w:t>
      </w:r>
    </w:p>
    <w:p w:rsidR="00335713" w:rsidRDefault="00335713" w:rsidP="00335713">
      <w:pPr>
        <w:pStyle w:val="Default"/>
        <w:rPr>
          <w:color w:val="auto"/>
          <w:sz w:val="22"/>
          <w:szCs w:val="22"/>
        </w:rPr>
      </w:pPr>
      <w:r>
        <w:rPr>
          <w:b/>
          <w:bCs/>
          <w:i/>
          <w:iCs/>
          <w:color w:val="auto"/>
          <w:sz w:val="22"/>
          <w:szCs w:val="22"/>
        </w:rPr>
        <w:t xml:space="preserve">Joseph George and Co. v. ITO (2010) 328 ITR 161 (Kerala) </w:t>
      </w:r>
    </w:p>
    <w:p w:rsidR="00335713" w:rsidRDefault="00390A3D" w:rsidP="00335713">
      <w:pPr>
        <w:pStyle w:val="Default"/>
        <w:rPr>
          <w:color w:val="auto"/>
          <w:sz w:val="22"/>
          <w:szCs w:val="22"/>
        </w:rPr>
      </w:pPr>
      <w:r>
        <w:rPr>
          <w:color w:val="auto"/>
          <w:sz w:val="22"/>
          <w:szCs w:val="22"/>
        </w:rPr>
        <w:t xml:space="preserve">No. </w:t>
      </w:r>
      <w:r w:rsidR="00335713">
        <w:rPr>
          <w:color w:val="auto"/>
          <w:sz w:val="22"/>
          <w:szCs w:val="22"/>
        </w:rPr>
        <w:t xml:space="preserve">On the above issue, it was decided that while lodging is a business, however, letting out of building to the bank on long-term lease could not be treated as business. Therefore, the rental income from bank has to be assessed as income from house property. </w:t>
      </w:r>
    </w:p>
    <w:p w:rsidR="00335713" w:rsidRDefault="00335713" w:rsidP="00335713">
      <w:pPr>
        <w:pStyle w:val="Default"/>
        <w:rPr>
          <w:color w:val="auto"/>
          <w:sz w:val="22"/>
          <w:szCs w:val="22"/>
        </w:rPr>
      </w:pPr>
      <w:r>
        <w:rPr>
          <w:b/>
          <w:bCs/>
          <w:color w:val="auto"/>
          <w:sz w:val="22"/>
          <w:szCs w:val="22"/>
        </w:rPr>
        <w:t xml:space="preserve">2. Can notional interest on interest free deposit received by an assessee in respect of a shop let out on rent be brought to tax as “Business income” or “Income from house property”? </w:t>
      </w:r>
    </w:p>
    <w:p w:rsidR="00335713" w:rsidRDefault="00335713" w:rsidP="00335713">
      <w:pPr>
        <w:pStyle w:val="Default"/>
        <w:rPr>
          <w:color w:val="auto"/>
          <w:sz w:val="22"/>
          <w:szCs w:val="22"/>
        </w:rPr>
      </w:pPr>
      <w:r>
        <w:rPr>
          <w:b/>
          <w:bCs/>
          <w:i/>
          <w:iCs/>
          <w:color w:val="auto"/>
          <w:sz w:val="22"/>
          <w:szCs w:val="22"/>
        </w:rPr>
        <w:t xml:space="preserve">CIT v. Asian Hotels Ltd. (2010) 323 ITR 490 (Del.) </w:t>
      </w:r>
    </w:p>
    <w:p w:rsidR="00335713" w:rsidRDefault="00335713" w:rsidP="00335713">
      <w:pPr>
        <w:pStyle w:val="Default"/>
        <w:rPr>
          <w:color w:val="auto"/>
          <w:sz w:val="22"/>
          <w:szCs w:val="22"/>
        </w:rPr>
      </w:pPr>
      <w:r>
        <w:rPr>
          <w:color w:val="auto"/>
          <w:sz w:val="22"/>
          <w:szCs w:val="22"/>
        </w:rPr>
        <w:t xml:space="preserve">. </w:t>
      </w:r>
    </w:p>
    <w:p w:rsidR="00390A3D" w:rsidRDefault="00390A3D" w:rsidP="00335713">
      <w:pPr>
        <w:pStyle w:val="Default"/>
        <w:rPr>
          <w:color w:val="auto"/>
          <w:sz w:val="22"/>
          <w:szCs w:val="22"/>
        </w:rPr>
      </w:pPr>
      <w:r>
        <w:rPr>
          <w:color w:val="auto"/>
          <w:sz w:val="22"/>
          <w:szCs w:val="22"/>
        </w:rPr>
        <w:t>Not taxable under any of them.</w:t>
      </w:r>
    </w:p>
    <w:p w:rsidR="00335713" w:rsidRDefault="00390A3D" w:rsidP="00335713">
      <w:pPr>
        <w:pStyle w:val="Default"/>
        <w:rPr>
          <w:color w:val="auto"/>
          <w:sz w:val="22"/>
          <w:szCs w:val="22"/>
        </w:rPr>
      </w:pPr>
      <w:r>
        <w:rPr>
          <w:color w:val="auto"/>
          <w:sz w:val="22"/>
          <w:szCs w:val="22"/>
        </w:rPr>
        <w:t>S</w:t>
      </w:r>
      <w:r w:rsidR="00335713">
        <w:rPr>
          <w:color w:val="auto"/>
          <w:sz w:val="22"/>
          <w:szCs w:val="22"/>
        </w:rPr>
        <w:t xml:space="preserve">ection 28(iv) is concerned with business income and brings to tax the value of any benefit or perquisite, whether convertible into money or not, arising from business or the exercise of a profession. </w:t>
      </w:r>
      <w:r w:rsidR="00335713" w:rsidRPr="00390A3D">
        <w:rPr>
          <w:color w:val="auto"/>
          <w:sz w:val="22"/>
          <w:szCs w:val="22"/>
          <w:u w:val="single"/>
        </w:rPr>
        <w:t>Section 28(iv) can be invoked only where the benefit or amenity or perquisite is other than cash</w:t>
      </w:r>
      <w:r w:rsidR="00335713">
        <w:rPr>
          <w:color w:val="auto"/>
          <w:sz w:val="22"/>
          <w:szCs w:val="22"/>
        </w:rPr>
        <w:t xml:space="preserve">. Hence, section 28(iv) is not applicable. </w:t>
      </w:r>
    </w:p>
    <w:p w:rsidR="00335713" w:rsidRDefault="00335713" w:rsidP="00390A3D">
      <w:pPr>
        <w:pStyle w:val="Default"/>
        <w:rPr>
          <w:rFonts w:cstheme="minorBidi"/>
          <w:color w:val="auto"/>
          <w:sz w:val="22"/>
          <w:szCs w:val="22"/>
        </w:rPr>
      </w:pPr>
      <w:r>
        <w:rPr>
          <w:color w:val="auto"/>
          <w:sz w:val="22"/>
          <w:szCs w:val="22"/>
        </w:rPr>
        <w:t xml:space="preserve">Section 23(1)(a) provides that the annual letting value is deemed to be the sum for which the property might reasonably be expected to be let from year to year. </w:t>
      </w:r>
      <w:r w:rsidRPr="001F278F">
        <w:rPr>
          <w:color w:val="auto"/>
          <w:sz w:val="22"/>
          <w:szCs w:val="22"/>
          <w:u w:val="single"/>
        </w:rPr>
        <w:t>This contemplates the possible rent that the property might fetch</w:t>
      </w:r>
      <w:r>
        <w:rPr>
          <w:color w:val="auto"/>
          <w:sz w:val="22"/>
          <w:szCs w:val="22"/>
        </w:rPr>
        <w:t xml:space="preserve"> and certainly not the interest on fixed deposit that may be placed by the tenant </w:t>
      </w:r>
      <w:r w:rsidR="00390A3D">
        <w:rPr>
          <w:color w:val="auto"/>
          <w:sz w:val="22"/>
          <w:szCs w:val="22"/>
        </w:rPr>
        <w:t>.</w:t>
      </w:r>
      <w:r>
        <w:rPr>
          <w:rFonts w:cstheme="minorBidi"/>
          <w:b/>
          <w:bCs/>
          <w:color w:val="auto"/>
          <w:sz w:val="22"/>
          <w:szCs w:val="22"/>
        </w:rPr>
        <w:t xml:space="preserve"> </w:t>
      </w:r>
    </w:p>
    <w:p w:rsidR="00335713" w:rsidRDefault="00335713" w:rsidP="00335713">
      <w:pPr>
        <w:pStyle w:val="Default"/>
        <w:pageBreakBefore/>
        <w:rPr>
          <w:rFonts w:cstheme="minorBidi"/>
          <w:color w:val="auto"/>
          <w:sz w:val="96"/>
          <w:szCs w:val="96"/>
        </w:rPr>
      </w:pPr>
      <w:r>
        <w:rPr>
          <w:rFonts w:cstheme="minorBidi"/>
          <w:b/>
          <w:bCs/>
          <w:color w:val="auto"/>
          <w:sz w:val="96"/>
          <w:szCs w:val="96"/>
        </w:rPr>
        <w:lastRenderedPageBreak/>
        <w:t xml:space="preserve">3 </w:t>
      </w:r>
    </w:p>
    <w:p w:rsidR="00335713" w:rsidRDefault="00335713" w:rsidP="00335713">
      <w:pPr>
        <w:pStyle w:val="Default"/>
        <w:rPr>
          <w:rFonts w:cstheme="minorBidi"/>
          <w:color w:val="auto"/>
          <w:sz w:val="38"/>
          <w:szCs w:val="38"/>
        </w:rPr>
      </w:pPr>
      <w:r>
        <w:rPr>
          <w:rFonts w:cstheme="minorBidi"/>
          <w:b/>
          <w:bCs/>
          <w:color w:val="auto"/>
          <w:sz w:val="48"/>
          <w:szCs w:val="48"/>
        </w:rPr>
        <w:t>P</w:t>
      </w:r>
      <w:r>
        <w:rPr>
          <w:rFonts w:cstheme="minorBidi"/>
          <w:b/>
          <w:bCs/>
          <w:color w:val="auto"/>
          <w:sz w:val="38"/>
          <w:szCs w:val="38"/>
        </w:rPr>
        <w:t xml:space="preserve">ROFITS </w:t>
      </w:r>
      <w:r>
        <w:rPr>
          <w:rFonts w:cstheme="minorBidi"/>
          <w:b/>
          <w:bCs/>
          <w:color w:val="auto"/>
          <w:sz w:val="48"/>
          <w:szCs w:val="48"/>
        </w:rPr>
        <w:t>A</w:t>
      </w:r>
      <w:r>
        <w:rPr>
          <w:rFonts w:cstheme="minorBidi"/>
          <w:b/>
          <w:bCs/>
          <w:color w:val="auto"/>
          <w:sz w:val="38"/>
          <w:szCs w:val="38"/>
        </w:rPr>
        <w:t xml:space="preserve">ND </w:t>
      </w:r>
      <w:r>
        <w:rPr>
          <w:rFonts w:cstheme="minorBidi"/>
          <w:b/>
          <w:bCs/>
          <w:color w:val="auto"/>
          <w:sz w:val="48"/>
          <w:szCs w:val="48"/>
        </w:rPr>
        <w:t>G</w:t>
      </w:r>
      <w:r>
        <w:rPr>
          <w:rFonts w:cstheme="minorBidi"/>
          <w:b/>
          <w:bCs/>
          <w:color w:val="auto"/>
          <w:sz w:val="38"/>
          <w:szCs w:val="38"/>
        </w:rPr>
        <w:t xml:space="preserve">AINS </w:t>
      </w:r>
      <w:r>
        <w:rPr>
          <w:rFonts w:cstheme="minorBidi"/>
          <w:b/>
          <w:bCs/>
          <w:color w:val="auto"/>
          <w:sz w:val="48"/>
          <w:szCs w:val="48"/>
        </w:rPr>
        <w:t>O</w:t>
      </w:r>
      <w:r>
        <w:rPr>
          <w:rFonts w:cstheme="minorBidi"/>
          <w:b/>
          <w:bCs/>
          <w:color w:val="auto"/>
          <w:sz w:val="38"/>
          <w:szCs w:val="38"/>
        </w:rPr>
        <w:t xml:space="preserve">F </w:t>
      </w:r>
      <w:r>
        <w:rPr>
          <w:rFonts w:cstheme="minorBidi"/>
          <w:b/>
          <w:bCs/>
          <w:color w:val="auto"/>
          <w:sz w:val="48"/>
          <w:szCs w:val="48"/>
        </w:rPr>
        <w:t>B</w:t>
      </w:r>
      <w:r>
        <w:rPr>
          <w:rFonts w:cstheme="minorBidi"/>
          <w:b/>
          <w:bCs/>
          <w:color w:val="auto"/>
          <w:sz w:val="38"/>
          <w:szCs w:val="38"/>
        </w:rPr>
        <w:t xml:space="preserve">USINESS </w:t>
      </w:r>
      <w:r>
        <w:rPr>
          <w:rFonts w:cstheme="minorBidi"/>
          <w:b/>
          <w:bCs/>
          <w:color w:val="auto"/>
          <w:sz w:val="48"/>
          <w:szCs w:val="48"/>
        </w:rPr>
        <w:t>O</w:t>
      </w:r>
      <w:r>
        <w:rPr>
          <w:rFonts w:cstheme="minorBidi"/>
          <w:b/>
          <w:bCs/>
          <w:color w:val="auto"/>
          <w:sz w:val="38"/>
          <w:szCs w:val="38"/>
        </w:rPr>
        <w:t xml:space="preserve">R </w:t>
      </w:r>
      <w:r>
        <w:rPr>
          <w:rFonts w:cstheme="minorBidi"/>
          <w:b/>
          <w:bCs/>
          <w:color w:val="auto"/>
          <w:sz w:val="48"/>
          <w:szCs w:val="48"/>
        </w:rPr>
        <w:t>P</w:t>
      </w:r>
      <w:r>
        <w:rPr>
          <w:rFonts w:cstheme="minorBidi"/>
          <w:b/>
          <w:bCs/>
          <w:color w:val="auto"/>
          <w:sz w:val="38"/>
          <w:szCs w:val="38"/>
        </w:rPr>
        <w:t xml:space="preserve">ROFESSION </w:t>
      </w:r>
    </w:p>
    <w:p w:rsidR="00335713" w:rsidRDefault="00335713" w:rsidP="00335713">
      <w:pPr>
        <w:pStyle w:val="Default"/>
        <w:rPr>
          <w:rFonts w:cstheme="minorBidi"/>
          <w:color w:val="auto"/>
          <w:sz w:val="22"/>
          <w:szCs w:val="22"/>
        </w:rPr>
      </w:pPr>
      <w:r>
        <w:rPr>
          <w:rFonts w:cstheme="minorBidi"/>
          <w:b/>
          <w:bCs/>
          <w:color w:val="auto"/>
          <w:sz w:val="22"/>
          <w:szCs w:val="22"/>
        </w:rPr>
        <w:t xml:space="preserve">1. Can the provisions of section </w:t>
      </w:r>
      <w:r w:rsidRPr="001F278F">
        <w:rPr>
          <w:rFonts w:cstheme="minorBidi"/>
          <w:b/>
          <w:bCs/>
          <w:color w:val="auto"/>
          <w:sz w:val="22"/>
          <w:szCs w:val="22"/>
          <w:u w:val="single"/>
        </w:rPr>
        <w:t>41(1)</w:t>
      </w:r>
      <w:r>
        <w:rPr>
          <w:rFonts w:cstheme="minorBidi"/>
          <w:b/>
          <w:bCs/>
          <w:color w:val="auto"/>
          <w:sz w:val="22"/>
          <w:szCs w:val="22"/>
        </w:rPr>
        <w:t xml:space="preserve"> be invoked both in respect of waiver of working capital loan utilized for day-to-day business operations and in respect of waiver of term loan taken for purchasing a capital asset? </w:t>
      </w:r>
    </w:p>
    <w:p w:rsidR="00335713" w:rsidRDefault="00335713" w:rsidP="00335713">
      <w:pPr>
        <w:pStyle w:val="Default"/>
        <w:rPr>
          <w:color w:val="auto"/>
          <w:sz w:val="22"/>
          <w:szCs w:val="22"/>
        </w:rPr>
      </w:pPr>
      <w:r>
        <w:rPr>
          <w:b/>
          <w:bCs/>
          <w:i/>
          <w:iCs/>
          <w:color w:val="auto"/>
          <w:sz w:val="22"/>
          <w:szCs w:val="22"/>
        </w:rPr>
        <w:t xml:space="preserve">Rollatainers Ltd. v. CIT (2011) 339 ITR 54 (Del.) </w:t>
      </w:r>
    </w:p>
    <w:p w:rsidR="001F278F" w:rsidRDefault="001F278F" w:rsidP="00335713">
      <w:pPr>
        <w:pStyle w:val="Default"/>
        <w:rPr>
          <w:color w:val="auto"/>
          <w:sz w:val="22"/>
          <w:szCs w:val="22"/>
        </w:rPr>
      </w:pPr>
      <w:r>
        <w:rPr>
          <w:color w:val="auto"/>
          <w:sz w:val="22"/>
          <w:szCs w:val="22"/>
        </w:rPr>
        <w:t>Waiver of CC: Revenue receipt, taxable.</w:t>
      </w:r>
    </w:p>
    <w:p w:rsidR="00335713" w:rsidRDefault="001F278F" w:rsidP="001F278F">
      <w:pPr>
        <w:pStyle w:val="Default"/>
        <w:rPr>
          <w:color w:val="auto"/>
          <w:sz w:val="22"/>
          <w:szCs w:val="22"/>
        </w:rPr>
      </w:pPr>
      <w:r>
        <w:rPr>
          <w:color w:val="auto"/>
          <w:sz w:val="22"/>
          <w:szCs w:val="22"/>
        </w:rPr>
        <w:t xml:space="preserve">Waiver of TL: Capital receipt, not taxable. </w:t>
      </w:r>
      <w:r w:rsidR="00335713">
        <w:rPr>
          <w:color w:val="auto"/>
          <w:sz w:val="22"/>
          <w:szCs w:val="22"/>
        </w:rPr>
        <w:t xml:space="preserve"> </w:t>
      </w:r>
    </w:p>
    <w:p w:rsidR="00335713" w:rsidRDefault="00335713" w:rsidP="00335713">
      <w:pPr>
        <w:pStyle w:val="Default"/>
        <w:rPr>
          <w:color w:val="auto"/>
          <w:sz w:val="22"/>
          <w:szCs w:val="22"/>
        </w:rPr>
      </w:pPr>
      <w:r>
        <w:rPr>
          <w:b/>
          <w:bCs/>
          <w:color w:val="auto"/>
          <w:sz w:val="22"/>
          <w:szCs w:val="22"/>
        </w:rPr>
        <w:t xml:space="preserve">Note: </w:t>
      </w:r>
      <w:r>
        <w:rPr>
          <w:i/>
          <w:iCs/>
          <w:color w:val="auto"/>
          <w:sz w:val="22"/>
          <w:szCs w:val="22"/>
        </w:rPr>
        <w:t xml:space="preserve">The crux is that the provisions of section 41(1) are attracted in respect of waiver of the working capital loan utilized for day-to-day business operations, since it amounted to </w:t>
      </w:r>
      <w:r w:rsidRPr="001F278F">
        <w:rPr>
          <w:i/>
          <w:iCs/>
          <w:color w:val="auto"/>
          <w:sz w:val="22"/>
          <w:szCs w:val="22"/>
          <w:u w:val="single"/>
        </w:rPr>
        <w:t>remission of a trading liability</w:t>
      </w:r>
      <w:r>
        <w:rPr>
          <w:i/>
          <w:iCs/>
          <w:color w:val="auto"/>
          <w:sz w:val="22"/>
          <w:szCs w:val="22"/>
        </w:rPr>
        <w:t xml:space="preserve">. However, in the case of waiver of term loan for purchasing capital assets, the provisions of section 41(1) are not attracted since it cannot be treated as remission or cessation of a trading liability. </w:t>
      </w:r>
    </w:p>
    <w:p w:rsidR="00335713" w:rsidRDefault="00335713" w:rsidP="00335713">
      <w:pPr>
        <w:pStyle w:val="Default"/>
        <w:rPr>
          <w:color w:val="auto"/>
          <w:sz w:val="22"/>
          <w:szCs w:val="22"/>
        </w:rPr>
      </w:pPr>
      <w:r>
        <w:rPr>
          <w:b/>
          <w:bCs/>
          <w:color w:val="auto"/>
          <w:sz w:val="22"/>
          <w:szCs w:val="22"/>
        </w:rPr>
        <w:t xml:space="preserve">2. Can a company engaged in the business of owning, running and managing hotels claim interest on borrowed funds, used by it for investing in the equity share capital of a wholly owned subsidiary company, as deduction where the subsidiary company was formed for exercising effective control of new hotels acquired by the parent company under its management? </w:t>
      </w:r>
    </w:p>
    <w:p w:rsidR="00335713" w:rsidRDefault="00335713" w:rsidP="00335713">
      <w:pPr>
        <w:pStyle w:val="Default"/>
        <w:rPr>
          <w:color w:val="auto"/>
          <w:sz w:val="22"/>
          <w:szCs w:val="22"/>
        </w:rPr>
      </w:pPr>
      <w:r>
        <w:rPr>
          <w:b/>
          <w:bCs/>
          <w:i/>
          <w:iCs/>
          <w:color w:val="auto"/>
          <w:sz w:val="22"/>
          <w:szCs w:val="22"/>
        </w:rPr>
        <w:t xml:space="preserve">CIT v. Tulip Star Hotels Ltd. (2011) 338 ITR 482 (Del.) </w:t>
      </w:r>
    </w:p>
    <w:p w:rsidR="00E02A58" w:rsidRDefault="00E02A58" w:rsidP="00E02A58">
      <w:pPr>
        <w:pStyle w:val="Default"/>
        <w:rPr>
          <w:color w:val="auto"/>
          <w:sz w:val="22"/>
          <w:szCs w:val="22"/>
        </w:rPr>
      </w:pPr>
      <w:r>
        <w:rPr>
          <w:color w:val="auto"/>
          <w:sz w:val="22"/>
          <w:szCs w:val="22"/>
        </w:rPr>
        <w:t>Allowable under section 36(1)(iii).</w:t>
      </w:r>
    </w:p>
    <w:p w:rsidR="00335713" w:rsidRDefault="00E02A58" w:rsidP="00335713">
      <w:pPr>
        <w:pStyle w:val="Default"/>
        <w:rPr>
          <w:i/>
          <w:iCs/>
          <w:color w:val="auto"/>
          <w:sz w:val="22"/>
          <w:szCs w:val="22"/>
        </w:rPr>
      </w:pPr>
      <w:r>
        <w:rPr>
          <w:color w:val="auto"/>
          <w:sz w:val="22"/>
          <w:szCs w:val="22"/>
        </w:rPr>
        <w:t>The expenditure incurred was for business purposes i.e. f</w:t>
      </w:r>
      <w:r w:rsidR="00335713">
        <w:rPr>
          <w:color w:val="auto"/>
          <w:sz w:val="22"/>
          <w:szCs w:val="22"/>
        </w:rPr>
        <w:t xml:space="preserve">or the effective control of new hotels acquired by the assessee </w:t>
      </w:r>
      <w:r>
        <w:rPr>
          <w:color w:val="auto"/>
          <w:sz w:val="22"/>
          <w:szCs w:val="22"/>
        </w:rPr>
        <w:t>&amp;</w:t>
      </w:r>
      <w:r w:rsidR="00335713">
        <w:rPr>
          <w:i/>
          <w:iCs/>
          <w:color w:val="auto"/>
          <w:sz w:val="22"/>
          <w:szCs w:val="22"/>
        </w:rPr>
        <w:t xml:space="preserve"> the subsidiary company was formed to carry on the business of the parent company in a more effective manner. </w:t>
      </w:r>
    </w:p>
    <w:p w:rsidR="00E02A58" w:rsidRDefault="00E02A58"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3. Can “moneys payable” in respect of a building sold by the assessee (which has to be reduced from the opening written down value of the block of assets for calculating depreciation) be construed as the fair market value of the asset instead of the actual sale price? </w:t>
      </w:r>
    </w:p>
    <w:p w:rsidR="00335713" w:rsidRDefault="00335713" w:rsidP="00335713">
      <w:pPr>
        <w:pStyle w:val="Default"/>
        <w:rPr>
          <w:color w:val="auto"/>
          <w:sz w:val="22"/>
          <w:szCs w:val="22"/>
        </w:rPr>
      </w:pPr>
      <w:r>
        <w:rPr>
          <w:b/>
          <w:bCs/>
          <w:i/>
          <w:iCs/>
          <w:color w:val="auto"/>
          <w:sz w:val="22"/>
          <w:szCs w:val="22"/>
        </w:rPr>
        <w:t xml:space="preserve">CIT v. Cable Corporation of India Ltd. (2011) 336 ITR 56 (Bom.) </w:t>
      </w:r>
    </w:p>
    <w:p w:rsidR="00805A21" w:rsidRDefault="00805A21" w:rsidP="00E02A58">
      <w:pPr>
        <w:pStyle w:val="Default"/>
        <w:rPr>
          <w:color w:val="auto"/>
          <w:sz w:val="22"/>
          <w:szCs w:val="22"/>
        </w:rPr>
      </w:pPr>
      <w:r>
        <w:rPr>
          <w:color w:val="auto"/>
          <w:sz w:val="22"/>
          <w:szCs w:val="22"/>
        </w:rPr>
        <w:t>No. Actual sale price should have considered</w:t>
      </w:r>
      <w:r w:rsidR="00244DDE">
        <w:rPr>
          <w:color w:val="auto"/>
          <w:sz w:val="22"/>
          <w:szCs w:val="22"/>
        </w:rPr>
        <w:t xml:space="preserve"> and deductible</w:t>
      </w:r>
      <w:r>
        <w:rPr>
          <w:color w:val="auto"/>
          <w:sz w:val="22"/>
          <w:szCs w:val="22"/>
        </w:rPr>
        <w:t xml:space="preserve"> to arrive closing WDV u/s 43(6).</w:t>
      </w:r>
    </w:p>
    <w:p w:rsidR="00335713" w:rsidRDefault="00805A21" w:rsidP="00335713">
      <w:pPr>
        <w:pStyle w:val="Default"/>
        <w:rPr>
          <w:color w:val="auto"/>
          <w:sz w:val="22"/>
          <w:szCs w:val="22"/>
        </w:rPr>
      </w:pPr>
      <w:r w:rsidRPr="00805A21">
        <w:rPr>
          <w:b/>
          <w:color w:val="auto"/>
          <w:sz w:val="22"/>
          <w:szCs w:val="22"/>
        </w:rPr>
        <w:t>Note</w:t>
      </w:r>
      <w:r>
        <w:rPr>
          <w:color w:val="auto"/>
          <w:sz w:val="22"/>
          <w:szCs w:val="22"/>
        </w:rPr>
        <w:t>:</w:t>
      </w:r>
      <w:r w:rsidR="00335713">
        <w:rPr>
          <w:color w:val="auto"/>
          <w:sz w:val="22"/>
          <w:szCs w:val="22"/>
        </w:rPr>
        <w:t xml:space="preserve"> </w:t>
      </w:r>
      <w:r>
        <w:rPr>
          <w:color w:val="auto"/>
          <w:sz w:val="22"/>
          <w:szCs w:val="22"/>
        </w:rPr>
        <w:t>I</w:t>
      </w:r>
      <w:r w:rsidR="00335713">
        <w:rPr>
          <w:color w:val="auto"/>
          <w:sz w:val="22"/>
          <w:szCs w:val="22"/>
        </w:rPr>
        <w:t xml:space="preserve">n case of scrap, the amount of scrap value (i.e. the fair market value) has to be </w:t>
      </w:r>
      <w:r>
        <w:rPr>
          <w:color w:val="auto"/>
          <w:sz w:val="22"/>
          <w:szCs w:val="22"/>
        </w:rPr>
        <w:t>reduced.</w:t>
      </w:r>
    </w:p>
    <w:p w:rsidR="00244DDE" w:rsidRDefault="00244DDE"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4. Can the expenditure incurred on the assessee-lawyer’s heart surgery be allowed as business expenditure under section 31 by treating it as current repairs considering heart as plant and machinery or under section 37 by treating it as expenditure incurred wholly and exclusively for purposes of business or profession? </w:t>
      </w:r>
    </w:p>
    <w:p w:rsidR="00335713" w:rsidRDefault="00335713" w:rsidP="00335713">
      <w:pPr>
        <w:pStyle w:val="Default"/>
        <w:rPr>
          <w:color w:val="auto"/>
          <w:sz w:val="22"/>
          <w:szCs w:val="22"/>
        </w:rPr>
      </w:pPr>
      <w:r>
        <w:rPr>
          <w:b/>
          <w:bCs/>
          <w:i/>
          <w:iCs/>
          <w:color w:val="auto"/>
          <w:sz w:val="22"/>
          <w:szCs w:val="22"/>
        </w:rPr>
        <w:t xml:space="preserve">Shanti Bhushan v. CIT (2011) 336 ITR 26 (Delhi) </w:t>
      </w:r>
    </w:p>
    <w:p w:rsidR="00335713" w:rsidRDefault="00244DDE" w:rsidP="00335713">
      <w:pPr>
        <w:pStyle w:val="Default"/>
        <w:rPr>
          <w:color w:val="auto"/>
          <w:sz w:val="22"/>
          <w:szCs w:val="22"/>
        </w:rPr>
      </w:pPr>
      <w:r>
        <w:rPr>
          <w:color w:val="auto"/>
          <w:sz w:val="22"/>
          <w:szCs w:val="22"/>
        </w:rPr>
        <w:t>No.</w:t>
      </w:r>
      <w:r w:rsidR="00335713">
        <w:rPr>
          <w:color w:val="auto"/>
          <w:sz w:val="22"/>
          <w:szCs w:val="22"/>
        </w:rPr>
        <w:t xml:space="preserve"> </w:t>
      </w:r>
    </w:p>
    <w:p w:rsidR="00335713" w:rsidRDefault="00335713" w:rsidP="00335713">
      <w:pPr>
        <w:pStyle w:val="Default"/>
        <w:rPr>
          <w:color w:val="auto"/>
          <w:sz w:val="22"/>
          <w:szCs w:val="22"/>
        </w:rPr>
      </w:pPr>
      <w:r>
        <w:rPr>
          <w:color w:val="auto"/>
          <w:sz w:val="22"/>
          <w:szCs w:val="22"/>
        </w:rPr>
        <w:t xml:space="preserve"> It cannot be said that the heart is used as an exclusive tool for the purpose of professional activity by the assessee. Further, the High Court held that:- </w:t>
      </w:r>
    </w:p>
    <w:p w:rsidR="00335713" w:rsidRDefault="00335713" w:rsidP="00244DDE">
      <w:pPr>
        <w:pStyle w:val="Default"/>
        <w:rPr>
          <w:color w:val="auto"/>
          <w:sz w:val="22"/>
          <w:szCs w:val="22"/>
        </w:rPr>
      </w:pPr>
      <w:r>
        <w:rPr>
          <w:color w:val="auto"/>
          <w:sz w:val="22"/>
          <w:szCs w:val="22"/>
        </w:rPr>
        <w:t xml:space="preserve">(i) To allow the heart surgery expenditure as repair expenses to plant, the heart should have </w:t>
      </w:r>
      <w:r w:rsidRPr="00244DDE">
        <w:rPr>
          <w:color w:val="auto"/>
          <w:sz w:val="22"/>
          <w:szCs w:val="22"/>
          <w:u w:val="single"/>
        </w:rPr>
        <w:t>been first included in the assessee’s balance sheet</w:t>
      </w:r>
      <w:r>
        <w:rPr>
          <w:color w:val="auto"/>
          <w:sz w:val="22"/>
          <w:szCs w:val="22"/>
        </w:rPr>
        <w:t xml:space="preserve"> as an asset in the previous year and in the earlier years. Also, </w:t>
      </w:r>
      <w:r w:rsidRPr="00244DDE">
        <w:rPr>
          <w:color w:val="auto"/>
          <w:sz w:val="22"/>
          <w:szCs w:val="22"/>
          <w:u w:val="single"/>
        </w:rPr>
        <w:t>a value needs to be assigned</w:t>
      </w:r>
      <w:r>
        <w:rPr>
          <w:color w:val="auto"/>
          <w:sz w:val="22"/>
          <w:szCs w:val="22"/>
        </w:rPr>
        <w:t xml:space="preserve"> for the same. </w:t>
      </w:r>
    </w:p>
    <w:p w:rsidR="00335713" w:rsidRDefault="00335713" w:rsidP="00335713">
      <w:pPr>
        <w:pStyle w:val="Default"/>
        <w:rPr>
          <w:color w:val="auto"/>
          <w:sz w:val="22"/>
          <w:szCs w:val="22"/>
        </w:rPr>
      </w:pPr>
      <w:r>
        <w:rPr>
          <w:color w:val="auto"/>
          <w:sz w:val="22"/>
          <w:szCs w:val="22"/>
        </w:rPr>
        <w:t xml:space="preserve">(ii) According to the provisions of section 37, </w:t>
      </w:r>
      <w:r>
        <w:rPr>
          <w:i/>
          <w:iCs/>
          <w:color w:val="auto"/>
          <w:sz w:val="22"/>
          <w:szCs w:val="22"/>
        </w:rPr>
        <w:t xml:space="preserve">inter alia, </w:t>
      </w:r>
      <w:r>
        <w:rPr>
          <w:color w:val="auto"/>
          <w:sz w:val="22"/>
          <w:szCs w:val="22"/>
        </w:rPr>
        <w:t xml:space="preserve">the said expenditure must be incurred </w:t>
      </w:r>
      <w:r>
        <w:rPr>
          <w:b/>
          <w:bCs/>
          <w:color w:val="auto"/>
          <w:sz w:val="22"/>
          <w:szCs w:val="22"/>
        </w:rPr>
        <w:t xml:space="preserve">wholly and exclusively </w:t>
      </w:r>
      <w:r>
        <w:rPr>
          <w:color w:val="auto"/>
          <w:sz w:val="22"/>
          <w:szCs w:val="22"/>
        </w:rPr>
        <w:t xml:space="preserve">for the purposes of the assessee's profession. </w:t>
      </w:r>
      <w:r w:rsidR="00244DDE">
        <w:rPr>
          <w:color w:val="auto"/>
          <w:sz w:val="22"/>
          <w:szCs w:val="22"/>
        </w:rPr>
        <w:t>Th</w:t>
      </w:r>
      <w:r>
        <w:rPr>
          <w:color w:val="auto"/>
          <w:sz w:val="22"/>
          <w:szCs w:val="22"/>
        </w:rPr>
        <w:t xml:space="preserve">ere is no </w:t>
      </w:r>
      <w:r>
        <w:rPr>
          <w:b/>
          <w:bCs/>
          <w:color w:val="auto"/>
          <w:sz w:val="22"/>
          <w:szCs w:val="22"/>
        </w:rPr>
        <w:t xml:space="preserve">direct nexus </w:t>
      </w:r>
      <w:r>
        <w:rPr>
          <w:color w:val="auto"/>
          <w:sz w:val="22"/>
          <w:szCs w:val="22"/>
        </w:rPr>
        <w:t xml:space="preserve">between the expenses incurred by the assessee on the heart surgery and his efficiency in the professional field. Therefore, the claim for allowing the said expenditure under section 37 is also not tenable. </w:t>
      </w:r>
    </w:p>
    <w:p w:rsidR="00244DDE" w:rsidRDefault="00244DDE"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5. Would the expenditure incurred for issue and collection of convertible debentures be treated as revenue expenditure or capital expenditure? </w:t>
      </w:r>
    </w:p>
    <w:p w:rsidR="00335713" w:rsidRDefault="00335713" w:rsidP="00335713">
      <w:pPr>
        <w:pStyle w:val="Default"/>
        <w:rPr>
          <w:color w:val="auto"/>
          <w:sz w:val="22"/>
          <w:szCs w:val="22"/>
        </w:rPr>
      </w:pPr>
      <w:r>
        <w:rPr>
          <w:b/>
          <w:bCs/>
          <w:i/>
          <w:iCs/>
          <w:color w:val="auto"/>
          <w:sz w:val="22"/>
          <w:szCs w:val="22"/>
        </w:rPr>
        <w:lastRenderedPageBreak/>
        <w:t xml:space="preserve">CIT v. ITC Hotels Ltd. (2011) 334 ITR 109 (Kar.) </w:t>
      </w:r>
    </w:p>
    <w:p w:rsidR="00244DDE" w:rsidRDefault="00FA1F6F" w:rsidP="00335713">
      <w:pPr>
        <w:pStyle w:val="Default"/>
        <w:rPr>
          <w:color w:val="auto"/>
          <w:sz w:val="22"/>
          <w:szCs w:val="22"/>
        </w:rPr>
      </w:pPr>
      <w:r>
        <w:rPr>
          <w:color w:val="auto"/>
          <w:sz w:val="22"/>
          <w:szCs w:val="22"/>
        </w:rPr>
        <w:t>Matter have contradictory decisions</w:t>
      </w:r>
      <w:r w:rsidR="00244DDE">
        <w:rPr>
          <w:color w:val="auto"/>
          <w:sz w:val="22"/>
          <w:szCs w:val="22"/>
        </w:rPr>
        <w:t>.</w:t>
      </w:r>
    </w:p>
    <w:p w:rsidR="00244DDE" w:rsidRDefault="00244DDE" w:rsidP="00335713">
      <w:pPr>
        <w:pStyle w:val="Default"/>
        <w:rPr>
          <w:color w:val="auto"/>
          <w:sz w:val="22"/>
          <w:szCs w:val="22"/>
        </w:rPr>
      </w:pPr>
      <w:r>
        <w:rPr>
          <w:color w:val="auto"/>
          <w:sz w:val="22"/>
          <w:szCs w:val="22"/>
        </w:rPr>
        <w:t>1.</w:t>
      </w:r>
      <w:r w:rsidR="00335713">
        <w:rPr>
          <w:color w:val="auto"/>
          <w:sz w:val="22"/>
          <w:szCs w:val="22"/>
        </w:rPr>
        <w:t>On this issue, the Karnataka High Court held that the expenditure incurred on the issue and collection of debentures shall be treated as revenue expenditure even in case of convertible debentures</w:t>
      </w:r>
    </w:p>
    <w:p w:rsidR="00244DDE" w:rsidRDefault="00244DDE" w:rsidP="00335713">
      <w:pPr>
        <w:pStyle w:val="Default"/>
        <w:rPr>
          <w:i/>
          <w:iCs/>
          <w:color w:val="auto"/>
          <w:sz w:val="22"/>
          <w:szCs w:val="22"/>
        </w:rPr>
      </w:pPr>
      <w:r>
        <w:rPr>
          <w:b/>
          <w:bCs/>
          <w:color w:val="auto"/>
          <w:sz w:val="22"/>
          <w:szCs w:val="22"/>
        </w:rPr>
        <w:t>2.</w:t>
      </w:r>
      <w:r w:rsidR="00335713">
        <w:rPr>
          <w:b/>
          <w:bCs/>
          <w:color w:val="auto"/>
          <w:sz w:val="22"/>
          <w:szCs w:val="22"/>
        </w:rPr>
        <w:t xml:space="preserve"> </w:t>
      </w:r>
      <w:r>
        <w:rPr>
          <w:i/>
          <w:iCs/>
          <w:color w:val="auto"/>
          <w:sz w:val="22"/>
          <w:szCs w:val="22"/>
        </w:rPr>
        <w:t xml:space="preserve">However </w:t>
      </w:r>
      <w:r w:rsidR="00335713">
        <w:rPr>
          <w:i/>
          <w:iCs/>
          <w:color w:val="auto"/>
          <w:sz w:val="22"/>
          <w:szCs w:val="22"/>
        </w:rPr>
        <w:t>Ahmedabad High Court in the case of Banco Products (India) Ltd. v. CIT</w:t>
      </w:r>
      <w:r w:rsidR="00FA1F6F">
        <w:rPr>
          <w:i/>
          <w:iCs/>
          <w:color w:val="auto"/>
          <w:sz w:val="22"/>
          <w:szCs w:val="22"/>
        </w:rPr>
        <w:t>(1999)</w:t>
      </w:r>
      <w:r w:rsidR="00335713">
        <w:rPr>
          <w:i/>
          <w:iCs/>
          <w:color w:val="auto"/>
          <w:sz w:val="22"/>
          <w:szCs w:val="22"/>
        </w:rPr>
        <w:t xml:space="preserve"> </w:t>
      </w:r>
      <w:r>
        <w:rPr>
          <w:i/>
          <w:iCs/>
          <w:color w:val="auto"/>
          <w:sz w:val="22"/>
          <w:szCs w:val="22"/>
        </w:rPr>
        <w:t xml:space="preserve">held </w:t>
      </w:r>
      <w:r w:rsidR="00335713">
        <w:rPr>
          <w:i/>
          <w:iCs/>
          <w:color w:val="auto"/>
          <w:sz w:val="22"/>
          <w:szCs w:val="22"/>
        </w:rPr>
        <w:t>that since the convertible debentures have characterstics of equity shares, such debentures cannot be termed as debt and therefore proportionate issue expenses of such debentures that relates to the equity base of the company has to be</w:t>
      </w:r>
      <w:r w:rsidR="00FA1F6F">
        <w:rPr>
          <w:i/>
          <w:iCs/>
          <w:color w:val="auto"/>
          <w:sz w:val="22"/>
          <w:szCs w:val="22"/>
        </w:rPr>
        <w:t xml:space="preserve"> treated as capital expenditure.</w:t>
      </w:r>
    </w:p>
    <w:p w:rsidR="00335713" w:rsidRDefault="00244DDE" w:rsidP="00335713">
      <w:pPr>
        <w:pStyle w:val="Default"/>
        <w:rPr>
          <w:b/>
          <w:i/>
          <w:iCs/>
          <w:color w:val="auto"/>
          <w:sz w:val="22"/>
          <w:szCs w:val="22"/>
        </w:rPr>
      </w:pPr>
      <w:r w:rsidRPr="00FA1F6F">
        <w:rPr>
          <w:b/>
          <w:i/>
          <w:iCs/>
          <w:color w:val="auto"/>
          <w:sz w:val="22"/>
          <w:szCs w:val="22"/>
        </w:rPr>
        <w:t>My suggestion is that students should mention both the decision</w:t>
      </w:r>
      <w:r w:rsidR="00FA1F6F" w:rsidRPr="00FA1F6F">
        <w:rPr>
          <w:b/>
          <w:i/>
          <w:iCs/>
          <w:color w:val="auto"/>
          <w:sz w:val="22"/>
          <w:szCs w:val="22"/>
        </w:rPr>
        <w:t>s</w:t>
      </w:r>
      <w:r w:rsidRPr="00FA1F6F">
        <w:rPr>
          <w:b/>
          <w:i/>
          <w:iCs/>
          <w:color w:val="auto"/>
          <w:sz w:val="22"/>
          <w:szCs w:val="22"/>
        </w:rPr>
        <w:t xml:space="preserve"> </w:t>
      </w:r>
      <w:r w:rsidR="00FA1F6F" w:rsidRPr="00FA1F6F">
        <w:rPr>
          <w:b/>
          <w:i/>
          <w:iCs/>
          <w:color w:val="auto"/>
          <w:sz w:val="22"/>
          <w:szCs w:val="22"/>
        </w:rPr>
        <w:t xml:space="preserve">in their answer until the matter is considered &amp; resolved by the apex court. </w:t>
      </w:r>
    </w:p>
    <w:p w:rsidR="00FA1F6F" w:rsidRPr="00FA1F6F" w:rsidRDefault="00FA1F6F" w:rsidP="00335713">
      <w:pPr>
        <w:pStyle w:val="Default"/>
        <w:rPr>
          <w:b/>
          <w:color w:val="auto"/>
          <w:sz w:val="22"/>
          <w:szCs w:val="22"/>
        </w:rPr>
      </w:pPr>
    </w:p>
    <w:p w:rsidR="00335713" w:rsidRDefault="00335713" w:rsidP="00335713">
      <w:pPr>
        <w:pStyle w:val="Default"/>
        <w:rPr>
          <w:color w:val="auto"/>
          <w:sz w:val="22"/>
          <w:szCs w:val="22"/>
        </w:rPr>
      </w:pPr>
      <w:r>
        <w:rPr>
          <w:b/>
          <w:bCs/>
          <w:color w:val="auto"/>
          <w:sz w:val="22"/>
          <w:szCs w:val="22"/>
        </w:rPr>
        <w:t xml:space="preserve">6. Can the Assessing Officer bring to tax the actual profits as per books of accounts, if the same is higher than 10% of receipts which are deemed to be the profits under section 44BBB in case of a foreign company engaged in turnkey projects? </w:t>
      </w:r>
    </w:p>
    <w:p w:rsidR="00335713" w:rsidRDefault="00335713" w:rsidP="00335713">
      <w:pPr>
        <w:pStyle w:val="Default"/>
        <w:rPr>
          <w:color w:val="auto"/>
          <w:sz w:val="22"/>
          <w:szCs w:val="22"/>
        </w:rPr>
      </w:pPr>
      <w:r>
        <w:rPr>
          <w:b/>
          <w:bCs/>
          <w:i/>
          <w:iCs/>
          <w:color w:val="auto"/>
          <w:sz w:val="22"/>
          <w:szCs w:val="22"/>
        </w:rPr>
        <w:t xml:space="preserve">DIT v. DSD Noell GmbH (2011) 333 ITR 304 (Delhi) </w:t>
      </w:r>
    </w:p>
    <w:p w:rsidR="00335713" w:rsidRDefault="00FA1F6F" w:rsidP="00335713">
      <w:pPr>
        <w:pStyle w:val="Default"/>
        <w:pageBreakBefore/>
        <w:rPr>
          <w:color w:val="auto"/>
          <w:sz w:val="22"/>
          <w:szCs w:val="22"/>
        </w:rPr>
      </w:pPr>
      <w:r>
        <w:rPr>
          <w:color w:val="auto"/>
          <w:sz w:val="22"/>
          <w:szCs w:val="22"/>
        </w:rPr>
        <w:lastRenderedPageBreak/>
        <w:t>No.I</w:t>
      </w:r>
      <w:r w:rsidR="00335713">
        <w:rPr>
          <w:color w:val="auto"/>
          <w:sz w:val="22"/>
          <w:szCs w:val="22"/>
        </w:rPr>
        <w:t>f an assessee fulfills all the conditions mentioned in section 44BBB(1), the provisions of sections 28 to 44AA of the Act would not be applicable for computation of its business income, and a sum equal to 10% of the amount paid or payable to such foreign company would be deemed as its business income. Further, under section 44BBB(2), the assessee has the benefit of declaring</w:t>
      </w:r>
      <w:r>
        <w:rPr>
          <w:color w:val="auto"/>
          <w:sz w:val="22"/>
          <w:szCs w:val="22"/>
        </w:rPr>
        <w:t xml:space="preserve"> higher profits</w:t>
      </w:r>
      <w:r w:rsidR="00335713">
        <w:rPr>
          <w:color w:val="auto"/>
          <w:sz w:val="22"/>
          <w:szCs w:val="22"/>
        </w:rPr>
        <w:t xml:space="preserve"> before the Assessing Officer but the Revenue cannot take recourse of this sub-section to claim that the profits earned by the assessee were more than 10%. </w:t>
      </w:r>
    </w:p>
    <w:p w:rsidR="00FA1F6F" w:rsidRDefault="00FA1F6F" w:rsidP="00335713">
      <w:pPr>
        <w:pStyle w:val="Default"/>
        <w:pageBreakBefore/>
        <w:rPr>
          <w:color w:val="auto"/>
          <w:sz w:val="22"/>
          <w:szCs w:val="22"/>
        </w:rPr>
      </w:pPr>
    </w:p>
    <w:p w:rsidR="00335713" w:rsidRDefault="00335713" w:rsidP="00335713">
      <w:pPr>
        <w:pStyle w:val="Default"/>
        <w:rPr>
          <w:color w:val="auto"/>
          <w:sz w:val="22"/>
          <w:szCs w:val="22"/>
        </w:rPr>
      </w:pPr>
      <w:r>
        <w:rPr>
          <w:b/>
          <w:bCs/>
          <w:color w:val="auto"/>
          <w:sz w:val="22"/>
          <w:szCs w:val="22"/>
        </w:rPr>
        <w:t xml:space="preserve">7. Would expenditure incurred on feasibility study conducted for examining proposals for technological advancement relating to the existing business be classified as a revenue expenditure, where the project was abandoned without creating a new asset? </w:t>
      </w:r>
    </w:p>
    <w:p w:rsidR="00335713" w:rsidRDefault="00335713" w:rsidP="00335713">
      <w:pPr>
        <w:pStyle w:val="Default"/>
        <w:rPr>
          <w:color w:val="auto"/>
          <w:sz w:val="22"/>
          <w:szCs w:val="22"/>
        </w:rPr>
      </w:pPr>
      <w:r>
        <w:rPr>
          <w:b/>
          <w:bCs/>
          <w:i/>
          <w:iCs/>
          <w:color w:val="auto"/>
          <w:sz w:val="22"/>
          <w:szCs w:val="22"/>
        </w:rPr>
        <w:t xml:space="preserve">CIT v. Priya Village Roadshows Ltd. (2011) 332 ITR 594 (Delhi) </w:t>
      </w:r>
    </w:p>
    <w:p w:rsidR="00F9547A" w:rsidRDefault="00F9547A" w:rsidP="00335713">
      <w:pPr>
        <w:pStyle w:val="Default"/>
        <w:rPr>
          <w:color w:val="auto"/>
          <w:sz w:val="22"/>
          <w:szCs w:val="22"/>
        </w:rPr>
      </w:pPr>
      <w:r>
        <w:rPr>
          <w:color w:val="auto"/>
          <w:sz w:val="22"/>
          <w:szCs w:val="22"/>
        </w:rPr>
        <w:t>Revenue.</w:t>
      </w:r>
    </w:p>
    <w:p w:rsidR="00335713" w:rsidRDefault="00F9547A" w:rsidP="00335713">
      <w:pPr>
        <w:pStyle w:val="Default"/>
        <w:rPr>
          <w:color w:val="auto"/>
          <w:sz w:val="22"/>
          <w:szCs w:val="22"/>
        </w:rPr>
      </w:pPr>
      <w:r>
        <w:rPr>
          <w:color w:val="auto"/>
          <w:sz w:val="22"/>
          <w:szCs w:val="22"/>
        </w:rPr>
        <w:t>Relevant fact: W</w:t>
      </w:r>
      <w:r w:rsidR="00335713">
        <w:rPr>
          <w:color w:val="auto"/>
          <w:sz w:val="22"/>
          <w:szCs w:val="22"/>
        </w:rPr>
        <w:t>hether or not a new business/asset comes into existence</w:t>
      </w:r>
      <w:r>
        <w:rPr>
          <w:color w:val="auto"/>
          <w:sz w:val="22"/>
          <w:szCs w:val="22"/>
        </w:rPr>
        <w:t xml:space="preserve">. </w:t>
      </w:r>
      <w:r w:rsidR="00335713">
        <w:rPr>
          <w:color w:val="auto"/>
          <w:sz w:val="22"/>
          <w:szCs w:val="22"/>
        </w:rPr>
        <w:t xml:space="preserve">If there is no creation of a new asset, then the expenditure incurred would be of revenue nature. </w:t>
      </w:r>
    </w:p>
    <w:p w:rsidR="00823366" w:rsidRDefault="00823366"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8. Is the assessee entitled to depreciation on value of goodwill considering it as </w:t>
      </w:r>
      <w:r>
        <w:rPr>
          <w:color w:val="auto"/>
          <w:sz w:val="22"/>
          <w:szCs w:val="22"/>
        </w:rPr>
        <w:t>“</w:t>
      </w:r>
      <w:r>
        <w:rPr>
          <w:b/>
          <w:bCs/>
          <w:color w:val="auto"/>
          <w:sz w:val="22"/>
          <w:szCs w:val="22"/>
        </w:rPr>
        <w:t xml:space="preserve">other business or commercial rights of similar nature” within the meaning of an intangible asset? </w:t>
      </w:r>
    </w:p>
    <w:p w:rsidR="00335713" w:rsidRDefault="00335713" w:rsidP="00335713">
      <w:pPr>
        <w:pStyle w:val="Default"/>
        <w:rPr>
          <w:color w:val="auto"/>
          <w:sz w:val="22"/>
          <w:szCs w:val="22"/>
        </w:rPr>
      </w:pPr>
      <w:r>
        <w:rPr>
          <w:b/>
          <w:bCs/>
          <w:i/>
          <w:iCs/>
          <w:color w:val="auto"/>
          <w:sz w:val="22"/>
          <w:szCs w:val="22"/>
        </w:rPr>
        <w:t xml:space="preserve">B. Raveendran Pillai v. CIT (2011) 332 ITR 531 (Kerala) </w:t>
      </w:r>
    </w:p>
    <w:p w:rsidR="00335713" w:rsidRDefault="00823366" w:rsidP="00823366">
      <w:pPr>
        <w:pStyle w:val="Default"/>
        <w:rPr>
          <w:color w:val="auto"/>
          <w:sz w:val="22"/>
          <w:szCs w:val="22"/>
        </w:rPr>
      </w:pPr>
      <w:r>
        <w:rPr>
          <w:color w:val="auto"/>
          <w:sz w:val="22"/>
          <w:szCs w:val="22"/>
        </w:rPr>
        <w:t xml:space="preserve">Yes </w:t>
      </w:r>
      <w:r w:rsidR="00335713">
        <w:rPr>
          <w:color w:val="auto"/>
          <w:sz w:val="22"/>
          <w:szCs w:val="22"/>
        </w:rPr>
        <w:t>Under section 32(1)(ii)</w:t>
      </w:r>
      <w:r>
        <w:rPr>
          <w:color w:val="auto"/>
          <w:sz w:val="22"/>
          <w:szCs w:val="22"/>
        </w:rPr>
        <w:t>.</w:t>
      </w:r>
    </w:p>
    <w:p w:rsidR="00823366" w:rsidRDefault="00823366" w:rsidP="00823366">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9. Would the special provisions for computing profits under section 44BB be applicable to a non-resident carrying on business of seismic data acquisition and processing under contract with Indian concerns? </w:t>
      </w:r>
    </w:p>
    <w:p w:rsidR="00335713" w:rsidRDefault="00335713" w:rsidP="00335713">
      <w:pPr>
        <w:pStyle w:val="Default"/>
        <w:rPr>
          <w:color w:val="auto"/>
          <w:sz w:val="22"/>
          <w:szCs w:val="22"/>
        </w:rPr>
      </w:pPr>
      <w:r>
        <w:rPr>
          <w:b/>
          <w:bCs/>
          <w:i/>
          <w:iCs/>
          <w:color w:val="auto"/>
          <w:sz w:val="22"/>
          <w:szCs w:val="22"/>
        </w:rPr>
        <w:t xml:space="preserve">Global Geophysical Services Ltd., In re (2011) 332 ITR 418 (AAR) </w:t>
      </w:r>
    </w:p>
    <w:p w:rsidR="00823366" w:rsidRDefault="00823366" w:rsidP="00335713">
      <w:pPr>
        <w:pStyle w:val="Default"/>
        <w:rPr>
          <w:color w:val="auto"/>
          <w:sz w:val="22"/>
          <w:szCs w:val="22"/>
        </w:rPr>
      </w:pPr>
      <w:r>
        <w:rPr>
          <w:color w:val="auto"/>
          <w:sz w:val="22"/>
          <w:szCs w:val="22"/>
        </w:rPr>
        <w:t>Yes. It was observed that without seismic data acquisition and interpretation, it is impractical to carry out the activity of prospecting of mineral oil and gas which is a step in aid to its exploration.</w:t>
      </w:r>
    </w:p>
    <w:p w:rsidR="00823366" w:rsidRDefault="00823366" w:rsidP="00335713">
      <w:pPr>
        <w:pStyle w:val="Default"/>
        <w:rPr>
          <w:color w:val="auto"/>
          <w:sz w:val="22"/>
          <w:szCs w:val="22"/>
        </w:rPr>
      </w:pPr>
      <w:r>
        <w:rPr>
          <w:color w:val="auto"/>
          <w:sz w:val="22"/>
          <w:szCs w:val="22"/>
        </w:rPr>
        <w:t>Note: AAR stands for Authority of Advance Ruling.</w:t>
      </w:r>
    </w:p>
    <w:p w:rsidR="00823366" w:rsidRDefault="00823366" w:rsidP="00335713">
      <w:pPr>
        <w:pStyle w:val="Default"/>
        <w:rPr>
          <w:color w:val="auto"/>
          <w:sz w:val="22"/>
          <w:szCs w:val="22"/>
        </w:rPr>
      </w:pPr>
    </w:p>
    <w:p w:rsidR="00335713" w:rsidRDefault="00823366" w:rsidP="00335713">
      <w:pPr>
        <w:pStyle w:val="Default"/>
        <w:rPr>
          <w:color w:val="auto"/>
          <w:sz w:val="22"/>
          <w:szCs w:val="22"/>
        </w:rPr>
      </w:pPr>
      <w:r>
        <w:rPr>
          <w:b/>
          <w:bCs/>
          <w:color w:val="auto"/>
          <w:sz w:val="22"/>
          <w:szCs w:val="22"/>
        </w:rPr>
        <w:t xml:space="preserve"> </w:t>
      </w:r>
      <w:r w:rsidR="00335713">
        <w:rPr>
          <w:b/>
          <w:bCs/>
          <w:color w:val="auto"/>
          <w:sz w:val="22"/>
          <w:szCs w:val="22"/>
        </w:rPr>
        <w:t xml:space="preserve">10. Can EPABX and mobile phones be treated as computers to be entitled to higher depreciation at 60%? </w:t>
      </w:r>
    </w:p>
    <w:p w:rsidR="00335713" w:rsidRDefault="00335713" w:rsidP="00335713">
      <w:pPr>
        <w:pStyle w:val="Default"/>
        <w:rPr>
          <w:color w:val="auto"/>
          <w:sz w:val="22"/>
          <w:szCs w:val="22"/>
        </w:rPr>
      </w:pPr>
      <w:r>
        <w:rPr>
          <w:b/>
          <w:bCs/>
          <w:i/>
          <w:iCs/>
          <w:color w:val="auto"/>
          <w:sz w:val="22"/>
          <w:szCs w:val="22"/>
        </w:rPr>
        <w:t xml:space="preserve">Federal Bank Ltd. v. ACIT (2011) 332 ITR 319 (Kerala) </w:t>
      </w:r>
    </w:p>
    <w:p w:rsidR="00823366" w:rsidRDefault="00823366" w:rsidP="00335713">
      <w:pPr>
        <w:pStyle w:val="Default"/>
        <w:rPr>
          <w:color w:val="auto"/>
          <w:sz w:val="22"/>
          <w:szCs w:val="22"/>
        </w:rPr>
      </w:pPr>
      <w:r>
        <w:rPr>
          <w:color w:val="auto"/>
          <w:sz w:val="22"/>
          <w:szCs w:val="22"/>
        </w:rPr>
        <w:t>No. T</w:t>
      </w:r>
      <w:r w:rsidR="00335713">
        <w:rPr>
          <w:color w:val="auto"/>
          <w:sz w:val="22"/>
          <w:szCs w:val="22"/>
        </w:rPr>
        <w:t xml:space="preserve">here is no ground to treat the communication equipment as computers. </w:t>
      </w:r>
    </w:p>
    <w:p w:rsidR="00823366" w:rsidRDefault="00823366"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11. Can the waiver of principal amount of loan taken for purchase of capital asset by the bank be treated as “benefit arising out of business” or “a remission of trading liability” for taxability as business income of the company? </w:t>
      </w:r>
    </w:p>
    <w:p w:rsidR="00335713" w:rsidRDefault="00335713" w:rsidP="00335713">
      <w:pPr>
        <w:pStyle w:val="Default"/>
        <w:rPr>
          <w:color w:val="auto"/>
          <w:sz w:val="22"/>
          <w:szCs w:val="22"/>
        </w:rPr>
      </w:pPr>
      <w:r>
        <w:rPr>
          <w:b/>
          <w:bCs/>
          <w:i/>
          <w:iCs/>
          <w:color w:val="auto"/>
          <w:sz w:val="22"/>
          <w:szCs w:val="22"/>
        </w:rPr>
        <w:t xml:space="preserve">Iskraemeco Regent Ltd. v. CIT (2011) 331 ITR 317 (Mad.) </w:t>
      </w:r>
    </w:p>
    <w:p w:rsidR="00335713" w:rsidRDefault="004F5204" w:rsidP="00335713">
      <w:pPr>
        <w:pStyle w:val="Default"/>
        <w:pageBreakBefore/>
        <w:rPr>
          <w:color w:val="auto"/>
          <w:sz w:val="22"/>
          <w:szCs w:val="22"/>
        </w:rPr>
      </w:pPr>
      <w:r>
        <w:rPr>
          <w:color w:val="auto"/>
          <w:sz w:val="22"/>
          <w:szCs w:val="22"/>
        </w:rPr>
        <w:lastRenderedPageBreak/>
        <w:t>No.</w:t>
      </w:r>
    </w:p>
    <w:p w:rsidR="004F5204" w:rsidRDefault="004F5204" w:rsidP="00335713">
      <w:pPr>
        <w:pStyle w:val="Default"/>
        <w:pageBreakBefore/>
        <w:rPr>
          <w:color w:val="auto"/>
          <w:sz w:val="22"/>
          <w:szCs w:val="22"/>
        </w:rPr>
      </w:pPr>
    </w:p>
    <w:p w:rsidR="00335713" w:rsidRDefault="00335713" w:rsidP="00335713">
      <w:pPr>
        <w:pStyle w:val="Default"/>
        <w:rPr>
          <w:color w:val="auto"/>
          <w:sz w:val="22"/>
          <w:szCs w:val="22"/>
        </w:rPr>
      </w:pPr>
      <w:r>
        <w:rPr>
          <w:b/>
          <w:bCs/>
          <w:color w:val="auto"/>
          <w:sz w:val="22"/>
          <w:szCs w:val="22"/>
        </w:rPr>
        <w:t xml:space="preserve">12. Would the phrase </w:t>
      </w:r>
      <w:r>
        <w:rPr>
          <w:color w:val="auto"/>
          <w:sz w:val="22"/>
          <w:szCs w:val="22"/>
        </w:rPr>
        <w:t>"</w:t>
      </w:r>
      <w:r>
        <w:rPr>
          <w:b/>
          <w:bCs/>
          <w:color w:val="auto"/>
          <w:sz w:val="22"/>
          <w:szCs w:val="22"/>
        </w:rPr>
        <w:t xml:space="preserve">used for purpose of business" in respect of discarded machine include use of such asset in the earlier years for claim of depreciation under section 32? </w:t>
      </w:r>
    </w:p>
    <w:p w:rsidR="00335713" w:rsidRDefault="00335713" w:rsidP="00335713">
      <w:pPr>
        <w:pStyle w:val="Default"/>
        <w:rPr>
          <w:color w:val="auto"/>
          <w:sz w:val="22"/>
          <w:szCs w:val="22"/>
        </w:rPr>
      </w:pPr>
      <w:r>
        <w:rPr>
          <w:b/>
          <w:bCs/>
          <w:i/>
          <w:iCs/>
          <w:color w:val="auto"/>
          <w:sz w:val="22"/>
          <w:szCs w:val="22"/>
        </w:rPr>
        <w:t xml:space="preserve">CIT v. Yamaha Motor India Pvt. Ltd. (2010) 328 ITR 297 (Delhi) </w:t>
      </w:r>
    </w:p>
    <w:p w:rsidR="00335713" w:rsidRDefault="004F5204" w:rsidP="00335713">
      <w:pPr>
        <w:pStyle w:val="Default"/>
        <w:rPr>
          <w:color w:val="auto"/>
          <w:sz w:val="22"/>
          <w:szCs w:val="22"/>
        </w:rPr>
      </w:pPr>
      <w:r>
        <w:rPr>
          <w:color w:val="auto"/>
          <w:sz w:val="22"/>
          <w:szCs w:val="22"/>
        </w:rPr>
        <w:t>Yes.</w:t>
      </w:r>
      <w:r w:rsidR="00335713">
        <w:rPr>
          <w:color w:val="auto"/>
          <w:sz w:val="22"/>
          <w:szCs w:val="22"/>
        </w:rPr>
        <w:t xml:space="preserve">The discarded machinery may not be actually used in the relevant previous year but depreciation can be claimed as long as it was used for the purposes of business in the earlier years </w:t>
      </w:r>
      <w:r w:rsidR="00335713" w:rsidRPr="004F5204">
        <w:rPr>
          <w:color w:val="auto"/>
          <w:sz w:val="22"/>
          <w:szCs w:val="22"/>
          <w:u w:val="single"/>
        </w:rPr>
        <w:t>provided the block continues to exist in the relevant previous year.</w:t>
      </w:r>
      <w:r w:rsidR="00335713">
        <w:rPr>
          <w:color w:val="auto"/>
          <w:sz w:val="22"/>
          <w:szCs w:val="22"/>
        </w:rPr>
        <w:t xml:space="preserve"> So, the condition for claiming depreciation in respect of the discarded machine would be satisfied if it is used in the earlier previous years for the business. </w:t>
      </w:r>
    </w:p>
    <w:p w:rsidR="004F5204" w:rsidRDefault="004F5204"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13. Can expenditure incurred by a company on higher studies of the director’s son abroad be claimed as business expenditure under section 37 on the contention that he was appointed as a trainee in the company under “apprentice training scheme”, where there was no proof of existence of such scheme? </w:t>
      </w:r>
    </w:p>
    <w:p w:rsidR="00335713" w:rsidRDefault="00335713" w:rsidP="00335713">
      <w:pPr>
        <w:pStyle w:val="Default"/>
        <w:rPr>
          <w:color w:val="auto"/>
          <w:sz w:val="22"/>
          <w:szCs w:val="22"/>
        </w:rPr>
      </w:pPr>
      <w:r>
        <w:rPr>
          <w:b/>
          <w:bCs/>
          <w:i/>
          <w:iCs/>
          <w:color w:val="auto"/>
          <w:sz w:val="22"/>
          <w:szCs w:val="22"/>
        </w:rPr>
        <w:t xml:space="preserve">Echjay Forgings Ltd. v. ACIT (2010) 328 ITR 286 (Bom.) </w:t>
      </w:r>
    </w:p>
    <w:p w:rsidR="00335713" w:rsidRDefault="004F5204" w:rsidP="00335713">
      <w:pPr>
        <w:pStyle w:val="Default"/>
        <w:rPr>
          <w:color w:val="auto"/>
          <w:sz w:val="22"/>
          <w:szCs w:val="22"/>
        </w:rPr>
      </w:pPr>
      <w:r>
        <w:rPr>
          <w:color w:val="auto"/>
          <w:sz w:val="22"/>
          <w:szCs w:val="22"/>
        </w:rPr>
        <w:t>NO.T</w:t>
      </w:r>
      <w:r w:rsidR="00335713">
        <w:rPr>
          <w:color w:val="auto"/>
          <w:sz w:val="22"/>
          <w:szCs w:val="22"/>
        </w:rPr>
        <w:t xml:space="preserve">here was no nexus between the education expenditure incurred abroad for the director’s son and the business of the assessee company. Therefore, the aforesaid expenditure was not deductible. </w:t>
      </w:r>
    </w:p>
    <w:p w:rsidR="004F5204" w:rsidRDefault="004F5204"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14. Can the expenditure incurred for purchase of second hand medical equipment for use as spare parts for existing equipment be claimed as revenue expenditure? </w:t>
      </w:r>
    </w:p>
    <w:p w:rsidR="00335713" w:rsidRDefault="00335713" w:rsidP="00335713">
      <w:pPr>
        <w:pStyle w:val="Default"/>
        <w:rPr>
          <w:color w:val="auto"/>
          <w:sz w:val="22"/>
          <w:szCs w:val="22"/>
        </w:rPr>
      </w:pPr>
      <w:r>
        <w:rPr>
          <w:b/>
          <w:bCs/>
          <w:i/>
          <w:iCs/>
          <w:color w:val="auto"/>
          <w:sz w:val="22"/>
          <w:szCs w:val="22"/>
        </w:rPr>
        <w:t xml:space="preserve">Dr. Aswath N. Rao v. ACIT (2010) 326 ITR 188 (Karn) </w:t>
      </w:r>
    </w:p>
    <w:p w:rsidR="00335713" w:rsidRDefault="00335713" w:rsidP="00335713">
      <w:pPr>
        <w:pStyle w:val="Default"/>
        <w:rPr>
          <w:color w:val="auto"/>
          <w:sz w:val="22"/>
          <w:szCs w:val="22"/>
        </w:rPr>
      </w:pPr>
      <w:r>
        <w:rPr>
          <w:b/>
          <w:bCs/>
          <w:color w:val="auto"/>
          <w:sz w:val="22"/>
          <w:szCs w:val="22"/>
        </w:rPr>
        <w:t xml:space="preserve">Relevant section: 37(1) </w:t>
      </w:r>
    </w:p>
    <w:p w:rsidR="00335713" w:rsidRDefault="004F5204" w:rsidP="00335713">
      <w:pPr>
        <w:pStyle w:val="Default"/>
        <w:rPr>
          <w:color w:val="auto"/>
          <w:sz w:val="22"/>
          <w:szCs w:val="22"/>
        </w:rPr>
      </w:pPr>
      <w:r>
        <w:rPr>
          <w:i/>
          <w:iCs/>
          <w:color w:val="auto"/>
          <w:sz w:val="22"/>
          <w:szCs w:val="22"/>
        </w:rPr>
        <w:t>Yes, since</w:t>
      </w:r>
      <w:r w:rsidR="00335713">
        <w:rPr>
          <w:i/>
          <w:iCs/>
          <w:color w:val="auto"/>
          <w:sz w:val="22"/>
          <w:szCs w:val="22"/>
        </w:rPr>
        <w:t xml:space="preserve"> the machinery was purchased with the intention of using its parts as spar</w:t>
      </w:r>
      <w:r>
        <w:rPr>
          <w:i/>
          <w:iCs/>
          <w:color w:val="auto"/>
          <w:sz w:val="22"/>
          <w:szCs w:val="22"/>
        </w:rPr>
        <w:t>e parts for existing machinery. The</w:t>
      </w:r>
      <w:r w:rsidR="00335713">
        <w:rPr>
          <w:i/>
          <w:iCs/>
          <w:color w:val="auto"/>
          <w:sz w:val="22"/>
          <w:szCs w:val="22"/>
        </w:rPr>
        <w:t xml:space="preserve"> date of its purchase</w:t>
      </w:r>
      <w:r>
        <w:rPr>
          <w:i/>
          <w:iCs/>
          <w:color w:val="auto"/>
          <w:sz w:val="22"/>
          <w:szCs w:val="22"/>
        </w:rPr>
        <w:t xml:space="preserve"> ie the date on which ownership is transferred</w:t>
      </w:r>
      <w:r w:rsidR="00335713">
        <w:rPr>
          <w:i/>
          <w:iCs/>
          <w:color w:val="auto"/>
          <w:sz w:val="22"/>
          <w:szCs w:val="22"/>
        </w:rPr>
        <w:t xml:space="preserve"> is material for determining the year in which the expenditure is allowable as deduction. However, if the intention was to use such machinery on a standalone basis, then the expenditure would be treated as a capital expenditure and the date on which it is put to use would determine its eligibility for depreciation in that year</w:t>
      </w:r>
      <w:r>
        <w:rPr>
          <w:i/>
          <w:iCs/>
          <w:color w:val="auto"/>
          <w:sz w:val="22"/>
          <w:szCs w:val="22"/>
        </w:rPr>
        <w:t>.</w:t>
      </w:r>
    </w:p>
    <w:p w:rsidR="00335713" w:rsidRDefault="00335713" w:rsidP="00335713">
      <w:pPr>
        <w:pStyle w:val="Default"/>
        <w:rPr>
          <w:color w:val="auto"/>
          <w:sz w:val="22"/>
          <w:szCs w:val="22"/>
        </w:rPr>
      </w:pPr>
      <w:r>
        <w:rPr>
          <w:b/>
          <w:bCs/>
          <w:color w:val="auto"/>
          <w:sz w:val="22"/>
          <w:szCs w:val="22"/>
        </w:rPr>
        <w:t xml:space="preserve">15. Can the amount incurred by the assessee for replacing the old mono sound system in its cinema theatre with a new Dolby stereo system be treated as revenue expenditure? </w:t>
      </w:r>
    </w:p>
    <w:p w:rsidR="00335713" w:rsidRDefault="00335713" w:rsidP="00335713">
      <w:pPr>
        <w:pStyle w:val="Default"/>
        <w:rPr>
          <w:color w:val="auto"/>
          <w:sz w:val="22"/>
          <w:szCs w:val="22"/>
        </w:rPr>
      </w:pPr>
      <w:r>
        <w:rPr>
          <w:b/>
          <w:bCs/>
          <w:i/>
          <w:iCs/>
          <w:color w:val="auto"/>
          <w:sz w:val="22"/>
          <w:szCs w:val="22"/>
        </w:rPr>
        <w:t xml:space="preserve">CIT v. Sagar Talkies (2010) 325 ITR 133 (Karn.) </w:t>
      </w:r>
    </w:p>
    <w:p w:rsidR="00335713" w:rsidRDefault="004F5204" w:rsidP="004F5204">
      <w:pPr>
        <w:pStyle w:val="Default"/>
        <w:rPr>
          <w:rFonts w:cstheme="minorBidi"/>
          <w:b/>
          <w:bCs/>
          <w:color w:val="auto"/>
          <w:sz w:val="22"/>
          <w:szCs w:val="22"/>
        </w:rPr>
      </w:pPr>
      <w:r>
        <w:rPr>
          <w:b/>
          <w:bCs/>
          <w:color w:val="auto"/>
          <w:sz w:val="22"/>
          <w:szCs w:val="22"/>
        </w:rPr>
        <w:t>No.</w:t>
      </w:r>
      <w:r w:rsidR="00335713">
        <w:rPr>
          <w:b/>
          <w:bCs/>
          <w:color w:val="auto"/>
          <w:sz w:val="22"/>
          <w:szCs w:val="22"/>
        </w:rPr>
        <w:t xml:space="preserve">This had not benefited the assessee in any way with regard to the total income since there was no change in the seating capacity of the theatre or </w:t>
      </w:r>
      <w:r w:rsidR="00335713">
        <w:rPr>
          <w:rFonts w:cstheme="minorBidi"/>
          <w:b/>
          <w:bCs/>
          <w:color w:val="auto"/>
          <w:sz w:val="22"/>
          <w:szCs w:val="22"/>
        </w:rPr>
        <w:t xml:space="preserve">increase in the tariff rate of the ticket. </w:t>
      </w:r>
    </w:p>
    <w:p w:rsidR="004F5204" w:rsidRDefault="004F5204" w:rsidP="004F5204">
      <w:pPr>
        <w:pStyle w:val="Default"/>
        <w:rPr>
          <w:rFonts w:cstheme="minorBidi"/>
          <w:color w:val="auto"/>
          <w:sz w:val="22"/>
          <w:szCs w:val="22"/>
        </w:rPr>
      </w:pPr>
    </w:p>
    <w:p w:rsidR="00335713" w:rsidRDefault="00335713" w:rsidP="00335713">
      <w:pPr>
        <w:pStyle w:val="Default"/>
        <w:rPr>
          <w:rFonts w:cstheme="minorBidi"/>
          <w:color w:val="auto"/>
          <w:sz w:val="22"/>
          <w:szCs w:val="22"/>
        </w:rPr>
      </w:pPr>
      <w:r>
        <w:rPr>
          <w:rFonts w:cstheme="minorBidi"/>
          <w:b/>
          <w:bCs/>
          <w:color w:val="auto"/>
          <w:sz w:val="22"/>
          <w:szCs w:val="22"/>
        </w:rPr>
        <w:t xml:space="preserve">16. For claiming deduction of bad debts, is it necessary for the assessee to establish that the debt had, in fact, become irrecoverable? </w:t>
      </w:r>
    </w:p>
    <w:p w:rsidR="00335713" w:rsidRDefault="00335713" w:rsidP="00335713">
      <w:pPr>
        <w:pStyle w:val="Default"/>
        <w:rPr>
          <w:color w:val="auto"/>
          <w:sz w:val="22"/>
          <w:szCs w:val="22"/>
        </w:rPr>
      </w:pPr>
      <w:r>
        <w:rPr>
          <w:b/>
          <w:bCs/>
          <w:i/>
          <w:iCs/>
          <w:color w:val="auto"/>
          <w:sz w:val="22"/>
          <w:szCs w:val="22"/>
        </w:rPr>
        <w:t xml:space="preserve">T.R.F. Ltd. v. CIT (2010) 323 ITR 397 (SC) </w:t>
      </w:r>
    </w:p>
    <w:p w:rsidR="00335713" w:rsidRDefault="00335713" w:rsidP="00335713">
      <w:pPr>
        <w:pStyle w:val="Default"/>
        <w:rPr>
          <w:color w:val="auto"/>
          <w:sz w:val="22"/>
          <w:szCs w:val="22"/>
        </w:rPr>
      </w:pPr>
      <w:r>
        <w:rPr>
          <w:b/>
          <w:bCs/>
          <w:color w:val="auto"/>
          <w:sz w:val="22"/>
          <w:szCs w:val="22"/>
        </w:rPr>
        <w:t xml:space="preserve">Relevant section : 36(1)(vii) </w:t>
      </w:r>
    </w:p>
    <w:p w:rsidR="00335713" w:rsidRDefault="004F5204" w:rsidP="00335713">
      <w:pPr>
        <w:pStyle w:val="Default"/>
        <w:rPr>
          <w:color w:val="auto"/>
          <w:sz w:val="22"/>
          <w:szCs w:val="22"/>
        </w:rPr>
      </w:pPr>
      <w:r>
        <w:rPr>
          <w:color w:val="auto"/>
          <w:sz w:val="22"/>
          <w:szCs w:val="22"/>
        </w:rPr>
        <w:t>No it I</w:t>
      </w:r>
      <w:r w:rsidR="00335713">
        <w:rPr>
          <w:color w:val="auto"/>
          <w:sz w:val="22"/>
          <w:szCs w:val="22"/>
        </w:rPr>
        <w:t xml:space="preserve">s not necessary for the assessee to establish that the debt, in fact, has become irrecoverable. It is enough if the bad debts is written off as irrecoverable in the accounts of the assessee for the relevant previous year. </w:t>
      </w:r>
    </w:p>
    <w:p w:rsidR="004F5204" w:rsidRDefault="004F5204"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17. Can payment to police personnel and gundas to keep away from the cinema theatres run by the assessee be allowed as deduction? </w:t>
      </w:r>
    </w:p>
    <w:p w:rsidR="00335713" w:rsidRDefault="00335713" w:rsidP="00335713">
      <w:pPr>
        <w:pStyle w:val="Default"/>
        <w:rPr>
          <w:color w:val="auto"/>
          <w:sz w:val="22"/>
          <w:szCs w:val="22"/>
        </w:rPr>
      </w:pPr>
      <w:r>
        <w:rPr>
          <w:b/>
          <w:bCs/>
          <w:i/>
          <w:iCs/>
          <w:color w:val="auto"/>
          <w:sz w:val="22"/>
          <w:szCs w:val="22"/>
        </w:rPr>
        <w:t xml:space="preserve">CIT v. Neelavathi &amp; Others (2010) 322 ITR 643 (Karn) </w:t>
      </w:r>
    </w:p>
    <w:p w:rsidR="00335713" w:rsidRDefault="00335713" w:rsidP="00335713">
      <w:pPr>
        <w:pStyle w:val="Default"/>
        <w:rPr>
          <w:color w:val="auto"/>
          <w:sz w:val="22"/>
          <w:szCs w:val="22"/>
        </w:rPr>
      </w:pPr>
      <w:r>
        <w:rPr>
          <w:b/>
          <w:bCs/>
          <w:color w:val="auto"/>
          <w:sz w:val="22"/>
          <w:szCs w:val="22"/>
        </w:rPr>
        <w:t xml:space="preserve">Relevant section: 37(1) </w:t>
      </w:r>
    </w:p>
    <w:p w:rsidR="00335713" w:rsidRDefault="00476A95" w:rsidP="00335713">
      <w:pPr>
        <w:pStyle w:val="Default"/>
        <w:rPr>
          <w:color w:val="auto"/>
          <w:sz w:val="22"/>
          <w:szCs w:val="22"/>
        </w:rPr>
      </w:pPr>
      <w:r>
        <w:rPr>
          <w:color w:val="auto"/>
          <w:sz w:val="22"/>
          <w:szCs w:val="22"/>
        </w:rPr>
        <w:t>No.</w:t>
      </w:r>
      <w:r w:rsidR="00335713">
        <w:rPr>
          <w:b/>
          <w:bCs/>
          <w:color w:val="auto"/>
          <w:sz w:val="22"/>
          <w:szCs w:val="22"/>
        </w:rPr>
        <w:t xml:space="preserve">Any payment made to the police illegally amounts to bribe and such illegal gratification cannot be considered as an allowable deduction. Similarly, any payment to a gunda as a precautionary measure so that he shall not cause any disturbance in the theatre run by the assessee is an illegal payment for which no deduction is allowable under the Act. </w:t>
      </w:r>
    </w:p>
    <w:p w:rsidR="00335713" w:rsidRDefault="00476A95" w:rsidP="00476A95">
      <w:pPr>
        <w:pStyle w:val="Default"/>
        <w:rPr>
          <w:rFonts w:cstheme="minorBidi"/>
          <w:color w:val="auto"/>
          <w:sz w:val="22"/>
          <w:szCs w:val="22"/>
        </w:rPr>
      </w:pPr>
      <w:r>
        <w:rPr>
          <w:color w:val="auto"/>
          <w:sz w:val="22"/>
          <w:szCs w:val="22"/>
        </w:rPr>
        <w:t xml:space="preserve">Additionally it can not be termed as payment made for security since </w:t>
      </w:r>
      <w:r w:rsidR="00335713">
        <w:rPr>
          <w:color w:val="auto"/>
          <w:sz w:val="22"/>
          <w:szCs w:val="22"/>
        </w:rPr>
        <w:t>such a payment is illegal</w:t>
      </w:r>
      <w:r>
        <w:rPr>
          <w:color w:val="auto"/>
          <w:sz w:val="22"/>
          <w:szCs w:val="22"/>
        </w:rPr>
        <w:t>.</w:t>
      </w:r>
    </w:p>
    <w:p w:rsidR="00335713" w:rsidRDefault="00335713" w:rsidP="00335713">
      <w:pPr>
        <w:pStyle w:val="Default"/>
        <w:pageBreakBefore/>
        <w:rPr>
          <w:rFonts w:cstheme="minorBidi"/>
          <w:color w:val="auto"/>
          <w:sz w:val="22"/>
          <w:szCs w:val="22"/>
        </w:rPr>
      </w:pPr>
      <w:r>
        <w:rPr>
          <w:rFonts w:cstheme="minorBidi"/>
          <w:b/>
          <w:bCs/>
          <w:color w:val="auto"/>
          <w:sz w:val="22"/>
          <w:szCs w:val="22"/>
        </w:rPr>
        <w:lastRenderedPageBreak/>
        <w:t xml:space="preserve">18. Can expenditure incurred on alteration of a dam to ensure adequate supply of water for the smelter plant owned by the assessee be allowed as revenue expenditure? </w:t>
      </w:r>
    </w:p>
    <w:p w:rsidR="00335713" w:rsidRDefault="00335713" w:rsidP="00335713">
      <w:pPr>
        <w:pStyle w:val="Default"/>
        <w:rPr>
          <w:color w:val="auto"/>
          <w:sz w:val="22"/>
          <w:szCs w:val="22"/>
        </w:rPr>
      </w:pPr>
      <w:r>
        <w:rPr>
          <w:b/>
          <w:bCs/>
          <w:i/>
          <w:iCs/>
          <w:color w:val="auto"/>
          <w:sz w:val="22"/>
          <w:szCs w:val="22"/>
        </w:rPr>
        <w:t xml:space="preserve">CIT v. Hindustan Zinc Ltd. (2010) 322 ITR 478 (Raj.) </w:t>
      </w:r>
    </w:p>
    <w:p w:rsidR="00335713" w:rsidRDefault="00335713" w:rsidP="00335713">
      <w:pPr>
        <w:pStyle w:val="Default"/>
        <w:rPr>
          <w:color w:val="auto"/>
          <w:sz w:val="22"/>
          <w:szCs w:val="22"/>
        </w:rPr>
      </w:pPr>
      <w:r>
        <w:rPr>
          <w:b/>
          <w:bCs/>
          <w:color w:val="auto"/>
          <w:sz w:val="22"/>
          <w:szCs w:val="22"/>
        </w:rPr>
        <w:t xml:space="preserve">Relevant section: 37(1) </w:t>
      </w:r>
    </w:p>
    <w:p w:rsidR="00315933" w:rsidRDefault="00315933" w:rsidP="00335713">
      <w:pPr>
        <w:pStyle w:val="Default"/>
        <w:rPr>
          <w:color w:val="auto"/>
          <w:sz w:val="22"/>
          <w:szCs w:val="22"/>
        </w:rPr>
      </w:pPr>
      <w:r>
        <w:rPr>
          <w:color w:val="auto"/>
          <w:sz w:val="22"/>
          <w:szCs w:val="22"/>
        </w:rPr>
        <w:t>Yes.</w:t>
      </w:r>
      <w:r w:rsidR="00335713">
        <w:rPr>
          <w:color w:val="auto"/>
          <w:sz w:val="22"/>
          <w:szCs w:val="22"/>
        </w:rPr>
        <w:t xml:space="preserve">The High Court observed that the expenditure incurred by the assessee </w:t>
      </w:r>
      <w:r w:rsidR="00335713" w:rsidRPr="00315933">
        <w:rPr>
          <w:b/>
          <w:color w:val="auto"/>
          <w:sz w:val="22"/>
          <w:szCs w:val="22"/>
          <w:u w:val="single"/>
        </w:rPr>
        <w:t>for commercial expediency</w:t>
      </w:r>
      <w:r w:rsidR="00335713">
        <w:rPr>
          <w:color w:val="auto"/>
          <w:sz w:val="22"/>
          <w:szCs w:val="22"/>
        </w:rPr>
        <w:t xml:space="preserve"> relates to carrying on of business. The expenditure is of such nature which a prudent businessman may incur for the purpose of his business. </w:t>
      </w:r>
      <w:r>
        <w:rPr>
          <w:color w:val="auto"/>
          <w:sz w:val="22"/>
          <w:szCs w:val="22"/>
        </w:rPr>
        <w:t>Its is a</w:t>
      </w:r>
      <w:r w:rsidR="00335713">
        <w:rPr>
          <w:color w:val="auto"/>
          <w:sz w:val="22"/>
          <w:szCs w:val="22"/>
        </w:rPr>
        <w:t xml:space="preserve"> operational expenses incurred by the assessee solely intended for the furtherance of the.</w:t>
      </w:r>
    </w:p>
    <w:p w:rsidR="00335713" w:rsidRDefault="00335713" w:rsidP="00335713">
      <w:pPr>
        <w:pStyle w:val="Default"/>
        <w:rPr>
          <w:color w:val="auto"/>
          <w:sz w:val="22"/>
          <w:szCs w:val="22"/>
        </w:rPr>
      </w:pPr>
      <w:r>
        <w:rPr>
          <w:color w:val="auto"/>
          <w:sz w:val="22"/>
          <w:szCs w:val="22"/>
        </w:rPr>
        <w:t xml:space="preserve"> </w:t>
      </w:r>
    </w:p>
    <w:p w:rsidR="00335713" w:rsidRDefault="00335713" w:rsidP="00335713">
      <w:pPr>
        <w:pStyle w:val="Default"/>
        <w:rPr>
          <w:color w:val="auto"/>
          <w:sz w:val="22"/>
          <w:szCs w:val="22"/>
        </w:rPr>
      </w:pPr>
      <w:r>
        <w:rPr>
          <w:b/>
          <w:bCs/>
          <w:color w:val="auto"/>
          <w:sz w:val="22"/>
          <w:szCs w:val="22"/>
        </w:rPr>
        <w:t xml:space="preserve">19. Is the amount paid by a construction company as regularization fee for violating building bye-laws allowable as deduction? </w:t>
      </w:r>
    </w:p>
    <w:p w:rsidR="00335713" w:rsidRDefault="00335713" w:rsidP="00335713">
      <w:pPr>
        <w:pStyle w:val="Default"/>
        <w:rPr>
          <w:color w:val="auto"/>
          <w:sz w:val="22"/>
          <w:szCs w:val="22"/>
        </w:rPr>
      </w:pPr>
      <w:r>
        <w:rPr>
          <w:b/>
          <w:bCs/>
          <w:i/>
          <w:iCs/>
          <w:color w:val="auto"/>
          <w:sz w:val="22"/>
          <w:szCs w:val="22"/>
        </w:rPr>
        <w:t xml:space="preserve">Millennia Developers (P) Ltd. v. DCIT (2010) 322 ITR 401 (Karn.) </w:t>
      </w:r>
    </w:p>
    <w:p w:rsidR="00335713" w:rsidRDefault="00335713" w:rsidP="00335713">
      <w:pPr>
        <w:pStyle w:val="Default"/>
        <w:rPr>
          <w:color w:val="auto"/>
          <w:sz w:val="22"/>
          <w:szCs w:val="22"/>
        </w:rPr>
      </w:pPr>
      <w:r>
        <w:rPr>
          <w:b/>
          <w:bCs/>
          <w:color w:val="auto"/>
          <w:sz w:val="22"/>
          <w:szCs w:val="22"/>
        </w:rPr>
        <w:t xml:space="preserve">Relevant section: 37(1) </w:t>
      </w:r>
    </w:p>
    <w:p w:rsidR="00335713" w:rsidRDefault="00CD1C78" w:rsidP="00CD1C78">
      <w:pPr>
        <w:pStyle w:val="Default"/>
        <w:rPr>
          <w:i/>
          <w:iCs/>
          <w:color w:val="auto"/>
          <w:sz w:val="22"/>
          <w:szCs w:val="22"/>
        </w:rPr>
      </w:pPr>
      <w:r>
        <w:rPr>
          <w:color w:val="auto"/>
          <w:sz w:val="22"/>
          <w:szCs w:val="22"/>
        </w:rPr>
        <w:t>No.</w:t>
      </w:r>
      <w:r w:rsidR="00335713">
        <w:rPr>
          <w:color w:val="auto"/>
          <w:sz w:val="22"/>
          <w:szCs w:val="22"/>
        </w:rPr>
        <w:t xml:space="preserve">The High Court observed that as per the provisions of the Karnataka Municipal Corporations Act, 1976, the amount paid to compound an offence is obviously a penalty and hence, does not qualify for deduction under section 37. Merely describing the payment as a compounding fee would not alter the character of the payment. </w:t>
      </w:r>
      <w:r>
        <w:rPr>
          <w:color w:val="auto"/>
          <w:sz w:val="22"/>
          <w:szCs w:val="22"/>
        </w:rPr>
        <w:t xml:space="preserve">Here principle of </w:t>
      </w:r>
      <w:r w:rsidR="00335713">
        <w:rPr>
          <w:i/>
          <w:iCs/>
          <w:color w:val="auto"/>
          <w:sz w:val="22"/>
          <w:szCs w:val="22"/>
        </w:rPr>
        <w:t>substance over form has been applied</w:t>
      </w:r>
      <w:r>
        <w:rPr>
          <w:i/>
          <w:iCs/>
          <w:color w:val="auto"/>
          <w:sz w:val="22"/>
          <w:szCs w:val="22"/>
        </w:rPr>
        <w:t>.</w:t>
      </w:r>
    </w:p>
    <w:p w:rsidR="00CD1C78" w:rsidRDefault="00CD1C78" w:rsidP="00CD1C78">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20. Would beneficial ownership of assets suffice for claim of depreciation on such assets? </w:t>
      </w:r>
    </w:p>
    <w:p w:rsidR="00335713" w:rsidRDefault="00335713" w:rsidP="00335713">
      <w:pPr>
        <w:pStyle w:val="Default"/>
        <w:rPr>
          <w:color w:val="auto"/>
          <w:sz w:val="22"/>
          <w:szCs w:val="22"/>
        </w:rPr>
      </w:pPr>
      <w:r>
        <w:rPr>
          <w:b/>
          <w:bCs/>
          <w:i/>
          <w:iCs/>
          <w:color w:val="auto"/>
          <w:sz w:val="22"/>
          <w:szCs w:val="22"/>
        </w:rPr>
        <w:t xml:space="preserve">CIT v. Smt. A. Sivakami and Another (2010) 322 ITR 64 </w:t>
      </w:r>
    </w:p>
    <w:p w:rsidR="00335713" w:rsidRDefault="00335713" w:rsidP="00335713">
      <w:pPr>
        <w:pStyle w:val="Default"/>
        <w:rPr>
          <w:color w:val="auto"/>
          <w:sz w:val="22"/>
          <w:szCs w:val="22"/>
        </w:rPr>
      </w:pPr>
      <w:r>
        <w:rPr>
          <w:b/>
          <w:bCs/>
          <w:color w:val="auto"/>
          <w:sz w:val="22"/>
          <w:szCs w:val="22"/>
        </w:rPr>
        <w:t xml:space="preserve">Relevant section: 32(1) </w:t>
      </w:r>
    </w:p>
    <w:p w:rsidR="00CD1C78" w:rsidRDefault="00CD1C78" w:rsidP="00335713">
      <w:pPr>
        <w:pStyle w:val="Default"/>
        <w:rPr>
          <w:color w:val="auto"/>
          <w:sz w:val="22"/>
          <w:szCs w:val="22"/>
        </w:rPr>
      </w:pPr>
      <w:r>
        <w:rPr>
          <w:color w:val="auto"/>
          <w:sz w:val="22"/>
          <w:szCs w:val="22"/>
        </w:rPr>
        <w:t>Yes.</w:t>
      </w:r>
      <w:r w:rsidR="00335713">
        <w:rPr>
          <w:color w:val="auto"/>
          <w:sz w:val="22"/>
          <w:szCs w:val="22"/>
        </w:rPr>
        <w:t xml:space="preserve">The High Court observed that in the context of the Income-tax Act, 1961 the owner is a person who is entitled to receive income from the property in his own right. The Supreme Court, in </w:t>
      </w:r>
      <w:r w:rsidR="00335713">
        <w:rPr>
          <w:i/>
          <w:iCs/>
          <w:color w:val="auto"/>
          <w:sz w:val="22"/>
          <w:szCs w:val="22"/>
        </w:rPr>
        <w:t>CIT v. Podar Cement P Ltd. (1997) 226 ITR 625</w:t>
      </w:r>
      <w:r w:rsidR="00335713">
        <w:rPr>
          <w:color w:val="auto"/>
          <w:sz w:val="22"/>
          <w:szCs w:val="22"/>
        </w:rPr>
        <w:t xml:space="preserve">, observed that the owner need not necessarily be the lawful owner entitled to pass on the title of the property to another. </w:t>
      </w:r>
    </w:p>
    <w:p w:rsidR="002808F4" w:rsidRDefault="002808F4"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21. Is the expenditure incurred on payment of retrenchment compensation and interest on money borrowed for payment of retrenchment compensation on closure of one of the textile manufacturing units of the assessee-company revenue in nature? </w:t>
      </w:r>
    </w:p>
    <w:p w:rsidR="00335713" w:rsidRDefault="00335713" w:rsidP="00335713">
      <w:pPr>
        <w:pStyle w:val="Default"/>
        <w:rPr>
          <w:color w:val="auto"/>
          <w:sz w:val="22"/>
          <w:szCs w:val="22"/>
        </w:rPr>
      </w:pPr>
      <w:r>
        <w:rPr>
          <w:b/>
          <w:bCs/>
          <w:i/>
          <w:iCs/>
          <w:color w:val="auto"/>
          <w:sz w:val="22"/>
          <w:szCs w:val="22"/>
        </w:rPr>
        <w:t xml:space="preserve">CIT v. DCM Ltd. (2010) 320 ITR 307 (Delhi) </w:t>
      </w:r>
    </w:p>
    <w:p w:rsidR="00335713" w:rsidRDefault="00CD1C78" w:rsidP="00335713">
      <w:pPr>
        <w:pStyle w:val="Default"/>
        <w:rPr>
          <w:color w:val="auto"/>
          <w:sz w:val="22"/>
          <w:szCs w:val="22"/>
        </w:rPr>
      </w:pPr>
      <w:r>
        <w:rPr>
          <w:color w:val="auto"/>
          <w:sz w:val="22"/>
          <w:szCs w:val="22"/>
        </w:rPr>
        <w:t>Yes.</w:t>
      </w:r>
    </w:p>
    <w:p w:rsidR="00CD1C78" w:rsidRDefault="00CD1C78" w:rsidP="00CD1C78">
      <w:pPr>
        <w:pStyle w:val="Default"/>
        <w:rPr>
          <w:color w:val="auto"/>
          <w:sz w:val="22"/>
          <w:szCs w:val="22"/>
        </w:rPr>
      </w:pPr>
      <w:r>
        <w:rPr>
          <w:i/>
          <w:iCs/>
          <w:color w:val="auto"/>
          <w:sz w:val="22"/>
          <w:szCs w:val="22"/>
        </w:rPr>
        <w:t xml:space="preserve"> In this case, the payment of compensation to workers on closure of a textile mill unit is treated as a revenue expenditure since after closure of the unit, the remaining business continued and there was inter-connection in the functioning of the different units. Therefore, it follows that if compensation is paid to workers on closure of the entire business, the same would be a capital expenditure. </w:t>
      </w:r>
    </w:p>
    <w:p w:rsidR="00335713" w:rsidRDefault="00CD1C78" w:rsidP="00CD1C78">
      <w:pPr>
        <w:pStyle w:val="Default"/>
        <w:rPr>
          <w:i/>
          <w:iCs/>
          <w:color w:val="auto"/>
          <w:sz w:val="22"/>
          <w:szCs w:val="22"/>
        </w:rPr>
      </w:pPr>
      <w:r>
        <w:rPr>
          <w:i/>
          <w:iCs/>
          <w:color w:val="auto"/>
          <w:sz w:val="22"/>
          <w:szCs w:val="22"/>
        </w:rPr>
        <w:t xml:space="preserve">Also refer to </w:t>
      </w:r>
      <w:r w:rsidR="00335713">
        <w:rPr>
          <w:i/>
          <w:iCs/>
          <w:color w:val="auto"/>
          <w:sz w:val="22"/>
          <w:szCs w:val="22"/>
        </w:rPr>
        <w:t xml:space="preserve">CIT v. Prithvi Insurance Co. (1967) </w:t>
      </w:r>
      <w:r>
        <w:rPr>
          <w:i/>
          <w:iCs/>
          <w:color w:val="auto"/>
          <w:sz w:val="22"/>
          <w:szCs w:val="22"/>
        </w:rPr>
        <w:t>(SC)</w:t>
      </w:r>
    </w:p>
    <w:p w:rsidR="00CD1C78" w:rsidRDefault="00CD1C78" w:rsidP="00CD1C78">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22. Can an assessee manufacturing textile goods claim additional depreciation under section 32(1)(iia) on setting up of a windmill? </w:t>
      </w:r>
    </w:p>
    <w:p w:rsidR="00335713" w:rsidRDefault="00335713" w:rsidP="00335713">
      <w:pPr>
        <w:pStyle w:val="Default"/>
        <w:rPr>
          <w:color w:val="auto"/>
          <w:sz w:val="22"/>
          <w:szCs w:val="22"/>
        </w:rPr>
      </w:pPr>
      <w:r>
        <w:rPr>
          <w:b/>
          <w:bCs/>
          <w:i/>
          <w:iCs/>
          <w:color w:val="auto"/>
          <w:sz w:val="22"/>
          <w:szCs w:val="22"/>
        </w:rPr>
        <w:t xml:space="preserve">CIT v. VTM Limited (2009) 319 ITR 336 (Mad.) </w:t>
      </w:r>
    </w:p>
    <w:p w:rsidR="00335713" w:rsidRDefault="00335713" w:rsidP="00335713">
      <w:pPr>
        <w:pStyle w:val="Default"/>
        <w:rPr>
          <w:color w:val="auto"/>
          <w:sz w:val="22"/>
          <w:szCs w:val="22"/>
        </w:rPr>
      </w:pPr>
      <w:r>
        <w:rPr>
          <w:b/>
          <w:bCs/>
          <w:color w:val="auto"/>
          <w:sz w:val="22"/>
          <w:szCs w:val="22"/>
        </w:rPr>
        <w:t xml:space="preserve">Relevant section: 32(1)(iia) </w:t>
      </w:r>
    </w:p>
    <w:p w:rsidR="00335713" w:rsidRDefault="00CD1C78" w:rsidP="00335713">
      <w:pPr>
        <w:pStyle w:val="Default"/>
        <w:rPr>
          <w:rFonts w:cstheme="minorBidi"/>
          <w:color w:val="auto"/>
          <w:sz w:val="22"/>
          <w:szCs w:val="22"/>
        </w:rPr>
      </w:pPr>
      <w:r>
        <w:rPr>
          <w:color w:val="auto"/>
          <w:sz w:val="22"/>
          <w:szCs w:val="22"/>
        </w:rPr>
        <w:t>Yes.</w:t>
      </w:r>
      <w:r w:rsidR="00335713">
        <w:rPr>
          <w:color w:val="auto"/>
          <w:sz w:val="22"/>
          <w:szCs w:val="22"/>
        </w:rPr>
        <w:t>The High Court held that in order to claim the benefit of section 32(1)(iia), what is required to be satisfied is that the new machinery or plant should have been acquired and installed</w:t>
      </w:r>
      <w:r w:rsidR="00315933">
        <w:rPr>
          <w:color w:val="auto"/>
          <w:sz w:val="22"/>
          <w:szCs w:val="22"/>
        </w:rPr>
        <w:t xml:space="preserve"> </w:t>
      </w:r>
      <w:r w:rsidR="00335713">
        <w:rPr>
          <w:i/>
          <w:iCs/>
          <w:color w:val="auto"/>
          <w:sz w:val="22"/>
          <w:szCs w:val="22"/>
        </w:rPr>
        <w:t>March, 31, 2005</w:t>
      </w:r>
      <w:r w:rsidR="00335713">
        <w:rPr>
          <w:color w:val="auto"/>
          <w:sz w:val="22"/>
          <w:szCs w:val="22"/>
        </w:rPr>
        <w:t xml:space="preserve"> by</w:t>
      </w:r>
      <w:r w:rsidR="00335713">
        <w:rPr>
          <w:rFonts w:cstheme="minorBidi"/>
          <w:b/>
          <w:bCs/>
          <w:color w:val="auto"/>
          <w:sz w:val="22"/>
          <w:szCs w:val="22"/>
        </w:rPr>
        <w:t xml:space="preserve"> </w:t>
      </w:r>
    </w:p>
    <w:p w:rsidR="00335713" w:rsidRDefault="00335713" w:rsidP="00335713">
      <w:pPr>
        <w:pStyle w:val="Default"/>
        <w:pageBreakBefore/>
        <w:rPr>
          <w:color w:val="auto"/>
          <w:sz w:val="22"/>
          <w:szCs w:val="22"/>
        </w:rPr>
      </w:pPr>
      <w:r>
        <w:rPr>
          <w:color w:val="auto"/>
          <w:sz w:val="22"/>
          <w:szCs w:val="22"/>
        </w:rPr>
        <w:lastRenderedPageBreak/>
        <w:t xml:space="preserve">an assessee, who was already engaged in the business of manufacture or production of any article or thing. </w:t>
      </w:r>
      <w:r w:rsidRPr="00CD1C78">
        <w:rPr>
          <w:color w:val="auto"/>
          <w:sz w:val="22"/>
          <w:szCs w:val="22"/>
          <w:u w:val="single"/>
        </w:rPr>
        <w:t>The provision does not state that the setting up of a new machinery or plant should have any operational connectivity to the article or thing that is already being manufactured by the assessee.</w:t>
      </w:r>
      <w:r>
        <w:rPr>
          <w:color w:val="auto"/>
          <w:sz w:val="22"/>
          <w:szCs w:val="22"/>
        </w:rPr>
        <w:t xml:space="preserve"> </w:t>
      </w:r>
    </w:p>
    <w:p w:rsidR="00CD1C78" w:rsidRDefault="00CD1C78" w:rsidP="00335713">
      <w:pPr>
        <w:pStyle w:val="Default"/>
        <w:pageBreakBefore/>
        <w:rPr>
          <w:color w:val="auto"/>
          <w:sz w:val="22"/>
          <w:szCs w:val="22"/>
        </w:rPr>
      </w:pPr>
    </w:p>
    <w:p w:rsidR="00335713" w:rsidRDefault="00335713" w:rsidP="00335713">
      <w:pPr>
        <w:pStyle w:val="Default"/>
        <w:rPr>
          <w:color w:val="auto"/>
          <w:sz w:val="22"/>
          <w:szCs w:val="22"/>
        </w:rPr>
      </w:pPr>
      <w:r>
        <w:rPr>
          <w:b/>
          <w:bCs/>
          <w:color w:val="auto"/>
          <w:sz w:val="22"/>
          <w:szCs w:val="22"/>
        </w:rPr>
        <w:t xml:space="preserve">23. Can the reimbursement of expenses towards customs duty be included for computing profits under section 44BB? </w:t>
      </w:r>
    </w:p>
    <w:p w:rsidR="00335713" w:rsidRDefault="00335713" w:rsidP="00335713">
      <w:pPr>
        <w:pStyle w:val="Default"/>
        <w:rPr>
          <w:color w:val="auto"/>
          <w:sz w:val="22"/>
          <w:szCs w:val="22"/>
        </w:rPr>
      </w:pPr>
      <w:r>
        <w:rPr>
          <w:b/>
          <w:bCs/>
          <w:i/>
          <w:iCs/>
          <w:color w:val="auto"/>
          <w:sz w:val="22"/>
          <w:szCs w:val="22"/>
        </w:rPr>
        <w:t xml:space="preserve">Director of Income Tax (International Taxation) v. Schlumberger Asia Services Ltd. (2009) 317 ITR 156 (Uttrakhand) </w:t>
      </w:r>
    </w:p>
    <w:p w:rsidR="00335713" w:rsidRDefault="00335713" w:rsidP="00335713">
      <w:pPr>
        <w:pStyle w:val="Default"/>
        <w:rPr>
          <w:color w:val="auto"/>
          <w:sz w:val="22"/>
          <w:szCs w:val="22"/>
        </w:rPr>
      </w:pPr>
      <w:r>
        <w:rPr>
          <w:b/>
          <w:bCs/>
          <w:color w:val="auto"/>
          <w:sz w:val="22"/>
          <w:szCs w:val="22"/>
        </w:rPr>
        <w:t xml:space="preserve">Relevant section: 44BB </w:t>
      </w:r>
    </w:p>
    <w:p w:rsidR="00315933" w:rsidRDefault="00315933" w:rsidP="00335713">
      <w:pPr>
        <w:pStyle w:val="Default"/>
        <w:rPr>
          <w:color w:val="auto"/>
          <w:sz w:val="22"/>
          <w:szCs w:val="22"/>
        </w:rPr>
      </w:pPr>
      <w:r>
        <w:rPr>
          <w:color w:val="auto"/>
          <w:sz w:val="22"/>
          <w:szCs w:val="22"/>
        </w:rPr>
        <w:t>No</w:t>
      </w:r>
      <w:r w:rsidR="00335713">
        <w:rPr>
          <w:color w:val="auto"/>
          <w:sz w:val="22"/>
          <w:szCs w:val="22"/>
        </w:rPr>
        <w:t xml:space="preserve">. </w:t>
      </w:r>
    </w:p>
    <w:p w:rsidR="00315933" w:rsidRDefault="00335713" w:rsidP="00335713">
      <w:pPr>
        <w:pStyle w:val="Default"/>
        <w:rPr>
          <w:b/>
          <w:bCs/>
          <w:color w:val="auto"/>
          <w:sz w:val="22"/>
          <w:szCs w:val="22"/>
        </w:rPr>
      </w:pPr>
      <w:r>
        <w:rPr>
          <w:b/>
          <w:bCs/>
          <w:color w:val="auto"/>
          <w:sz w:val="22"/>
          <w:szCs w:val="22"/>
        </w:rPr>
        <w:t>The High Court held that reimbursement of expenses towards the customs duty paid by the assessee, being statutory in nature, could not form part of amount for the purposes of deemed profits, unlike the other amounts received towards reimbursement</w:t>
      </w:r>
    </w:p>
    <w:p w:rsidR="00315933" w:rsidRDefault="00315933" w:rsidP="00335713">
      <w:pPr>
        <w:pStyle w:val="Default"/>
        <w:rPr>
          <w:b/>
          <w:bCs/>
          <w:color w:val="auto"/>
          <w:sz w:val="22"/>
          <w:szCs w:val="22"/>
        </w:rPr>
      </w:pPr>
    </w:p>
    <w:p w:rsidR="00335713" w:rsidRDefault="00335713" w:rsidP="00335713">
      <w:pPr>
        <w:pStyle w:val="Default"/>
        <w:rPr>
          <w:color w:val="auto"/>
          <w:sz w:val="22"/>
          <w:szCs w:val="22"/>
        </w:rPr>
      </w:pPr>
      <w:r>
        <w:rPr>
          <w:b/>
          <w:bCs/>
          <w:color w:val="auto"/>
          <w:sz w:val="22"/>
          <w:szCs w:val="22"/>
        </w:rPr>
        <w:t xml:space="preserve">24. Is the expenditure incurred by the assessee towards commitment charges for issuing debentures deductible as business expenditure, where the borrowing is for the purposes of meeting the working capital needs of the existing business? </w:t>
      </w:r>
    </w:p>
    <w:p w:rsidR="00335713" w:rsidRDefault="00335713" w:rsidP="00335713">
      <w:pPr>
        <w:pStyle w:val="Default"/>
        <w:rPr>
          <w:color w:val="auto"/>
          <w:sz w:val="22"/>
          <w:szCs w:val="22"/>
        </w:rPr>
      </w:pPr>
      <w:r>
        <w:rPr>
          <w:b/>
          <w:bCs/>
          <w:i/>
          <w:iCs/>
          <w:color w:val="auto"/>
          <w:sz w:val="22"/>
          <w:szCs w:val="22"/>
        </w:rPr>
        <w:t xml:space="preserve">CIT v. Mihir Textiles Ltd. (2009) 316 ITR 403 (Guj.) </w:t>
      </w:r>
    </w:p>
    <w:p w:rsidR="00335713" w:rsidRDefault="00335713" w:rsidP="00335713">
      <w:pPr>
        <w:pStyle w:val="Default"/>
        <w:rPr>
          <w:color w:val="auto"/>
          <w:sz w:val="22"/>
          <w:szCs w:val="22"/>
        </w:rPr>
      </w:pPr>
      <w:r>
        <w:rPr>
          <w:b/>
          <w:bCs/>
          <w:color w:val="auto"/>
          <w:sz w:val="22"/>
          <w:szCs w:val="22"/>
        </w:rPr>
        <w:t xml:space="preserve">Relevant section: 36(1) </w:t>
      </w:r>
    </w:p>
    <w:p w:rsidR="00335713" w:rsidRDefault="00315933" w:rsidP="00335713">
      <w:pPr>
        <w:pStyle w:val="Default"/>
        <w:rPr>
          <w:color w:val="auto"/>
          <w:sz w:val="22"/>
          <w:szCs w:val="22"/>
        </w:rPr>
      </w:pPr>
      <w:r>
        <w:rPr>
          <w:color w:val="auto"/>
          <w:sz w:val="22"/>
          <w:szCs w:val="22"/>
        </w:rPr>
        <w:t>Yes.</w:t>
      </w:r>
      <w:r w:rsidR="00335713">
        <w:rPr>
          <w:color w:val="auto"/>
          <w:sz w:val="22"/>
          <w:szCs w:val="22"/>
        </w:rPr>
        <w:t xml:space="preserve">On this issue, the High Court observed that money borrowed by issue of debentures </w:t>
      </w:r>
      <w:r w:rsidR="00335713" w:rsidRPr="00315933">
        <w:rPr>
          <w:color w:val="auto"/>
          <w:sz w:val="22"/>
          <w:szCs w:val="22"/>
          <w:u w:val="single"/>
        </w:rPr>
        <w:t xml:space="preserve">is in the nature of a loan </w:t>
      </w:r>
      <w:r w:rsidR="00335713">
        <w:rPr>
          <w:color w:val="auto"/>
          <w:sz w:val="22"/>
          <w:szCs w:val="22"/>
        </w:rPr>
        <w:t xml:space="preserve">and cannot assume the characteristic of investment. </w:t>
      </w:r>
    </w:p>
    <w:p w:rsidR="00335713" w:rsidRDefault="00335713" w:rsidP="00335713">
      <w:pPr>
        <w:pStyle w:val="Default"/>
        <w:pageBreakBefore/>
        <w:rPr>
          <w:rFonts w:cstheme="minorBidi"/>
          <w:color w:val="auto"/>
          <w:sz w:val="96"/>
          <w:szCs w:val="96"/>
        </w:rPr>
      </w:pPr>
      <w:r>
        <w:rPr>
          <w:rFonts w:cstheme="minorBidi"/>
          <w:b/>
          <w:bCs/>
          <w:color w:val="auto"/>
          <w:sz w:val="96"/>
          <w:szCs w:val="96"/>
        </w:rPr>
        <w:lastRenderedPageBreak/>
        <w:t xml:space="preserve">4 </w:t>
      </w:r>
    </w:p>
    <w:p w:rsidR="00335713" w:rsidRDefault="00335713" w:rsidP="00335713">
      <w:pPr>
        <w:pStyle w:val="Default"/>
        <w:rPr>
          <w:rFonts w:cstheme="minorBidi"/>
          <w:color w:val="auto"/>
          <w:sz w:val="38"/>
          <w:szCs w:val="38"/>
        </w:rPr>
      </w:pPr>
      <w:r>
        <w:rPr>
          <w:rFonts w:cstheme="minorBidi"/>
          <w:b/>
          <w:bCs/>
          <w:color w:val="auto"/>
          <w:sz w:val="48"/>
          <w:szCs w:val="48"/>
        </w:rPr>
        <w:t>C</w:t>
      </w:r>
      <w:r>
        <w:rPr>
          <w:rFonts w:cstheme="minorBidi"/>
          <w:b/>
          <w:bCs/>
          <w:color w:val="auto"/>
          <w:sz w:val="38"/>
          <w:szCs w:val="38"/>
        </w:rPr>
        <w:t xml:space="preserve">APITAL </w:t>
      </w:r>
      <w:r>
        <w:rPr>
          <w:rFonts w:cstheme="minorBidi"/>
          <w:b/>
          <w:bCs/>
          <w:color w:val="auto"/>
          <w:sz w:val="48"/>
          <w:szCs w:val="48"/>
        </w:rPr>
        <w:t>G</w:t>
      </w:r>
      <w:r>
        <w:rPr>
          <w:rFonts w:cstheme="minorBidi"/>
          <w:b/>
          <w:bCs/>
          <w:color w:val="auto"/>
          <w:sz w:val="38"/>
          <w:szCs w:val="38"/>
        </w:rPr>
        <w:t xml:space="preserve">AINS </w:t>
      </w:r>
    </w:p>
    <w:p w:rsidR="00335713" w:rsidRDefault="00335713" w:rsidP="00335713">
      <w:pPr>
        <w:pStyle w:val="Default"/>
        <w:rPr>
          <w:rFonts w:cstheme="minorBidi"/>
          <w:color w:val="auto"/>
          <w:sz w:val="22"/>
          <w:szCs w:val="22"/>
        </w:rPr>
      </w:pPr>
      <w:r>
        <w:rPr>
          <w:rFonts w:cstheme="minorBidi"/>
          <w:b/>
          <w:bCs/>
          <w:color w:val="auto"/>
          <w:sz w:val="22"/>
          <w:szCs w:val="22"/>
        </w:rPr>
        <w:t xml:space="preserve">1. Can the assessee claim exemption under section 54F, on account of capital gain arising on transfer of depreciable assets held for more than 36 months i.e. a long-term capital asset, though the same is deemed as capital gain arising on transfer of short-term capital asset by virtue of section 50? </w:t>
      </w:r>
    </w:p>
    <w:p w:rsidR="00335713" w:rsidRDefault="00335713" w:rsidP="00335713">
      <w:pPr>
        <w:pStyle w:val="Default"/>
        <w:rPr>
          <w:color w:val="auto"/>
          <w:sz w:val="22"/>
          <w:szCs w:val="22"/>
        </w:rPr>
      </w:pPr>
      <w:r>
        <w:rPr>
          <w:b/>
          <w:bCs/>
          <w:i/>
          <w:iCs/>
          <w:color w:val="auto"/>
          <w:sz w:val="22"/>
          <w:szCs w:val="22"/>
        </w:rPr>
        <w:t xml:space="preserve">CIT v. </w:t>
      </w:r>
      <w:r w:rsidR="00422478">
        <w:rPr>
          <w:b/>
          <w:bCs/>
          <w:i/>
          <w:iCs/>
          <w:color w:val="auto"/>
          <w:sz w:val="22"/>
          <w:szCs w:val="22"/>
        </w:rPr>
        <w:t>Rajiv Shukla (2011)</w:t>
      </w:r>
      <w:r>
        <w:rPr>
          <w:b/>
          <w:bCs/>
          <w:i/>
          <w:iCs/>
          <w:color w:val="auto"/>
          <w:sz w:val="22"/>
          <w:szCs w:val="22"/>
        </w:rPr>
        <w:t xml:space="preserve">(Delhi) </w:t>
      </w:r>
    </w:p>
    <w:p w:rsidR="00335713" w:rsidRDefault="00422478" w:rsidP="00335713">
      <w:pPr>
        <w:pStyle w:val="Default"/>
        <w:rPr>
          <w:color w:val="auto"/>
          <w:sz w:val="22"/>
          <w:szCs w:val="22"/>
        </w:rPr>
      </w:pPr>
      <w:r>
        <w:rPr>
          <w:color w:val="auto"/>
          <w:sz w:val="22"/>
          <w:szCs w:val="22"/>
        </w:rPr>
        <w:t>Yes.T</w:t>
      </w:r>
      <w:r w:rsidR="00335713">
        <w:rPr>
          <w:color w:val="auto"/>
          <w:sz w:val="22"/>
          <w:szCs w:val="22"/>
        </w:rPr>
        <w:t>he deeming fiction created by section 50 that the capital gain arising on transfer of a depreciable asset shall be treated as capital gain arising on transfer of short-term capital asset is only for the purpose of sections 48 and 49 and not for the purpose of any other section. Section 54F being an independent section will not be bound by the provisions of section 50. The depreciable asset if held for more than 36 months shall be a long-term capital asset as per the provisions of section 2(29A)</w:t>
      </w:r>
      <w:r>
        <w:rPr>
          <w:color w:val="auto"/>
          <w:sz w:val="22"/>
          <w:szCs w:val="22"/>
        </w:rPr>
        <w:t xml:space="preserve"> and therefore Sec 54F will be available</w:t>
      </w:r>
      <w:r w:rsidR="00335713">
        <w:rPr>
          <w:color w:val="auto"/>
          <w:sz w:val="22"/>
          <w:szCs w:val="22"/>
        </w:rPr>
        <w:t xml:space="preserve">. </w:t>
      </w:r>
    </w:p>
    <w:p w:rsidR="00335713" w:rsidRDefault="00335713" w:rsidP="00335713">
      <w:pPr>
        <w:pStyle w:val="Default"/>
        <w:rPr>
          <w:color w:val="auto"/>
          <w:sz w:val="22"/>
          <w:szCs w:val="22"/>
        </w:rPr>
      </w:pPr>
      <w:r>
        <w:rPr>
          <w:b/>
          <w:bCs/>
          <w:color w:val="auto"/>
          <w:sz w:val="22"/>
          <w:szCs w:val="22"/>
        </w:rPr>
        <w:t xml:space="preserve">2. Can exemption under section 54 be claimed in respect of more than one residential flat acquired by the assessee under a joint development agreement with a builder, wherein the property owned by the assessee was developed by the builder who constructed eight residential flats in the said property, four of which were given to the assessee? </w:t>
      </w:r>
    </w:p>
    <w:p w:rsidR="00335713" w:rsidRDefault="00335713" w:rsidP="00335713">
      <w:pPr>
        <w:pStyle w:val="Default"/>
        <w:rPr>
          <w:color w:val="auto"/>
          <w:sz w:val="22"/>
          <w:szCs w:val="22"/>
        </w:rPr>
      </w:pPr>
      <w:r>
        <w:rPr>
          <w:b/>
          <w:bCs/>
          <w:i/>
          <w:iCs/>
          <w:color w:val="auto"/>
          <w:sz w:val="22"/>
          <w:szCs w:val="22"/>
        </w:rPr>
        <w:t xml:space="preserve">CIT v. Smt. K. G. Rukminiamma (2011) (Kar.) </w:t>
      </w:r>
    </w:p>
    <w:p w:rsidR="00335713" w:rsidRDefault="004D23C5" w:rsidP="00335713">
      <w:pPr>
        <w:pStyle w:val="Default"/>
        <w:rPr>
          <w:color w:val="auto"/>
          <w:sz w:val="22"/>
          <w:szCs w:val="22"/>
        </w:rPr>
      </w:pPr>
      <w:r>
        <w:rPr>
          <w:color w:val="auto"/>
          <w:sz w:val="22"/>
          <w:szCs w:val="22"/>
        </w:rPr>
        <w:t>Yes.</w:t>
      </w:r>
      <w:r w:rsidR="00335713">
        <w:rPr>
          <w:color w:val="auto"/>
          <w:sz w:val="22"/>
          <w:szCs w:val="22"/>
        </w:rPr>
        <w:t xml:space="preserve">The Karnataka High Court, applying the decision in </w:t>
      </w:r>
      <w:r w:rsidR="00335713">
        <w:rPr>
          <w:i/>
          <w:iCs/>
          <w:color w:val="auto"/>
          <w:sz w:val="22"/>
          <w:szCs w:val="22"/>
        </w:rPr>
        <w:t xml:space="preserve">Anand Basappa (2009) 309 ITR 329 (Kar.) </w:t>
      </w:r>
      <w:r w:rsidR="00335713">
        <w:rPr>
          <w:color w:val="auto"/>
          <w:sz w:val="22"/>
          <w:szCs w:val="22"/>
        </w:rPr>
        <w:t xml:space="preserve">to the present case, held that all the four flats are situated in the same residential building and hence, will constitute "a residential house" for the purpose of section 54. Therefore, the assessee would be entitled to deduction under section 54 in respect of all four flats. </w:t>
      </w:r>
    </w:p>
    <w:p w:rsidR="004D23C5" w:rsidRDefault="004D23C5"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3. Whether indexation benefit in respect of the gifted asset shall apply from the year in which the asset was first held by the assessee or from the year the same was first acquired by the previous owner? </w:t>
      </w:r>
    </w:p>
    <w:p w:rsidR="00335713" w:rsidRDefault="00335713" w:rsidP="00335713">
      <w:pPr>
        <w:pStyle w:val="Default"/>
        <w:rPr>
          <w:color w:val="auto"/>
          <w:sz w:val="22"/>
          <w:szCs w:val="22"/>
        </w:rPr>
      </w:pPr>
      <w:r>
        <w:rPr>
          <w:b/>
          <w:bCs/>
          <w:i/>
          <w:iCs/>
          <w:color w:val="auto"/>
          <w:sz w:val="22"/>
          <w:szCs w:val="22"/>
        </w:rPr>
        <w:t xml:space="preserve">CIT v. Manjula J. Shah 16 Taxman 42 (Bom.) </w:t>
      </w:r>
    </w:p>
    <w:p w:rsidR="00335713" w:rsidRDefault="004D23C5" w:rsidP="00335713">
      <w:pPr>
        <w:pStyle w:val="Default"/>
        <w:rPr>
          <w:rFonts w:ascii="Arial" w:hAnsi="Arial" w:cs="Arial"/>
          <w:color w:val="auto"/>
          <w:sz w:val="20"/>
          <w:szCs w:val="20"/>
        </w:rPr>
      </w:pPr>
      <w:r>
        <w:rPr>
          <w:color w:val="auto"/>
          <w:sz w:val="22"/>
          <w:szCs w:val="22"/>
        </w:rPr>
        <w:t>Ans.</w:t>
      </w:r>
      <w:r w:rsidR="00335713">
        <w:rPr>
          <w:color w:val="auto"/>
          <w:sz w:val="22"/>
          <w:szCs w:val="22"/>
        </w:rPr>
        <w:t xml:space="preserve">As per </w:t>
      </w:r>
      <w:r w:rsidR="00335713">
        <w:rPr>
          <w:i/>
          <w:iCs/>
          <w:color w:val="auto"/>
          <w:sz w:val="22"/>
          <w:szCs w:val="22"/>
        </w:rPr>
        <w:t xml:space="preserve">Explanation </w:t>
      </w:r>
      <w:r w:rsidR="00335713">
        <w:rPr>
          <w:color w:val="auto"/>
          <w:sz w:val="22"/>
          <w:szCs w:val="22"/>
        </w:rPr>
        <w:t xml:space="preserve">1 to section 2(42A), in case the capital asset becomes the property of the assessee in the circumstances mentioned in section 49(1), </w:t>
      </w:r>
      <w:r w:rsidR="00335713">
        <w:rPr>
          <w:i/>
          <w:iCs/>
          <w:color w:val="auto"/>
          <w:sz w:val="22"/>
          <w:szCs w:val="22"/>
        </w:rPr>
        <w:t>inter alia</w:t>
      </w:r>
      <w:r w:rsidR="00335713">
        <w:rPr>
          <w:color w:val="auto"/>
          <w:sz w:val="22"/>
          <w:szCs w:val="22"/>
        </w:rPr>
        <w:t xml:space="preserve">, by way of gift by the previous owner, the indexed cost of acquisition in case of gifted asset has to be computed with reference to the year </w:t>
      </w:r>
      <w:r w:rsidR="00335713" w:rsidRPr="004D23C5">
        <w:rPr>
          <w:color w:val="auto"/>
          <w:sz w:val="22"/>
          <w:szCs w:val="22"/>
          <w:u w:val="single"/>
        </w:rPr>
        <w:t>in which the previous owner first held the asset</w:t>
      </w:r>
      <w:r w:rsidR="00335713">
        <w:rPr>
          <w:rFonts w:ascii="Arial" w:hAnsi="Arial" w:cs="Arial"/>
          <w:color w:val="auto"/>
          <w:sz w:val="20"/>
          <w:szCs w:val="20"/>
        </w:rPr>
        <w:t xml:space="preserve">. </w:t>
      </w:r>
    </w:p>
    <w:p w:rsidR="004D23C5" w:rsidRDefault="004D23C5" w:rsidP="00335713">
      <w:pPr>
        <w:pStyle w:val="Default"/>
        <w:rPr>
          <w:rFonts w:ascii="Arial" w:hAnsi="Arial" w:cs="Arial"/>
          <w:color w:val="auto"/>
          <w:sz w:val="20"/>
          <w:szCs w:val="20"/>
        </w:rPr>
      </w:pPr>
    </w:p>
    <w:p w:rsidR="00335713" w:rsidRDefault="00335713" w:rsidP="00335713">
      <w:pPr>
        <w:pStyle w:val="Default"/>
        <w:rPr>
          <w:color w:val="auto"/>
          <w:sz w:val="22"/>
          <w:szCs w:val="22"/>
        </w:rPr>
      </w:pPr>
      <w:r>
        <w:rPr>
          <w:b/>
          <w:bCs/>
          <w:color w:val="auto"/>
          <w:sz w:val="22"/>
          <w:szCs w:val="22"/>
        </w:rPr>
        <w:t xml:space="preserve">4. Can exemption under section 54B be denied solely on the ground that the new agricultural land purchased is not wholly owned by the assessee, as the assessee’s son is a co-owner as per the sale deed? </w:t>
      </w:r>
    </w:p>
    <w:p w:rsidR="00335713" w:rsidRDefault="00335713" w:rsidP="00335713">
      <w:pPr>
        <w:pStyle w:val="Default"/>
        <w:rPr>
          <w:color w:val="auto"/>
          <w:sz w:val="22"/>
          <w:szCs w:val="22"/>
        </w:rPr>
      </w:pPr>
      <w:r>
        <w:rPr>
          <w:b/>
          <w:bCs/>
          <w:i/>
          <w:iCs/>
          <w:color w:val="auto"/>
          <w:sz w:val="22"/>
          <w:szCs w:val="22"/>
        </w:rPr>
        <w:t xml:space="preserve">CIT v. </w:t>
      </w:r>
      <w:r w:rsidR="004D23C5">
        <w:rPr>
          <w:b/>
          <w:bCs/>
          <w:i/>
          <w:iCs/>
          <w:color w:val="auto"/>
          <w:sz w:val="22"/>
          <w:szCs w:val="22"/>
        </w:rPr>
        <w:t>Gurnam Singh (2010)</w:t>
      </w:r>
      <w:r>
        <w:rPr>
          <w:b/>
          <w:bCs/>
          <w:i/>
          <w:iCs/>
          <w:color w:val="auto"/>
          <w:sz w:val="22"/>
          <w:szCs w:val="22"/>
        </w:rPr>
        <w:t xml:space="preserve">(P&amp;H) </w:t>
      </w:r>
    </w:p>
    <w:p w:rsidR="00335713" w:rsidRDefault="00335713" w:rsidP="00335713">
      <w:pPr>
        <w:pStyle w:val="Default"/>
        <w:rPr>
          <w:color w:val="auto"/>
          <w:sz w:val="22"/>
          <w:szCs w:val="22"/>
        </w:rPr>
      </w:pPr>
      <w:r>
        <w:rPr>
          <w:b/>
          <w:bCs/>
          <w:color w:val="auto"/>
          <w:sz w:val="22"/>
          <w:szCs w:val="22"/>
        </w:rPr>
        <w:t xml:space="preserve">Relevant section : 54B </w:t>
      </w:r>
    </w:p>
    <w:p w:rsidR="00335713" w:rsidRDefault="004D23C5" w:rsidP="00335713">
      <w:pPr>
        <w:pStyle w:val="Default"/>
        <w:rPr>
          <w:color w:val="auto"/>
          <w:sz w:val="22"/>
          <w:szCs w:val="22"/>
        </w:rPr>
      </w:pPr>
      <w:r>
        <w:rPr>
          <w:color w:val="auto"/>
          <w:sz w:val="22"/>
          <w:szCs w:val="22"/>
        </w:rPr>
        <w:t>No.</w:t>
      </w:r>
      <w:r w:rsidR="00335713">
        <w:rPr>
          <w:color w:val="auto"/>
          <w:sz w:val="22"/>
          <w:szCs w:val="22"/>
        </w:rPr>
        <w:t xml:space="preserve">In this case, the High Court concurred with the Tribunal’s view that merely because the assessee’s son was shown in the sale deed as co-owner, it did not make any difference. Therefore, the assessee was entitled to deduction under section 54B. </w:t>
      </w:r>
    </w:p>
    <w:p w:rsidR="004D23C5" w:rsidRDefault="004D23C5"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5. In determining the period of holding of a capital asset received by a partner on dissolution of firm, can the period of holding of the capital asset by the firm be taken into account? </w:t>
      </w:r>
    </w:p>
    <w:p w:rsidR="00335713" w:rsidRDefault="00335713" w:rsidP="00335713">
      <w:pPr>
        <w:pStyle w:val="Default"/>
        <w:rPr>
          <w:color w:val="auto"/>
          <w:sz w:val="22"/>
          <w:szCs w:val="22"/>
        </w:rPr>
      </w:pPr>
      <w:r>
        <w:rPr>
          <w:b/>
          <w:bCs/>
          <w:i/>
          <w:iCs/>
          <w:color w:val="auto"/>
          <w:sz w:val="22"/>
          <w:szCs w:val="22"/>
        </w:rPr>
        <w:t>P. P.</w:t>
      </w:r>
      <w:r w:rsidR="004D23C5">
        <w:rPr>
          <w:b/>
          <w:bCs/>
          <w:i/>
          <w:iCs/>
          <w:color w:val="auto"/>
          <w:sz w:val="22"/>
          <w:szCs w:val="22"/>
        </w:rPr>
        <w:t xml:space="preserve"> Menon v. CIT (2010)</w:t>
      </w:r>
      <w:r>
        <w:rPr>
          <w:b/>
          <w:bCs/>
          <w:i/>
          <w:iCs/>
          <w:color w:val="auto"/>
          <w:sz w:val="22"/>
          <w:szCs w:val="22"/>
        </w:rPr>
        <w:t xml:space="preserve"> (Ker.) </w:t>
      </w:r>
    </w:p>
    <w:p w:rsidR="00335713" w:rsidRDefault="00335713" w:rsidP="00335713">
      <w:pPr>
        <w:pStyle w:val="Default"/>
        <w:rPr>
          <w:color w:val="auto"/>
          <w:sz w:val="22"/>
          <w:szCs w:val="22"/>
        </w:rPr>
      </w:pPr>
      <w:r>
        <w:rPr>
          <w:b/>
          <w:bCs/>
          <w:color w:val="auto"/>
          <w:sz w:val="22"/>
          <w:szCs w:val="22"/>
        </w:rPr>
        <w:t xml:space="preserve">Relevant sections : 2(42A) &amp; 49(1)(iii)(b) </w:t>
      </w:r>
    </w:p>
    <w:p w:rsidR="00335713" w:rsidRDefault="006F4A5C" w:rsidP="00335713">
      <w:pPr>
        <w:pStyle w:val="Default"/>
        <w:rPr>
          <w:color w:val="auto"/>
          <w:sz w:val="22"/>
          <w:szCs w:val="22"/>
        </w:rPr>
      </w:pPr>
      <w:r>
        <w:rPr>
          <w:color w:val="auto"/>
          <w:sz w:val="22"/>
          <w:szCs w:val="22"/>
        </w:rPr>
        <w:t xml:space="preserve">If dissolution of firm had taken place on or after 1.04.1987 </w:t>
      </w:r>
      <w:r w:rsidR="00335713">
        <w:rPr>
          <w:color w:val="auto"/>
          <w:sz w:val="22"/>
          <w:szCs w:val="22"/>
        </w:rPr>
        <w:t xml:space="preserve">the period of holding of the asset by the assessee </w:t>
      </w:r>
      <w:r>
        <w:rPr>
          <w:color w:val="auto"/>
          <w:sz w:val="22"/>
          <w:szCs w:val="22"/>
        </w:rPr>
        <w:t xml:space="preserve">, </w:t>
      </w:r>
      <w:r w:rsidR="00335713">
        <w:rPr>
          <w:color w:val="auto"/>
          <w:sz w:val="22"/>
          <w:szCs w:val="22"/>
        </w:rPr>
        <w:t xml:space="preserve">has to be reckoned from the date of dissolution of the firm. Since the assessee sold the property within three days of acquiring the same, the gains have to be treated as short-term capital gain. </w:t>
      </w:r>
    </w:p>
    <w:p w:rsidR="00335713" w:rsidRDefault="00335713" w:rsidP="00335713">
      <w:pPr>
        <w:pStyle w:val="Default"/>
        <w:rPr>
          <w:color w:val="auto"/>
          <w:sz w:val="22"/>
          <w:szCs w:val="22"/>
        </w:rPr>
      </w:pPr>
      <w:r>
        <w:rPr>
          <w:b/>
          <w:bCs/>
          <w:color w:val="auto"/>
          <w:sz w:val="22"/>
          <w:szCs w:val="22"/>
        </w:rPr>
        <w:lastRenderedPageBreak/>
        <w:t xml:space="preserve">6. Can exemption under section 54EC be denied on account of the bonds being issued after six months of the date of transfer even though the payment for the bonds was made by the assessee within the six month period? </w:t>
      </w:r>
    </w:p>
    <w:p w:rsidR="00335713" w:rsidRDefault="00335713" w:rsidP="00335713">
      <w:pPr>
        <w:pStyle w:val="Default"/>
        <w:rPr>
          <w:color w:val="auto"/>
          <w:sz w:val="22"/>
          <w:szCs w:val="22"/>
        </w:rPr>
      </w:pPr>
      <w:r>
        <w:rPr>
          <w:b/>
          <w:bCs/>
          <w:i/>
          <w:iCs/>
          <w:color w:val="auto"/>
          <w:sz w:val="22"/>
          <w:szCs w:val="22"/>
        </w:rPr>
        <w:t xml:space="preserve">Hindustan Unilever Ltd. v. DCIT (2010) 325 ITR 102 (Bom.) </w:t>
      </w:r>
    </w:p>
    <w:p w:rsidR="00335713" w:rsidRDefault="00335713" w:rsidP="00335713">
      <w:pPr>
        <w:pStyle w:val="Default"/>
        <w:rPr>
          <w:color w:val="auto"/>
          <w:sz w:val="22"/>
          <w:szCs w:val="22"/>
        </w:rPr>
      </w:pPr>
      <w:r>
        <w:rPr>
          <w:b/>
          <w:bCs/>
          <w:color w:val="auto"/>
          <w:sz w:val="22"/>
          <w:szCs w:val="22"/>
        </w:rPr>
        <w:t xml:space="preserve">Relevant section: 54EC </w:t>
      </w:r>
    </w:p>
    <w:p w:rsidR="00335713" w:rsidRDefault="006B6054" w:rsidP="00335713">
      <w:pPr>
        <w:pStyle w:val="Default"/>
        <w:rPr>
          <w:color w:val="auto"/>
          <w:sz w:val="22"/>
          <w:szCs w:val="22"/>
        </w:rPr>
      </w:pPr>
      <w:r>
        <w:rPr>
          <w:color w:val="auto"/>
          <w:sz w:val="22"/>
          <w:szCs w:val="22"/>
        </w:rPr>
        <w:t>Yes.</w:t>
      </w:r>
      <w:r w:rsidR="00335713">
        <w:rPr>
          <w:color w:val="auto"/>
          <w:sz w:val="22"/>
          <w:szCs w:val="22"/>
        </w:rPr>
        <w:t xml:space="preserve"> For the purpose of the provisions of section 54EC, the date of investment by the assessee must be regarded as the date on which payment is made.</w:t>
      </w:r>
      <w:r>
        <w:rPr>
          <w:color w:val="auto"/>
          <w:sz w:val="22"/>
          <w:szCs w:val="22"/>
        </w:rPr>
        <w:t>Therefore,</w:t>
      </w:r>
      <w:r w:rsidR="00335713">
        <w:rPr>
          <w:color w:val="auto"/>
          <w:sz w:val="22"/>
          <w:szCs w:val="22"/>
        </w:rPr>
        <w:t xml:space="preserve">if such payment is within a period of six months from the date of transfer, the assessee would be eligible to claim exemption under section 54EC. </w:t>
      </w:r>
    </w:p>
    <w:p w:rsidR="006B6054" w:rsidRDefault="006B6054"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7. What would be the period of holding to determine whether the capital gains on renunciation of right to subscribe for additional shares is short-term or long-term? </w:t>
      </w:r>
    </w:p>
    <w:p w:rsidR="00335713" w:rsidRDefault="00335713" w:rsidP="00335713">
      <w:pPr>
        <w:pStyle w:val="Default"/>
        <w:rPr>
          <w:color w:val="auto"/>
          <w:sz w:val="22"/>
          <w:szCs w:val="22"/>
        </w:rPr>
      </w:pPr>
      <w:r>
        <w:rPr>
          <w:b/>
          <w:bCs/>
          <w:i/>
          <w:iCs/>
          <w:color w:val="auto"/>
          <w:sz w:val="22"/>
          <w:szCs w:val="22"/>
        </w:rPr>
        <w:t xml:space="preserve">Navin Jindal v. ACIT (2010)  (SC) </w:t>
      </w:r>
    </w:p>
    <w:p w:rsidR="00335713" w:rsidRDefault="00335713" w:rsidP="00335713">
      <w:pPr>
        <w:pStyle w:val="Default"/>
        <w:rPr>
          <w:rFonts w:cstheme="minorBidi"/>
          <w:color w:val="auto"/>
          <w:sz w:val="22"/>
          <w:szCs w:val="22"/>
        </w:rPr>
      </w:pPr>
      <w:r>
        <w:rPr>
          <w:color w:val="auto"/>
          <w:sz w:val="22"/>
          <w:szCs w:val="22"/>
        </w:rPr>
        <w:t xml:space="preserve">On this issue, the Apex Court observed that the right to subscribe for additional offer of shares on rights basis, on the strength of existing shareholding in a company, comes into existence when the company decides to come out with the rights offer. Prior to that date, the right, though embedded in the original shareholding, remains inchoate. It crystallizes only when the rights offer is announced by the company. </w:t>
      </w:r>
    </w:p>
    <w:p w:rsidR="00335713" w:rsidRDefault="00335713" w:rsidP="00335713">
      <w:pPr>
        <w:pStyle w:val="Default"/>
        <w:pageBreakBefore/>
        <w:rPr>
          <w:rFonts w:cstheme="minorBidi"/>
          <w:color w:val="auto"/>
          <w:sz w:val="96"/>
          <w:szCs w:val="96"/>
        </w:rPr>
      </w:pPr>
      <w:r>
        <w:rPr>
          <w:rFonts w:cstheme="minorBidi"/>
          <w:b/>
          <w:bCs/>
          <w:color w:val="auto"/>
          <w:sz w:val="96"/>
          <w:szCs w:val="96"/>
        </w:rPr>
        <w:lastRenderedPageBreak/>
        <w:t xml:space="preserve">5 </w:t>
      </w:r>
    </w:p>
    <w:p w:rsidR="00335713" w:rsidRDefault="00335713" w:rsidP="00335713">
      <w:pPr>
        <w:pStyle w:val="Default"/>
        <w:rPr>
          <w:rFonts w:cstheme="minorBidi"/>
          <w:color w:val="auto"/>
          <w:sz w:val="38"/>
          <w:szCs w:val="38"/>
        </w:rPr>
      </w:pPr>
      <w:r>
        <w:rPr>
          <w:rFonts w:cstheme="minorBidi"/>
          <w:b/>
          <w:bCs/>
          <w:color w:val="auto"/>
          <w:sz w:val="48"/>
          <w:szCs w:val="48"/>
        </w:rPr>
        <w:t>I</w:t>
      </w:r>
      <w:r>
        <w:rPr>
          <w:rFonts w:cstheme="minorBidi"/>
          <w:b/>
          <w:bCs/>
          <w:color w:val="auto"/>
          <w:sz w:val="38"/>
          <w:szCs w:val="38"/>
        </w:rPr>
        <w:t xml:space="preserve">NCOME </w:t>
      </w:r>
      <w:r>
        <w:rPr>
          <w:rFonts w:cstheme="minorBidi"/>
          <w:b/>
          <w:bCs/>
          <w:color w:val="auto"/>
          <w:sz w:val="48"/>
          <w:szCs w:val="48"/>
        </w:rPr>
        <w:t>F</w:t>
      </w:r>
      <w:r>
        <w:rPr>
          <w:rFonts w:cstheme="minorBidi"/>
          <w:b/>
          <w:bCs/>
          <w:color w:val="auto"/>
          <w:sz w:val="38"/>
          <w:szCs w:val="38"/>
        </w:rPr>
        <w:t xml:space="preserve">ROM </w:t>
      </w:r>
      <w:r>
        <w:rPr>
          <w:rFonts w:cstheme="minorBidi"/>
          <w:b/>
          <w:bCs/>
          <w:color w:val="auto"/>
          <w:sz w:val="48"/>
          <w:szCs w:val="48"/>
        </w:rPr>
        <w:t>O</w:t>
      </w:r>
      <w:r>
        <w:rPr>
          <w:rFonts w:cstheme="minorBidi"/>
          <w:b/>
          <w:bCs/>
          <w:color w:val="auto"/>
          <w:sz w:val="38"/>
          <w:szCs w:val="38"/>
        </w:rPr>
        <w:t xml:space="preserve">THER </w:t>
      </w:r>
      <w:r>
        <w:rPr>
          <w:rFonts w:cstheme="minorBidi"/>
          <w:b/>
          <w:bCs/>
          <w:color w:val="auto"/>
          <w:sz w:val="48"/>
          <w:szCs w:val="48"/>
        </w:rPr>
        <w:t>S</w:t>
      </w:r>
      <w:r>
        <w:rPr>
          <w:rFonts w:cstheme="minorBidi"/>
          <w:b/>
          <w:bCs/>
          <w:color w:val="auto"/>
          <w:sz w:val="38"/>
          <w:szCs w:val="38"/>
        </w:rPr>
        <w:t xml:space="preserve">OURCES </w:t>
      </w:r>
    </w:p>
    <w:p w:rsidR="00335713" w:rsidRDefault="00335713" w:rsidP="00335713">
      <w:pPr>
        <w:pStyle w:val="Default"/>
        <w:rPr>
          <w:rFonts w:cstheme="minorBidi"/>
          <w:color w:val="auto"/>
          <w:sz w:val="22"/>
          <w:szCs w:val="22"/>
        </w:rPr>
      </w:pPr>
      <w:r>
        <w:rPr>
          <w:rFonts w:cstheme="minorBidi"/>
          <w:b/>
          <w:bCs/>
          <w:color w:val="auto"/>
          <w:sz w:val="22"/>
          <w:szCs w:val="22"/>
        </w:rPr>
        <w:t xml:space="preserve">1. Can winnings of prize money on unsold lottery tickets held by the distributor of lottery tickets be assessed as business income and be subject to normal rates of tax instead of the rates prescribed under section 115BB? </w:t>
      </w:r>
    </w:p>
    <w:p w:rsidR="00335713" w:rsidRDefault="00335713" w:rsidP="00335713">
      <w:pPr>
        <w:pStyle w:val="Default"/>
        <w:rPr>
          <w:color w:val="auto"/>
          <w:sz w:val="22"/>
          <w:szCs w:val="22"/>
        </w:rPr>
      </w:pPr>
      <w:r>
        <w:rPr>
          <w:b/>
          <w:bCs/>
          <w:i/>
          <w:iCs/>
          <w:color w:val="auto"/>
          <w:sz w:val="22"/>
          <w:szCs w:val="22"/>
        </w:rPr>
        <w:t>CIT v. Ma</w:t>
      </w:r>
      <w:r w:rsidR="006B6054">
        <w:rPr>
          <w:b/>
          <w:bCs/>
          <w:i/>
          <w:iCs/>
          <w:color w:val="auto"/>
          <w:sz w:val="22"/>
          <w:szCs w:val="22"/>
        </w:rPr>
        <w:t>njoo and Co. (2011)</w:t>
      </w:r>
      <w:r>
        <w:rPr>
          <w:b/>
          <w:bCs/>
          <w:i/>
          <w:iCs/>
          <w:color w:val="auto"/>
          <w:sz w:val="22"/>
          <w:szCs w:val="22"/>
        </w:rPr>
        <w:t xml:space="preserve">(Kerala) </w:t>
      </w:r>
    </w:p>
    <w:p w:rsidR="0050773B" w:rsidRDefault="0050773B" w:rsidP="00335713">
      <w:pPr>
        <w:pStyle w:val="Default"/>
        <w:rPr>
          <w:color w:val="auto"/>
          <w:sz w:val="22"/>
          <w:szCs w:val="22"/>
        </w:rPr>
      </w:pPr>
      <w:r>
        <w:rPr>
          <w:color w:val="auto"/>
          <w:sz w:val="22"/>
          <w:szCs w:val="22"/>
        </w:rPr>
        <w:t>No.It will be taxable at special rate prescribed u/s 115BB i.e.30%.T</w:t>
      </w:r>
      <w:r w:rsidR="00335713">
        <w:rPr>
          <w:color w:val="auto"/>
          <w:sz w:val="22"/>
          <w:szCs w:val="22"/>
        </w:rPr>
        <w:t xml:space="preserve">he unsold lottery tickets cease to be stock-in-trade of the distributor because, after the draw, those tickets are unsaleable and have no value except waste paper value and the distributor will get nothing on sale of the same except any prize winning ticket if held by him, which, if produced will entitle him for the prize money. </w:t>
      </w:r>
    </w:p>
    <w:p w:rsidR="0050773B" w:rsidRDefault="0050773B" w:rsidP="0050773B">
      <w:pPr>
        <w:pStyle w:val="Default"/>
        <w:rPr>
          <w:color w:val="auto"/>
          <w:sz w:val="22"/>
          <w:szCs w:val="22"/>
        </w:rPr>
      </w:pPr>
      <w:r>
        <w:rPr>
          <w:color w:val="auto"/>
          <w:sz w:val="22"/>
          <w:szCs w:val="22"/>
        </w:rPr>
        <w:t>Note:W</w:t>
      </w:r>
      <w:r w:rsidR="00335713">
        <w:rPr>
          <w:color w:val="auto"/>
          <w:sz w:val="22"/>
          <w:szCs w:val="22"/>
        </w:rPr>
        <w:t>innings from lotteries are assessable under the special provisions of section 115BB, irrespective of the head under which such income falls.</w:t>
      </w:r>
    </w:p>
    <w:p w:rsidR="0050773B" w:rsidRDefault="0050773B" w:rsidP="0050773B">
      <w:pPr>
        <w:pStyle w:val="Default"/>
        <w:rPr>
          <w:color w:val="auto"/>
          <w:sz w:val="22"/>
          <w:szCs w:val="22"/>
        </w:rPr>
      </w:pPr>
    </w:p>
    <w:p w:rsidR="00335713" w:rsidRDefault="0085661B" w:rsidP="0050773B">
      <w:pPr>
        <w:pStyle w:val="Default"/>
        <w:rPr>
          <w:rFonts w:cstheme="minorBidi"/>
          <w:color w:val="auto"/>
          <w:sz w:val="22"/>
          <w:szCs w:val="22"/>
        </w:rPr>
      </w:pPr>
      <w:r>
        <w:rPr>
          <w:rFonts w:cstheme="minorBidi"/>
          <w:b/>
          <w:bCs/>
          <w:color w:val="auto"/>
          <w:sz w:val="22"/>
          <w:szCs w:val="22"/>
        </w:rPr>
        <w:t xml:space="preserve">(Imp) </w:t>
      </w:r>
      <w:r w:rsidR="00335713">
        <w:rPr>
          <w:rFonts w:cstheme="minorBidi"/>
          <w:b/>
          <w:bCs/>
          <w:color w:val="auto"/>
          <w:sz w:val="22"/>
          <w:szCs w:val="22"/>
        </w:rPr>
        <w:t xml:space="preserve">2. What can be the tests to determine “substantial part of business” of lending company for the purpose of application of exclusion provision under section 2(22)? </w:t>
      </w:r>
    </w:p>
    <w:p w:rsidR="00335713" w:rsidRDefault="00335713" w:rsidP="00335713">
      <w:pPr>
        <w:pStyle w:val="Default"/>
        <w:rPr>
          <w:color w:val="auto"/>
          <w:sz w:val="22"/>
          <w:szCs w:val="22"/>
        </w:rPr>
      </w:pPr>
      <w:r>
        <w:rPr>
          <w:b/>
          <w:bCs/>
          <w:i/>
          <w:iCs/>
          <w:color w:val="auto"/>
          <w:sz w:val="22"/>
          <w:szCs w:val="22"/>
        </w:rPr>
        <w:t xml:space="preserve">CIT v. Parle Plastics Ltd. (2011) 332 ITR 63 (Bom.) </w:t>
      </w:r>
    </w:p>
    <w:p w:rsidR="00AE2E08" w:rsidRDefault="00335713" w:rsidP="00AE2E08">
      <w:pPr>
        <w:pStyle w:val="Default"/>
        <w:rPr>
          <w:color w:val="auto"/>
          <w:sz w:val="22"/>
          <w:szCs w:val="22"/>
        </w:rPr>
      </w:pPr>
      <w:r>
        <w:rPr>
          <w:color w:val="auto"/>
          <w:sz w:val="22"/>
          <w:szCs w:val="22"/>
        </w:rPr>
        <w:t>Under section 2(22), dividend does not include</w:t>
      </w:r>
      <w:r>
        <w:rPr>
          <w:i/>
          <w:iCs/>
          <w:color w:val="auto"/>
          <w:sz w:val="22"/>
          <w:szCs w:val="22"/>
        </w:rPr>
        <w:t xml:space="preserve">, inter alia, </w:t>
      </w:r>
      <w:r>
        <w:rPr>
          <w:color w:val="auto"/>
          <w:sz w:val="22"/>
          <w:szCs w:val="22"/>
        </w:rPr>
        <w:t xml:space="preserve">any advance or loan made to a shareholder by a company in the ordinary course of its business, where the lending of money is a substantial part of the business of the company. </w:t>
      </w:r>
      <w:r w:rsidR="0085661B">
        <w:rPr>
          <w:color w:val="auto"/>
          <w:sz w:val="22"/>
          <w:szCs w:val="22"/>
        </w:rPr>
        <w:t>Following criteria can be used to determine the same.</w:t>
      </w:r>
      <w:r>
        <w:rPr>
          <w:color w:val="auto"/>
          <w:sz w:val="22"/>
          <w:szCs w:val="22"/>
        </w:rPr>
        <w:t xml:space="preserve"> </w:t>
      </w:r>
    </w:p>
    <w:p w:rsidR="00AE2E08" w:rsidRDefault="00AE2E08" w:rsidP="00335713">
      <w:pPr>
        <w:pStyle w:val="Default"/>
        <w:rPr>
          <w:color w:val="auto"/>
          <w:sz w:val="22"/>
          <w:szCs w:val="22"/>
        </w:rPr>
      </w:pPr>
      <w:r>
        <w:rPr>
          <w:color w:val="auto"/>
          <w:sz w:val="22"/>
          <w:szCs w:val="22"/>
        </w:rPr>
        <w:t xml:space="preserve"> 1.</w:t>
      </w:r>
      <w:r w:rsidR="00335713">
        <w:rPr>
          <w:color w:val="auto"/>
          <w:sz w:val="22"/>
          <w:szCs w:val="22"/>
        </w:rPr>
        <w:t xml:space="preserve">Percentage of turnover </w:t>
      </w:r>
      <w:r>
        <w:rPr>
          <w:color w:val="auto"/>
          <w:sz w:val="22"/>
          <w:szCs w:val="22"/>
        </w:rPr>
        <w:t xml:space="preserve">in relation to the whole. </w:t>
      </w:r>
    </w:p>
    <w:p w:rsidR="00AE2E08" w:rsidRDefault="00AE2E08" w:rsidP="00335713">
      <w:pPr>
        <w:pStyle w:val="Default"/>
        <w:rPr>
          <w:color w:val="auto"/>
          <w:sz w:val="22"/>
          <w:szCs w:val="22"/>
        </w:rPr>
      </w:pPr>
      <w:r>
        <w:rPr>
          <w:color w:val="auto"/>
          <w:sz w:val="22"/>
          <w:szCs w:val="22"/>
        </w:rPr>
        <w:t xml:space="preserve"> 2.T</w:t>
      </w:r>
      <w:r w:rsidR="00335713">
        <w:rPr>
          <w:color w:val="auto"/>
          <w:sz w:val="22"/>
          <w:szCs w:val="22"/>
        </w:rPr>
        <w:t>he percentage of the pro</w:t>
      </w:r>
      <w:r>
        <w:rPr>
          <w:color w:val="auto"/>
          <w:sz w:val="22"/>
          <w:szCs w:val="22"/>
        </w:rPr>
        <w:t>fit in relation to the whole.</w:t>
      </w:r>
    </w:p>
    <w:p w:rsidR="00AE2E08" w:rsidRDefault="00335713" w:rsidP="00335713">
      <w:pPr>
        <w:pStyle w:val="Default"/>
        <w:rPr>
          <w:color w:val="auto"/>
          <w:sz w:val="22"/>
          <w:szCs w:val="22"/>
        </w:rPr>
      </w:pPr>
      <w:r>
        <w:rPr>
          <w:color w:val="auto"/>
          <w:sz w:val="22"/>
          <w:szCs w:val="22"/>
        </w:rPr>
        <w:t xml:space="preserve"> </w:t>
      </w:r>
      <w:r w:rsidR="00AE2E08">
        <w:rPr>
          <w:color w:val="auto"/>
          <w:sz w:val="22"/>
          <w:szCs w:val="22"/>
        </w:rPr>
        <w:t>3.S</w:t>
      </w:r>
      <w:r>
        <w:rPr>
          <w:color w:val="auto"/>
          <w:sz w:val="22"/>
          <w:szCs w:val="22"/>
        </w:rPr>
        <w:t xml:space="preserve">ometimes even percentage of manpower used for a particular part of the business in relation to the total manpower or work force of the company. </w:t>
      </w:r>
    </w:p>
    <w:p w:rsidR="00335713" w:rsidRDefault="00AE2E08" w:rsidP="00335713">
      <w:pPr>
        <w:pStyle w:val="Default"/>
        <w:rPr>
          <w:color w:val="auto"/>
          <w:sz w:val="22"/>
          <w:szCs w:val="22"/>
        </w:rPr>
      </w:pPr>
      <w:r>
        <w:rPr>
          <w:color w:val="auto"/>
          <w:sz w:val="22"/>
          <w:szCs w:val="22"/>
        </w:rPr>
        <w:t>4.</w:t>
      </w:r>
      <w:r w:rsidR="00335713">
        <w:rPr>
          <w:color w:val="auto"/>
          <w:sz w:val="22"/>
          <w:szCs w:val="22"/>
        </w:rPr>
        <w:t xml:space="preserve">The capital employed for a specific division of a company in comparison to total capital employed would also be relevant to determine whether the part of the business constitutes a substantial part. </w:t>
      </w:r>
    </w:p>
    <w:p w:rsidR="0085661B" w:rsidRPr="0085661B" w:rsidRDefault="00335713" w:rsidP="00335713">
      <w:pPr>
        <w:pStyle w:val="Default"/>
        <w:rPr>
          <w:b/>
          <w:color w:val="auto"/>
          <w:sz w:val="22"/>
          <w:szCs w:val="22"/>
        </w:rPr>
      </w:pPr>
      <w:r w:rsidRPr="0085661B">
        <w:rPr>
          <w:b/>
          <w:color w:val="auto"/>
          <w:sz w:val="22"/>
          <w:szCs w:val="22"/>
        </w:rPr>
        <w:t xml:space="preserve">In this case, </w:t>
      </w:r>
      <w:r w:rsidRPr="0085661B">
        <w:rPr>
          <w:b/>
          <w:color w:val="auto"/>
          <w:sz w:val="22"/>
          <w:szCs w:val="22"/>
          <w:u w:val="single"/>
        </w:rPr>
        <w:t>42% of the total assets of the lending company were deployed by it by way of loans and advances</w:t>
      </w:r>
      <w:r w:rsidRPr="0085661B">
        <w:rPr>
          <w:b/>
          <w:color w:val="auto"/>
          <w:sz w:val="22"/>
          <w:szCs w:val="22"/>
        </w:rPr>
        <w:t xml:space="preserve">. Further, if the income earned by way of interest is excluded, the other business had resulted in a net loss. </w:t>
      </w:r>
    </w:p>
    <w:p w:rsidR="00335713" w:rsidRDefault="00335713" w:rsidP="00335713">
      <w:pPr>
        <w:pStyle w:val="Default"/>
        <w:rPr>
          <w:b/>
          <w:color w:val="auto"/>
          <w:sz w:val="22"/>
          <w:szCs w:val="22"/>
        </w:rPr>
      </w:pPr>
      <w:r w:rsidRPr="0085661B">
        <w:rPr>
          <w:b/>
          <w:color w:val="auto"/>
          <w:sz w:val="22"/>
          <w:szCs w:val="22"/>
        </w:rPr>
        <w:t xml:space="preserve">These factors were considered in concluding that lending of money was a substantial part of the business of the company. </w:t>
      </w:r>
    </w:p>
    <w:p w:rsidR="0085661B" w:rsidRPr="0085661B" w:rsidRDefault="0085661B" w:rsidP="00335713">
      <w:pPr>
        <w:pStyle w:val="Default"/>
        <w:rPr>
          <w:b/>
          <w:color w:val="auto"/>
          <w:sz w:val="22"/>
          <w:szCs w:val="22"/>
        </w:rPr>
      </w:pPr>
    </w:p>
    <w:p w:rsidR="00335713" w:rsidRDefault="00335713" w:rsidP="00335713">
      <w:pPr>
        <w:pStyle w:val="Default"/>
        <w:rPr>
          <w:color w:val="auto"/>
          <w:sz w:val="22"/>
          <w:szCs w:val="22"/>
        </w:rPr>
      </w:pPr>
      <w:r>
        <w:rPr>
          <w:b/>
          <w:bCs/>
          <w:color w:val="auto"/>
          <w:sz w:val="22"/>
          <w:szCs w:val="22"/>
        </w:rPr>
        <w:t xml:space="preserve">3. Would the provisions of deemed dividend under section 2(22)(e) be attracted in respect of financial transactions entered into in the normal course of business? </w:t>
      </w:r>
    </w:p>
    <w:p w:rsidR="00335713" w:rsidRDefault="00335713" w:rsidP="00335713">
      <w:pPr>
        <w:pStyle w:val="Default"/>
        <w:rPr>
          <w:color w:val="auto"/>
          <w:sz w:val="22"/>
          <w:szCs w:val="22"/>
        </w:rPr>
      </w:pPr>
      <w:r>
        <w:rPr>
          <w:b/>
          <w:bCs/>
          <w:i/>
          <w:iCs/>
          <w:color w:val="auto"/>
          <w:sz w:val="22"/>
          <w:szCs w:val="22"/>
        </w:rPr>
        <w:t>CIT v. Ambassador Tra</w:t>
      </w:r>
      <w:r w:rsidR="0085661B">
        <w:rPr>
          <w:b/>
          <w:bCs/>
          <w:i/>
          <w:iCs/>
          <w:color w:val="auto"/>
          <w:sz w:val="22"/>
          <w:szCs w:val="22"/>
        </w:rPr>
        <w:t xml:space="preserve">vels (P) Ltd. (2009) </w:t>
      </w:r>
      <w:r>
        <w:rPr>
          <w:b/>
          <w:bCs/>
          <w:i/>
          <w:iCs/>
          <w:color w:val="auto"/>
          <w:sz w:val="22"/>
          <w:szCs w:val="22"/>
        </w:rPr>
        <w:t xml:space="preserve"> (Del.) </w:t>
      </w:r>
    </w:p>
    <w:p w:rsidR="0085661B" w:rsidRDefault="00335713" w:rsidP="00335713">
      <w:pPr>
        <w:pStyle w:val="Default"/>
        <w:rPr>
          <w:color w:val="auto"/>
          <w:sz w:val="22"/>
          <w:szCs w:val="22"/>
        </w:rPr>
      </w:pPr>
      <w:r>
        <w:rPr>
          <w:b/>
          <w:bCs/>
          <w:color w:val="auto"/>
          <w:sz w:val="22"/>
          <w:szCs w:val="22"/>
        </w:rPr>
        <w:t xml:space="preserve">Relevant section: 2(22)(e) </w:t>
      </w:r>
    </w:p>
    <w:p w:rsidR="00335713" w:rsidRDefault="0085661B" w:rsidP="00335713">
      <w:pPr>
        <w:pStyle w:val="Default"/>
        <w:rPr>
          <w:color w:val="auto"/>
          <w:sz w:val="22"/>
          <w:szCs w:val="22"/>
        </w:rPr>
      </w:pPr>
      <w:r>
        <w:rPr>
          <w:color w:val="auto"/>
          <w:sz w:val="22"/>
          <w:szCs w:val="22"/>
        </w:rPr>
        <w:t>No. Section</w:t>
      </w:r>
      <w:r w:rsidR="00335713">
        <w:rPr>
          <w:color w:val="auto"/>
          <w:sz w:val="22"/>
          <w:szCs w:val="22"/>
        </w:rPr>
        <w:t xml:space="preserve"> 2(22)(e</w:t>
      </w:r>
      <w:r>
        <w:rPr>
          <w:color w:val="auto"/>
          <w:sz w:val="22"/>
          <w:szCs w:val="22"/>
        </w:rPr>
        <w:t>)</w:t>
      </w:r>
      <w:r w:rsidR="00335713">
        <w:rPr>
          <w:color w:val="auto"/>
          <w:sz w:val="22"/>
          <w:szCs w:val="22"/>
        </w:rPr>
        <w:t xml:space="preserve"> provision would not apply in the case of advance made in the course of the assessee’s business as a trading transaction. </w:t>
      </w:r>
    </w:p>
    <w:p w:rsidR="00335713" w:rsidRPr="0085661B" w:rsidRDefault="0085661B" w:rsidP="00335713">
      <w:pPr>
        <w:pStyle w:val="Default"/>
        <w:rPr>
          <w:color w:val="auto"/>
          <w:sz w:val="22"/>
          <w:szCs w:val="22"/>
        </w:rPr>
      </w:pPr>
      <w:r>
        <w:rPr>
          <w:color w:val="auto"/>
          <w:sz w:val="22"/>
          <w:szCs w:val="22"/>
        </w:rPr>
        <w:t xml:space="preserve"> T</w:t>
      </w:r>
      <w:r w:rsidR="00335713">
        <w:rPr>
          <w:color w:val="auto"/>
          <w:sz w:val="22"/>
          <w:szCs w:val="22"/>
        </w:rPr>
        <w:t xml:space="preserve">he assessee was involved in booking of resorts for the customers of these companies and entered into normal business transactions as a part of its day-to-day business activities. The High Court held that such financial transactions cannot under any circumstances be treated as loans or advances received by the assessee from these concerns for the purpose of application of section 2(22)(e). </w:t>
      </w:r>
    </w:p>
    <w:p w:rsidR="00335713" w:rsidRDefault="00335713" w:rsidP="00335713">
      <w:pPr>
        <w:pStyle w:val="Default"/>
        <w:pageBreakBefore/>
        <w:rPr>
          <w:rFonts w:cstheme="minorBidi"/>
          <w:color w:val="auto"/>
          <w:sz w:val="96"/>
          <w:szCs w:val="96"/>
        </w:rPr>
      </w:pPr>
      <w:r>
        <w:rPr>
          <w:rFonts w:cstheme="minorBidi"/>
          <w:b/>
          <w:bCs/>
          <w:color w:val="auto"/>
          <w:sz w:val="96"/>
          <w:szCs w:val="96"/>
        </w:rPr>
        <w:lastRenderedPageBreak/>
        <w:t xml:space="preserve">6 </w:t>
      </w:r>
    </w:p>
    <w:p w:rsidR="00335713" w:rsidRDefault="00335713" w:rsidP="00335713">
      <w:pPr>
        <w:pStyle w:val="Default"/>
        <w:rPr>
          <w:rFonts w:cstheme="minorBidi"/>
          <w:color w:val="auto"/>
          <w:sz w:val="38"/>
          <w:szCs w:val="38"/>
        </w:rPr>
      </w:pPr>
      <w:r>
        <w:rPr>
          <w:rFonts w:cstheme="minorBidi"/>
          <w:b/>
          <w:bCs/>
          <w:color w:val="auto"/>
          <w:sz w:val="48"/>
          <w:szCs w:val="48"/>
        </w:rPr>
        <w:t>D</w:t>
      </w:r>
      <w:r>
        <w:rPr>
          <w:rFonts w:cstheme="minorBidi"/>
          <w:b/>
          <w:bCs/>
          <w:color w:val="auto"/>
          <w:sz w:val="38"/>
          <w:szCs w:val="38"/>
        </w:rPr>
        <w:t xml:space="preserve">EDUCTIONS </w:t>
      </w:r>
      <w:r>
        <w:rPr>
          <w:rFonts w:cstheme="minorBidi"/>
          <w:b/>
          <w:bCs/>
          <w:color w:val="auto"/>
          <w:sz w:val="48"/>
          <w:szCs w:val="48"/>
        </w:rPr>
        <w:t>F</w:t>
      </w:r>
      <w:r>
        <w:rPr>
          <w:rFonts w:cstheme="minorBidi"/>
          <w:b/>
          <w:bCs/>
          <w:color w:val="auto"/>
          <w:sz w:val="38"/>
          <w:szCs w:val="38"/>
        </w:rPr>
        <w:t xml:space="preserve">ROM </w:t>
      </w:r>
      <w:r>
        <w:rPr>
          <w:rFonts w:cstheme="minorBidi"/>
          <w:b/>
          <w:bCs/>
          <w:color w:val="auto"/>
          <w:sz w:val="48"/>
          <w:szCs w:val="48"/>
        </w:rPr>
        <w:t>G</w:t>
      </w:r>
      <w:r>
        <w:rPr>
          <w:rFonts w:cstheme="minorBidi"/>
          <w:b/>
          <w:bCs/>
          <w:color w:val="auto"/>
          <w:sz w:val="38"/>
          <w:szCs w:val="38"/>
        </w:rPr>
        <w:t xml:space="preserve">ROSS </w:t>
      </w:r>
      <w:r>
        <w:rPr>
          <w:rFonts w:cstheme="minorBidi"/>
          <w:b/>
          <w:bCs/>
          <w:color w:val="auto"/>
          <w:sz w:val="48"/>
          <w:szCs w:val="48"/>
        </w:rPr>
        <w:t>T</w:t>
      </w:r>
      <w:r>
        <w:rPr>
          <w:rFonts w:cstheme="minorBidi"/>
          <w:b/>
          <w:bCs/>
          <w:color w:val="auto"/>
          <w:sz w:val="38"/>
          <w:szCs w:val="38"/>
        </w:rPr>
        <w:t xml:space="preserve">OTAL </w:t>
      </w:r>
      <w:r>
        <w:rPr>
          <w:rFonts w:cstheme="minorBidi"/>
          <w:b/>
          <w:bCs/>
          <w:color w:val="auto"/>
          <w:sz w:val="48"/>
          <w:szCs w:val="48"/>
        </w:rPr>
        <w:t>I</w:t>
      </w:r>
      <w:r>
        <w:rPr>
          <w:rFonts w:cstheme="minorBidi"/>
          <w:b/>
          <w:bCs/>
          <w:color w:val="auto"/>
          <w:sz w:val="38"/>
          <w:szCs w:val="38"/>
        </w:rPr>
        <w:t xml:space="preserve">NCOME </w:t>
      </w:r>
    </w:p>
    <w:p w:rsidR="00335713" w:rsidRDefault="00335713" w:rsidP="00335713">
      <w:pPr>
        <w:pStyle w:val="Default"/>
        <w:rPr>
          <w:rFonts w:cstheme="minorBidi"/>
          <w:color w:val="auto"/>
          <w:sz w:val="22"/>
          <w:szCs w:val="22"/>
        </w:rPr>
      </w:pPr>
      <w:r>
        <w:rPr>
          <w:rFonts w:cstheme="minorBidi"/>
          <w:b/>
          <w:bCs/>
          <w:color w:val="auto"/>
          <w:sz w:val="22"/>
          <w:szCs w:val="22"/>
        </w:rPr>
        <w:t xml:space="preserve">1. Can an industrial undertaking engaged in manufacturing or producing articles or things treat the persons employed by it through agency (including contractors) as “workers” to qualify for claim of deduction under section 80-IB? </w:t>
      </w:r>
    </w:p>
    <w:p w:rsidR="00335713" w:rsidRDefault="00335713" w:rsidP="00335713">
      <w:pPr>
        <w:pStyle w:val="Default"/>
        <w:rPr>
          <w:color w:val="auto"/>
          <w:sz w:val="22"/>
          <w:szCs w:val="22"/>
        </w:rPr>
      </w:pPr>
      <w:r>
        <w:rPr>
          <w:b/>
          <w:bCs/>
          <w:i/>
          <w:iCs/>
          <w:color w:val="auto"/>
          <w:sz w:val="22"/>
          <w:szCs w:val="22"/>
        </w:rPr>
        <w:t xml:space="preserve">CIT v. Jyoti Plastic Works Private Limited (2011) </w:t>
      </w:r>
    </w:p>
    <w:p w:rsidR="00335713" w:rsidRDefault="004570EC" w:rsidP="004570EC">
      <w:pPr>
        <w:pStyle w:val="Default"/>
        <w:rPr>
          <w:color w:val="auto"/>
          <w:sz w:val="22"/>
          <w:szCs w:val="22"/>
        </w:rPr>
      </w:pPr>
      <w:r>
        <w:rPr>
          <w:color w:val="auto"/>
          <w:sz w:val="22"/>
          <w:szCs w:val="22"/>
        </w:rPr>
        <w:t>Yes.</w:t>
      </w:r>
      <w:r w:rsidR="00335713">
        <w:rPr>
          <w:color w:val="auto"/>
          <w:sz w:val="22"/>
          <w:szCs w:val="22"/>
        </w:rPr>
        <w:t xml:space="preserve"> </w:t>
      </w:r>
    </w:p>
    <w:p w:rsidR="00335713" w:rsidRDefault="00335713" w:rsidP="004570EC">
      <w:pPr>
        <w:pStyle w:val="Default"/>
        <w:rPr>
          <w:color w:val="auto"/>
          <w:sz w:val="22"/>
          <w:szCs w:val="22"/>
        </w:rPr>
      </w:pPr>
      <w:r>
        <w:rPr>
          <w:color w:val="auto"/>
          <w:sz w:val="22"/>
          <w:szCs w:val="22"/>
        </w:rPr>
        <w:t xml:space="preserve">The expression "worker" is neither defined under section 2 of the Income-tax Act, 1961, nor under section 80-IB(2)(iv) of the Act. Therefore, it would be reasonable to hold that the expression "worker" in section 80-IB(2)(iv) of the Act is referable to the persons employed by the assessee directly or by or through any agency (including a contractor) in the manufacturing activity carried on by the assessee. </w:t>
      </w:r>
      <w:r w:rsidRPr="004570EC">
        <w:rPr>
          <w:b/>
          <w:color w:val="auto"/>
          <w:sz w:val="22"/>
          <w:szCs w:val="22"/>
        </w:rPr>
        <w:t>The employment of ten or more workers is what is relevant and not the mode and the manner in which the workers are employed by the assessee</w:t>
      </w:r>
      <w:r>
        <w:rPr>
          <w:color w:val="auto"/>
          <w:sz w:val="22"/>
          <w:szCs w:val="22"/>
        </w:rPr>
        <w:t xml:space="preserve">. </w:t>
      </w:r>
    </w:p>
    <w:p w:rsidR="004570EC" w:rsidRDefault="004570EC" w:rsidP="00335713">
      <w:pPr>
        <w:pStyle w:val="Default"/>
        <w:rPr>
          <w:b/>
          <w:bCs/>
          <w:color w:val="auto"/>
          <w:sz w:val="22"/>
          <w:szCs w:val="22"/>
        </w:rPr>
      </w:pPr>
    </w:p>
    <w:p w:rsidR="00335713" w:rsidRDefault="00335713" w:rsidP="00335713">
      <w:pPr>
        <w:pStyle w:val="Default"/>
        <w:rPr>
          <w:color w:val="auto"/>
          <w:sz w:val="22"/>
          <w:szCs w:val="22"/>
        </w:rPr>
      </w:pPr>
      <w:r>
        <w:rPr>
          <w:b/>
          <w:bCs/>
          <w:color w:val="auto"/>
          <w:sz w:val="22"/>
          <w:szCs w:val="22"/>
        </w:rPr>
        <w:t xml:space="preserve">2. Can an assessee not claiming deduction under section 80-IB in the initial years claim the said deduction for the remaining years during the period of eligibility, if the conditions are satisfied? </w:t>
      </w:r>
    </w:p>
    <w:p w:rsidR="00335713" w:rsidRDefault="00335713" w:rsidP="00335713">
      <w:pPr>
        <w:pStyle w:val="Default"/>
        <w:rPr>
          <w:color w:val="auto"/>
          <w:sz w:val="22"/>
          <w:szCs w:val="22"/>
        </w:rPr>
      </w:pPr>
      <w:r>
        <w:rPr>
          <w:b/>
          <w:bCs/>
          <w:i/>
          <w:iCs/>
          <w:color w:val="auto"/>
          <w:sz w:val="22"/>
          <w:szCs w:val="22"/>
        </w:rPr>
        <w:t xml:space="preserve">Praveen Soni v. CIT (2011) 333 ITR 324 (Delhi) </w:t>
      </w:r>
    </w:p>
    <w:p w:rsidR="004570EC" w:rsidRDefault="004570EC" w:rsidP="00335713">
      <w:pPr>
        <w:pStyle w:val="Default"/>
        <w:rPr>
          <w:color w:val="auto"/>
          <w:sz w:val="22"/>
          <w:szCs w:val="22"/>
        </w:rPr>
      </w:pPr>
      <w:r>
        <w:rPr>
          <w:color w:val="auto"/>
          <w:sz w:val="22"/>
          <w:szCs w:val="22"/>
        </w:rPr>
        <w:t>Yes.</w:t>
      </w:r>
    </w:p>
    <w:p w:rsidR="007459C6" w:rsidRDefault="007459C6" w:rsidP="00335713">
      <w:pPr>
        <w:pStyle w:val="Default"/>
        <w:rPr>
          <w:color w:val="auto"/>
          <w:sz w:val="22"/>
          <w:szCs w:val="22"/>
        </w:rPr>
      </w:pPr>
      <w:r>
        <w:rPr>
          <w:color w:val="auto"/>
          <w:sz w:val="22"/>
          <w:szCs w:val="22"/>
        </w:rPr>
        <w:t>T</w:t>
      </w:r>
      <w:r w:rsidR="00335713">
        <w:rPr>
          <w:color w:val="auto"/>
          <w:sz w:val="22"/>
          <w:szCs w:val="22"/>
        </w:rPr>
        <w:t>he provisions of section 80-IB nowhere stipulated a condition that the claim for deduction under this section had to be made from the first year of qualification of deduction failing which the claim will not be allowed in the remaining years of eligibility.</w:t>
      </w:r>
    </w:p>
    <w:p w:rsidR="007459C6" w:rsidRDefault="00335713" w:rsidP="00335713">
      <w:pPr>
        <w:pStyle w:val="Default"/>
        <w:rPr>
          <w:color w:val="auto"/>
          <w:sz w:val="22"/>
          <w:szCs w:val="22"/>
        </w:rPr>
      </w:pPr>
      <w:r>
        <w:rPr>
          <w:color w:val="auto"/>
          <w:sz w:val="22"/>
          <w:szCs w:val="22"/>
        </w:rPr>
        <w:t xml:space="preserve"> </w:t>
      </w:r>
    </w:p>
    <w:p w:rsidR="00335713" w:rsidRDefault="00335713" w:rsidP="00335713">
      <w:pPr>
        <w:pStyle w:val="Default"/>
        <w:rPr>
          <w:color w:val="auto"/>
          <w:sz w:val="22"/>
          <w:szCs w:val="22"/>
        </w:rPr>
      </w:pPr>
      <w:r>
        <w:rPr>
          <w:b/>
          <w:bCs/>
          <w:color w:val="auto"/>
          <w:sz w:val="22"/>
          <w:szCs w:val="22"/>
        </w:rPr>
        <w:t xml:space="preserve">3. Would the procurements of parts and assembling them to make windmill fall within the meaning of “manufacture” and “production” to be entitled for deduction under section 80-IB? </w:t>
      </w:r>
    </w:p>
    <w:p w:rsidR="00335713" w:rsidRDefault="00335713" w:rsidP="00335713">
      <w:pPr>
        <w:pStyle w:val="Default"/>
        <w:rPr>
          <w:color w:val="auto"/>
          <w:sz w:val="22"/>
          <w:szCs w:val="22"/>
        </w:rPr>
      </w:pPr>
      <w:r>
        <w:rPr>
          <w:b/>
          <w:bCs/>
          <w:i/>
          <w:iCs/>
          <w:color w:val="auto"/>
          <w:sz w:val="22"/>
          <w:szCs w:val="22"/>
        </w:rPr>
        <w:t xml:space="preserve">CIT v. Chiranjjeevi Wind Energy Ltd. (2011) 333 ITR 192 (Mad.) </w:t>
      </w:r>
    </w:p>
    <w:p w:rsidR="007459C6" w:rsidRDefault="007459C6" w:rsidP="007459C6">
      <w:pPr>
        <w:pStyle w:val="Default"/>
        <w:rPr>
          <w:b/>
          <w:bCs/>
          <w:color w:val="auto"/>
          <w:sz w:val="22"/>
          <w:szCs w:val="22"/>
        </w:rPr>
      </w:pPr>
      <w:r>
        <w:rPr>
          <w:b/>
          <w:bCs/>
          <w:color w:val="auto"/>
          <w:sz w:val="22"/>
          <w:szCs w:val="22"/>
        </w:rPr>
        <w:t>Yes.</w:t>
      </w:r>
    </w:p>
    <w:p w:rsidR="007459C6" w:rsidRDefault="00335713" w:rsidP="007459C6">
      <w:pPr>
        <w:pStyle w:val="Default"/>
        <w:rPr>
          <w:i/>
          <w:iCs/>
          <w:color w:val="auto"/>
          <w:sz w:val="22"/>
          <w:szCs w:val="22"/>
        </w:rPr>
      </w:pPr>
      <w:r>
        <w:rPr>
          <w:b/>
          <w:bCs/>
          <w:color w:val="auto"/>
          <w:sz w:val="22"/>
          <w:szCs w:val="22"/>
        </w:rPr>
        <w:t xml:space="preserve"> </w:t>
      </w:r>
      <w:r>
        <w:rPr>
          <w:i/>
          <w:iCs/>
          <w:color w:val="auto"/>
          <w:sz w:val="22"/>
          <w:szCs w:val="22"/>
        </w:rPr>
        <w:t>The definition of manufacture has been incorporated in section 2(29BA) by the Finance (No. 2) Act, 2009 w.e.f. from 01.04.2009, and it means, inter alia, a change in a non-living physical object or article or thing resulting in transformation of the object or article or thing in to a new and distinct object or article or thing having a different name,character and use. Assembling of windmill at factory and putting them at site of customer apparently satisfies thi</w:t>
      </w:r>
      <w:r w:rsidR="007459C6">
        <w:rPr>
          <w:i/>
          <w:iCs/>
          <w:color w:val="auto"/>
          <w:sz w:val="22"/>
          <w:szCs w:val="22"/>
        </w:rPr>
        <w:t>s definition of manufacture and therefore eligible</w:t>
      </w:r>
    </w:p>
    <w:p w:rsidR="00335713" w:rsidRDefault="00335713" w:rsidP="007459C6">
      <w:pPr>
        <w:pStyle w:val="Default"/>
        <w:rPr>
          <w:color w:val="auto"/>
          <w:sz w:val="22"/>
          <w:szCs w:val="22"/>
        </w:rPr>
      </w:pPr>
      <w:r>
        <w:rPr>
          <w:i/>
          <w:iCs/>
          <w:color w:val="auto"/>
          <w:sz w:val="22"/>
          <w:szCs w:val="22"/>
        </w:rPr>
        <w:t xml:space="preserve">. </w:t>
      </w:r>
    </w:p>
    <w:p w:rsidR="00335713" w:rsidRDefault="00335713" w:rsidP="00335713">
      <w:pPr>
        <w:pStyle w:val="Default"/>
        <w:rPr>
          <w:color w:val="auto"/>
          <w:sz w:val="22"/>
          <w:szCs w:val="22"/>
        </w:rPr>
      </w:pPr>
      <w:r>
        <w:rPr>
          <w:b/>
          <w:bCs/>
          <w:color w:val="auto"/>
          <w:sz w:val="22"/>
          <w:szCs w:val="22"/>
        </w:rPr>
        <w:t xml:space="preserve">4. Would grant of transport subsidy, interest subsidy and refund of excise duty qualify for deduction under section 80-IB? </w:t>
      </w:r>
    </w:p>
    <w:p w:rsidR="00335713" w:rsidRDefault="00335713" w:rsidP="00335713">
      <w:pPr>
        <w:pStyle w:val="Default"/>
        <w:rPr>
          <w:color w:val="auto"/>
          <w:sz w:val="22"/>
          <w:szCs w:val="22"/>
        </w:rPr>
      </w:pPr>
      <w:r>
        <w:rPr>
          <w:b/>
          <w:bCs/>
          <w:i/>
          <w:iCs/>
          <w:color w:val="auto"/>
          <w:sz w:val="22"/>
          <w:szCs w:val="22"/>
        </w:rPr>
        <w:t xml:space="preserve">CIT v. Meghalaya Steels Ltd. (2011) 332 ITR 91 (Gauhati) </w:t>
      </w:r>
    </w:p>
    <w:p w:rsidR="00335713" w:rsidRDefault="007459C6" w:rsidP="00335713">
      <w:pPr>
        <w:pStyle w:val="Default"/>
        <w:rPr>
          <w:color w:val="auto"/>
          <w:sz w:val="22"/>
          <w:szCs w:val="22"/>
        </w:rPr>
      </w:pPr>
      <w:r>
        <w:rPr>
          <w:color w:val="auto"/>
          <w:sz w:val="22"/>
          <w:szCs w:val="22"/>
        </w:rPr>
        <w:t>Transport Subsidy</w:t>
      </w:r>
      <w:r w:rsidR="005E190C">
        <w:rPr>
          <w:color w:val="auto"/>
          <w:sz w:val="22"/>
          <w:szCs w:val="22"/>
        </w:rPr>
        <w:t xml:space="preserve"> &amp; Interest Subsidy</w:t>
      </w:r>
      <w:r>
        <w:rPr>
          <w:color w:val="auto"/>
          <w:sz w:val="22"/>
          <w:szCs w:val="22"/>
        </w:rPr>
        <w:t>:</w:t>
      </w:r>
      <w:r w:rsidR="005E190C">
        <w:rPr>
          <w:color w:val="auto"/>
          <w:sz w:val="22"/>
          <w:szCs w:val="22"/>
        </w:rPr>
        <w:t>No since t</w:t>
      </w:r>
      <w:r w:rsidR="00335713">
        <w:rPr>
          <w:color w:val="auto"/>
          <w:sz w:val="22"/>
          <w:szCs w:val="22"/>
        </w:rPr>
        <w:t xml:space="preserve">he subsidy had no direct nexus with the profits or gains derived by the assessee from its industrial activity and the benefit to the assessee was only ancillary to its industrial activity. </w:t>
      </w:r>
    </w:p>
    <w:p w:rsidR="005E190C" w:rsidRDefault="005E190C" w:rsidP="00335713">
      <w:pPr>
        <w:pStyle w:val="Default"/>
        <w:rPr>
          <w:color w:val="auto"/>
          <w:sz w:val="22"/>
          <w:szCs w:val="22"/>
        </w:rPr>
      </w:pPr>
      <w:r>
        <w:rPr>
          <w:color w:val="auto"/>
          <w:sz w:val="22"/>
          <w:szCs w:val="22"/>
        </w:rPr>
        <w:t>Refund of excise duty: Yes.T</w:t>
      </w:r>
      <w:r w:rsidR="00335713">
        <w:rPr>
          <w:color w:val="auto"/>
          <w:sz w:val="22"/>
          <w:szCs w:val="22"/>
        </w:rPr>
        <w:t>he payment of Central excise duty had a direct nexus with the manuf</w:t>
      </w:r>
      <w:r>
        <w:rPr>
          <w:color w:val="auto"/>
          <w:sz w:val="22"/>
          <w:szCs w:val="22"/>
        </w:rPr>
        <w:t>acturing activity hence</w:t>
      </w:r>
      <w:r w:rsidR="00335713">
        <w:rPr>
          <w:color w:val="auto"/>
          <w:sz w:val="22"/>
          <w:szCs w:val="22"/>
        </w:rPr>
        <w:t xml:space="preserve"> the refund of the Central excise duty also had a direct nexus with the manufacturing activity, since payment of the Central excise duty would not arise in the absence of any industrial activity. </w:t>
      </w:r>
    </w:p>
    <w:p w:rsidR="005E190C" w:rsidRDefault="005E190C"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5. Does income derived from sale of export incentive qualify for deduction under section 80-IB? </w:t>
      </w:r>
    </w:p>
    <w:p w:rsidR="00335713" w:rsidRDefault="00335713" w:rsidP="00335713">
      <w:pPr>
        <w:pStyle w:val="Default"/>
        <w:rPr>
          <w:color w:val="auto"/>
          <w:sz w:val="22"/>
          <w:szCs w:val="22"/>
        </w:rPr>
      </w:pPr>
      <w:r>
        <w:rPr>
          <w:b/>
          <w:bCs/>
          <w:i/>
          <w:iCs/>
          <w:color w:val="auto"/>
          <w:sz w:val="22"/>
          <w:szCs w:val="22"/>
        </w:rPr>
        <w:t xml:space="preserve">CIT v. Jaswand Sons (2010) 328 ITR 442 (P&amp;H) </w:t>
      </w:r>
    </w:p>
    <w:p w:rsidR="00335713" w:rsidRDefault="005E190C" w:rsidP="00335713">
      <w:pPr>
        <w:pStyle w:val="Default"/>
        <w:rPr>
          <w:rFonts w:cstheme="minorBidi"/>
          <w:color w:val="auto"/>
          <w:sz w:val="22"/>
          <w:szCs w:val="22"/>
        </w:rPr>
      </w:pPr>
      <w:r>
        <w:rPr>
          <w:color w:val="auto"/>
          <w:sz w:val="22"/>
          <w:szCs w:val="22"/>
        </w:rPr>
        <w:t>No , since the i</w:t>
      </w:r>
      <w:r w:rsidR="00335713">
        <w:rPr>
          <w:color w:val="auto"/>
          <w:sz w:val="22"/>
          <w:szCs w:val="22"/>
        </w:rPr>
        <w:t>ncome derived from sale of export incentive cannot be said to be income “derived from” the industrial undertaking</w:t>
      </w:r>
      <w:r>
        <w:rPr>
          <w:color w:val="auto"/>
          <w:sz w:val="22"/>
          <w:szCs w:val="22"/>
        </w:rPr>
        <w:t>.</w:t>
      </w:r>
    </w:p>
    <w:p w:rsidR="00335713" w:rsidRDefault="00335713" w:rsidP="00335713">
      <w:pPr>
        <w:pStyle w:val="Default"/>
        <w:pageBreakBefore/>
        <w:rPr>
          <w:rFonts w:cstheme="minorBidi"/>
          <w:color w:val="auto"/>
          <w:sz w:val="22"/>
          <w:szCs w:val="22"/>
        </w:rPr>
      </w:pPr>
      <w:r>
        <w:rPr>
          <w:rFonts w:cstheme="minorBidi"/>
          <w:b/>
          <w:bCs/>
          <w:color w:val="auto"/>
          <w:sz w:val="22"/>
          <w:szCs w:val="22"/>
        </w:rPr>
        <w:lastRenderedPageBreak/>
        <w:t xml:space="preserve">6. Can freight subsidy arising out of the scheme of Central Government be treated as a “profit derived from the business” for the purposes of section 80-IA? </w:t>
      </w:r>
    </w:p>
    <w:p w:rsidR="00335713" w:rsidRDefault="00335713" w:rsidP="00335713">
      <w:pPr>
        <w:pStyle w:val="Default"/>
        <w:rPr>
          <w:color w:val="auto"/>
          <w:sz w:val="22"/>
          <w:szCs w:val="22"/>
        </w:rPr>
      </w:pPr>
      <w:r>
        <w:rPr>
          <w:b/>
          <w:bCs/>
          <w:i/>
          <w:iCs/>
          <w:color w:val="auto"/>
          <w:sz w:val="22"/>
          <w:szCs w:val="22"/>
        </w:rPr>
        <w:t xml:space="preserve">CIT v. Kiran Enterprises (2010) 327 ITR 520 (HP) </w:t>
      </w:r>
    </w:p>
    <w:p w:rsidR="00335713" w:rsidRDefault="00335713" w:rsidP="00335713">
      <w:pPr>
        <w:pStyle w:val="Default"/>
        <w:rPr>
          <w:color w:val="auto"/>
          <w:sz w:val="22"/>
          <w:szCs w:val="22"/>
        </w:rPr>
      </w:pPr>
      <w:r>
        <w:rPr>
          <w:b/>
          <w:bCs/>
          <w:color w:val="auto"/>
          <w:sz w:val="22"/>
          <w:szCs w:val="22"/>
        </w:rPr>
        <w:t xml:space="preserve">Relevant section: 80-IA </w:t>
      </w:r>
    </w:p>
    <w:p w:rsidR="004C4B3F" w:rsidRDefault="004C4B3F" w:rsidP="004C4B3F">
      <w:pPr>
        <w:pStyle w:val="Default"/>
        <w:rPr>
          <w:color w:val="auto"/>
          <w:sz w:val="22"/>
          <w:szCs w:val="22"/>
        </w:rPr>
      </w:pPr>
      <w:r>
        <w:rPr>
          <w:color w:val="auto"/>
          <w:sz w:val="22"/>
          <w:szCs w:val="22"/>
        </w:rPr>
        <w:t>No.</w:t>
      </w:r>
    </w:p>
    <w:p w:rsidR="00335713" w:rsidRDefault="004C4B3F" w:rsidP="00335713">
      <w:pPr>
        <w:pStyle w:val="Default"/>
        <w:rPr>
          <w:color w:val="auto"/>
          <w:sz w:val="22"/>
          <w:szCs w:val="22"/>
        </w:rPr>
      </w:pPr>
      <w:r>
        <w:rPr>
          <w:color w:val="auto"/>
          <w:sz w:val="22"/>
          <w:szCs w:val="22"/>
        </w:rPr>
        <w:t>T</w:t>
      </w:r>
      <w:r w:rsidR="00335713">
        <w:rPr>
          <w:color w:val="auto"/>
          <w:sz w:val="22"/>
          <w:szCs w:val="22"/>
        </w:rPr>
        <w:t xml:space="preserve">he freight subsidy cannot be treated as profits derived from the business for the purposes of section 80-IA. </w:t>
      </w:r>
    </w:p>
    <w:p w:rsidR="004C4B3F" w:rsidRDefault="004C4B3F"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7. Does the period of exemption under section 80-IB commence from the year of trial production or year of commercial production? Would it make a difference if sale was effected from out of the trial production? </w:t>
      </w:r>
    </w:p>
    <w:p w:rsidR="00335713" w:rsidRDefault="00335713" w:rsidP="00335713">
      <w:pPr>
        <w:pStyle w:val="Default"/>
        <w:rPr>
          <w:color w:val="auto"/>
          <w:sz w:val="22"/>
          <w:szCs w:val="22"/>
        </w:rPr>
      </w:pPr>
      <w:r>
        <w:rPr>
          <w:b/>
          <w:bCs/>
          <w:i/>
          <w:iCs/>
          <w:color w:val="auto"/>
          <w:sz w:val="22"/>
          <w:szCs w:val="22"/>
        </w:rPr>
        <w:t xml:space="preserve">CIT v. Nestor Pharmaceuticals Ltd. / Sidwal Refrigerations Ind Ltd. v. DCIT (2010) 322 ITR 631 (Delhi) </w:t>
      </w:r>
    </w:p>
    <w:p w:rsidR="00335713" w:rsidRDefault="00335713" w:rsidP="00A055AD">
      <w:pPr>
        <w:pStyle w:val="Default"/>
        <w:rPr>
          <w:color w:val="auto"/>
          <w:sz w:val="22"/>
          <w:szCs w:val="22"/>
        </w:rPr>
      </w:pPr>
      <w:r>
        <w:rPr>
          <w:color w:val="auto"/>
          <w:sz w:val="22"/>
          <w:szCs w:val="22"/>
        </w:rPr>
        <w:t xml:space="preserve"> </w:t>
      </w:r>
      <w:r w:rsidR="00A055AD">
        <w:rPr>
          <w:color w:val="auto"/>
          <w:sz w:val="22"/>
          <w:szCs w:val="22"/>
        </w:rPr>
        <w:t>Year of commercial production. The</w:t>
      </w:r>
      <w:r>
        <w:rPr>
          <w:color w:val="auto"/>
          <w:sz w:val="22"/>
          <w:szCs w:val="22"/>
        </w:rPr>
        <w:t xml:space="preserve"> High Court observed that with mere trial production, the manufacture for the purpose of marketing the goods had not started which starts only with commercial production, namely, when the final product to the satisfaction of the manufacturer has been brought into existence and is fit for </w:t>
      </w:r>
      <w:r w:rsidR="00A055AD">
        <w:rPr>
          <w:color w:val="auto"/>
          <w:sz w:val="22"/>
          <w:szCs w:val="22"/>
        </w:rPr>
        <w:t>marketing. But if sale was effected from units produced from trail run then period will be reckoned from the same year.</w:t>
      </w:r>
    </w:p>
    <w:p w:rsidR="00A055AD" w:rsidRDefault="00A055AD" w:rsidP="00A055AD">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8. Can the Duty Entitlement Passbook Scheme (DEPB) benefits and Duty Drawback be treated as profit derived from the business of the industrial undertaking to be eligible for deduction under section 80-IB? </w:t>
      </w:r>
    </w:p>
    <w:p w:rsidR="00335713" w:rsidRDefault="00335713" w:rsidP="00335713">
      <w:pPr>
        <w:pStyle w:val="Default"/>
        <w:rPr>
          <w:color w:val="auto"/>
          <w:sz w:val="22"/>
          <w:szCs w:val="22"/>
        </w:rPr>
      </w:pPr>
      <w:r>
        <w:rPr>
          <w:b/>
          <w:bCs/>
          <w:i/>
          <w:iCs/>
          <w:color w:val="auto"/>
          <w:sz w:val="22"/>
          <w:szCs w:val="22"/>
        </w:rPr>
        <w:t xml:space="preserve">Liberty India v. CIT (2009) 317 ITR 218 (SC) </w:t>
      </w:r>
    </w:p>
    <w:p w:rsidR="00335713" w:rsidRDefault="00335713" w:rsidP="00335713">
      <w:pPr>
        <w:pStyle w:val="Default"/>
        <w:rPr>
          <w:color w:val="auto"/>
          <w:sz w:val="22"/>
          <w:szCs w:val="22"/>
        </w:rPr>
      </w:pPr>
      <w:r>
        <w:rPr>
          <w:b/>
          <w:bCs/>
          <w:color w:val="auto"/>
          <w:sz w:val="22"/>
          <w:szCs w:val="22"/>
        </w:rPr>
        <w:t xml:space="preserve">Relevant section: 80-IB </w:t>
      </w:r>
    </w:p>
    <w:p w:rsidR="00335713" w:rsidRDefault="00F1100A" w:rsidP="00335713">
      <w:pPr>
        <w:pStyle w:val="Default"/>
        <w:rPr>
          <w:rFonts w:cstheme="minorBidi"/>
          <w:color w:val="auto"/>
          <w:sz w:val="22"/>
          <w:szCs w:val="22"/>
        </w:rPr>
      </w:pPr>
      <w:r>
        <w:rPr>
          <w:color w:val="auto"/>
          <w:sz w:val="22"/>
          <w:szCs w:val="22"/>
        </w:rPr>
        <w:t>No.</w:t>
      </w:r>
      <w:r w:rsidRPr="00F1100A">
        <w:rPr>
          <w:b/>
          <w:color w:val="auto"/>
          <w:sz w:val="22"/>
          <w:szCs w:val="22"/>
        </w:rPr>
        <w:t xml:space="preserve"> </w:t>
      </w:r>
      <w:r w:rsidRPr="00F1100A">
        <w:rPr>
          <w:b/>
          <w:bCs/>
          <w:color w:val="auto"/>
          <w:sz w:val="22"/>
          <w:szCs w:val="22"/>
        </w:rPr>
        <w:t>Incentive</w:t>
      </w:r>
      <w:r w:rsidR="00335713">
        <w:rPr>
          <w:b/>
          <w:bCs/>
          <w:color w:val="auto"/>
          <w:sz w:val="22"/>
          <w:szCs w:val="22"/>
        </w:rPr>
        <w:t xml:space="preserve"> profits are not profits derived from eligible business under section 80-IB. They belong to the category of ancillary profits of such undertaking</w:t>
      </w:r>
      <w:r>
        <w:rPr>
          <w:b/>
          <w:bCs/>
          <w:color w:val="auto"/>
          <w:sz w:val="22"/>
          <w:szCs w:val="22"/>
        </w:rPr>
        <w:t>.Also refer to</w:t>
      </w:r>
      <w:r w:rsidR="00335713">
        <w:rPr>
          <w:rFonts w:cstheme="minorBidi"/>
          <w:b/>
          <w:bCs/>
          <w:color w:val="auto"/>
          <w:sz w:val="22"/>
          <w:szCs w:val="22"/>
        </w:rPr>
        <w:t xml:space="preserve"> </w:t>
      </w:r>
      <w:r>
        <w:rPr>
          <w:rFonts w:cstheme="minorBidi"/>
          <w:b/>
          <w:bCs/>
          <w:color w:val="auto"/>
          <w:sz w:val="22"/>
          <w:szCs w:val="22"/>
        </w:rPr>
        <w:t>Que 4 , 5 and 6.</w:t>
      </w:r>
    </w:p>
    <w:p w:rsidR="00335713" w:rsidRDefault="00335713" w:rsidP="00335713">
      <w:pPr>
        <w:pStyle w:val="Default"/>
        <w:pageBreakBefore/>
        <w:rPr>
          <w:rFonts w:cstheme="minorBidi"/>
          <w:color w:val="auto"/>
          <w:sz w:val="96"/>
          <w:szCs w:val="96"/>
        </w:rPr>
      </w:pPr>
      <w:r>
        <w:rPr>
          <w:rFonts w:cstheme="minorBidi"/>
          <w:b/>
          <w:bCs/>
          <w:color w:val="auto"/>
          <w:sz w:val="96"/>
          <w:szCs w:val="96"/>
        </w:rPr>
        <w:lastRenderedPageBreak/>
        <w:t xml:space="preserve">7 </w:t>
      </w:r>
    </w:p>
    <w:p w:rsidR="00335713" w:rsidRDefault="00335713" w:rsidP="00335713">
      <w:pPr>
        <w:pStyle w:val="Default"/>
        <w:rPr>
          <w:rFonts w:cstheme="minorBidi"/>
          <w:color w:val="auto"/>
          <w:sz w:val="38"/>
          <w:szCs w:val="38"/>
        </w:rPr>
      </w:pPr>
      <w:r>
        <w:rPr>
          <w:rFonts w:cstheme="minorBidi"/>
          <w:b/>
          <w:bCs/>
          <w:color w:val="auto"/>
          <w:sz w:val="48"/>
          <w:szCs w:val="48"/>
        </w:rPr>
        <w:t>A</w:t>
      </w:r>
      <w:r>
        <w:rPr>
          <w:rFonts w:cstheme="minorBidi"/>
          <w:b/>
          <w:bCs/>
          <w:color w:val="auto"/>
          <w:sz w:val="38"/>
          <w:szCs w:val="38"/>
        </w:rPr>
        <w:t xml:space="preserve">SSESSMENT </w:t>
      </w:r>
      <w:r>
        <w:rPr>
          <w:rFonts w:cstheme="minorBidi"/>
          <w:b/>
          <w:bCs/>
          <w:color w:val="auto"/>
          <w:sz w:val="48"/>
          <w:szCs w:val="48"/>
        </w:rPr>
        <w:t>O</w:t>
      </w:r>
      <w:r>
        <w:rPr>
          <w:rFonts w:cstheme="minorBidi"/>
          <w:b/>
          <w:bCs/>
          <w:color w:val="auto"/>
          <w:sz w:val="38"/>
          <w:szCs w:val="38"/>
        </w:rPr>
        <w:t xml:space="preserve">F </w:t>
      </w:r>
      <w:r>
        <w:rPr>
          <w:rFonts w:cstheme="minorBidi"/>
          <w:b/>
          <w:bCs/>
          <w:color w:val="auto"/>
          <w:sz w:val="48"/>
          <w:szCs w:val="48"/>
        </w:rPr>
        <w:t>V</w:t>
      </w:r>
      <w:r>
        <w:rPr>
          <w:rFonts w:cstheme="minorBidi"/>
          <w:b/>
          <w:bCs/>
          <w:color w:val="auto"/>
          <w:sz w:val="38"/>
          <w:szCs w:val="38"/>
        </w:rPr>
        <w:t xml:space="preserve">ARIOUS </w:t>
      </w:r>
      <w:r>
        <w:rPr>
          <w:rFonts w:cstheme="minorBidi"/>
          <w:b/>
          <w:bCs/>
          <w:color w:val="auto"/>
          <w:sz w:val="48"/>
          <w:szCs w:val="48"/>
        </w:rPr>
        <w:t>E</w:t>
      </w:r>
      <w:r>
        <w:rPr>
          <w:rFonts w:cstheme="minorBidi"/>
          <w:b/>
          <w:bCs/>
          <w:color w:val="auto"/>
          <w:sz w:val="38"/>
          <w:szCs w:val="38"/>
        </w:rPr>
        <w:t xml:space="preserve">NTITIES </w:t>
      </w:r>
    </w:p>
    <w:p w:rsidR="00335713" w:rsidRDefault="00335713" w:rsidP="00335713">
      <w:pPr>
        <w:pStyle w:val="Default"/>
        <w:rPr>
          <w:rFonts w:cstheme="minorBidi"/>
          <w:color w:val="auto"/>
          <w:sz w:val="22"/>
          <w:szCs w:val="22"/>
        </w:rPr>
      </w:pPr>
      <w:r>
        <w:rPr>
          <w:rFonts w:cstheme="minorBidi"/>
          <w:b/>
          <w:bCs/>
          <w:color w:val="auto"/>
          <w:sz w:val="22"/>
          <w:szCs w:val="22"/>
        </w:rPr>
        <w:t xml:space="preserve">1. Would non-resident match referees and umpires in the games played in India fall within the meaning of sportsmen to attract taxability under the provisions of section 115BBA, and consequently attract the TDS provisions under section 194E in the hands of the payer? </w:t>
      </w:r>
    </w:p>
    <w:p w:rsidR="00335713" w:rsidRDefault="00335713" w:rsidP="00335713">
      <w:pPr>
        <w:pStyle w:val="Default"/>
        <w:rPr>
          <w:color w:val="auto"/>
          <w:sz w:val="22"/>
          <w:szCs w:val="22"/>
        </w:rPr>
      </w:pPr>
      <w:r>
        <w:rPr>
          <w:b/>
          <w:bCs/>
          <w:i/>
          <w:iCs/>
          <w:color w:val="auto"/>
          <w:sz w:val="22"/>
          <w:szCs w:val="22"/>
        </w:rPr>
        <w:t xml:space="preserve">Indcom v. Commissioner of Income-tax (TDS) (2011) 335 ITR 485 (Calcutta) </w:t>
      </w:r>
    </w:p>
    <w:p w:rsidR="00335713" w:rsidRDefault="00CB3ACD" w:rsidP="00CB3ACD">
      <w:pPr>
        <w:pStyle w:val="Default"/>
        <w:rPr>
          <w:color w:val="auto"/>
          <w:sz w:val="22"/>
          <w:szCs w:val="22"/>
        </w:rPr>
      </w:pPr>
      <w:r>
        <w:rPr>
          <w:color w:val="auto"/>
          <w:sz w:val="22"/>
          <w:szCs w:val="22"/>
        </w:rPr>
        <w:t>No.</w:t>
      </w:r>
      <w:r w:rsidR="00335713">
        <w:rPr>
          <w:color w:val="auto"/>
          <w:sz w:val="22"/>
          <w:szCs w:val="22"/>
        </w:rPr>
        <w:t xml:space="preserve">The umpires and the match referees can be described as professionals or technical persons who render professional or technical services, but they cannot be said to be either non-resident </w:t>
      </w:r>
      <w:r w:rsidR="00335713" w:rsidRPr="00CB3ACD">
        <w:rPr>
          <w:b/>
          <w:color w:val="auto"/>
          <w:sz w:val="22"/>
          <w:szCs w:val="22"/>
        </w:rPr>
        <w:t>sportsmen (including an athlete)</w:t>
      </w:r>
      <w:r w:rsidR="00335713">
        <w:rPr>
          <w:color w:val="auto"/>
          <w:sz w:val="22"/>
          <w:szCs w:val="22"/>
        </w:rPr>
        <w:t xml:space="preserve"> or non-resident sports association or institution so as to attract the provisions of section 115BBA and consequently, the provisions of tax deduction at source under section 194E are also not attracted in this case. </w:t>
      </w:r>
    </w:p>
    <w:p w:rsidR="00335713" w:rsidRDefault="00335713" w:rsidP="00335713">
      <w:pPr>
        <w:pStyle w:val="Default"/>
        <w:rPr>
          <w:i/>
          <w:iCs/>
          <w:color w:val="auto"/>
          <w:sz w:val="22"/>
          <w:szCs w:val="22"/>
        </w:rPr>
      </w:pPr>
      <w:r>
        <w:rPr>
          <w:b/>
          <w:bCs/>
          <w:color w:val="auto"/>
          <w:sz w:val="22"/>
          <w:szCs w:val="22"/>
        </w:rPr>
        <w:t xml:space="preserve">Note </w:t>
      </w:r>
      <w:r w:rsidR="00CB3ACD">
        <w:rPr>
          <w:b/>
          <w:bCs/>
          <w:i/>
          <w:iCs/>
          <w:color w:val="auto"/>
          <w:sz w:val="22"/>
          <w:szCs w:val="22"/>
        </w:rPr>
        <w:t>–</w:t>
      </w:r>
      <w:r>
        <w:rPr>
          <w:b/>
          <w:bCs/>
          <w:i/>
          <w:iCs/>
          <w:color w:val="auto"/>
          <w:sz w:val="22"/>
          <w:szCs w:val="22"/>
        </w:rPr>
        <w:t xml:space="preserve"> </w:t>
      </w:r>
      <w:r w:rsidR="00CB3ACD" w:rsidRPr="00CB3ACD">
        <w:rPr>
          <w:bCs/>
          <w:i/>
          <w:iCs/>
          <w:color w:val="auto"/>
          <w:sz w:val="22"/>
          <w:szCs w:val="22"/>
        </w:rPr>
        <w:t>Instead</w:t>
      </w:r>
      <w:r w:rsidR="00CB3ACD">
        <w:rPr>
          <w:b/>
          <w:bCs/>
          <w:i/>
          <w:iCs/>
          <w:color w:val="auto"/>
          <w:sz w:val="22"/>
          <w:szCs w:val="22"/>
        </w:rPr>
        <w:t xml:space="preserve"> </w:t>
      </w:r>
      <w:r>
        <w:rPr>
          <w:i/>
          <w:iCs/>
          <w:color w:val="auto"/>
          <w:sz w:val="22"/>
          <w:szCs w:val="22"/>
        </w:rPr>
        <w:t xml:space="preserve">TDS provisions under section 195 would be attracted and tax would be deductible at the rates in force. </w:t>
      </w:r>
    </w:p>
    <w:p w:rsidR="00774C76" w:rsidRDefault="00774C76" w:rsidP="00335713">
      <w:pPr>
        <w:pStyle w:val="Default"/>
        <w:rPr>
          <w:color w:val="auto"/>
          <w:sz w:val="22"/>
          <w:szCs w:val="22"/>
        </w:rPr>
      </w:pPr>
    </w:p>
    <w:p w:rsidR="00335713" w:rsidRDefault="00774C76" w:rsidP="00335713">
      <w:pPr>
        <w:pStyle w:val="Default"/>
        <w:rPr>
          <w:color w:val="auto"/>
          <w:sz w:val="22"/>
          <w:szCs w:val="22"/>
        </w:rPr>
      </w:pPr>
      <w:r>
        <w:rPr>
          <w:b/>
          <w:bCs/>
          <w:color w:val="auto"/>
          <w:sz w:val="22"/>
          <w:szCs w:val="22"/>
        </w:rPr>
        <w:t xml:space="preserve">(Imp) </w:t>
      </w:r>
      <w:r w:rsidR="00335713">
        <w:rPr>
          <w:b/>
          <w:bCs/>
          <w:color w:val="auto"/>
          <w:sz w:val="22"/>
          <w:szCs w:val="22"/>
        </w:rPr>
        <w:t xml:space="preserve">2. Can interest under sections 234B and 234C be levied where a company is assessed on the basis of book profits under section 115JB? </w:t>
      </w:r>
    </w:p>
    <w:p w:rsidR="00335713" w:rsidRDefault="00335713" w:rsidP="00335713">
      <w:pPr>
        <w:pStyle w:val="Default"/>
        <w:rPr>
          <w:color w:val="auto"/>
          <w:sz w:val="22"/>
          <w:szCs w:val="22"/>
        </w:rPr>
      </w:pPr>
      <w:r>
        <w:rPr>
          <w:b/>
          <w:bCs/>
          <w:i/>
          <w:iCs/>
          <w:color w:val="auto"/>
          <w:sz w:val="22"/>
          <w:szCs w:val="22"/>
        </w:rPr>
        <w:t xml:space="preserve">Joint CIT v. Rolta India Ltd. (2011) 330 ITR 470 (SC) </w:t>
      </w:r>
    </w:p>
    <w:p w:rsidR="00335713" w:rsidRDefault="00774C76" w:rsidP="00774C76">
      <w:pPr>
        <w:pStyle w:val="Default"/>
        <w:rPr>
          <w:color w:val="auto"/>
          <w:sz w:val="22"/>
          <w:szCs w:val="22"/>
        </w:rPr>
      </w:pPr>
      <w:r>
        <w:rPr>
          <w:color w:val="auto"/>
          <w:sz w:val="22"/>
          <w:szCs w:val="22"/>
        </w:rPr>
        <w:t>Yes.</w:t>
      </w:r>
      <w:r w:rsidR="00335713">
        <w:rPr>
          <w:color w:val="auto"/>
          <w:sz w:val="22"/>
          <w:szCs w:val="22"/>
        </w:rPr>
        <w:t xml:space="preserve"> Section 115JB is a self-contained code pertaining to MAT, and by virtue of sub-section (5) thereof, the liability for payment of advance tax would be attracted. Therefore, if a company defaults in payment of advance tax in respect of tax payable under section 115JB, it would be liable to pay interest under sections 234B and 234C. </w:t>
      </w:r>
    </w:p>
    <w:p w:rsidR="00774C76" w:rsidRDefault="00774C76" w:rsidP="00774C76">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3. Would the interest earned on surplus funds of a club deposited with institutional members satisfy the principle of mutuality to escape taxability? </w:t>
      </w:r>
    </w:p>
    <w:p w:rsidR="00335713" w:rsidRDefault="00335713" w:rsidP="00335713">
      <w:pPr>
        <w:pStyle w:val="Default"/>
        <w:rPr>
          <w:color w:val="auto"/>
          <w:sz w:val="22"/>
          <w:szCs w:val="22"/>
        </w:rPr>
      </w:pPr>
      <w:r>
        <w:rPr>
          <w:b/>
          <w:bCs/>
          <w:i/>
          <w:iCs/>
          <w:color w:val="auto"/>
          <w:sz w:val="22"/>
          <w:szCs w:val="22"/>
        </w:rPr>
        <w:t xml:space="preserve">Madras Gymkhana Club v. DCIT (2010) 328 ITR 348 (Mad.) </w:t>
      </w:r>
    </w:p>
    <w:p w:rsidR="00335713" w:rsidRDefault="00774C76" w:rsidP="00335713">
      <w:pPr>
        <w:pStyle w:val="Default"/>
        <w:rPr>
          <w:color w:val="auto"/>
          <w:sz w:val="22"/>
          <w:szCs w:val="22"/>
        </w:rPr>
      </w:pPr>
      <w:r>
        <w:rPr>
          <w:color w:val="auto"/>
          <w:sz w:val="22"/>
          <w:szCs w:val="22"/>
        </w:rPr>
        <w:t>I</w:t>
      </w:r>
      <w:r w:rsidR="00335713">
        <w:rPr>
          <w:color w:val="auto"/>
          <w:sz w:val="22"/>
          <w:szCs w:val="22"/>
        </w:rPr>
        <w:t xml:space="preserve">nterest earned from investment of surplus funds in the form of fixed deposits </w:t>
      </w:r>
      <w:r w:rsidR="00335713" w:rsidRPr="00774C76">
        <w:rPr>
          <w:b/>
          <w:color w:val="auto"/>
          <w:sz w:val="22"/>
          <w:szCs w:val="22"/>
        </w:rPr>
        <w:t>with institutional members</w:t>
      </w:r>
      <w:r w:rsidR="00335713">
        <w:rPr>
          <w:color w:val="auto"/>
          <w:sz w:val="22"/>
          <w:szCs w:val="22"/>
        </w:rPr>
        <w:t xml:space="preserve"> does not satisfy the principle of mutuality and hence cannot be claimed as exempt on this ground. The interest earned is, therefore, taxable. </w:t>
      </w:r>
    </w:p>
    <w:p w:rsidR="003A6768" w:rsidRDefault="00335713" w:rsidP="003A6768">
      <w:pPr>
        <w:pStyle w:val="Default"/>
        <w:rPr>
          <w:i/>
          <w:iCs/>
          <w:color w:val="auto"/>
          <w:sz w:val="22"/>
          <w:szCs w:val="22"/>
        </w:rPr>
      </w:pPr>
      <w:r w:rsidRPr="003A6768">
        <w:rPr>
          <w:bCs/>
          <w:color w:val="auto"/>
          <w:sz w:val="22"/>
          <w:szCs w:val="22"/>
        </w:rPr>
        <w:t xml:space="preserve">Note: </w:t>
      </w:r>
      <w:r w:rsidR="00774C76" w:rsidRPr="003A6768">
        <w:rPr>
          <w:bCs/>
          <w:color w:val="auto"/>
          <w:sz w:val="22"/>
          <w:szCs w:val="22"/>
        </w:rPr>
        <w:t xml:space="preserve">Here if the surplus </w:t>
      </w:r>
      <w:r w:rsidR="003A6768" w:rsidRPr="003A6768">
        <w:rPr>
          <w:bCs/>
          <w:color w:val="auto"/>
          <w:sz w:val="22"/>
          <w:szCs w:val="22"/>
        </w:rPr>
        <w:t>was deposited</w:t>
      </w:r>
      <w:r w:rsidR="00774C76" w:rsidRPr="003A6768">
        <w:rPr>
          <w:bCs/>
          <w:color w:val="auto"/>
          <w:sz w:val="22"/>
          <w:szCs w:val="22"/>
        </w:rPr>
        <w:t xml:space="preserve"> with banks </w:t>
      </w:r>
      <w:r w:rsidR="003A6768">
        <w:rPr>
          <w:i/>
          <w:iCs/>
          <w:color w:val="auto"/>
          <w:sz w:val="22"/>
          <w:szCs w:val="22"/>
        </w:rPr>
        <w:t>i.e., an outside body</w:t>
      </w:r>
      <w:r w:rsidR="003A6768" w:rsidRPr="003A6768">
        <w:rPr>
          <w:bCs/>
          <w:color w:val="auto"/>
          <w:sz w:val="22"/>
          <w:szCs w:val="22"/>
        </w:rPr>
        <w:t xml:space="preserve"> </w:t>
      </w:r>
      <w:r w:rsidR="00774C76" w:rsidRPr="003A6768">
        <w:rPr>
          <w:bCs/>
          <w:color w:val="auto"/>
          <w:sz w:val="22"/>
          <w:szCs w:val="22"/>
        </w:rPr>
        <w:t xml:space="preserve">it </w:t>
      </w:r>
      <w:r w:rsidR="003A6768" w:rsidRPr="003A6768">
        <w:rPr>
          <w:bCs/>
          <w:color w:val="auto"/>
          <w:sz w:val="22"/>
          <w:szCs w:val="22"/>
        </w:rPr>
        <w:t xml:space="preserve">would be exempted since it </w:t>
      </w:r>
      <w:r w:rsidR="00774C76">
        <w:rPr>
          <w:i/>
          <w:iCs/>
          <w:color w:val="auto"/>
          <w:sz w:val="22"/>
          <w:szCs w:val="22"/>
        </w:rPr>
        <w:t xml:space="preserve">satisfies the doctrine of mutuality </w:t>
      </w:r>
      <w:r w:rsidR="003A6768">
        <w:rPr>
          <w:i/>
          <w:iCs/>
          <w:color w:val="auto"/>
          <w:sz w:val="22"/>
          <w:szCs w:val="22"/>
        </w:rPr>
        <w:t xml:space="preserve">as decided by </w:t>
      </w:r>
      <w:r>
        <w:rPr>
          <w:i/>
          <w:iCs/>
          <w:color w:val="auto"/>
          <w:sz w:val="22"/>
          <w:szCs w:val="22"/>
        </w:rPr>
        <w:t>the Delhi High Court in the case of Delhi Gymkhana Club Ltd. v. CIT (2011)</w:t>
      </w:r>
      <w:r w:rsidR="003A6768">
        <w:rPr>
          <w:i/>
          <w:iCs/>
          <w:color w:val="auto"/>
          <w:sz w:val="22"/>
          <w:szCs w:val="22"/>
        </w:rPr>
        <w:t>.</w:t>
      </w:r>
    </w:p>
    <w:p w:rsidR="003A6768" w:rsidRDefault="003A6768" w:rsidP="003A6768">
      <w:pPr>
        <w:pStyle w:val="Default"/>
        <w:rPr>
          <w:i/>
          <w:iCs/>
          <w:color w:val="auto"/>
          <w:sz w:val="22"/>
          <w:szCs w:val="22"/>
        </w:rPr>
      </w:pPr>
    </w:p>
    <w:p w:rsidR="00335713" w:rsidRDefault="00335713" w:rsidP="003A6768">
      <w:pPr>
        <w:pStyle w:val="Default"/>
        <w:rPr>
          <w:rFonts w:cstheme="minorBidi"/>
          <w:color w:val="auto"/>
          <w:sz w:val="22"/>
          <w:szCs w:val="22"/>
        </w:rPr>
      </w:pPr>
      <w:r>
        <w:rPr>
          <w:rFonts w:cstheme="minorBidi"/>
          <w:b/>
          <w:bCs/>
          <w:color w:val="auto"/>
          <w:sz w:val="22"/>
          <w:szCs w:val="22"/>
        </w:rPr>
        <w:t>4. In a case where the partnership deed does not specify the remuneration payable to each individual working partner but lays down the manner of fixing the remuneration</w:t>
      </w:r>
      <w:r w:rsidR="003A6768">
        <w:rPr>
          <w:rFonts w:cstheme="minorBidi"/>
          <w:b/>
          <w:bCs/>
          <w:color w:val="auto"/>
          <w:sz w:val="22"/>
          <w:szCs w:val="22"/>
        </w:rPr>
        <w:t xml:space="preserve"> as “it will be calculated as per Sec 40(b) of Income Tax Act 1961”</w:t>
      </w:r>
      <w:r>
        <w:rPr>
          <w:rFonts w:cstheme="minorBidi"/>
          <w:b/>
          <w:bCs/>
          <w:color w:val="auto"/>
          <w:sz w:val="22"/>
          <w:szCs w:val="22"/>
        </w:rPr>
        <w:t xml:space="preserve">, would the assessee-firm be entitled to deduction in respect of remuneration paid to partners? </w:t>
      </w:r>
    </w:p>
    <w:p w:rsidR="00335713" w:rsidRDefault="00335713" w:rsidP="00335713">
      <w:pPr>
        <w:pStyle w:val="Default"/>
        <w:rPr>
          <w:color w:val="auto"/>
          <w:sz w:val="22"/>
          <w:szCs w:val="22"/>
        </w:rPr>
      </w:pPr>
      <w:r>
        <w:rPr>
          <w:b/>
          <w:bCs/>
          <w:i/>
          <w:iCs/>
          <w:color w:val="auto"/>
          <w:sz w:val="22"/>
          <w:szCs w:val="22"/>
        </w:rPr>
        <w:t xml:space="preserve">CIT v. Anil Hardware Store (2010) 323 ITR 368 (HP) </w:t>
      </w:r>
    </w:p>
    <w:p w:rsidR="00335713" w:rsidRDefault="003A6768" w:rsidP="00335713">
      <w:pPr>
        <w:pStyle w:val="Default"/>
        <w:rPr>
          <w:color w:val="auto"/>
          <w:sz w:val="22"/>
          <w:szCs w:val="22"/>
        </w:rPr>
      </w:pPr>
      <w:r>
        <w:rPr>
          <w:color w:val="auto"/>
          <w:sz w:val="22"/>
          <w:szCs w:val="22"/>
        </w:rPr>
        <w:t>Yes.</w:t>
      </w:r>
      <w:r w:rsidR="00335713">
        <w:rPr>
          <w:color w:val="auto"/>
          <w:sz w:val="22"/>
          <w:szCs w:val="22"/>
        </w:rPr>
        <w:t xml:space="preserve">The High Court held that the manner of fixing the remuneration of the partners has been specified in the partnership deed. In a given year, the partners may decide to invest certain amounts of the profits into other venture and receive less remuneration than that which is permissible under the partnership deed, but there is nothing which debars them from claiming the maximum amount of remuneration payable in terms of the partnership deed. The method of remuneration having been laid down, the assessee-firm is entitled to deduct the remuneration paid to the partners under section 40(b)(v) of the Income-tax Act. </w:t>
      </w:r>
    </w:p>
    <w:p w:rsidR="003A6768" w:rsidRDefault="003A6768" w:rsidP="00335713">
      <w:pPr>
        <w:pStyle w:val="Default"/>
        <w:rPr>
          <w:b/>
          <w:bCs/>
          <w:color w:val="auto"/>
          <w:sz w:val="22"/>
          <w:szCs w:val="22"/>
        </w:rPr>
      </w:pPr>
    </w:p>
    <w:p w:rsidR="00335713" w:rsidRDefault="00335713" w:rsidP="00335713">
      <w:pPr>
        <w:pStyle w:val="Default"/>
        <w:rPr>
          <w:color w:val="auto"/>
          <w:sz w:val="22"/>
          <w:szCs w:val="22"/>
        </w:rPr>
      </w:pPr>
      <w:r>
        <w:rPr>
          <w:b/>
          <w:bCs/>
          <w:color w:val="auto"/>
          <w:sz w:val="22"/>
          <w:szCs w:val="22"/>
        </w:rPr>
        <w:t xml:space="preserve">5. Can long-term capital gain exempted by virtue of erstwhile section 54E be included in the book profit computed under erstwhile section 115J? </w:t>
      </w:r>
    </w:p>
    <w:p w:rsidR="00335713" w:rsidRDefault="00335713" w:rsidP="00335713">
      <w:pPr>
        <w:pStyle w:val="Default"/>
        <w:rPr>
          <w:color w:val="auto"/>
          <w:sz w:val="22"/>
          <w:szCs w:val="22"/>
        </w:rPr>
      </w:pPr>
      <w:r>
        <w:rPr>
          <w:b/>
          <w:bCs/>
          <w:i/>
          <w:iCs/>
          <w:color w:val="auto"/>
          <w:sz w:val="22"/>
          <w:szCs w:val="22"/>
        </w:rPr>
        <w:t xml:space="preserve">N. J. Jose and Co. (P.) </w:t>
      </w:r>
      <w:r w:rsidR="002F3732">
        <w:rPr>
          <w:b/>
          <w:bCs/>
          <w:i/>
          <w:iCs/>
          <w:color w:val="auto"/>
          <w:sz w:val="22"/>
          <w:szCs w:val="22"/>
        </w:rPr>
        <w:t>Ltd. v. ACIT (2010)</w:t>
      </w:r>
      <w:r>
        <w:rPr>
          <w:b/>
          <w:bCs/>
          <w:i/>
          <w:iCs/>
          <w:color w:val="auto"/>
          <w:sz w:val="22"/>
          <w:szCs w:val="22"/>
        </w:rPr>
        <w:t xml:space="preserve">(Ker.) </w:t>
      </w:r>
    </w:p>
    <w:p w:rsidR="00335713" w:rsidRDefault="002F3732" w:rsidP="00335713">
      <w:pPr>
        <w:pStyle w:val="Default"/>
        <w:rPr>
          <w:color w:val="auto"/>
          <w:sz w:val="22"/>
          <w:szCs w:val="22"/>
        </w:rPr>
      </w:pPr>
      <w:r>
        <w:rPr>
          <w:color w:val="auto"/>
          <w:sz w:val="22"/>
          <w:szCs w:val="22"/>
        </w:rPr>
        <w:lastRenderedPageBreak/>
        <w:t>No.S</w:t>
      </w:r>
      <w:r w:rsidR="00335713">
        <w:rPr>
          <w:color w:val="auto"/>
          <w:sz w:val="22"/>
          <w:szCs w:val="22"/>
        </w:rPr>
        <w:t xml:space="preserve">ection 115J which does not provide for any deduction in terms of section 54E. As long as long-term capital gains are part of the profits included in the profit and loss account prepared in accordance with the provisions of Parts II and III of Schedule VI to the Companies Act, 1956, capital gains cannot be excluded unless provided under the Explanation to section 115J(1A). </w:t>
      </w:r>
    </w:p>
    <w:p w:rsidR="002F3732" w:rsidRDefault="00335713" w:rsidP="00335713">
      <w:pPr>
        <w:pStyle w:val="Default"/>
        <w:rPr>
          <w:i/>
          <w:iCs/>
          <w:color w:val="auto"/>
          <w:sz w:val="22"/>
          <w:szCs w:val="22"/>
        </w:rPr>
      </w:pPr>
      <w:r>
        <w:rPr>
          <w:b/>
          <w:bCs/>
          <w:color w:val="auto"/>
          <w:sz w:val="22"/>
          <w:szCs w:val="22"/>
        </w:rPr>
        <w:t xml:space="preserve">Note </w:t>
      </w:r>
      <w:r>
        <w:rPr>
          <w:i/>
          <w:iCs/>
          <w:color w:val="auto"/>
          <w:sz w:val="22"/>
          <w:szCs w:val="22"/>
        </w:rPr>
        <w:t>–</w:t>
      </w:r>
      <w:r w:rsidR="002F3732">
        <w:rPr>
          <w:i/>
          <w:iCs/>
          <w:color w:val="auto"/>
          <w:sz w:val="22"/>
          <w:szCs w:val="22"/>
        </w:rPr>
        <w:t>The same ruling is applicable to section 54 (EC).</w:t>
      </w:r>
      <w:r>
        <w:rPr>
          <w:i/>
          <w:iCs/>
          <w:color w:val="auto"/>
          <w:sz w:val="22"/>
          <w:szCs w:val="22"/>
        </w:rPr>
        <w:t>Further, it may be noted that even the long term capital gain exempt under section 10(38) is included for computation of book profit under section 115JB.</w:t>
      </w:r>
    </w:p>
    <w:p w:rsidR="00335713" w:rsidRDefault="00335713" w:rsidP="00335713">
      <w:pPr>
        <w:pStyle w:val="Default"/>
        <w:rPr>
          <w:color w:val="auto"/>
          <w:sz w:val="22"/>
          <w:szCs w:val="22"/>
        </w:rPr>
      </w:pPr>
      <w:r>
        <w:rPr>
          <w:i/>
          <w:iCs/>
          <w:color w:val="auto"/>
          <w:sz w:val="22"/>
          <w:szCs w:val="22"/>
        </w:rPr>
        <w:t xml:space="preserve"> </w:t>
      </w:r>
    </w:p>
    <w:p w:rsidR="00335713" w:rsidRDefault="00335713" w:rsidP="00335713">
      <w:pPr>
        <w:pStyle w:val="Default"/>
        <w:rPr>
          <w:color w:val="auto"/>
          <w:sz w:val="22"/>
          <w:szCs w:val="22"/>
        </w:rPr>
      </w:pPr>
      <w:r>
        <w:rPr>
          <w:b/>
          <w:bCs/>
          <w:color w:val="auto"/>
          <w:sz w:val="22"/>
          <w:szCs w:val="22"/>
        </w:rPr>
        <w:t xml:space="preserve">6. Can transfer fees received by a co-operative housing society from its incoming and outgoing members be exempt on the ground of principle of mutuality? </w:t>
      </w:r>
    </w:p>
    <w:p w:rsidR="00335713" w:rsidRDefault="00335713" w:rsidP="00335713">
      <w:pPr>
        <w:pStyle w:val="Default"/>
        <w:rPr>
          <w:color w:val="auto"/>
          <w:sz w:val="22"/>
          <w:szCs w:val="22"/>
        </w:rPr>
      </w:pPr>
      <w:r>
        <w:rPr>
          <w:b/>
          <w:bCs/>
          <w:i/>
          <w:iCs/>
          <w:color w:val="auto"/>
          <w:sz w:val="22"/>
          <w:szCs w:val="22"/>
        </w:rPr>
        <w:t xml:space="preserve">Sind Co-operative Housing </w:t>
      </w:r>
      <w:r w:rsidR="002F3732">
        <w:rPr>
          <w:b/>
          <w:bCs/>
          <w:i/>
          <w:iCs/>
          <w:color w:val="auto"/>
          <w:sz w:val="22"/>
          <w:szCs w:val="22"/>
        </w:rPr>
        <w:t xml:space="preserve">Society v. ITO (2009) </w:t>
      </w:r>
      <w:r>
        <w:rPr>
          <w:b/>
          <w:bCs/>
          <w:i/>
          <w:iCs/>
          <w:color w:val="auto"/>
          <w:sz w:val="22"/>
          <w:szCs w:val="22"/>
        </w:rPr>
        <w:t xml:space="preserve"> (Bom) </w:t>
      </w:r>
    </w:p>
    <w:p w:rsidR="00335713" w:rsidRDefault="002F3732" w:rsidP="002F3732">
      <w:pPr>
        <w:pStyle w:val="Default"/>
        <w:rPr>
          <w:rFonts w:cstheme="minorBidi"/>
          <w:color w:val="auto"/>
          <w:sz w:val="22"/>
          <w:szCs w:val="22"/>
        </w:rPr>
      </w:pPr>
      <w:r>
        <w:rPr>
          <w:color w:val="auto"/>
          <w:sz w:val="22"/>
          <w:szCs w:val="22"/>
        </w:rPr>
        <w:t>Yes.</w:t>
      </w:r>
      <w:r w:rsidRPr="002F3732">
        <w:rPr>
          <w:b/>
          <w:color w:val="auto"/>
          <w:sz w:val="22"/>
          <w:szCs w:val="22"/>
        </w:rPr>
        <w:t>T</w:t>
      </w:r>
      <w:r w:rsidR="00335713" w:rsidRPr="002F3732">
        <w:rPr>
          <w:b/>
          <w:bCs/>
          <w:color w:val="auto"/>
          <w:sz w:val="22"/>
          <w:szCs w:val="22"/>
        </w:rPr>
        <w:t>r</w:t>
      </w:r>
      <w:r w:rsidR="00335713">
        <w:rPr>
          <w:b/>
          <w:bCs/>
          <w:color w:val="auto"/>
          <w:sz w:val="22"/>
          <w:szCs w:val="22"/>
        </w:rPr>
        <w:t xml:space="preserve">ansfer fees received by a co-operative housing society, whether from outgoing or from incoming members, is not liable to tax on the ground of principle of mutuality since the predominant activity of such co- </w:t>
      </w:r>
      <w:r w:rsidR="00335713">
        <w:rPr>
          <w:rFonts w:cstheme="minorBidi"/>
          <w:b/>
          <w:bCs/>
          <w:color w:val="auto"/>
          <w:sz w:val="22"/>
          <w:szCs w:val="22"/>
        </w:rPr>
        <w:t xml:space="preserve">operative society is maintenance of property of the society and there is no taint of commerciality, trade or business. </w:t>
      </w:r>
    </w:p>
    <w:p w:rsidR="00335713" w:rsidRDefault="00335713" w:rsidP="00335713">
      <w:pPr>
        <w:pStyle w:val="Default"/>
        <w:rPr>
          <w:color w:val="auto"/>
          <w:sz w:val="22"/>
          <w:szCs w:val="22"/>
        </w:rPr>
      </w:pPr>
      <w:r>
        <w:rPr>
          <w:color w:val="auto"/>
          <w:sz w:val="22"/>
          <w:szCs w:val="22"/>
        </w:rPr>
        <w:t>Further, section 28(iii</w:t>
      </w:r>
      <w:r w:rsidR="002F3732">
        <w:rPr>
          <w:color w:val="auto"/>
          <w:sz w:val="22"/>
          <w:szCs w:val="22"/>
        </w:rPr>
        <w:t>)</w:t>
      </w:r>
      <w:r>
        <w:rPr>
          <w:color w:val="auto"/>
          <w:sz w:val="22"/>
          <w:szCs w:val="22"/>
        </w:rPr>
        <w:t xml:space="preserve"> have no application since the co-operative housing society is not a trade or professional association. </w:t>
      </w:r>
    </w:p>
    <w:p w:rsidR="002F3732" w:rsidRDefault="002F3732"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7. Is it necessary that there be a written agreement between persons to prove the status of association of persons, in a case where the accounts seized from the persons prove joint investments and sharing of profits in business? </w:t>
      </w:r>
    </w:p>
    <w:p w:rsidR="00335713" w:rsidRDefault="00335713" w:rsidP="00335713">
      <w:pPr>
        <w:pStyle w:val="Default"/>
        <w:rPr>
          <w:color w:val="auto"/>
          <w:sz w:val="22"/>
          <w:szCs w:val="22"/>
        </w:rPr>
      </w:pPr>
      <w:r>
        <w:rPr>
          <w:b/>
          <w:bCs/>
          <w:i/>
          <w:iCs/>
          <w:color w:val="auto"/>
          <w:sz w:val="22"/>
          <w:szCs w:val="22"/>
        </w:rPr>
        <w:t xml:space="preserve">CIT v. T. George and M. Syed Alavi (2009) 316 ITR 333 (Ker.) </w:t>
      </w:r>
    </w:p>
    <w:p w:rsidR="00335713" w:rsidRDefault="00994D43" w:rsidP="00335713">
      <w:pPr>
        <w:pStyle w:val="Default"/>
        <w:rPr>
          <w:color w:val="auto"/>
          <w:sz w:val="22"/>
          <w:szCs w:val="22"/>
        </w:rPr>
      </w:pPr>
      <w:r>
        <w:rPr>
          <w:color w:val="auto"/>
          <w:sz w:val="22"/>
          <w:szCs w:val="22"/>
        </w:rPr>
        <w:t>No.</w:t>
      </w:r>
      <w:r w:rsidR="00335713">
        <w:rPr>
          <w:color w:val="auto"/>
          <w:sz w:val="22"/>
          <w:szCs w:val="22"/>
        </w:rPr>
        <w:t xml:space="preserve">The High Court observed that the accounts seized from both members of association of persons were </w:t>
      </w:r>
      <w:r w:rsidR="00335713" w:rsidRPr="00994D43">
        <w:rPr>
          <w:b/>
          <w:color w:val="auto"/>
          <w:sz w:val="22"/>
          <w:szCs w:val="22"/>
        </w:rPr>
        <w:t>mutually complementary</w:t>
      </w:r>
      <w:r w:rsidR="00335713">
        <w:rPr>
          <w:color w:val="auto"/>
          <w:sz w:val="22"/>
          <w:szCs w:val="22"/>
        </w:rPr>
        <w:t xml:space="preserve"> and proved joint investments in </w:t>
      </w:r>
      <w:r>
        <w:rPr>
          <w:color w:val="auto"/>
          <w:sz w:val="22"/>
          <w:szCs w:val="22"/>
        </w:rPr>
        <w:t>business</w:t>
      </w:r>
      <w:r w:rsidR="00335713">
        <w:rPr>
          <w:color w:val="auto"/>
          <w:sz w:val="22"/>
          <w:szCs w:val="22"/>
        </w:rPr>
        <w:t xml:space="preserve">.The High Court held that the status of association of persons need not be proved through an agreement. The business carried on by the members together was proved through accounts recovered on search, which justifies the assessment of the assessees in that status. </w:t>
      </w:r>
    </w:p>
    <w:p w:rsidR="00335713" w:rsidRDefault="00335713" w:rsidP="00335713">
      <w:pPr>
        <w:pStyle w:val="Default"/>
        <w:rPr>
          <w:color w:val="auto"/>
          <w:sz w:val="22"/>
          <w:szCs w:val="22"/>
        </w:rPr>
      </w:pPr>
      <w:r>
        <w:rPr>
          <w:b/>
          <w:bCs/>
          <w:color w:val="auto"/>
          <w:sz w:val="22"/>
          <w:szCs w:val="22"/>
        </w:rPr>
        <w:t xml:space="preserve">8. Can an AOP be constituted by inheritance under will? </w:t>
      </w:r>
    </w:p>
    <w:p w:rsidR="00335713" w:rsidRDefault="00335713" w:rsidP="00335713">
      <w:pPr>
        <w:pStyle w:val="Default"/>
        <w:rPr>
          <w:color w:val="auto"/>
          <w:sz w:val="22"/>
          <w:szCs w:val="22"/>
        </w:rPr>
      </w:pPr>
      <w:r>
        <w:rPr>
          <w:b/>
          <w:bCs/>
          <w:i/>
          <w:iCs/>
          <w:color w:val="auto"/>
          <w:sz w:val="22"/>
          <w:szCs w:val="22"/>
        </w:rPr>
        <w:t xml:space="preserve">CIT v. Laxmi Pd. and Sons (2009) 316 ITR 330 (All.) </w:t>
      </w:r>
    </w:p>
    <w:p w:rsidR="00335713" w:rsidRDefault="00994D43" w:rsidP="00994D43">
      <w:pPr>
        <w:pStyle w:val="Default"/>
        <w:rPr>
          <w:color w:val="auto"/>
          <w:sz w:val="22"/>
          <w:szCs w:val="22"/>
        </w:rPr>
      </w:pPr>
      <w:r>
        <w:rPr>
          <w:color w:val="auto"/>
          <w:sz w:val="22"/>
          <w:szCs w:val="22"/>
        </w:rPr>
        <w:t>No.</w:t>
      </w:r>
      <w:r w:rsidR="00335713">
        <w:rPr>
          <w:color w:val="auto"/>
          <w:sz w:val="22"/>
          <w:szCs w:val="22"/>
        </w:rPr>
        <w:t xml:space="preserve">An association of persons is a </w:t>
      </w:r>
      <w:r w:rsidR="00335713" w:rsidRPr="00994D43">
        <w:rPr>
          <w:b/>
          <w:color w:val="auto"/>
          <w:sz w:val="22"/>
          <w:szCs w:val="22"/>
        </w:rPr>
        <w:t>voluntary</w:t>
      </w:r>
      <w:r w:rsidR="00335713">
        <w:rPr>
          <w:color w:val="auto"/>
          <w:sz w:val="22"/>
          <w:szCs w:val="22"/>
        </w:rPr>
        <w:t xml:space="preserve"> association of two or more persons who join together for a particular purpose which may not necessarily be with the object of deriving of income or profits or gains. Forced association of persons on account of inheriting joint property under a will or such other circumstances not being voluntary would not constitute such joint legatees as “association of persons” for the purpose of section 2(31). </w:t>
      </w:r>
    </w:p>
    <w:p w:rsidR="00335713" w:rsidRDefault="00335713" w:rsidP="00335713">
      <w:pPr>
        <w:pStyle w:val="Default"/>
        <w:rPr>
          <w:rFonts w:cstheme="minorBidi"/>
          <w:color w:val="auto"/>
          <w:sz w:val="22"/>
          <w:szCs w:val="22"/>
        </w:rPr>
      </w:pPr>
    </w:p>
    <w:p w:rsidR="00335713" w:rsidRDefault="00335713" w:rsidP="00335713">
      <w:pPr>
        <w:pStyle w:val="Default"/>
        <w:pageBreakBefore/>
        <w:rPr>
          <w:rFonts w:cstheme="minorBidi"/>
          <w:color w:val="auto"/>
          <w:sz w:val="96"/>
          <w:szCs w:val="96"/>
        </w:rPr>
      </w:pPr>
      <w:r>
        <w:rPr>
          <w:rFonts w:cstheme="minorBidi"/>
          <w:b/>
          <w:bCs/>
          <w:color w:val="auto"/>
          <w:sz w:val="96"/>
          <w:szCs w:val="96"/>
        </w:rPr>
        <w:lastRenderedPageBreak/>
        <w:t xml:space="preserve">8 </w:t>
      </w:r>
    </w:p>
    <w:p w:rsidR="00335713" w:rsidRDefault="00335713" w:rsidP="00335713">
      <w:pPr>
        <w:pStyle w:val="Default"/>
        <w:rPr>
          <w:rFonts w:cstheme="minorBidi"/>
          <w:color w:val="auto"/>
          <w:sz w:val="38"/>
          <w:szCs w:val="38"/>
        </w:rPr>
      </w:pPr>
      <w:r>
        <w:rPr>
          <w:rFonts w:cstheme="minorBidi"/>
          <w:b/>
          <w:bCs/>
          <w:color w:val="auto"/>
          <w:sz w:val="48"/>
          <w:szCs w:val="48"/>
        </w:rPr>
        <w:t>I</w:t>
      </w:r>
      <w:r>
        <w:rPr>
          <w:rFonts w:cstheme="minorBidi"/>
          <w:b/>
          <w:bCs/>
          <w:color w:val="auto"/>
          <w:sz w:val="38"/>
          <w:szCs w:val="38"/>
        </w:rPr>
        <w:t>NCOME</w:t>
      </w:r>
      <w:r>
        <w:rPr>
          <w:rFonts w:cstheme="minorBidi"/>
          <w:b/>
          <w:bCs/>
          <w:color w:val="auto"/>
          <w:sz w:val="48"/>
          <w:szCs w:val="48"/>
        </w:rPr>
        <w:t>-T</w:t>
      </w:r>
      <w:r>
        <w:rPr>
          <w:rFonts w:cstheme="minorBidi"/>
          <w:b/>
          <w:bCs/>
          <w:color w:val="auto"/>
          <w:sz w:val="38"/>
          <w:szCs w:val="38"/>
        </w:rPr>
        <w:t xml:space="preserve">AX </w:t>
      </w:r>
      <w:r>
        <w:rPr>
          <w:rFonts w:cstheme="minorBidi"/>
          <w:b/>
          <w:bCs/>
          <w:color w:val="auto"/>
          <w:sz w:val="48"/>
          <w:szCs w:val="48"/>
        </w:rPr>
        <w:t>A</w:t>
      </w:r>
      <w:r>
        <w:rPr>
          <w:rFonts w:cstheme="minorBidi"/>
          <w:b/>
          <w:bCs/>
          <w:color w:val="auto"/>
          <w:sz w:val="38"/>
          <w:szCs w:val="38"/>
        </w:rPr>
        <w:t xml:space="preserve">UTHORITIES </w:t>
      </w:r>
    </w:p>
    <w:p w:rsidR="00335713" w:rsidRDefault="00335713" w:rsidP="00335713">
      <w:pPr>
        <w:pStyle w:val="Default"/>
        <w:rPr>
          <w:rFonts w:cstheme="minorBidi"/>
          <w:color w:val="auto"/>
          <w:sz w:val="22"/>
          <w:szCs w:val="22"/>
        </w:rPr>
      </w:pPr>
      <w:r>
        <w:rPr>
          <w:rFonts w:cstheme="minorBidi"/>
          <w:b/>
          <w:bCs/>
          <w:color w:val="auto"/>
          <w:sz w:val="22"/>
          <w:szCs w:val="22"/>
        </w:rPr>
        <w:t xml:space="preserve">1. Does the Central Board of Direct Taxes (CBDT) have the power under section 119(2)(b) to condone the delay in filing return of income? </w:t>
      </w:r>
    </w:p>
    <w:p w:rsidR="00335713" w:rsidRDefault="00335713" w:rsidP="00335713">
      <w:pPr>
        <w:pStyle w:val="Default"/>
        <w:rPr>
          <w:color w:val="auto"/>
          <w:sz w:val="22"/>
          <w:szCs w:val="22"/>
        </w:rPr>
      </w:pPr>
      <w:r>
        <w:rPr>
          <w:b/>
          <w:bCs/>
          <w:i/>
          <w:iCs/>
          <w:color w:val="auto"/>
          <w:sz w:val="22"/>
          <w:szCs w:val="22"/>
        </w:rPr>
        <w:t xml:space="preserve">Lodhi Property Company Ltd. v. Under Secretary, (ITA-II), Department of Revenue (2010) 323 ITR 441 (Del.) </w:t>
      </w:r>
    </w:p>
    <w:p w:rsidR="00335713" w:rsidRDefault="00335713" w:rsidP="00335713">
      <w:pPr>
        <w:pStyle w:val="Default"/>
        <w:rPr>
          <w:color w:val="auto"/>
          <w:sz w:val="22"/>
          <w:szCs w:val="22"/>
        </w:rPr>
      </w:pPr>
      <w:r>
        <w:rPr>
          <w:b/>
          <w:bCs/>
          <w:color w:val="auto"/>
          <w:sz w:val="22"/>
          <w:szCs w:val="22"/>
        </w:rPr>
        <w:t xml:space="preserve">Relevant section: 119(2)(b) </w:t>
      </w:r>
    </w:p>
    <w:p w:rsidR="00335713" w:rsidRDefault="00994D43" w:rsidP="00335713">
      <w:pPr>
        <w:pStyle w:val="Default"/>
        <w:rPr>
          <w:color w:val="auto"/>
          <w:sz w:val="22"/>
          <w:szCs w:val="22"/>
        </w:rPr>
      </w:pPr>
      <w:r>
        <w:rPr>
          <w:color w:val="auto"/>
          <w:sz w:val="22"/>
          <w:szCs w:val="22"/>
        </w:rPr>
        <w:t>Yes.</w:t>
      </w:r>
      <w:r w:rsidR="00335713">
        <w:rPr>
          <w:color w:val="auto"/>
          <w:sz w:val="22"/>
          <w:szCs w:val="22"/>
        </w:rPr>
        <w:t xml:space="preserve">The High Court held that the Board has the power to condone the delay in case of a return which was filed late and where a claim for carry forward of losses was made. The delay was only one day and the assessee had shown sufficient reason for the delay of one day in filing the return of income. If the delay is not condoned, it would cause genuine hardship to the petitioner. Therefore, the Court held that the delay of one day in filing of the return has to be condoned. </w:t>
      </w:r>
    </w:p>
    <w:p w:rsidR="00BD49B0" w:rsidRDefault="00335713" w:rsidP="00BD49B0">
      <w:pPr>
        <w:pStyle w:val="Default"/>
        <w:rPr>
          <w:i/>
          <w:iCs/>
          <w:color w:val="auto"/>
          <w:sz w:val="22"/>
          <w:szCs w:val="22"/>
        </w:rPr>
      </w:pPr>
      <w:r>
        <w:rPr>
          <w:b/>
          <w:bCs/>
          <w:color w:val="auto"/>
          <w:sz w:val="22"/>
          <w:szCs w:val="22"/>
        </w:rPr>
        <w:t xml:space="preserve">Note </w:t>
      </w:r>
      <w:r>
        <w:rPr>
          <w:i/>
          <w:iCs/>
          <w:color w:val="auto"/>
          <w:sz w:val="22"/>
          <w:szCs w:val="22"/>
        </w:rPr>
        <w:t xml:space="preserve">– Section 119(2)(b) empowers the CBDT to authorise any income tax authority to admit an application or claim for any exemption, deduction, refund or </w:t>
      </w:r>
      <w:r>
        <w:rPr>
          <w:b/>
          <w:bCs/>
          <w:i/>
          <w:iCs/>
          <w:color w:val="auto"/>
          <w:sz w:val="22"/>
          <w:szCs w:val="22"/>
        </w:rPr>
        <w:t xml:space="preserve">any other relief under the Act </w:t>
      </w:r>
      <w:r>
        <w:rPr>
          <w:i/>
          <w:iCs/>
          <w:color w:val="auto"/>
          <w:sz w:val="22"/>
          <w:szCs w:val="22"/>
        </w:rPr>
        <w:t xml:space="preserve">after the expiry of the period specified under the Act, to avoid genuine hardship in any case or class of cases. </w:t>
      </w:r>
    </w:p>
    <w:p w:rsidR="00BD49B0" w:rsidRDefault="00BD49B0" w:rsidP="00BD49B0">
      <w:pPr>
        <w:pStyle w:val="Default"/>
        <w:rPr>
          <w:i/>
          <w:iCs/>
          <w:color w:val="auto"/>
          <w:sz w:val="22"/>
          <w:szCs w:val="22"/>
        </w:rPr>
      </w:pPr>
    </w:p>
    <w:p w:rsidR="00335713" w:rsidRDefault="00335713" w:rsidP="00BD49B0">
      <w:pPr>
        <w:pStyle w:val="Default"/>
        <w:rPr>
          <w:rFonts w:cstheme="minorBidi"/>
          <w:color w:val="auto"/>
          <w:sz w:val="22"/>
          <w:szCs w:val="22"/>
        </w:rPr>
      </w:pPr>
      <w:r>
        <w:rPr>
          <w:rFonts w:cstheme="minorBidi"/>
          <w:b/>
          <w:bCs/>
          <w:color w:val="auto"/>
          <w:sz w:val="22"/>
          <w:szCs w:val="22"/>
        </w:rPr>
        <w:t xml:space="preserve">2. Can extension of the maximum period of retention of 15 days of books of accounts and documents impounded be granted indefinitely? </w:t>
      </w:r>
    </w:p>
    <w:p w:rsidR="00335713" w:rsidRDefault="00335713" w:rsidP="00335713">
      <w:pPr>
        <w:pStyle w:val="Default"/>
        <w:rPr>
          <w:color w:val="auto"/>
          <w:sz w:val="22"/>
          <w:szCs w:val="22"/>
        </w:rPr>
      </w:pPr>
      <w:r>
        <w:rPr>
          <w:b/>
          <w:bCs/>
          <w:i/>
          <w:iCs/>
          <w:color w:val="auto"/>
          <w:sz w:val="22"/>
          <w:szCs w:val="22"/>
        </w:rPr>
        <w:t xml:space="preserve">Subha and Prabha Builders </w:t>
      </w:r>
      <w:r w:rsidR="00BD49B0">
        <w:rPr>
          <w:b/>
          <w:bCs/>
          <w:i/>
          <w:iCs/>
          <w:color w:val="auto"/>
          <w:sz w:val="22"/>
          <w:szCs w:val="22"/>
        </w:rPr>
        <w:t>P Ltd. vs. ITO (2009</w:t>
      </w:r>
      <w:r>
        <w:rPr>
          <w:b/>
          <w:bCs/>
          <w:i/>
          <w:iCs/>
          <w:color w:val="auto"/>
          <w:sz w:val="22"/>
          <w:szCs w:val="22"/>
        </w:rPr>
        <w:t xml:space="preserve"> (Karn). </w:t>
      </w:r>
    </w:p>
    <w:p w:rsidR="00335713" w:rsidRDefault="00335713" w:rsidP="00335713">
      <w:pPr>
        <w:pStyle w:val="Default"/>
        <w:rPr>
          <w:color w:val="auto"/>
          <w:sz w:val="22"/>
          <w:szCs w:val="22"/>
        </w:rPr>
      </w:pPr>
      <w:r>
        <w:rPr>
          <w:b/>
          <w:bCs/>
          <w:color w:val="auto"/>
          <w:sz w:val="22"/>
          <w:szCs w:val="22"/>
        </w:rPr>
        <w:t xml:space="preserve">Relevant section: 131 </w:t>
      </w:r>
    </w:p>
    <w:p w:rsidR="00335713" w:rsidRDefault="00BD49B0" w:rsidP="00335713">
      <w:pPr>
        <w:pStyle w:val="Default"/>
        <w:rPr>
          <w:color w:val="auto"/>
          <w:sz w:val="22"/>
          <w:szCs w:val="22"/>
        </w:rPr>
      </w:pPr>
      <w:r>
        <w:rPr>
          <w:b/>
          <w:bCs/>
          <w:color w:val="auto"/>
          <w:sz w:val="22"/>
          <w:szCs w:val="22"/>
        </w:rPr>
        <w:t>No.</w:t>
      </w:r>
      <w:r w:rsidR="00335713">
        <w:rPr>
          <w:b/>
          <w:bCs/>
          <w:color w:val="auto"/>
          <w:sz w:val="22"/>
          <w:szCs w:val="22"/>
        </w:rPr>
        <w:t xml:space="preserve">The High Court held that the extension can only be a one time exercise and supplementing the outer limit of 15 days for few more days depending on the circumstances. Since the outer limit is specified in days, the period can be extended only in days and not in months or years. </w:t>
      </w:r>
    </w:p>
    <w:p w:rsidR="00335713" w:rsidRDefault="00335713" w:rsidP="00335713">
      <w:pPr>
        <w:pStyle w:val="Default"/>
        <w:rPr>
          <w:color w:val="auto"/>
          <w:sz w:val="22"/>
          <w:szCs w:val="22"/>
        </w:rPr>
      </w:pPr>
      <w:r>
        <w:rPr>
          <w:b/>
          <w:bCs/>
          <w:color w:val="auto"/>
          <w:sz w:val="22"/>
          <w:szCs w:val="22"/>
        </w:rPr>
        <w:t xml:space="preserve">Note: </w:t>
      </w:r>
      <w:r>
        <w:rPr>
          <w:i/>
          <w:iCs/>
          <w:color w:val="auto"/>
          <w:sz w:val="22"/>
          <w:szCs w:val="22"/>
        </w:rPr>
        <w:t xml:space="preserve">The above decision is reaffirmed in CIT v. Subha and Prabha Builders Ltd. (2012) 342 ITR 14 (Kar.). </w:t>
      </w:r>
    </w:p>
    <w:p w:rsidR="00335713" w:rsidRDefault="00335713" w:rsidP="00335713">
      <w:pPr>
        <w:pStyle w:val="Default"/>
        <w:pageBreakBefore/>
        <w:rPr>
          <w:rFonts w:cstheme="minorBidi"/>
          <w:color w:val="auto"/>
          <w:sz w:val="96"/>
          <w:szCs w:val="96"/>
        </w:rPr>
      </w:pPr>
      <w:r>
        <w:rPr>
          <w:rFonts w:cstheme="minorBidi"/>
          <w:b/>
          <w:bCs/>
          <w:color w:val="auto"/>
          <w:sz w:val="96"/>
          <w:szCs w:val="96"/>
        </w:rPr>
        <w:lastRenderedPageBreak/>
        <w:t xml:space="preserve">9 </w:t>
      </w:r>
    </w:p>
    <w:p w:rsidR="00335713" w:rsidRDefault="00335713" w:rsidP="00335713">
      <w:pPr>
        <w:pStyle w:val="Default"/>
        <w:rPr>
          <w:rFonts w:cstheme="minorBidi"/>
          <w:color w:val="auto"/>
          <w:sz w:val="45"/>
          <w:szCs w:val="45"/>
        </w:rPr>
      </w:pPr>
      <w:r>
        <w:rPr>
          <w:rFonts w:cstheme="minorBidi"/>
          <w:b/>
          <w:bCs/>
          <w:color w:val="auto"/>
          <w:sz w:val="56"/>
          <w:szCs w:val="56"/>
        </w:rPr>
        <w:t>A</w:t>
      </w:r>
      <w:r>
        <w:rPr>
          <w:rFonts w:cstheme="minorBidi"/>
          <w:b/>
          <w:bCs/>
          <w:color w:val="auto"/>
          <w:sz w:val="45"/>
          <w:szCs w:val="45"/>
        </w:rPr>
        <w:t xml:space="preserve">SSESSMENT </w:t>
      </w:r>
      <w:r>
        <w:rPr>
          <w:rFonts w:cstheme="minorBidi"/>
          <w:b/>
          <w:bCs/>
          <w:color w:val="auto"/>
          <w:sz w:val="56"/>
          <w:szCs w:val="56"/>
        </w:rPr>
        <w:t>P</w:t>
      </w:r>
      <w:r>
        <w:rPr>
          <w:rFonts w:cstheme="minorBidi"/>
          <w:b/>
          <w:bCs/>
          <w:color w:val="auto"/>
          <w:sz w:val="45"/>
          <w:szCs w:val="45"/>
        </w:rPr>
        <w:t xml:space="preserve">ROCEDURE </w:t>
      </w:r>
    </w:p>
    <w:p w:rsidR="00335713" w:rsidRDefault="00335713" w:rsidP="00335713">
      <w:pPr>
        <w:pStyle w:val="Default"/>
        <w:rPr>
          <w:rFonts w:cstheme="minorBidi"/>
          <w:color w:val="auto"/>
          <w:sz w:val="22"/>
          <w:szCs w:val="22"/>
        </w:rPr>
      </w:pPr>
      <w:r>
        <w:rPr>
          <w:rFonts w:cstheme="minorBidi"/>
          <w:b/>
          <w:bCs/>
          <w:color w:val="auto"/>
          <w:sz w:val="22"/>
          <w:szCs w:val="22"/>
        </w:rPr>
        <w:t xml:space="preserve">1. In case of change of incumbent of an office, can the successor Assessing Officer initiate reassessment proceedings on the ground of change of opinion in relation to an issue which the predecessor Assessing Officer, who had framed the original assessment, had already applied his mind and come to a conclusion? </w:t>
      </w:r>
    </w:p>
    <w:p w:rsidR="00335713" w:rsidRDefault="00335713" w:rsidP="00335713">
      <w:pPr>
        <w:pStyle w:val="Default"/>
        <w:rPr>
          <w:color w:val="auto"/>
          <w:sz w:val="22"/>
          <w:szCs w:val="22"/>
        </w:rPr>
      </w:pPr>
      <w:r>
        <w:rPr>
          <w:b/>
          <w:bCs/>
          <w:i/>
          <w:iCs/>
          <w:color w:val="auto"/>
          <w:sz w:val="22"/>
          <w:szCs w:val="22"/>
        </w:rPr>
        <w:t>H. K. Buildcon Ltd. v. Income</w:t>
      </w:r>
      <w:r w:rsidR="00BD49B0">
        <w:rPr>
          <w:b/>
          <w:bCs/>
          <w:i/>
          <w:iCs/>
          <w:color w:val="auto"/>
          <w:sz w:val="22"/>
          <w:szCs w:val="22"/>
        </w:rPr>
        <w:t>-tax Officer (2011)</w:t>
      </w:r>
      <w:r>
        <w:rPr>
          <w:b/>
          <w:bCs/>
          <w:i/>
          <w:iCs/>
          <w:color w:val="auto"/>
          <w:sz w:val="22"/>
          <w:szCs w:val="22"/>
        </w:rPr>
        <w:t xml:space="preserve">(Guj.) </w:t>
      </w:r>
    </w:p>
    <w:p w:rsidR="00BD49B0" w:rsidRDefault="00BD49B0" w:rsidP="00BD49B0">
      <w:pPr>
        <w:pStyle w:val="Default"/>
        <w:rPr>
          <w:color w:val="auto"/>
          <w:sz w:val="22"/>
          <w:szCs w:val="22"/>
        </w:rPr>
      </w:pPr>
      <w:r>
        <w:rPr>
          <w:color w:val="auto"/>
          <w:sz w:val="22"/>
          <w:szCs w:val="22"/>
        </w:rPr>
        <w:t>No.</w:t>
      </w:r>
      <w:r w:rsidR="00335713">
        <w:rPr>
          <w:color w:val="auto"/>
          <w:sz w:val="22"/>
          <w:szCs w:val="22"/>
        </w:rPr>
        <w:t xml:space="preserve">On this issue, the Gujarat High Court referred to the ruling of the Apex Court in </w:t>
      </w:r>
      <w:r w:rsidR="00335713">
        <w:rPr>
          <w:i/>
          <w:iCs/>
          <w:color w:val="auto"/>
          <w:sz w:val="22"/>
          <w:szCs w:val="22"/>
        </w:rPr>
        <w:t>CIT v. Kelvinator of India Ltd. (2010)</w:t>
      </w:r>
      <w:r>
        <w:rPr>
          <w:i/>
          <w:iCs/>
          <w:color w:val="auto"/>
          <w:sz w:val="22"/>
          <w:szCs w:val="22"/>
        </w:rPr>
        <w:t>.</w:t>
      </w:r>
    </w:p>
    <w:p w:rsidR="00836A3C" w:rsidRDefault="00BD49B0" w:rsidP="00836A3C">
      <w:pPr>
        <w:pStyle w:val="Default"/>
        <w:rPr>
          <w:color w:val="auto"/>
          <w:sz w:val="22"/>
          <w:szCs w:val="22"/>
        </w:rPr>
      </w:pPr>
      <w:r>
        <w:rPr>
          <w:color w:val="auto"/>
          <w:sz w:val="22"/>
          <w:szCs w:val="22"/>
        </w:rPr>
        <w:t xml:space="preserve">The High court </w:t>
      </w:r>
      <w:r w:rsidR="00335713">
        <w:rPr>
          <w:color w:val="auto"/>
          <w:sz w:val="22"/>
          <w:szCs w:val="22"/>
        </w:rPr>
        <w:t xml:space="preserve">observed that in the entire reasons recorded in this case, </w:t>
      </w:r>
      <w:r w:rsidR="00335713" w:rsidRPr="00BD49B0">
        <w:rPr>
          <w:color w:val="auto"/>
          <w:sz w:val="22"/>
          <w:szCs w:val="22"/>
          <w:u w:val="single"/>
        </w:rPr>
        <w:t>there was nothing on record to show that income had escaped assessment in respect of which the successor Assessing Officer received information subsequently, from an external source.</w:t>
      </w:r>
      <w:r w:rsidR="00335713">
        <w:rPr>
          <w:color w:val="auto"/>
          <w:sz w:val="22"/>
          <w:szCs w:val="22"/>
        </w:rPr>
        <w:t xml:space="preserve"> The reasons recorded themselves indicated that the successor Assessing Officer had merely recorded a different opinion in relation to an issue to which the</w:t>
      </w:r>
      <w:r w:rsidR="00836A3C">
        <w:rPr>
          <w:color w:val="auto"/>
          <w:sz w:val="22"/>
          <w:szCs w:val="22"/>
        </w:rPr>
        <w:t xml:space="preserve"> predecessor Assessing Officer</w:t>
      </w:r>
      <w:r w:rsidR="00335713">
        <w:rPr>
          <w:color w:val="auto"/>
          <w:sz w:val="22"/>
          <w:szCs w:val="22"/>
        </w:rPr>
        <w:t xml:space="preserve"> had already applied his mind and come to a conclusion. </w:t>
      </w:r>
    </w:p>
    <w:p w:rsidR="00836A3C" w:rsidRDefault="00836A3C" w:rsidP="00836A3C">
      <w:pPr>
        <w:pStyle w:val="Default"/>
        <w:rPr>
          <w:color w:val="auto"/>
          <w:sz w:val="22"/>
          <w:szCs w:val="22"/>
        </w:rPr>
      </w:pPr>
    </w:p>
    <w:p w:rsidR="00335713" w:rsidRDefault="00335713" w:rsidP="00836A3C">
      <w:pPr>
        <w:pStyle w:val="Default"/>
        <w:rPr>
          <w:rFonts w:cstheme="minorBidi"/>
          <w:color w:val="auto"/>
          <w:sz w:val="22"/>
          <w:szCs w:val="22"/>
        </w:rPr>
      </w:pPr>
      <w:r>
        <w:rPr>
          <w:rFonts w:cstheme="minorBidi"/>
          <w:b/>
          <w:bCs/>
          <w:color w:val="auto"/>
          <w:sz w:val="22"/>
          <w:szCs w:val="22"/>
        </w:rPr>
        <w:t xml:space="preserve">2. Can the Assessing Officer issue notice under section 154 to rectify a mistake apparent from record in the intimation under section 143(1), after issue of a valid notice under section 143(2)? </w:t>
      </w:r>
    </w:p>
    <w:p w:rsidR="00335713" w:rsidRDefault="00335713" w:rsidP="00335713">
      <w:pPr>
        <w:pStyle w:val="Default"/>
        <w:rPr>
          <w:color w:val="auto"/>
          <w:sz w:val="22"/>
          <w:szCs w:val="22"/>
        </w:rPr>
      </w:pPr>
      <w:r>
        <w:rPr>
          <w:b/>
          <w:bCs/>
          <w:i/>
          <w:iCs/>
          <w:color w:val="auto"/>
          <w:sz w:val="22"/>
          <w:szCs w:val="22"/>
        </w:rPr>
        <w:t>CIT v. Haryana State Handloom and Handicrafts Corp</w:t>
      </w:r>
      <w:r w:rsidR="00836A3C">
        <w:rPr>
          <w:b/>
          <w:bCs/>
          <w:i/>
          <w:iCs/>
          <w:color w:val="auto"/>
          <w:sz w:val="22"/>
          <w:szCs w:val="22"/>
        </w:rPr>
        <w:t>oration Ltd. (2011)</w:t>
      </w:r>
      <w:r>
        <w:rPr>
          <w:b/>
          <w:bCs/>
          <w:i/>
          <w:iCs/>
          <w:color w:val="auto"/>
          <w:sz w:val="22"/>
          <w:szCs w:val="22"/>
        </w:rPr>
        <w:t xml:space="preserve">(P&amp;H) </w:t>
      </w:r>
    </w:p>
    <w:p w:rsidR="00335713" w:rsidRDefault="00836A3C" w:rsidP="00335713">
      <w:pPr>
        <w:pStyle w:val="Default"/>
        <w:rPr>
          <w:color w:val="auto"/>
          <w:sz w:val="22"/>
          <w:szCs w:val="22"/>
        </w:rPr>
      </w:pPr>
      <w:r>
        <w:rPr>
          <w:color w:val="auto"/>
          <w:sz w:val="22"/>
          <w:szCs w:val="22"/>
        </w:rPr>
        <w:t>No.T</w:t>
      </w:r>
      <w:r w:rsidR="00335713">
        <w:rPr>
          <w:color w:val="auto"/>
          <w:sz w:val="22"/>
          <w:szCs w:val="22"/>
        </w:rPr>
        <w:t xml:space="preserve">he scope of proceedings under section 143(2) is wider than the power of rectification of mistake apparent from record under section 154. </w:t>
      </w:r>
      <w:r>
        <w:rPr>
          <w:color w:val="auto"/>
          <w:sz w:val="22"/>
          <w:szCs w:val="22"/>
        </w:rPr>
        <w:t>Therefore, the</w:t>
      </w:r>
      <w:r w:rsidR="00335713">
        <w:rPr>
          <w:color w:val="auto"/>
          <w:sz w:val="22"/>
          <w:szCs w:val="22"/>
        </w:rPr>
        <w:t xml:space="preserve"> Assessing Officer has to proceed under section 143(3) and issue an assessment order. If issue of notice under section 154 is permitted to rectify the intimation issued under section 143(1), then it would lead to duplication of work and wastage of time. </w:t>
      </w:r>
    </w:p>
    <w:p w:rsidR="00836A3C" w:rsidRDefault="00836A3C" w:rsidP="00335713">
      <w:pPr>
        <w:pStyle w:val="Default"/>
        <w:rPr>
          <w:b/>
          <w:bCs/>
          <w:color w:val="auto"/>
          <w:sz w:val="22"/>
          <w:szCs w:val="22"/>
        </w:rPr>
      </w:pPr>
    </w:p>
    <w:p w:rsidR="00335713" w:rsidRDefault="005A7E8E" w:rsidP="00335713">
      <w:pPr>
        <w:pStyle w:val="Default"/>
        <w:rPr>
          <w:color w:val="auto"/>
          <w:sz w:val="22"/>
          <w:szCs w:val="22"/>
        </w:rPr>
      </w:pPr>
      <w:r>
        <w:rPr>
          <w:b/>
          <w:bCs/>
          <w:color w:val="auto"/>
          <w:sz w:val="22"/>
          <w:szCs w:val="22"/>
        </w:rPr>
        <w:t xml:space="preserve">(Imp) </w:t>
      </w:r>
      <w:r w:rsidR="00335713">
        <w:rPr>
          <w:b/>
          <w:bCs/>
          <w:color w:val="auto"/>
          <w:sz w:val="22"/>
          <w:szCs w:val="22"/>
        </w:rPr>
        <w:t xml:space="preserve">3. Can the Assessing Officer reassess issues other than the issues in respect of which proceedings were initiated under section 147 when the original “reason to believe” on basis of which the notice was issued ceased to exist? </w:t>
      </w:r>
    </w:p>
    <w:p w:rsidR="00335713" w:rsidRDefault="00335713" w:rsidP="00335713">
      <w:pPr>
        <w:pStyle w:val="Default"/>
        <w:rPr>
          <w:color w:val="auto"/>
          <w:sz w:val="22"/>
          <w:szCs w:val="22"/>
        </w:rPr>
      </w:pPr>
      <w:r>
        <w:rPr>
          <w:b/>
          <w:bCs/>
          <w:i/>
          <w:iCs/>
          <w:color w:val="auto"/>
          <w:sz w:val="22"/>
          <w:szCs w:val="22"/>
        </w:rPr>
        <w:t xml:space="preserve">Ranbaxy Laboratories Ltd. v. CIT (2011) 336 ITR 136 (Delhi) </w:t>
      </w:r>
    </w:p>
    <w:p w:rsidR="00836A3C" w:rsidRDefault="001610B2" w:rsidP="00836A3C">
      <w:pPr>
        <w:pStyle w:val="Default"/>
        <w:rPr>
          <w:color w:val="auto"/>
          <w:sz w:val="22"/>
          <w:szCs w:val="22"/>
        </w:rPr>
      </w:pPr>
      <w:r>
        <w:rPr>
          <w:color w:val="auto"/>
          <w:sz w:val="22"/>
          <w:szCs w:val="22"/>
        </w:rPr>
        <w:t xml:space="preserve">No. </w:t>
      </w:r>
      <w:r w:rsidR="00335713">
        <w:rPr>
          <w:color w:val="auto"/>
          <w:sz w:val="22"/>
          <w:szCs w:val="22"/>
        </w:rPr>
        <w:t xml:space="preserve">As per section 147, the Assessing Officer may assess or reassess such income </w:t>
      </w:r>
      <w:r w:rsidR="00335713" w:rsidRPr="005A7E8E">
        <w:rPr>
          <w:b/>
          <w:bCs/>
          <w:color w:val="auto"/>
          <w:sz w:val="22"/>
          <w:szCs w:val="22"/>
          <w:u w:val="single"/>
        </w:rPr>
        <w:t>and also</w:t>
      </w:r>
      <w:r w:rsidR="00335713">
        <w:rPr>
          <w:b/>
          <w:bCs/>
          <w:color w:val="auto"/>
          <w:sz w:val="22"/>
          <w:szCs w:val="22"/>
        </w:rPr>
        <w:t xml:space="preserve"> </w:t>
      </w:r>
      <w:r w:rsidR="00335713" w:rsidRPr="005A7E8E">
        <w:rPr>
          <w:color w:val="auto"/>
          <w:sz w:val="22"/>
          <w:szCs w:val="22"/>
        </w:rPr>
        <w:t>any other income</w:t>
      </w:r>
      <w:r w:rsidR="00335713">
        <w:rPr>
          <w:color w:val="auto"/>
          <w:sz w:val="22"/>
          <w:szCs w:val="22"/>
        </w:rPr>
        <w:t xml:space="preserve"> chargeable to tax which has escaped assessment</w:t>
      </w:r>
      <w:r w:rsidR="00335713" w:rsidRPr="005A7E8E">
        <w:rPr>
          <w:color w:val="auto"/>
          <w:sz w:val="22"/>
          <w:szCs w:val="22"/>
        </w:rPr>
        <w:t xml:space="preserve"> and</w:t>
      </w:r>
      <w:r w:rsidR="00335713">
        <w:rPr>
          <w:color w:val="auto"/>
          <w:sz w:val="22"/>
          <w:szCs w:val="22"/>
        </w:rPr>
        <w:t xml:space="preserve"> which comes to his notice in the course of proceedings under this section.</w:t>
      </w:r>
    </w:p>
    <w:p w:rsidR="005A7E8E" w:rsidRDefault="001610B2" w:rsidP="00335713">
      <w:pPr>
        <w:pStyle w:val="Default"/>
        <w:rPr>
          <w:color w:val="auto"/>
          <w:sz w:val="22"/>
          <w:szCs w:val="22"/>
        </w:rPr>
      </w:pPr>
      <w:r>
        <w:rPr>
          <w:color w:val="auto"/>
          <w:sz w:val="22"/>
          <w:szCs w:val="22"/>
        </w:rPr>
        <w:t>If t</w:t>
      </w:r>
      <w:r w:rsidR="00335713">
        <w:rPr>
          <w:color w:val="auto"/>
          <w:sz w:val="22"/>
          <w:szCs w:val="22"/>
        </w:rPr>
        <w:t>he income, the escapement of which was the basis of the formation of the “reason to believe” is not assessed or reassessed, it would not be open to the Assessing Officer to independently assess only that income which comes to his notice subsequently in the course of the proceedings under the section as having escaped assessment. If he intends to do so, a fresh notice under section 148 would be necessary.</w:t>
      </w:r>
    </w:p>
    <w:p w:rsidR="00335713" w:rsidRDefault="00335713" w:rsidP="00335713">
      <w:pPr>
        <w:pStyle w:val="Default"/>
        <w:rPr>
          <w:color w:val="auto"/>
          <w:sz w:val="22"/>
          <w:szCs w:val="22"/>
        </w:rPr>
      </w:pPr>
      <w:r>
        <w:rPr>
          <w:color w:val="auto"/>
          <w:sz w:val="22"/>
          <w:szCs w:val="22"/>
        </w:rPr>
        <w:t xml:space="preserve"> </w:t>
      </w:r>
    </w:p>
    <w:p w:rsidR="00335713" w:rsidRDefault="00335713" w:rsidP="00335713">
      <w:pPr>
        <w:pStyle w:val="Default"/>
        <w:rPr>
          <w:color w:val="auto"/>
          <w:sz w:val="22"/>
          <w:szCs w:val="22"/>
        </w:rPr>
      </w:pPr>
      <w:r>
        <w:rPr>
          <w:b/>
          <w:bCs/>
          <w:color w:val="auto"/>
          <w:sz w:val="22"/>
          <w:szCs w:val="22"/>
        </w:rPr>
        <w:t xml:space="preserve">4. Would the words “shall be issued” used in section 149 mean ‘mere signing of notice by the Assessing Officer’ or ‘handing over of the said notice in the hands of the proper officer for serving it to the assessee’ to constitute a valid notice issued within the prescribed time limit? </w:t>
      </w:r>
    </w:p>
    <w:p w:rsidR="00335713" w:rsidRDefault="00335713" w:rsidP="00335713">
      <w:pPr>
        <w:pStyle w:val="Default"/>
        <w:rPr>
          <w:color w:val="auto"/>
          <w:sz w:val="22"/>
          <w:szCs w:val="22"/>
        </w:rPr>
      </w:pPr>
      <w:r>
        <w:rPr>
          <w:b/>
          <w:bCs/>
          <w:i/>
          <w:iCs/>
          <w:color w:val="auto"/>
          <w:sz w:val="22"/>
          <w:szCs w:val="22"/>
        </w:rPr>
        <w:t xml:space="preserve">Kanubhai M. Patel (HUF) v. Hiren Bhatt or his successors to Office (2011) 334 ITR 25 (Guj.) </w:t>
      </w:r>
    </w:p>
    <w:p w:rsidR="00045106" w:rsidRPr="00045106" w:rsidRDefault="00045106" w:rsidP="00335713">
      <w:pPr>
        <w:pStyle w:val="Default"/>
        <w:rPr>
          <w:b/>
          <w:color w:val="auto"/>
          <w:sz w:val="22"/>
          <w:szCs w:val="22"/>
        </w:rPr>
      </w:pPr>
      <w:r>
        <w:rPr>
          <w:b/>
          <w:color w:val="auto"/>
          <w:sz w:val="22"/>
          <w:szCs w:val="22"/>
        </w:rPr>
        <w:t>Ans.</w:t>
      </w:r>
      <w:r w:rsidRPr="00045106">
        <w:rPr>
          <w:b/>
          <w:color w:val="auto"/>
          <w:sz w:val="22"/>
          <w:szCs w:val="22"/>
        </w:rPr>
        <w:t>Handing over to proper officer for serving to assessee.</w:t>
      </w:r>
    </w:p>
    <w:p w:rsidR="00335713" w:rsidRDefault="00335713" w:rsidP="00335713">
      <w:pPr>
        <w:pStyle w:val="Default"/>
        <w:rPr>
          <w:color w:val="auto"/>
          <w:sz w:val="22"/>
          <w:szCs w:val="22"/>
        </w:rPr>
      </w:pPr>
      <w:r>
        <w:rPr>
          <w:color w:val="auto"/>
          <w:sz w:val="22"/>
          <w:szCs w:val="22"/>
        </w:rPr>
        <w:t xml:space="preserve">The Gujarat High Court observed that according to Black's Law Dictionary, the term ‘issue’ when used with reference to writs, process, and the like, would mean as </w:t>
      </w:r>
      <w:r w:rsidRPr="00045106">
        <w:rPr>
          <w:color w:val="auto"/>
          <w:sz w:val="22"/>
          <w:szCs w:val="22"/>
          <w:u w:val="single"/>
        </w:rPr>
        <w:t>importing delivery to the proper person, or to the proper officer for service etc.</w:t>
      </w:r>
      <w:r>
        <w:rPr>
          <w:color w:val="auto"/>
          <w:sz w:val="22"/>
          <w:szCs w:val="22"/>
        </w:rPr>
        <w:t xml:space="preserve"> Therefore, any notice may be considered to be issued if made out and placed in the hands of a person authorised to serve it, and with a bona fide intent to have it served. </w:t>
      </w:r>
    </w:p>
    <w:p w:rsidR="00335713" w:rsidRDefault="00045106" w:rsidP="002C2EA1">
      <w:pPr>
        <w:pStyle w:val="Default"/>
        <w:rPr>
          <w:color w:val="auto"/>
          <w:sz w:val="22"/>
          <w:szCs w:val="22"/>
        </w:rPr>
      </w:pPr>
      <w:r>
        <w:rPr>
          <w:b/>
          <w:color w:val="auto"/>
          <w:sz w:val="22"/>
          <w:szCs w:val="22"/>
        </w:rPr>
        <w:lastRenderedPageBreak/>
        <w:t>For example:</w:t>
      </w:r>
      <w:r w:rsidR="00992865">
        <w:rPr>
          <w:b/>
          <w:color w:val="auto"/>
          <w:sz w:val="22"/>
          <w:szCs w:val="22"/>
        </w:rPr>
        <w:t xml:space="preserve"> T</w:t>
      </w:r>
      <w:r w:rsidR="00335713" w:rsidRPr="002C2EA1">
        <w:rPr>
          <w:b/>
          <w:color w:val="auto"/>
          <w:sz w:val="22"/>
          <w:szCs w:val="22"/>
        </w:rPr>
        <w:t>he notice has been signed on 31</w:t>
      </w:r>
      <w:r w:rsidR="00335713" w:rsidRPr="002C2EA1">
        <w:rPr>
          <w:b/>
          <w:color w:val="auto"/>
          <w:sz w:val="14"/>
          <w:szCs w:val="14"/>
        </w:rPr>
        <w:t xml:space="preserve">st </w:t>
      </w:r>
      <w:r w:rsidR="00335713" w:rsidRPr="002C2EA1">
        <w:rPr>
          <w:b/>
          <w:color w:val="auto"/>
          <w:sz w:val="22"/>
          <w:szCs w:val="22"/>
        </w:rPr>
        <w:t>March, 2010, whereas the same were sent to the speed post centre for booking only on 7</w:t>
      </w:r>
      <w:r w:rsidR="00335713" w:rsidRPr="002C2EA1">
        <w:rPr>
          <w:b/>
          <w:color w:val="auto"/>
          <w:sz w:val="14"/>
          <w:szCs w:val="14"/>
        </w:rPr>
        <w:t xml:space="preserve">th </w:t>
      </w:r>
      <w:r w:rsidR="00335713" w:rsidRPr="002C2EA1">
        <w:rPr>
          <w:b/>
          <w:color w:val="auto"/>
          <w:sz w:val="22"/>
          <w:szCs w:val="22"/>
        </w:rPr>
        <w:t>April, 2010. From the above definition of the word "issue", it is apparent that mere signing of notices on 31</w:t>
      </w:r>
      <w:r w:rsidR="00335713" w:rsidRPr="002C2EA1">
        <w:rPr>
          <w:b/>
          <w:color w:val="auto"/>
          <w:sz w:val="14"/>
          <w:szCs w:val="14"/>
        </w:rPr>
        <w:t xml:space="preserve">st </w:t>
      </w:r>
      <w:r w:rsidR="00335713" w:rsidRPr="002C2EA1">
        <w:rPr>
          <w:b/>
          <w:color w:val="auto"/>
          <w:sz w:val="22"/>
          <w:szCs w:val="22"/>
        </w:rPr>
        <w:t>March, 2010 cannot tantamount to issuance of notic</w:t>
      </w:r>
      <w:r w:rsidR="00BC4D00">
        <w:rPr>
          <w:b/>
          <w:color w:val="auto"/>
          <w:sz w:val="22"/>
          <w:szCs w:val="22"/>
        </w:rPr>
        <w:t>e.</w:t>
      </w:r>
    </w:p>
    <w:p w:rsidR="00335713" w:rsidRDefault="00335713" w:rsidP="00335713">
      <w:pPr>
        <w:pStyle w:val="Default"/>
        <w:rPr>
          <w:color w:val="auto"/>
          <w:sz w:val="22"/>
          <w:szCs w:val="22"/>
        </w:rPr>
      </w:pPr>
      <w:r>
        <w:rPr>
          <w:b/>
          <w:bCs/>
          <w:color w:val="auto"/>
          <w:sz w:val="22"/>
          <w:szCs w:val="22"/>
        </w:rPr>
        <w:t xml:space="preserve">5. Can the unabsorbed depreciation be allowed to be carried forward in case the return of income is not filed within the due date? </w:t>
      </w:r>
    </w:p>
    <w:p w:rsidR="00335713" w:rsidRDefault="00335713" w:rsidP="00335713">
      <w:pPr>
        <w:pStyle w:val="Default"/>
        <w:rPr>
          <w:color w:val="auto"/>
          <w:sz w:val="22"/>
          <w:szCs w:val="22"/>
        </w:rPr>
      </w:pPr>
      <w:r>
        <w:rPr>
          <w:b/>
          <w:bCs/>
          <w:i/>
          <w:iCs/>
          <w:color w:val="auto"/>
          <w:sz w:val="22"/>
          <w:szCs w:val="22"/>
        </w:rPr>
        <w:t xml:space="preserve">CIT v. Govind Nagar Sugar Ltd. (2011) 334 ITR 13 (Delhi) </w:t>
      </w:r>
    </w:p>
    <w:p w:rsidR="00335713" w:rsidRDefault="002E6A1F" w:rsidP="002C2EA1">
      <w:pPr>
        <w:pStyle w:val="Default"/>
        <w:rPr>
          <w:color w:val="auto"/>
          <w:sz w:val="22"/>
          <w:szCs w:val="22"/>
        </w:rPr>
      </w:pPr>
      <w:r>
        <w:rPr>
          <w:color w:val="auto"/>
          <w:sz w:val="22"/>
          <w:szCs w:val="22"/>
        </w:rPr>
        <w:t xml:space="preserve">Yes. </w:t>
      </w:r>
      <w:r w:rsidR="00335713">
        <w:rPr>
          <w:color w:val="auto"/>
          <w:sz w:val="22"/>
          <w:szCs w:val="22"/>
        </w:rPr>
        <w:t>On this issue, the Delhi High Court observed that, the provisions of section 80 and section 139(3), requiring the return of income claiming loss to be filed within the due</w:t>
      </w:r>
      <w:r w:rsidR="002C2EA1">
        <w:rPr>
          <w:color w:val="auto"/>
          <w:sz w:val="22"/>
          <w:szCs w:val="22"/>
        </w:rPr>
        <w:t xml:space="preserve"> </w:t>
      </w:r>
      <w:r w:rsidR="00335713">
        <w:rPr>
          <w:color w:val="auto"/>
          <w:sz w:val="22"/>
          <w:szCs w:val="22"/>
        </w:rPr>
        <w:t xml:space="preserve">date, applies to, </w:t>
      </w:r>
      <w:r w:rsidR="00335713">
        <w:rPr>
          <w:i/>
          <w:iCs/>
          <w:color w:val="auto"/>
          <w:sz w:val="22"/>
          <w:szCs w:val="22"/>
        </w:rPr>
        <w:t xml:space="preserve">inter alia, </w:t>
      </w:r>
      <w:r w:rsidR="00335713">
        <w:rPr>
          <w:color w:val="auto"/>
          <w:sz w:val="22"/>
          <w:szCs w:val="22"/>
        </w:rPr>
        <w:t xml:space="preserve">carry forward of business loss and not for the carrying forward of unabsorbed depreciation. As per the provisions of section 32(2), the unabsorbed depreciation becomes part of next year’s depreciation allowance and is allowed to be set-off as per the provisions of the Income-tax Act, 1961, irrespective of whether the return of earlier year was filed within due date or not. </w:t>
      </w:r>
    </w:p>
    <w:p w:rsidR="002E6A1F" w:rsidRDefault="002E6A1F" w:rsidP="00335713">
      <w:pPr>
        <w:pStyle w:val="Default"/>
        <w:rPr>
          <w:b/>
          <w:bCs/>
          <w:color w:val="auto"/>
          <w:sz w:val="22"/>
          <w:szCs w:val="22"/>
        </w:rPr>
      </w:pPr>
    </w:p>
    <w:p w:rsidR="00335713" w:rsidRDefault="00335713" w:rsidP="00335713">
      <w:pPr>
        <w:pStyle w:val="Default"/>
        <w:rPr>
          <w:color w:val="auto"/>
          <w:sz w:val="22"/>
          <w:szCs w:val="22"/>
        </w:rPr>
      </w:pPr>
      <w:r>
        <w:rPr>
          <w:b/>
          <w:bCs/>
          <w:color w:val="auto"/>
          <w:sz w:val="22"/>
          <w:szCs w:val="22"/>
        </w:rPr>
        <w:t xml:space="preserve">6. Can the Assessing Officer reopen an assessment on the basis of merely a change of opinion? </w:t>
      </w:r>
    </w:p>
    <w:p w:rsidR="00335713" w:rsidRDefault="00335713" w:rsidP="00335713">
      <w:pPr>
        <w:pStyle w:val="Default"/>
        <w:rPr>
          <w:color w:val="auto"/>
          <w:sz w:val="22"/>
          <w:szCs w:val="22"/>
        </w:rPr>
      </w:pPr>
      <w:r>
        <w:rPr>
          <w:b/>
          <w:bCs/>
          <w:i/>
          <w:iCs/>
          <w:color w:val="auto"/>
          <w:sz w:val="22"/>
          <w:szCs w:val="22"/>
        </w:rPr>
        <w:t xml:space="preserve">Aventis Pharma Ltd. v. ACIT (2010) 323 ITR 570 (Bom.) </w:t>
      </w:r>
    </w:p>
    <w:p w:rsidR="00335713" w:rsidRDefault="00335713" w:rsidP="00335713">
      <w:pPr>
        <w:pStyle w:val="Default"/>
        <w:rPr>
          <w:color w:val="auto"/>
          <w:sz w:val="22"/>
          <w:szCs w:val="22"/>
        </w:rPr>
      </w:pPr>
      <w:r>
        <w:rPr>
          <w:b/>
          <w:bCs/>
          <w:color w:val="auto"/>
          <w:sz w:val="22"/>
          <w:szCs w:val="22"/>
        </w:rPr>
        <w:t xml:space="preserve">Relevant section: 147 </w:t>
      </w:r>
    </w:p>
    <w:p w:rsidR="00335713" w:rsidRDefault="002E6A1F" w:rsidP="00335713">
      <w:pPr>
        <w:pStyle w:val="Default"/>
        <w:rPr>
          <w:color w:val="auto"/>
          <w:sz w:val="22"/>
          <w:szCs w:val="22"/>
        </w:rPr>
      </w:pPr>
      <w:r>
        <w:rPr>
          <w:color w:val="auto"/>
          <w:sz w:val="22"/>
          <w:szCs w:val="22"/>
        </w:rPr>
        <w:t xml:space="preserve">No. </w:t>
      </w:r>
      <w:r w:rsidR="00335713">
        <w:rPr>
          <w:color w:val="auto"/>
          <w:sz w:val="22"/>
          <w:szCs w:val="22"/>
        </w:rPr>
        <w:t xml:space="preserve">The power to reopen an assessment is conditional on the formation of a reason to believe that income chargeable to tax has escaped assessment. The existence of tangible material is essential to safeguard against an arbitrary exercise of this power. </w:t>
      </w:r>
    </w:p>
    <w:p w:rsidR="002E6A1F" w:rsidRDefault="002E6A1F" w:rsidP="00335713">
      <w:pPr>
        <w:pStyle w:val="Default"/>
        <w:rPr>
          <w:b/>
          <w:bCs/>
          <w:color w:val="auto"/>
          <w:sz w:val="22"/>
          <w:szCs w:val="22"/>
        </w:rPr>
      </w:pPr>
    </w:p>
    <w:p w:rsidR="00335713" w:rsidRDefault="00335713" w:rsidP="00335713">
      <w:pPr>
        <w:pStyle w:val="Default"/>
        <w:rPr>
          <w:color w:val="auto"/>
          <w:sz w:val="22"/>
          <w:szCs w:val="22"/>
        </w:rPr>
      </w:pPr>
      <w:r>
        <w:rPr>
          <w:b/>
          <w:bCs/>
          <w:color w:val="auto"/>
          <w:sz w:val="22"/>
          <w:szCs w:val="22"/>
        </w:rPr>
        <w:t xml:space="preserve">7. Would the doctrine of merger apply for calculating the period of limitation under section 154(7)? </w:t>
      </w:r>
    </w:p>
    <w:p w:rsidR="00335713" w:rsidRDefault="00335713" w:rsidP="002E6A1F">
      <w:pPr>
        <w:pStyle w:val="Default"/>
        <w:tabs>
          <w:tab w:val="left" w:pos="5220"/>
        </w:tabs>
        <w:rPr>
          <w:color w:val="auto"/>
          <w:sz w:val="22"/>
          <w:szCs w:val="22"/>
        </w:rPr>
      </w:pPr>
      <w:r>
        <w:rPr>
          <w:b/>
          <w:bCs/>
          <w:i/>
          <w:iCs/>
          <w:color w:val="auto"/>
          <w:sz w:val="22"/>
          <w:szCs w:val="22"/>
        </w:rPr>
        <w:t xml:space="preserve">CIT v. Tony Electronics Limited (2010) 320 ITR 378 (Del.) </w:t>
      </w:r>
      <w:r w:rsidR="002E6A1F">
        <w:rPr>
          <w:b/>
          <w:bCs/>
          <w:i/>
          <w:iCs/>
          <w:color w:val="auto"/>
          <w:sz w:val="22"/>
          <w:szCs w:val="22"/>
        </w:rPr>
        <w:tab/>
      </w:r>
    </w:p>
    <w:p w:rsidR="00335713" w:rsidRDefault="00335713" w:rsidP="00335713">
      <w:pPr>
        <w:pStyle w:val="Default"/>
        <w:rPr>
          <w:color w:val="auto"/>
          <w:sz w:val="22"/>
          <w:szCs w:val="22"/>
        </w:rPr>
      </w:pPr>
      <w:r>
        <w:rPr>
          <w:b/>
          <w:bCs/>
          <w:color w:val="auto"/>
          <w:sz w:val="22"/>
          <w:szCs w:val="22"/>
        </w:rPr>
        <w:t xml:space="preserve">Relevant section: 154(7) </w:t>
      </w:r>
    </w:p>
    <w:p w:rsidR="00335713" w:rsidRDefault="002E6A1F" w:rsidP="00335713">
      <w:pPr>
        <w:pStyle w:val="Default"/>
        <w:rPr>
          <w:color w:val="auto"/>
          <w:sz w:val="22"/>
          <w:szCs w:val="22"/>
        </w:rPr>
      </w:pPr>
      <w:r>
        <w:rPr>
          <w:color w:val="auto"/>
          <w:sz w:val="22"/>
          <w:szCs w:val="22"/>
        </w:rPr>
        <w:t>Yes.</w:t>
      </w:r>
      <w:r w:rsidR="00335713">
        <w:rPr>
          <w:color w:val="auto"/>
          <w:sz w:val="22"/>
          <w:szCs w:val="22"/>
        </w:rPr>
        <w:t xml:space="preserve"> </w:t>
      </w:r>
    </w:p>
    <w:p w:rsidR="00335713" w:rsidRDefault="00335713" w:rsidP="00335713">
      <w:pPr>
        <w:pStyle w:val="Default"/>
        <w:rPr>
          <w:color w:val="auto"/>
          <w:sz w:val="22"/>
          <w:szCs w:val="22"/>
        </w:rPr>
      </w:pPr>
      <w:r>
        <w:rPr>
          <w:b/>
          <w:bCs/>
          <w:color w:val="auto"/>
          <w:sz w:val="22"/>
          <w:szCs w:val="22"/>
        </w:rPr>
        <w:t xml:space="preserve">The High Court held that once an appeal against the order passed by an authority is preferred and is decided by the appellate authority, the order of the Assessing Officer merges with the order of the appellate authority. </w:t>
      </w:r>
      <w:r>
        <w:rPr>
          <w:color w:val="auto"/>
          <w:sz w:val="22"/>
          <w:szCs w:val="22"/>
        </w:rPr>
        <w:t xml:space="preserve">After merger, the order of the original authority ceases to exist and the order of the appellate authority prevails. Thus, the period of limitation of 4 years for the purpose of section 154(7) has to be counted from the date of the order of the Appellate Authority. </w:t>
      </w:r>
    </w:p>
    <w:p w:rsidR="00335713" w:rsidRDefault="00335713" w:rsidP="00335713">
      <w:pPr>
        <w:pStyle w:val="Default"/>
        <w:rPr>
          <w:color w:val="auto"/>
          <w:sz w:val="22"/>
          <w:szCs w:val="22"/>
        </w:rPr>
      </w:pPr>
      <w:r>
        <w:rPr>
          <w:b/>
          <w:bCs/>
          <w:color w:val="auto"/>
          <w:sz w:val="22"/>
          <w:szCs w:val="22"/>
        </w:rPr>
        <w:t xml:space="preserve">Note </w:t>
      </w:r>
      <w:r>
        <w:rPr>
          <w:i/>
          <w:iCs/>
          <w:color w:val="auto"/>
          <w:sz w:val="22"/>
          <w:szCs w:val="22"/>
        </w:rPr>
        <w:t xml:space="preserve">- In this case, the Delhi High Court has followed the decision of the Supreme Court in case of Hind Wire Industries v. CIT (1995) 212 ITR 639. </w:t>
      </w:r>
    </w:p>
    <w:p w:rsidR="00335713" w:rsidRDefault="00335713" w:rsidP="00335713">
      <w:pPr>
        <w:pStyle w:val="Default"/>
        <w:rPr>
          <w:rFonts w:cstheme="minorBidi"/>
          <w:color w:val="auto"/>
          <w:sz w:val="22"/>
          <w:szCs w:val="22"/>
        </w:rPr>
      </w:pPr>
    </w:p>
    <w:p w:rsidR="00335713" w:rsidRDefault="00335713" w:rsidP="00335713">
      <w:pPr>
        <w:pStyle w:val="Default"/>
        <w:pageBreakBefore/>
        <w:rPr>
          <w:rFonts w:cstheme="minorBidi"/>
          <w:color w:val="auto"/>
          <w:sz w:val="96"/>
          <w:szCs w:val="96"/>
        </w:rPr>
      </w:pPr>
      <w:r>
        <w:rPr>
          <w:rFonts w:cstheme="minorBidi"/>
          <w:b/>
          <w:bCs/>
          <w:color w:val="auto"/>
          <w:sz w:val="96"/>
          <w:szCs w:val="96"/>
        </w:rPr>
        <w:lastRenderedPageBreak/>
        <w:t xml:space="preserve">10 </w:t>
      </w:r>
    </w:p>
    <w:p w:rsidR="00335713" w:rsidRDefault="00335713" w:rsidP="00335713">
      <w:pPr>
        <w:pStyle w:val="Default"/>
        <w:rPr>
          <w:rFonts w:cstheme="minorBidi"/>
          <w:color w:val="auto"/>
          <w:sz w:val="38"/>
          <w:szCs w:val="38"/>
        </w:rPr>
      </w:pPr>
      <w:r>
        <w:rPr>
          <w:rFonts w:cstheme="minorBidi"/>
          <w:b/>
          <w:bCs/>
          <w:color w:val="auto"/>
          <w:sz w:val="48"/>
          <w:szCs w:val="48"/>
        </w:rPr>
        <w:t>A</w:t>
      </w:r>
      <w:r>
        <w:rPr>
          <w:rFonts w:cstheme="minorBidi"/>
          <w:b/>
          <w:bCs/>
          <w:color w:val="auto"/>
          <w:sz w:val="38"/>
          <w:szCs w:val="38"/>
        </w:rPr>
        <w:t xml:space="preserve">PPEALS </w:t>
      </w:r>
      <w:r>
        <w:rPr>
          <w:rFonts w:cstheme="minorBidi"/>
          <w:b/>
          <w:bCs/>
          <w:color w:val="auto"/>
          <w:sz w:val="48"/>
          <w:szCs w:val="48"/>
        </w:rPr>
        <w:t>A</w:t>
      </w:r>
      <w:r>
        <w:rPr>
          <w:rFonts w:cstheme="minorBidi"/>
          <w:b/>
          <w:bCs/>
          <w:color w:val="auto"/>
          <w:sz w:val="38"/>
          <w:szCs w:val="38"/>
        </w:rPr>
        <w:t xml:space="preserve">ND </w:t>
      </w:r>
      <w:r>
        <w:rPr>
          <w:rFonts w:cstheme="minorBidi"/>
          <w:b/>
          <w:bCs/>
          <w:color w:val="auto"/>
          <w:sz w:val="48"/>
          <w:szCs w:val="48"/>
        </w:rPr>
        <w:t>R</w:t>
      </w:r>
      <w:r>
        <w:rPr>
          <w:rFonts w:cstheme="minorBidi"/>
          <w:b/>
          <w:bCs/>
          <w:color w:val="auto"/>
          <w:sz w:val="38"/>
          <w:szCs w:val="38"/>
        </w:rPr>
        <w:t xml:space="preserve">EVISION </w:t>
      </w:r>
    </w:p>
    <w:p w:rsidR="00335713" w:rsidRDefault="00335713" w:rsidP="00335713">
      <w:pPr>
        <w:pStyle w:val="Default"/>
        <w:rPr>
          <w:rFonts w:cstheme="minorBidi"/>
          <w:color w:val="auto"/>
          <w:sz w:val="22"/>
          <w:szCs w:val="22"/>
        </w:rPr>
      </w:pPr>
      <w:r>
        <w:rPr>
          <w:rFonts w:cstheme="minorBidi"/>
          <w:b/>
          <w:bCs/>
          <w:color w:val="auto"/>
          <w:sz w:val="22"/>
          <w:szCs w:val="22"/>
        </w:rPr>
        <w:t xml:space="preserve">1. Can the Commissioner initiate revision proceedings under section 263 on the ground that the Assessing Officer’s order not initiating penal proceedings was erroneous and prejudicial to the interest of the Revenue, in a case where non-initiation of penal proceedings was a pre-condition for surrender of income by the assessee? </w:t>
      </w:r>
    </w:p>
    <w:p w:rsidR="00335713" w:rsidRDefault="00335713" w:rsidP="00335713">
      <w:pPr>
        <w:pStyle w:val="Default"/>
        <w:rPr>
          <w:color w:val="auto"/>
          <w:sz w:val="22"/>
          <w:szCs w:val="22"/>
        </w:rPr>
      </w:pPr>
      <w:r>
        <w:rPr>
          <w:b/>
          <w:bCs/>
          <w:i/>
          <w:iCs/>
          <w:color w:val="auto"/>
          <w:sz w:val="22"/>
          <w:szCs w:val="22"/>
        </w:rPr>
        <w:t>CIT v. Subha</w:t>
      </w:r>
      <w:r w:rsidR="00105C35">
        <w:rPr>
          <w:b/>
          <w:bCs/>
          <w:i/>
          <w:iCs/>
          <w:color w:val="auto"/>
          <w:sz w:val="22"/>
          <w:szCs w:val="22"/>
        </w:rPr>
        <w:t>sh Kumar Jain (2011)</w:t>
      </w:r>
      <w:r>
        <w:rPr>
          <w:b/>
          <w:bCs/>
          <w:i/>
          <w:iCs/>
          <w:color w:val="auto"/>
          <w:sz w:val="22"/>
          <w:szCs w:val="22"/>
        </w:rPr>
        <w:t xml:space="preserve"> (P&amp;H) </w:t>
      </w:r>
    </w:p>
    <w:p w:rsidR="00335713" w:rsidRDefault="00105C35" w:rsidP="00105C35">
      <w:pPr>
        <w:pStyle w:val="Default"/>
        <w:rPr>
          <w:color w:val="auto"/>
          <w:sz w:val="22"/>
          <w:szCs w:val="22"/>
        </w:rPr>
      </w:pPr>
      <w:r>
        <w:rPr>
          <w:color w:val="auto"/>
          <w:sz w:val="22"/>
          <w:szCs w:val="22"/>
        </w:rPr>
        <w:t xml:space="preserve">No. </w:t>
      </w:r>
      <w:r w:rsidR="00335713">
        <w:rPr>
          <w:color w:val="auto"/>
          <w:sz w:val="22"/>
          <w:szCs w:val="22"/>
        </w:rPr>
        <w:t xml:space="preserve">On this issue, the Punjab and Haryana High Court observed that, on perusal of the office note issued by the Assessing Officer, it was clear that the assessee had made surrender of income with a clear condition that no penal action under section 271(1)(c) would be initiated. The office note further depicts that the offer of the assessee was accepted by the Department. Once that was so, the Commissioner cannot take a different view and levy penalty. The High Court relied on the decision of the Bombay High Court in </w:t>
      </w:r>
      <w:r w:rsidR="00335713">
        <w:rPr>
          <w:i/>
          <w:iCs/>
          <w:color w:val="auto"/>
          <w:sz w:val="22"/>
          <w:szCs w:val="22"/>
        </w:rPr>
        <w:t>Jivatlal Purtapshi v. CIT (1967) 65 ITR 261</w:t>
      </w:r>
      <w:r w:rsidR="00335713">
        <w:rPr>
          <w:color w:val="auto"/>
          <w:sz w:val="22"/>
          <w:szCs w:val="22"/>
        </w:rPr>
        <w:t xml:space="preserve">, where it was observed that an order based on an agreement cannot give rise to grievances and the same cannot be agitated. </w:t>
      </w:r>
    </w:p>
    <w:p w:rsidR="00105C35" w:rsidRDefault="00105C35" w:rsidP="00335713">
      <w:pPr>
        <w:pStyle w:val="Default"/>
        <w:rPr>
          <w:b/>
          <w:bCs/>
          <w:color w:val="auto"/>
          <w:sz w:val="22"/>
          <w:szCs w:val="22"/>
        </w:rPr>
      </w:pPr>
    </w:p>
    <w:p w:rsidR="00335713" w:rsidRDefault="00335713" w:rsidP="00335713">
      <w:pPr>
        <w:pStyle w:val="Default"/>
        <w:rPr>
          <w:color w:val="auto"/>
          <w:sz w:val="22"/>
          <w:szCs w:val="22"/>
        </w:rPr>
      </w:pPr>
      <w:r>
        <w:rPr>
          <w:b/>
          <w:bCs/>
          <w:color w:val="auto"/>
          <w:sz w:val="22"/>
          <w:szCs w:val="22"/>
        </w:rPr>
        <w:t xml:space="preserve">2. Does the Appellate Tribunal have the power to review or re-appreciate the correctness of its earlier decision under section 254(2)? </w:t>
      </w:r>
    </w:p>
    <w:p w:rsidR="00335713" w:rsidRDefault="00335713" w:rsidP="00335713">
      <w:pPr>
        <w:pStyle w:val="Default"/>
        <w:rPr>
          <w:color w:val="auto"/>
          <w:sz w:val="22"/>
          <w:szCs w:val="22"/>
        </w:rPr>
      </w:pPr>
      <w:r>
        <w:rPr>
          <w:b/>
          <w:bCs/>
          <w:i/>
          <w:iCs/>
          <w:color w:val="auto"/>
          <w:sz w:val="22"/>
          <w:szCs w:val="22"/>
        </w:rPr>
        <w:t xml:space="preserve">CIT v. Earnest </w:t>
      </w:r>
      <w:r w:rsidR="00105C35">
        <w:rPr>
          <w:b/>
          <w:bCs/>
          <w:i/>
          <w:iCs/>
          <w:color w:val="auto"/>
          <w:sz w:val="22"/>
          <w:szCs w:val="22"/>
        </w:rPr>
        <w:t>Exports Ltd. (2010)</w:t>
      </w:r>
      <w:r>
        <w:rPr>
          <w:b/>
          <w:bCs/>
          <w:i/>
          <w:iCs/>
          <w:color w:val="auto"/>
          <w:sz w:val="22"/>
          <w:szCs w:val="22"/>
        </w:rPr>
        <w:t xml:space="preserve">(Bom.) </w:t>
      </w:r>
    </w:p>
    <w:p w:rsidR="00335713" w:rsidRDefault="00335713" w:rsidP="00335713">
      <w:pPr>
        <w:pStyle w:val="Default"/>
        <w:rPr>
          <w:color w:val="auto"/>
          <w:sz w:val="22"/>
          <w:szCs w:val="22"/>
        </w:rPr>
      </w:pPr>
      <w:r>
        <w:rPr>
          <w:b/>
          <w:bCs/>
          <w:color w:val="auto"/>
          <w:sz w:val="22"/>
          <w:szCs w:val="22"/>
        </w:rPr>
        <w:t xml:space="preserve">Relevant section: 254(2) </w:t>
      </w:r>
    </w:p>
    <w:p w:rsidR="00105C35" w:rsidRDefault="00105C35" w:rsidP="00105C35">
      <w:pPr>
        <w:pStyle w:val="Default"/>
        <w:rPr>
          <w:b/>
          <w:bCs/>
          <w:color w:val="auto"/>
          <w:sz w:val="22"/>
          <w:szCs w:val="22"/>
        </w:rPr>
      </w:pPr>
      <w:r>
        <w:rPr>
          <w:color w:val="auto"/>
          <w:sz w:val="22"/>
          <w:szCs w:val="22"/>
        </w:rPr>
        <w:t xml:space="preserve">No. </w:t>
      </w:r>
      <w:r w:rsidR="00335713">
        <w:rPr>
          <w:color w:val="auto"/>
          <w:sz w:val="22"/>
          <w:szCs w:val="22"/>
        </w:rPr>
        <w:t xml:space="preserve">In this case, the High Court observed that the power under section 254(2) is limited to rectification of a mistake apparent on record and therefore, the Tribunal must restrict itself within those parameters. </w:t>
      </w:r>
      <w:r w:rsidR="00335713">
        <w:rPr>
          <w:b/>
          <w:bCs/>
          <w:color w:val="auto"/>
          <w:sz w:val="22"/>
          <w:szCs w:val="22"/>
        </w:rPr>
        <w:t>Section 254(2) is not a carte blanche for the Tribunal to change its own view by substituting a view which it believes should have been taken in the first instance</w:t>
      </w:r>
    </w:p>
    <w:p w:rsidR="00335713" w:rsidRDefault="00335713" w:rsidP="00105C35">
      <w:pPr>
        <w:pStyle w:val="Default"/>
        <w:rPr>
          <w:color w:val="auto"/>
          <w:sz w:val="22"/>
          <w:szCs w:val="22"/>
        </w:rPr>
      </w:pPr>
      <w:r>
        <w:rPr>
          <w:color w:val="auto"/>
          <w:sz w:val="22"/>
          <w:szCs w:val="22"/>
        </w:rPr>
        <w:t xml:space="preserve"> </w:t>
      </w:r>
    </w:p>
    <w:p w:rsidR="00335713" w:rsidRDefault="00335713" w:rsidP="00335713">
      <w:pPr>
        <w:pStyle w:val="Default"/>
        <w:rPr>
          <w:color w:val="auto"/>
          <w:sz w:val="22"/>
          <w:szCs w:val="22"/>
        </w:rPr>
      </w:pPr>
      <w:r>
        <w:rPr>
          <w:b/>
          <w:bCs/>
          <w:color w:val="auto"/>
          <w:sz w:val="22"/>
          <w:szCs w:val="22"/>
        </w:rPr>
        <w:t xml:space="preserve">3. Can the Tribunal exercise its power of rectification under section 254(2) to recall its order in entirety, where there is a mistake apparent from record? </w:t>
      </w:r>
    </w:p>
    <w:p w:rsidR="00335713" w:rsidRDefault="00335713" w:rsidP="00335713">
      <w:pPr>
        <w:pStyle w:val="Default"/>
        <w:rPr>
          <w:color w:val="auto"/>
          <w:sz w:val="22"/>
          <w:szCs w:val="22"/>
        </w:rPr>
      </w:pPr>
      <w:r>
        <w:rPr>
          <w:b/>
          <w:bCs/>
          <w:i/>
          <w:iCs/>
          <w:color w:val="auto"/>
          <w:sz w:val="22"/>
          <w:szCs w:val="22"/>
        </w:rPr>
        <w:t xml:space="preserve">Lachman Dass Bhatia Hingwala (P) Ltd. v. ACIT (2011) 330 ITR 243 (Delhi)(FB) </w:t>
      </w:r>
    </w:p>
    <w:p w:rsidR="00335713" w:rsidRDefault="00DE37A9" w:rsidP="00335713">
      <w:pPr>
        <w:pStyle w:val="Default"/>
        <w:rPr>
          <w:color w:val="auto"/>
          <w:sz w:val="22"/>
          <w:szCs w:val="22"/>
        </w:rPr>
      </w:pPr>
      <w:r>
        <w:rPr>
          <w:color w:val="auto"/>
          <w:sz w:val="22"/>
          <w:szCs w:val="22"/>
        </w:rPr>
        <w:t>Yes.</w:t>
      </w:r>
      <w:r w:rsidR="00335713">
        <w:rPr>
          <w:color w:val="auto"/>
          <w:sz w:val="22"/>
          <w:szCs w:val="22"/>
        </w:rPr>
        <w:t xml:space="preserve">Tribunal does not have the inherent power to review its order on merits, it can recall its order for the purpose of correcting a mistake apparent from the record. </w:t>
      </w:r>
    </w:p>
    <w:p w:rsidR="00335713" w:rsidRDefault="00DE37A9" w:rsidP="00DE37A9">
      <w:pPr>
        <w:pStyle w:val="Default"/>
        <w:rPr>
          <w:color w:val="auto"/>
          <w:sz w:val="22"/>
          <w:szCs w:val="22"/>
        </w:rPr>
      </w:pPr>
      <w:r>
        <w:rPr>
          <w:color w:val="auto"/>
          <w:sz w:val="22"/>
          <w:szCs w:val="22"/>
        </w:rPr>
        <w:t>The Apex Court</w:t>
      </w:r>
      <w:r w:rsidR="00335713">
        <w:rPr>
          <w:color w:val="auto"/>
          <w:sz w:val="22"/>
          <w:szCs w:val="22"/>
        </w:rPr>
        <w:t xml:space="preserve"> in </w:t>
      </w:r>
      <w:r w:rsidR="00335713">
        <w:rPr>
          <w:i/>
          <w:iCs/>
          <w:color w:val="auto"/>
          <w:sz w:val="22"/>
          <w:szCs w:val="22"/>
        </w:rPr>
        <w:t xml:space="preserve">Honda Siel Power Products Ltd., </w:t>
      </w:r>
      <w:r w:rsidR="00335713">
        <w:rPr>
          <w:color w:val="auto"/>
          <w:sz w:val="22"/>
          <w:szCs w:val="22"/>
        </w:rPr>
        <w:t xml:space="preserve">observed that one of the important reasons for giving the power of rectification to the Tribunal is to see that no prejudice is caused to either of the parties appearing before it by its decision based on a mistake apparent from the record. When prejudice results from an order attributable to the Tribunal’s mistake, error or omission, then it is the duty of the Tribunal to set it right. In that case, the Tribunal had not considered the material which was already on record while passing the judgment. The Apex Court took note of the fact that the Tribunal committed a </w:t>
      </w:r>
      <w:r w:rsidR="00A126F3">
        <w:rPr>
          <w:color w:val="auto"/>
          <w:sz w:val="22"/>
          <w:szCs w:val="22"/>
        </w:rPr>
        <w:t>mistake.</w:t>
      </w:r>
    </w:p>
    <w:p w:rsidR="00DE37A9" w:rsidRDefault="00335713" w:rsidP="00335713">
      <w:pPr>
        <w:pStyle w:val="Default"/>
        <w:rPr>
          <w:color w:val="auto"/>
          <w:sz w:val="22"/>
          <w:szCs w:val="22"/>
        </w:rPr>
      </w:pPr>
      <w:r>
        <w:rPr>
          <w:color w:val="auto"/>
          <w:sz w:val="22"/>
          <w:szCs w:val="22"/>
        </w:rPr>
        <w:t>Applying the above-mentioned decision the Delhi High Court observed that the Tribunal, while exercising the power of rectification under section 254(2), can recall its order</w:t>
      </w:r>
      <w:r w:rsidR="00DE37A9">
        <w:rPr>
          <w:color w:val="auto"/>
          <w:sz w:val="22"/>
          <w:szCs w:val="22"/>
        </w:rPr>
        <w:t>.</w:t>
      </w:r>
      <w:r>
        <w:rPr>
          <w:color w:val="auto"/>
          <w:sz w:val="22"/>
          <w:szCs w:val="22"/>
        </w:rPr>
        <w:t xml:space="preserve"> </w:t>
      </w:r>
    </w:p>
    <w:p w:rsidR="00DE37A9" w:rsidRDefault="00DE37A9"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4. Does the High Court have an inherent power under the Income-tax Act, 1961 to review an earlier order passed on merits? </w:t>
      </w:r>
    </w:p>
    <w:p w:rsidR="00335713" w:rsidRDefault="00335713" w:rsidP="00335713">
      <w:pPr>
        <w:pStyle w:val="Default"/>
        <w:rPr>
          <w:color w:val="auto"/>
          <w:sz w:val="22"/>
          <w:szCs w:val="22"/>
        </w:rPr>
      </w:pPr>
      <w:r>
        <w:rPr>
          <w:b/>
          <w:bCs/>
          <w:i/>
          <w:iCs/>
          <w:color w:val="auto"/>
          <w:sz w:val="22"/>
          <w:szCs w:val="22"/>
        </w:rPr>
        <w:t xml:space="preserve">Deepak Kumar Garg v. CIT (2010) 327 ITR 448 (MP) </w:t>
      </w:r>
    </w:p>
    <w:p w:rsidR="00335713" w:rsidRDefault="00335713" w:rsidP="00335713">
      <w:pPr>
        <w:pStyle w:val="Default"/>
        <w:rPr>
          <w:color w:val="auto"/>
          <w:sz w:val="22"/>
          <w:szCs w:val="22"/>
        </w:rPr>
      </w:pPr>
      <w:r>
        <w:rPr>
          <w:b/>
          <w:bCs/>
          <w:color w:val="auto"/>
          <w:sz w:val="22"/>
          <w:szCs w:val="22"/>
        </w:rPr>
        <w:t xml:space="preserve">Relevant section: 260A(7) </w:t>
      </w:r>
    </w:p>
    <w:p w:rsidR="00335713" w:rsidRDefault="00D601AC" w:rsidP="00335713">
      <w:pPr>
        <w:pStyle w:val="Default"/>
        <w:rPr>
          <w:color w:val="auto"/>
          <w:sz w:val="22"/>
          <w:szCs w:val="22"/>
        </w:rPr>
      </w:pPr>
      <w:r>
        <w:rPr>
          <w:color w:val="auto"/>
          <w:sz w:val="22"/>
          <w:szCs w:val="22"/>
        </w:rPr>
        <w:t>No.</w:t>
      </w:r>
      <w:r w:rsidR="00335713">
        <w:rPr>
          <w:color w:val="auto"/>
          <w:sz w:val="22"/>
          <w:szCs w:val="22"/>
        </w:rPr>
        <w:t xml:space="preserve">The power to review is not an inherent power and must be conferred by law specifically by express provision or by necessary implication. It was observed that, keeping in view the provisions of section 260A(7), the power of re-admission/restoration of the appeal is always enjoyed by the High Court. However, such power to restore the appeal cannot be treated to be a power to review the earlier order passed on merits. </w:t>
      </w:r>
    </w:p>
    <w:p w:rsidR="00335713" w:rsidRDefault="00335713" w:rsidP="00335713">
      <w:pPr>
        <w:pStyle w:val="Default"/>
        <w:rPr>
          <w:rFonts w:cstheme="minorBidi"/>
          <w:color w:val="auto"/>
          <w:sz w:val="22"/>
          <w:szCs w:val="22"/>
        </w:rPr>
      </w:pPr>
    </w:p>
    <w:p w:rsidR="00335713" w:rsidRDefault="00335713" w:rsidP="00335713">
      <w:pPr>
        <w:pStyle w:val="Default"/>
        <w:pageBreakBefore/>
        <w:rPr>
          <w:rFonts w:cstheme="minorBidi"/>
          <w:color w:val="auto"/>
          <w:sz w:val="96"/>
          <w:szCs w:val="96"/>
        </w:rPr>
      </w:pPr>
      <w:r>
        <w:rPr>
          <w:rFonts w:cstheme="minorBidi"/>
          <w:b/>
          <w:bCs/>
          <w:color w:val="auto"/>
          <w:sz w:val="96"/>
          <w:szCs w:val="96"/>
        </w:rPr>
        <w:lastRenderedPageBreak/>
        <w:t xml:space="preserve">11 </w:t>
      </w:r>
    </w:p>
    <w:p w:rsidR="00335713" w:rsidRDefault="00335713" w:rsidP="00335713">
      <w:pPr>
        <w:pStyle w:val="Default"/>
        <w:rPr>
          <w:rFonts w:cstheme="minorBidi"/>
          <w:color w:val="auto"/>
          <w:sz w:val="45"/>
          <w:szCs w:val="45"/>
        </w:rPr>
      </w:pPr>
      <w:r>
        <w:rPr>
          <w:rFonts w:cstheme="minorBidi"/>
          <w:b/>
          <w:bCs/>
          <w:color w:val="auto"/>
          <w:sz w:val="56"/>
          <w:szCs w:val="56"/>
        </w:rPr>
        <w:t>P</w:t>
      </w:r>
      <w:r>
        <w:rPr>
          <w:rFonts w:cstheme="minorBidi"/>
          <w:b/>
          <w:bCs/>
          <w:color w:val="auto"/>
          <w:sz w:val="45"/>
          <w:szCs w:val="45"/>
        </w:rPr>
        <w:t xml:space="preserve">ENALTIES </w:t>
      </w:r>
    </w:p>
    <w:p w:rsidR="00335713" w:rsidRDefault="00335713" w:rsidP="00335713">
      <w:pPr>
        <w:pStyle w:val="Default"/>
        <w:rPr>
          <w:rFonts w:cstheme="minorBidi"/>
          <w:color w:val="auto"/>
          <w:sz w:val="22"/>
          <w:szCs w:val="22"/>
        </w:rPr>
      </w:pPr>
      <w:r>
        <w:rPr>
          <w:rFonts w:cstheme="minorBidi"/>
          <w:b/>
          <w:bCs/>
          <w:color w:val="auto"/>
          <w:sz w:val="22"/>
          <w:szCs w:val="22"/>
        </w:rPr>
        <w:t xml:space="preserve">1. Can penalty under section 271(1)(c) for concealment of income be imposed in a case where the assessee has raised a debatable issue? </w:t>
      </w:r>
    </w:p>
    <w:p w:rsidR="00335713" w:rsidRDefault="00335713" w:rsidP="00335713">
      <w:pPr>
        <w:pStyle w:val="Default"/>
        <w:rPr>
          <w:color w:val="auto"/>
          <w:sz w:val="22"/>
          <w:szCs w:val="22"/>
        </w:rPr>
      </w:pPr>
      <w:r>
        <w:rPr>
          <w:b/>
          <w:bCs/>
          <w:i/>
          <w:iCs/>
          <w:color w:val="auto"/>
          <w:sz w:val="22"/>
          <w:szCs w:val="22"/>
        </w:rPr>
        <w:t xml:space="preserve">CIT v. Indersons Leather P. Ltd. (2010) 328 ITR 167 (P&amp;H) </w:t>
      </w:r>
    </w:p>
    <w:p w:rsidR="00835D41" w:rsidRDefault="00835D41" w:rsidP="00335713">
      <w:pPr>
        <w:pStyle w:val="Default"/>
        <w:rPr>
          <w:color w:val="auto"/>
          <w:sz w:val="22"/>
          <w:szCs w:val="22"/>
        </w:rPr>
      </w:pPr>
      <w:r>
        <w:rPr>
          <w:color w:val="auto"/>
          <w:sz w:val="22"/>
          <w:szCs w:val="22"/>
        </w:rPr>
        <w:t>No.</w:t>
      </w:r>
    </w:p>
    <w:p w:rsidR="00835D41" w:rsidRDefault="00835D41" w:rsidP="00335713">
      <w:pPr>
        <w:pStyle w:val="Default"/>
        <w:rPr>
          <w:color w:val="auto"/>
          <w:sz w:val="22"/>
          <w:szCs w:val="22"/>
        </w:rPr>
      </w:pPr>
      <w:r>
        <w:rPr>
          <w:color w:val="auto"/>
          <w:sz w:val="22"/>
          <w:szCs w:val="22"/>
        </w:rPr>
        <w:t>Fact: The</w:t>
      </w:r>
      <w:r w:rsidR="00335713">
        <w:rPr>
          <w:color w:val="auto"/>
          <w:sz w:val="22"/>
          <w:szCs w:val="22"/>
        </w:rPr>
        <w:t xml:space="preserve"> assessee company, after discontinuing its manufacturing business, leased out its shed along with fittings and disclosed the income as income from business, whereas the Revenue contended that the same be assessed as “Income from house property. </w:t>
      </w:r>
    </w:p>
    <w:p w:rsidR="00335713" w:rsidRDefault="00835D41" w:rsidP="00335713">
      <w:pPr>
        <w:pStyle w:val="Default"/>
        <w:rPr>
          <w:color w:val="auto"/>
          <w:sz w:val="22"/>
          <w:szCs w:val="22"/>
        </w:rPr>
      </w:pPr>
      <w:r>
        <w:rPr>
          <w:color w:val="auto"/>
          <w:sz w:val="22"/>
          <w:szCs w:val="22"/>
        </w:rPr>
        <w:t xml:space="preserve">Decision: </w:t>
      </w:r>
      <w:r w:rsidR="00335713">
        <w:rPr>
          <w:color w:val="auto"/>
          <w:sz w:val="22"/>
          <w:szCs w:val="22"/>
        </w:rPr>
        <w:t xml:space="preserve">On this issue, the High Court observed that, mere raising of a debatable issue would not amount to concealment of income or furnishing inaccurate particulars and therefore, penalty under section 271(1)(c) cannot be imposed. </w:t>
      </w:r>
    </w:p>
    <w:p w:rsidR="00835D41" w:rsidRDefault="00835D41"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2. Can the penalty under section 271(1)(c) be imposed where the assessment is made by estimating the net profit at a higher percentage applying the provisions of section 145? </w:t>
      </w:r>
    </w:p>
    <w:p w:rsidR="00335713" w:rsidRDefault="00335713" w:rsidP="00335713">
      <w:pPr>
        <w:pStyle w:val="Default"/>
        <w:rPr>
          <w:color w:val="auto"/>
          <w:sz w:val="22"/>
          <w:szCs w:val="22"/>
        </w:rPr>
      </w:pPr>
      <w:r>
        <w:rPr>
          <w:b/>
          <w:bCs/>
          <w:i/>
          <w:iCs/>
          <w:color w:val="auto"/>
          <w:sz w:val="22"/>
          <w:szCs w:val="22"/>
        </w:rPr>
        <w:t xml:space="preserve">CIT v. Vijay Kumar Jain (2010) 325 ITR 378 (Chhattisgarh) </w:t>
      </w:r>
    </w:p>
    <w:p w:rsidR="00335713" w:rsidRDefault="00335713" w:rsidP="00335713">
      <w:pPr>
        <w:pStyle w:val="Default"/>
        <w:rPr>
          <w:color w:val="auto"/>
          <w:sz w:val="22"/>
          <w:szCs w:val="22"/>
        </w:rPr>
      </w:pPr>
      <w:r>
        <w:rPr>
          <w:b/>
          <w:bCs/>
          <w:color w:val="auto"/>
          <w:sz w:val="22"/>
          <w:szCs w:val="22"/>
        </w:rPr>
        <w:t xml:space="preserve">Relevant section: 271(1)(c) </w:t>
      </w:r>
    </w:p>
    <w:p w:rsidR="005E3969" w:rsidRDefault="00E66E2D" w:rsidP="00335713">
      <w:pPr>
        <w:pStyle w:val="Default"/>
        <w:rPr>
          <w:color w:val="auto"/>
          <w:sz w:val="22"/>
          <w:szCs w:val="22"/>
        </w:rPr>
      </w:pPr>
      <w:r>
        <w:rPr>
          <w:color w:val="auto"/>
          <w:sz w:val="22"/>
          <w:szCs w:val="22"/>
        </w:rPr>
        <w:t>No,</w:t>
      </w:r>
      <w:r w:rsidR="00AC521A">
        <w:rPr>
          <w:color w:val="auto"/>
          <w:sz w:val="22"/>
          <w:szCs w:val="22"/>
        </w:rPr>
        <w:t xml:space="preserve"> </w:t>
      </w:r>
      <w:r w:rsidR="005E3969">
        <w:rPr>
          <w:color w:val="auto"/>
          <w:sz w:val="22"/>
          <w:szCs w:val="22"/>
        </w:rPr>
        <w:t xml:space="preserve">since no concealment/furnishing of inaccurate </w:t>
      </w:r>
      <w:r>
        <w:rPr>
          <w:color w:val="auto"/>
          <w:sz w:val="22"/>
          <w:szCs w:val="22"/>
        </w:rPr>
        <w:t>particulars</w:t>
      </w:r>
      <w:r w:rsidR="005E3969">
        <w:rPr>
          <w:color w:val="auto"/>
          <w:sz w:val="22"/>
          <w:szCs w:val="22"/>
        </w:rPr>
        <w:t>.</w:t>
      </w:r>
    </w:p>
    <w:p w:rsidR="00335713" w:rsidRDefault="00335713" w:rsidP="00335713">
      <w:pPr>
        <w:pStyle w:val="Default"/>
        <w:rPr>
          <w:color w:val="auto"/>
          <w:sz w:val="22"/>
          <w:szCs w:val="22"/>
        </w:rPr>
      </w:pPr>
      <w:r>
        <w:rPr>
          <w:color w:val="auto"/>
          <w:sz w:val="22"/>
          <w:szCs w:val="22"/>
        </w:rPr>
        <w:t xml:space="preserve">On this issue, the High Court held that the particulars furnished by the assessee regarding receipts in the relevant financial year had not been found inaccurate and it was also not the case of revenue that the assessee concealed any income in his return. Thus, penalty could not be imposed. </w:t>
      </w:r>
    </w:p>
    <w:p w:rsidR="00335713" w:rsidRDefault="00335713" w:rsidP="005E3969">
      <w:pPr>
        <w:pStyle w:val="Default"/>
        <w:rPr>
          <w:color w:val="auto"/>
          <w:sz w:val="22"/>
          <w:szCs w:val="22"/>
        </w:rPr>
      </w:pPr>
      <w:r>
        <w:rPr>
          <w:color w:val="auto"/>
          <w:sz w:val="22"/>
          <w:szCs w:val="22"/>
        </w:rPr>
        <w:t xml:space="preserve">The High Court placed reliance on the ruling of the Supreme Court in </w:t>
      </w:r>
      <w:r>
        <w:rPr>
          <w:i/>
          <w:iCs/>
          <w:color w:val="auto"/>
          <w:sz w:val="22"/>
          <w:szCs w:val="22"/>
        </w:rPr>
        <w:t xml:space="preserve">CIT v. Reliance </w:t>
      </w:r>
      <w:r w:rsidR="00E66E2D">
        <w:rPr>
          <w:i/>
          <w:iCs/>
          <w:color w:val="auto"/>
          <w:sz w:val="22"/>
          <w:szCs w:val="22"/>
        </w:rPr>
        <w:t>Petro products</w:t>
      </w:r>
      <w:r w:rsidR="00AC521A">
        <w:rPr>
          <w:i/>
          <w:iCs/>
          <w:color w:val="auto"/>
          <w:sz w:val="22"/>
          <w:szCs w:val="22"/>
        </w:rPr>
        <w:t xml:space="preserve"> P. Ltd. (2010)(</w:t>
      </w:r>
      <w:r>
        <w:rPr>
          <w:color w:val="auto"/>
          <w:sz w:val="22"/>
          <w:szCs w:val="22"/>
        </w:rPr>
        <w:t xml:space="preserve">c). </w:t>
      </w:r>
    </w:p>
    <w:p w:rsidR="00AC521A" w:rsidRDefault="00AC521A" w:rsidP="005E3969">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3. Would making an incorrect claim in the return of income </w:t>
      </w:r>
      <w:r>
        <w:rPr>
          <w:b/>
          <w:bCs/>
          <w:i/>
          <w:iCs/>
          <w:color w:val="auto"/>
          <w:sz w:val="22"/>
          <w:szCs w:val="22"/>
        </w:rPr>
        <w:t xml:space="preserve">per se </w:t>
      </w:r>
      <w:r>
        <w:rPr>
          <w:b/>
          <w:bCs/>
          <w:color w:val="auto"/>
          <w:sz w:val="22"/>
          <w:szCs w:val="22"/>
        </w:rPr>
        <w:t xml:space="preserve">amount to concealment of particulars or furnishing inaccurate particulars for attracting the penal provisions under section 271(1)(c), when no information given in the return is found to be incorrect? </w:t>
      </w:r>
    </w:p>
    <w:p w:rsidR="00335713" w:rsidRDefault="00335713" w:rsidP="00335713">
      <w:pPr>
        <w:pStyle w:val="Default"/>
        <w:rPr>
          <w:color w:val="auto"/>
          <w:sz w:val="22"/>
          <w:szCs w:val="22"/>
        </w:rPr>
      </w:pPr>
      <w:r>
        <w:rPr>
          <w:b/>
          <w:bCs/>
          <w:i/>
          <w:iCs/>
          <w:color w:val="auto"/>
          <w:sz w:val="22"/>
          <w:szCs w:val="22"/>
        </w:rPr>
        <w:t xml:space="preserve">CIT v. Reliance Petro Products Pvt. Ltd. (2010) 322 ITR 158 (SC) </w:t>
      </w:r>
    </w:p>
    <w:p w:rsidR="00335713" w:rsidRDefault="00335713" w:rsidP="00335713">
      <w:pPr>
        <w:pStyle w:val="Default"/>
        <w:rPr>
          <w:color w:val="auto"/>
          <w:sz w:val="22"/>
          <w:szCs w:val="22"/>
        </w:rPr>
      </w:pPr>
      <w:r>
        <w:rPr>
          <w:b/>
          <w:bCs/>
          <w:color w:val="auto"/>
          <w:sz w:val="22"/>
          <w:szCs w:val="22"/>
        </w:rPr>
        <w:t xml:space="preserve">Relevant section: 271(1)(c) </w:t>
      </w:r>
    </w:p>
    <w:p w:rsidR="00335713" w:rsidRDefault="00E66E2D" w:rsidP="00335713">
      <w:pPr>
        <w:pStyle w:val="Default"/>
        <w:rPr>
          <w:color w:val="auto"/>
          <w:sz w:val="22"/>
          <w:szCs w:val="22"/>
        </w:rPr>
      </w:pPr>
      <w:r>
        <w:rPr>
          <w:color w:val="auto"/>
          <w:sz w:val="22"/>
          <w:szCs w:val="22"/>
        </w:rPr>
        <w:t xml:space="preserve">No. </w:t>
      </w:r>
      <w:r w:rsidR="00335713">
        <w:rPr>
          <w:color w:val="auto"/>
          <w:sz w:val="22"/>
          <w:szCs w:val="22"/>
        </w:rPr>
        <w:t xml:space="preserve">In this case, the Supreme Court observed that in order to attract the penal provisions of section 271(1)(c), there has to be concealment of the particulars of income or furnishing inaccurate particulars of income. Where no information given in the return is found to be incorrect or inaccurate, the assessee cannot be held guilty of furnishing inaccurate particulars. Making an incorrect claim (i.e. a claim which has been disallowed) would not, by itself, tantamount to furnishing inaccurate particulars. </w:t>
      </w:r>
    </w:p>
    <w:p w:rsidR="00335713" w:rsidRDefault="00335713" w:rsidP="00335713">
      <w:pPr>
        <w:pStyle w:val="Default"/>
        <w:rPr>
          <w:color w:val="auto"/>
          <w:sz w:val="22"/>
          <w:szCs w:val="22"/>
        </w:rPr>
      </w:pPr>
      <w:r>
        <w:rPr>
          <w:b/>
          <w:bCs/>
          <w:color w:val="auto"/>
          <w:sz w:val="22"/>
          <w:szCs w:val="22"/>
        </w:rPr>
        <w:t xml:space="preserve">The Apex Court, therefore, held that where there is no finding that any details supplied by the assessee in its return are incorrect or erroneous or false, there is no question of imposing penalty under section 271(1)(c). A mere making of a claim, which is not sustainable in law, by itself, will not amount to furnishing inaccurate particulars regarding the income of the assessee. </w:t>
      </w:r>
    </w:p>
    <w:p w:rsidR="00335713" w:rsidRDefault="00335713" w:rsidP="00335713">
      <w:pPr>
        <w:pStyle w:val="Default"/>
        <w:rPr>
          <w:rFonts w:cstheme="minorBidi"/>
          <w:color w:val="auto"/>
          <w:sz w:val="22"/>
          <w:szCs w:val="22"/>
        </w:rPr>
      </w:pPr>
    </w:p>
    <w:p w:rsidR="00335713" w:rsidRDefault="00335713" w:rsidP="00335713">
      <w:pPr>
        <w:pStyle w:val="Default"/>
        <w:pageBreakBefore/>
        <w:rPr>
          <w:rFonts w:cstheme="minorBidi"/>
          <w:color w:val="auto"/>
          <w:sz w:val="96"/>
          <w:szCs w:val="96"/>
        </w:rPr>
      </w:pPr>
      <w:r>
        <w:rPr>
          <w:rFonts w:cstheme="minorBidi"/>
          <w:b/>
          <w:bCs/>
          <w:color w:val="auto"/>
          <w:sz w:val="96"/>
          <w:szCs w:val="96"/>
        </w:rPr>
        <w:lastRenderedPageBreak/>
        <w:t xml:space="preserve">12 </w:t>
      </w:r>
    </w:p>
    <w:p w:rsidR="00335713" w:rsidRDefault="00335713" w:rsidP="00335713">
      <w:pPr>
        <w:pStyle w:val="Default"/>
        <w:rPr>
          <w:rFonts w:cstheme="minorBidi"/>
          <w:color w:val="auto"/>
          <w:sz w:val="38"/>
          <w:szCs w:val="38"/>
        </w:rPr>
      </w:pPr>
      <w:r>
        <w:rPr>
          <w:rFonts w:cstheme="minorBidi"/>
          <w:b/>
          <w:bCs/>
          <w:color w:val="auto"/>
          <w:sz w:val="48"/>
          <w:szCs w:val="48"/>
        </w:rPr>
        <w:t>O</w:t>
      </w:r>
      <w:r>
        <w:rPr>
          <w:rFonts w:cstheme="minorBidi"/>
          <w:b/>
          <w:bCs/>
          <w:color w:val="auto"/>
          <w:sz w:val="38"/>
          <w:szCs w:val="38"/>
        </w:rPr>
        <w:t xml:space="preserve">FFENCES </w:t>
      </w:r>
      <w:r>
        <w:rPr>
          <w:rFonts w:cstheme="minorBidi"/>
          <w:b/>
          <w:bCs/>
          <w:color w:val="auto"/>
          <w:sz w:val="48"/>
          <w:szCs w:val="48"/>
        </w:rPr>
        <w:t>A</w:t>
      </w:r>
      <w:r>
        <w:rPr>
          <w:rFonts w:cstheme="minorBidi"/>
          <w:b/>
          <w:bCs/>
          <w:color w:val="auto"/>
          <w:sz w:val="38"/>
          <w:szCs w:val="38"/>
        </w:rPr>
        <w:t xml:space="preserve">ND </w:t>
      </w:r>
      <w:r>
        <w:rPr>
          <w:rFonts w:cstheme="minorBidi"/>
          <w:b/>
          <w:bCs/>
          <w:color w:val="auto"/>
          <w:sz w:val="48"/>
          <w:szCs w:val="48"/>
        </w:rPr>
        <w:t>P</w:t>
      </w:r>
      <w:r>
        <w:rPr>
          <w:rFonts w:cstheme="minorBidi"/>
          <w:b/>
          <w:bCs/>
          <w:color w:val="auto"/>
          <w:sz w:val="38"/>
          <w:szCs w:val="38"/>
        </w:rPr>
        <w:t xml:space="preserve">ROSECUTION </w:t>
      </w:r>
    </w:p>
    <w:p w:rsidR="00335713" w:rsidRDefault="00335713" w:rsidP="00335713">
      <w:pPr>
        <w:pStyle w:val="Default"/>
        <w:rPr>
          <w:rFonts w:cstheme="minorBidi"/>
          <w:color w:val="auto"/>
          <w:sz w:val="22"/>
          <w:szCs w:val="22"/>
        </w:rPr>
      </w:pPr>
      <w:r>
        <w:rPr>
          <w:rFonts w:cstheme="minorBidi"/>
          <w:b/>
          <w:bCs/>
          <w:color w:val="auto"/>
          <w:sz w:val="22"/>
          <w:szCs w:val="22"/>
        </w:rPr>
        <w:t xml:space="preserve">1. Would </w:t>
      </w:r>
      <w:r w:rsidRPr="00E66E2D">
        <w:rPr>
          <w:rFonts w:cstheme="minorBidi"/>
          <w:b/>
          <w:bCs/>
          <w:color w:val="auto"/>
          <w:sz w:val="22"/>
          <w:szCs w:val="22"/>
          <w:u w:val="single"/>
        </w:rPr>
        <w:t>prosecution proceedings</w:t>
      </w:r>
      <w:r>
        <w:rPr>
          <w:rFonts w:cstheme="minorBidi"/>
          <w:b/>
          <w:bCs/>
          <w:color w:val="auto"/>
          <w:sz w:val="22"/>
          <w:szCs w:val="22"/>
        </w:rPr>
        <w:t xml:space="preserve"> under section 276CC be attracted where the failure to furnish return in time was not willful? </w:t>
      </w:r>
    </w:p>
    <w:p w:rsidR="00335713" w:rsidRDefault="00335713" w:rsidP="00335713">
      <w:pPr>
        <w:pStyle w:val="Default"/>
        <w:rPr>
          <w:color w:val="auto"/>
          <w:sz w:val="22"/>
          <w:szCs w:val="22"/>
        </w:rPr>
      </w:pPr>
      <w:r>
        <w:rPr>
          <w:b/>
          <w:bCs/>
          <w:i/>
          <w:iCs/>
          <w:color w:val="auto"/>
          <w:sz w:val="22"/>
          <w:szCs w:val="22"/>
        </w:rPr>
        <w:t xml:space="preserve">Union of India v. Bhavecha Machinery and Others (2010) 320 ITR 263 (MP) </w:t>
      </w:r>
    </w:p>
    <w:p w:rsidR="00335713" w:rsidRDefault="00335713" w:rsidP="00335713">
      <w:pPr>
        <w:pStyle w:val="Default"/>
        <w:rPr>
          <w:color w:val="auto"/>
          <w:sz w:val="22"/>
          <w:szCs w:val="22"/>
        </w:rPr>
      </w:pPr>
      <w:r>
        <w:rPr>
          <w:b/>
          <w:bCs/>
          <w:color w:val="auto"/>
          <w:sz w:val="22"/>
          <w:szCs w:val="22"/>
        </w:rPr>
        <w:t xml:space="preserve">Relevant section: 276CC </w:t>
      </w:r>
    </w:p>
    <w:p w:rsidR="00E66E2D" w:rsidRDefault="00E66E2D" w:rsidP="00335713">
      <w:pPr>
        <w:pStyle w:val="Default"/>
        <w:rPr>
          <w:color w:val="auto"/>
          <w:sz w:val="22"/>
          <w:szCs w:val="22"/>
        </w:rPr>
      </w:pPr>
      <w:r>
        <w:rPr>
          <w:color w:val="auto"/>
          <w:sz w:val="22"/>
          <w:szCs w:val="22"/>
        </w:rPr>
        <w:t>Ans. No.</w:t>
      </w:r>
    </w:p>
    <w:p w:rsidR="00335713" w:rsidRDefault="00335713" w:rsidP="00335713">
      <w:pPr>
        <w:pStyle w:val="Default"/>
        <w:rPr>
          <w:color w:val="auto"/>
          <w:sz w:val="22"/>
          <w:szCs w:val="22"/>
        </w:rPr>
      </w:pPr>
      <w:r>
        <w:rPr>
          <w:color w:val="auto"/>
          <w:sz w:val="22"/>
          <w:szCs w:val="22"/>
        </w:rPr>
        <w:t>In this case, the High Court observed that for the provisions of section 276CC to get attracted, there should be a willful delay in filing return and not merely a failure to file return in time. There should be clear, cogent and reliable evidence that the failure to file return in time was ‘willful’ and there should be no possible doubt of its being ‘wi</w:t>
      </w:r>
      <w:r w:rsidR="00E66E2D">
        <w:rPr>
          <w:color w:val="auto"/>
          <w:sz w:val="22"/>
          <w:szCs w:val="22"/>
        </w:rPr>
        <w:t>l</w:t>
      </w:r>
      <w:r>
        <w:rPr>
          <w:color w:val="auto"/>
          <w:sz w:val="22"/>
          <w:szCs w:val="22"/>
        </w:rPr>
        <w:t xml:space="preserve">lful’. The failure must be intentional, deliberate, calculated and conscious with complete knowledge of legal consequences flowing from them. </w:t>
      </w:r>
    </w:p>
    <w:p w:rsidR="00335713" w:rsidRDefault="00335713" w:rsidP="00335713">
      <w:pPr>
        <w:pStyle w:val="Default"/>
        <w:rPr>
          <w:color w:val="auto"/>
          <w:sz w:val="22"/>
          <w:szCs w:val="22"/>
        </w:rPr>
      </w:pPr>
      <w:r>
        <w:rPr>
          <w:color w:val="auto"/>
          <w:sz w:val="22"/>
          <w:szCs w:val="22"/>
        </w:rPr>
        <w:t xml:space="preserve">In this case, it was observed that there were sufficient grounds for delay in filing the return of income and such delay was not willful. Therefore, prosecution proceedings under section 276CC are not attracted in such a case. </w:t>
      </w:r>
    </w:p>
    <w:p w:rsidR="00335713" w:rsidRDefault="00335713" w:rsidP="00335713">
      <w:pPr>
        <w:pStyle w:val="Default"/>
        <w:rPr>
          <w:rFonts w:cstheme="minorBidi"/>
          <w:color w:val="auto"/>
          <w:sz w:val="22"/>
          <w:szCs w:val="22"/>
        </w:rPr>
      </w:pPr>
    </w:p>
    <w:p w:rsidR="00335713" w:rsidRDefault="00335713" w:rsidP="00335713">
      <w:pPr>
        <w:pStyle w:val="Default"/>
        <w:pageBreakBefore/>
        <w:rPr>
          <w:rFonts w:cstheme="minorBidi"/>
          <w:color w:val="auto"/>
          <w:sz w:val="96"/>
          <w:szCs w:val="96"/>
        </w:rPr>
      </w:pPr>
      <w:r>
        <w:rPr>
          <w:rFonts w:cstheme="minorBidi"/>
          <w:b/>
          <w:bCs/>
          <w:color w:val="auto"/>
          <w:sz w:val="96"/>
          <w:szCs w:val="96"/>
        </w:rPr>
        <w:lastRenderedPageBreak/>
        <w:t xml:space="preserve">13 </w:t>
      </w:r>
    </w:p>
    <w:p w:rsidR="00335713" w:rsidRDefault="00335713" w:rsidP="00335713">
      <w:pPr>
        <w:pStyle w:val="Default"/>
        <w:rPr>
          <w:rFonts w:cstheme="minorBidi"/>
          <w:color w:val="auto"/>
          <w:sz w:val="38"/>
          <w:szCs w:val="38"/>
        </w:rPr>
      </w:pPr>
      <w:r>
        <w:rPr>
          <w:rFonts w:cstheme="minorBidi"/>
          <w:b/>
          <w:bCs/>
          <w:color w:val="auto"/>
          <w:sz w:val="48"/>
          <w:szCs w:val="48"/>
        </w:rPr>
        <w:t>D</w:t>
      </w:r>
      <w:r>
        <w:rPr>
          <w:rFonts w:cstheme="minorBidi"/>
          <w:b/>
          <w:bCs/>
          <w:color w:val="auto"/>
          <w:sz w:val="38"/>
          <w:szCs w:val="38"/>
        </w:rPr>
        <w:t>EDUCTION</w:t>
      </w:r>
      <w:r>
        <w:rPr>
          <w:rFonts w:cstheme="minorBidi"/>
          <w:b/>
          <w:bCs/>
          <w:color w:val="auto"/>
          <w:sz w:val="48"/>
          <w:szCs w:val="48"/>
        </w:rPr>
        <w:t>, C</w:t>
      </w:r>
      <w:r>
        <w:rPr>
          <w:rFonts w:cstheme="minorBidi"/>
          <w:b/>
          <w:bCs/>
          <w:color w:val="auto"/>
          <w:sz w:val="38"/>
          <w:szCs w:val="38"/>
        </w:rPr>
        <w:t xml:space="preserve">OLLECTION </w:t>
      </w:r>
      <w:r>
        <w:rPr>
          <w:rFonts w:cstheme="minorBidi"/>
          <w:b/>
          <w:bCs/>
          <w:color w:val="auto"/>
          <w:sz w:val="48"/>
          <w:szCs w:val="48"/>
        </w:rPr>
        <w:t>A</w:t>
      </w:r>
      <w:r>
        <w:rPr>
          <w:rFonts w:cstheme="minorBidi"/>
          <w:b/>
          <w:bCs/>
          <w:color w:val="auto"/>
          <w:sz w:val="38"/>
          <w:szCs w:val="38"/>
        </w:rPr>
        <w:t xml:space="preserve">ND </w:t>
      </w:r>
      <w:r>
        <w:rPr>
          <w:rFonts w:cstheme="minorBidi"/>
          <w:b/>
          <w:bCs/>
          <w:color w:val="auto"/>
          <w:sz w:val="48"/>
          <w:szCs w:val="48"/>
        </w:rPr>
        <w:t>R</w:t>
      </w:r>
      <w:r>
        <w:rPr>
          <w:rFonts w:cstheme="minorBidi"/>
          <w:b/>
          <w:bCs/>
          <w:color w:val="auto"/>
          <w:sz w:val="38"/>
          <w:szCs w:val="38"/>
        </w:rPr>
        <w:t xml:space="preserve">ECOVERY </w:t>
      </w:r>
      <w:r>
        <w:rPr>
          <w:rFonts w:cstheme="minorBidi"/>
          <w:b/>
          <w:bCs/>
          <w:color w:val="auto"/>
          <w:sz w:val="48"/>
          <w:szCs w:val="48"/>
        </w:rPr>
        <w:t>O</w:t>
      </w:r>
      <w:r>
        <w:rPr>
          <w:rFonts w:cstheme="minorBidi"/>
          <w:b/>
          <w:bCs/>
          <w:color w:val="auto"/>
          <w:sz w:val="38"/>
          <w:szCs w:val="38"/>
        </w:rPr>
        <w:t xml:space="preserve">F </w:t>
      </w:r>
      <w:r>
        <w:rPr>
          <w:rFonts w:cstheme="minorBidi"/>
          <w:b/>
          <w:bCs/>
          <w:color w:val="auto"/>
          <w:sz w:val="48"/>
          <w:szCs w:val="48"/>
        </w:rPr>
        <w:t>T</w:t>
      </w:r>
      <w:r>
        <w:rPr>
          <w:rFonts w:cstheme="minorBidi"/>
          <w:b/>
          <w:bCs/>
          <w:color w:val="auto"/>
          <w:sz w:val="38"/>
          <w:szCs w:val="38"/>
        </w:rPr>
        <w:t xml:space="preserve">AX </w:t>
      </w:r>
    </w:p>
    <w:p w:rsidR="00335713" w:rsidRDefault="00335713" w:rsidP="00335713">
      <w:pPr>
        <w:pStyle w:val="Default"/>
        <w:rPr>
          <w:rFonts w:cstheme="minorBidi"/>
          <w:color w:val="auto"/>
          <w:sz w:val="22"/>
          <w:szCs w:val="22"/>
        </w:rPr>
      </w:pPr>
      <w:r>
        <w:rPr>
          <w:rFonts w:cstheme="minorBidi"/>
          <w:b/>
          <w:bCs/>
          <w:color w:val="auto"/>
          <w:sz w:val="22"/>
          <w:szCs w:val="22"/>
        </w:rPr>
        <w:t xml:space="preserve">1. Can the payment made to contractors for hiring dumpers, by an assessee engaged in transportation of building material, be treated as rent for machinery or equipment to attract provisions of tax deduction at source under section 194-I? </w:t>
      </w:r>
    </w:p>
    <w:p w:rsidR="00335713" w:rsidRPr="0040514B" w:rsidRDefault="00335713" w:rsidP="00335713">
      <w:pPr>
        <w:pStyle w:val="Default"/>
        <w:rPr>
          <w:b/>
          <w:color w:val="auto"/>
          <w:sz w:val="22"/>
          <w:szCs w:val="22"/>
        </w:rPr>
      </w:pPr>
      <w:r>
        <w:rPr>
          <w:b/>
          <w:bCs/>
          <w:i/>
          <w:iCs/>
          <w:color w:val="auto"/>
          <w:sz w:val="22"/>
          <w:szCs w:val="22"/>
        </w:rPr>
        <w:t>CIT (TDS) v. Shree Mahalaxmi T</w:t>
      </w:r>
      <w:r w:rsidR="0040514B">
        <w:rPr>
          <w:b/>
          <w:bCs/>
          <w:i/>
          <w:iCs/>
          <w:color w:val="auto"/>
          <w:sz w:val="22"/>
          <w:szCs w:val="22"/>
        </w:rPr>
        <w:t>ransport Co. (2011)</w:t>
      </w:r>
      <w:r>
        <w:rPr>
          <w:b/>
          <w:bCs/>
          <w:i/>
          <w:iCs/>
          <w:color w:val="auto"/>
          <w:sz w:val="22"/>
          <w:szCs w:val="22"/>
        </w:rPr>
        <w:t xml:space="preserve"> </w:t>
      </w:r>
      <w:r w:rsidR="0040514B">
        <w:rPr>
          <w:b/>
          <w:bCs/>
          <w:i/>
          <w:iCs/>
          <w:color w:val="auto"/>
          <w:sz w:val="22"/>
          <w:szCs w:val="22"/>
        </w:rPr>
        <w:t xml:space="preserve">&amp; </w:t>
      </w:r>
      <w:r w:rsidR="0040514B" w:rsidRPr="0040514B">
        <w:rPr>
          <w:b/>
          <w:i/>
          <w:iCs/>
          <w:color w:val="auto"/>
          <w:sz w:val="22"/>
          <w:szCs w:val="22"/>
        </w:rPr>
        <w:t>CIT (TDS) v. Swayam Shipping Services P. Ltd. (2011)(both by Gujarat High Court)</w:t>
      </w:r>
    </w:p>
    <w:p w:rsidR="00335713" w:rsidRDefault="0040514B" w:rsidP="0040514B">
      <w:pPr>
        <w:pStyle w:val="Default"/>
        <w:rPr>
          <w:i/>
          <w:iCs/>
          <w:color w:val="auto"/>
          <w:sz w:val="22"/>
          <w:szCs w:val="22"/>
        </w:rPr>
      </w:pPr>
      <w:r>
        <w:rPr>
          <w:color w:val="auto"/>
          <w:sz w:val="22"/>
          <w:szCs w:val="22"/>
        </w:rPr>
        <w:t>No.</w:t>
      </w:r>
      <w:r w:rsidR="00E66E2D">
        <w:rPr>
          <w:color w:val="auto"/>
          <w:sz w:val="22"/>
          <w:szCs w:val="22"/>
        </w:rPr>
        <w:t>T</w:t>
      </w:r>
      <w:r w:rsidR="00335713">
        <w:rPr>
          <w:color w:val="auto"/>
          <w:sz w:val="22"/>
          <w:szCs w:val="22"/>
        </w:rPr>
        <w:t>he High Court observed that the assessee had given contracts to the parties for the transportation of goods and had not taken machinery and equipment on rent. The Court observed that the transactions being in the nature of contracts for shifting of goods from one place to another would be covered as works contracts, thereby attracting the provisions of section 194C</w:t>
      </w:r>
      <w:r>
        <w:rPr>
          <w:color w:val="auto"/>
          <w:sz w:val="22"/>
          <w:szCs w:val="22"/>
        </w:rPr>
        <w:t>.</w:t>
      </w:r>
      <w:r w:rsidR="00335713">
        <w:rPr>
          <w:i/>
          <w:iCs/>
          <w:color w:val="auto"/>
          <w:sz w:val="22"/>
          <w:szCs w:val="22"/>
        </w:rPr>
        <w:t xml:space="preserve"> </w:t>
      </w:r>
    </w:p>
    <w:p w:rsidR="0040514B" w:rsidRDefault="0040514B" w:rsidP="0040514B">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2. Do the tips collected by hotel and disbursed to employees constitute salary to attract the provisions for tax deduction at source under section 192? </w:t>
      </w:r>
    </w:p>
    <w:p w:rsidR="00335713" w:rsidRDefault="00335713" w:rsidP="00335713">
      <w:pPr>
        <w:pStyle w:val="Default"/>
        <w:rPr>
          <w:color w:val="auto"/>
          <w:sz w:val="22"/>
          <w:szCs w:val="22"/>
        </w:rPr>
      </w:pPr>
      <w:r>
        <w:rPr>
          <w:b/>
          <w:bCs/>
          <w:i/>
          <w:iCs/>
          <w:color w:val="auto"/>
          <w:sz w:val="22"/>
          <w:szCs w:val="22"/>
        </w:rPr>
        <w:t>CIT (TD</w:t>
      </w:r>
      <w:r w:rsidR="0040514B">
        <w:rPr>
          <w:b/>
          <w:bCs/>
          <w:i/>
          <w:iCs/>
          <w:color w:val="auto"/>
          <w:sz w:val="22"/>
          <w:szCs w:val="22"/>
        </w:rPr>
        <w:t>S) v. ITC Ltd [2011]</w:t>
      </w:r>
      <w:r>
        <w:rPr>
          <w:b/>
          <w:bCs/>
          <w:i/>
          <w:iCs/>
          <w:color w:val="auto"/>
          <w:sz w:val="22"/>
          <w:szCs w:val="22"/>
        </w:rPr>
        <w:t xml:space="preserve"> (Del.) </w:t>
      </w:r>
    </w:p>
    <w:p w:rsidR="00335713" w:rsidRDefault="00172F6F" w:rsidP="00335713">
      <w:pPr>
        <w:pStyle w:val="Default"/>
        <w:rPr>
          <w:color w:val="auto"/>
          <w:sz w:val="22"/>
          <w:szCs w:val="22"/>
        </w:rPr>
      </w:pPr>
      <w:r>
        <w:rPr>
          <w:color w:val="auto"/>
          <w:sz w:val="22"/>
          <w:szCs w:val="22"/>
        </w:rPr>
        <w:t>Yes. As</w:t>
      </w:r>
      <w:r w:rsidR="00335713">
        <w:rPr>
          <w:color w:val="auto"/>
          <w:sz w:val="22"/>
          <w:szCs w:val="22"/>
        </w:rPr>
        <w:t xml:space="preserve"> soon as such amounts were received by the employer, there was an obligation on the part of the employer to disburse them to the rightful persons, namely, the employees. Simultaneously, a right accrued to the employees to claim the tips from the employer. The High Court, therefore, held that the tips would constitute income within the meaning of section 2(24) and thus, taxable under section 15. It was obligatory upon the company to deduct tax at source from such payments under section 192. </w:t>
      </w:r>
    </w:p>
    <w:p w:rsidR="00335713" w:rsidRDefault="00E54B4D" w:rsidP="00335713">
      <w:pPr>
        <w:pStyle w:val="Default"/>
        <w:rPr>
          <w:color w:val="auto"/>
          <w:sz w:val="22"/>
          <w:szCs w:val="22"/>
        </w:rPr>
      </w:pPr>
      <w:r>
        <w:rPr>
          <w:color w:val="auto"/>
          <w:sz w:val="22"/>
          <w:szCs w:val="22"/>
        </w:rPr>
        <w:t>Additionally</w:t>
      </w:r>
      <w:r w:rsidR="00335713">
        <w:rPr>
          <w:color w:val="auto"/>
          <w:sz w:val="22"/>
          <w:szCs w:val="22"/>
        </w:rPr>
        <w:t xml:space="preserve"> interest und</w:t>
      </w:r>
      <w:r>
        <w:rPr>
          <w:color w:val="auto"/>
          <w:sz w:val="22"/>
          <w:szCs w:val="22"/>
        </w:rPr>
        <w:t>er section 201(1A) is mandatory in case of non deduction. Since t</w:t>
      </w:r>
      <w:r w:rsidR="00335713">
        <w:rPr>
          <w:color w:val="auto"/>
          <w:sz w:val="22"/>
          <w:szCs w:val="22"/>
        </w:rPr>
        <w:t>he payment of interest und</w:t>
      </w:r>
      <w:r>
        <w:rPr>
          <w:color w:val="auto"/>
          <w:sz w:val="22"/>
          <w:szCs w:val="22"/>
        </w:rPr>
        <w:t xml:space="preserve">er that provision is not penal, </w:t>
      </w:r>
      <w:r w:rsidR="00335713">
        <w:rPr>
          <w:color w:val="auto"/>
          <w:sz w:val="22"/>
          <w:szCs w:val="22"/>
        </w:rPr>
        <w:t xml:space="preserve">no question of waiver of such interest </w:t>
      </w:r>
      <w:r>
        <w:rPr>
          <w:color w:val="auto"/>
          <w:sz w:val="22"/>
          <w:szCs w:val="22"/>
        </w:rPr>
        <w:t>even if the</w:t>
      </w:r>
      <w:r w:rsidR="00335713">
        <w:rPr>
          <w:color w:val="auto"/>
          <w:sz w:val="22"/>
          <w:szCs w:val="22"/>
        </w:rPr>
        <w:t xml:space="preserve"> default was not int</w:t>
      </w:r>
      <w:r>
        <w:rPr>
          <w:color w:val="auto"/>
          <w:sz w:val="22"/>
          <w:szCs w:val="22"/>
        </w:rPr>
        <w:t>entional.</w:t>
      </w:r>
    </w:p>
    <w:p w:rsidR="00E54B4D" w:rsidRDefault="00E54B4D" w:rsidP="00335713">
      <w:pPr>
        <w:pStyle w:val="Default"/>
        <w:rPr>
          <w:color w:val="auto"/>
          <w:sz w:val="22"/>
          <w:szCs w:val="22"/>
        </w:rPr>
      </w:pPr>
    </w:p>
    <w:p w:rsidR="00335713" w:rsidRDefault="005A5F60" w:rsidP="00335713">
      <w:pPr>
        <w:pStyle w:val="Default"/>
        <w:rPr>
          <w:color w:val="auto"/>
          <w:sz w:val="22"/>
          <w:szCs w:val="22"/>
        </w:rPr>
      </w:pPr>
      <w:r>
        <w:rPr>
          <w:b/>
          <w:bCs/>
          <w:color w:val="auto"/>
          <w:sz w:val="22"/>
          <w:szCs w:val="22"/>
        </w:rPr>
        <w:t xml:space="preserve">(Imp) </w:t>
      </w:r>
      <w:r w:rsidR="00335713">
        <w:rPr>
          <w:b/>
          <w:bCs/>
          <w:color w:val="auto"/>
          <w:sz w:val="22"/>
          <w:szCs w:val="22"/>
        </w:rPr>
        <w:t xml:space="preserve">3. Can discount given on supply of SIM cards and recharge coupons by a telecom company to its distributors under a prepaid scheme be treated as commission to attract the TDS provisions under section 194H? </w:t>
      </w:r>
    </w:p>
    <w:p w:rsidR="00335713" w:rsidRDefault="00335713" w:rsidP="00335713">
      <w:pPr>
        <w:pStyle w:val="Default"/>
        <w:rPr>
          <w:color w:val="auto"/>
          <w:sz w:val="22"/>
          <w:szCs w:val="22"/>
        </w:rPr>
      </w:pPr>
      <w:r>
        <w:rPr>
          <w:b/>
          <w:bCs/>
          <w:i/>
          <w:iCs/>
          <w:color w:val="auto"/>
          <w:sz w:val="22"/>
          <w:szCs w:val="22"/>
        </w:rPr>
        <w:t xml:space="preserve">Vodafone Essar Cellular Ltd. v. ACIT (TDS) (2011) 332 ITR 255 (Kerala) </w:t>
      </w:r>
    </w:p>
    <w:p w:rsidR="00E54B4D" w:rsidRDefault="00E54B4D" w:rsidP="00E54B4D">
      <w:pPr>
        <w:pStyle w:val="Default"/>
        <w:rPr>
          <w:color w:val="auto"/>
          <w:sz w:val="22"/>
          <w:szCs w:val="22"/>
        </w:rPr>
      </w:pPr>
      <w:r>
        <w:rPr>
          <w:color w:val="auto"/>
          <w:sz w:val="22"/>
          <w:szCs w:val="22"/>
        </w:rPr>
        <w:t>Yes.</w:t>
      </w:r>
    </w:p>
    <w:p w:rsidR="005A5F60" w:rsidRDefault="00E54B4D" w:rsidP="00E54B4D">
      <w:pPr>
        <w:pStyle w:val="Default"/>
        <w:rPr>
          <w:color w:val="auto"/>
          <w:sz w:val="22"/>
          <w:szCs w:val="22"/>
        </w:rPr>
      </w:pPr>
      <w:r>
        <w:rPr>
          <w:color w:val="auto"/>
          <w:sz w:val="22"/>
          <w:szCs w:val="22"/>
        </w:rPr>
        <w:t>T</w:t>
      </w:r>
      <w:r w:rsidR="00335713">
        <w:rPr>
          <w:color w:val="auto"/>
          <w:sz w:val="22"/>
          <w:szCs w:val="22"/>
        </w:rPr>
        <w:t>he SIM card which linked the mobile subscriber to the assessee`s network. The position was the same so far as recharge coupons or e-top</w:t>
      </w:r>
      <w:r>
        <w:rPr>
          <w:color w:val="auto"/>
          <w:sz w:val="22"/>
          <w:szCs w:val="22"/>
        </w:rPr>
        <w:t xml:space="preserve"> </w:t>
      </w:r>
      <w:r w:rsidR="00335713">
        <w:rPr>
          <w:color w:val="auto"/>
          <w:sz w:val="22"/>
          <w:szCs w:val="22"/>
        </w:rPr>
        <w:t xml:space="preserve">ups were concerned which </w:t>
      </w:r>
      <w:r>
        <w:rPr>
          <w:color w:val="auto"/>
          <w:sz w:val="22"/>
          <w:szCs w:val="22"/>
        </w:rPr>
        <w:t>was</w:t>
      </w:r>
      <w:r w:rsidR="00335713">
        <w:rPr>
          <w:color w:val="auto"/>
          <w:sz w:val="22"/>
          <w:szCs w:val="22"/>
        </w:rPr>
        <w:t xml:space="preserve"> only air time charges collected from the subscribers in advance under a prepaid </w:t>
      </w:r>
      <w:r>
        <w:rPr>
          <w:color w:val="auto"/>
          <w:sz w:val="22"/>
          <w:szCs w:val="22"/>
        </w:rPr>
        <w:t>scheme. There</w:t>
      </w:r>
      <w:r w:rsidR="00335713">
        <w:rPr>
          <w:color w:val="auto"/>
          <w:sz w:val="22"/>
          <w:szCs w:val="22"/>
        </w:rPr>
        <w:t xml:space="preserve"> was no sale of any goods involved as claimed by the assessee and the entire charges collected by the assessee from the distributors at the time of delivery of SIM cards or recharge coupons were only for rendering services to ultimate subscribers. </w:t>
      </w:r>
      <w:r w:rsidR="005A5F60">
        <w:rPr>
          <w:color w:val="auto"/>
          <w:sz w:val="22"/>
          <w:szCs w:val="22"/>
        </w:rPr>
        <w:t>It is the assessee, who is</w:t>
      </w:r>
      <w:r w:rsidR="00335713">
        <w:rPr>
          <w:color w:val="auto"/>
          <w:sz w:val="22"/>
          <w:szCs w:val="22"/>
        </w:rPr>
        <w:t xml:space="preserve"> accountable to the subscribers for failure to render prompt services pursuant to connections given by the distributor. </w:t>
      </w:r>
    </w:p>
    <w:p w:rsidR="00335713" w:rsidRDefault="00335713" w:rsidP="00E54B4D">
      <w:pPr>
        <w:pStyle w:val="Default"/>
        <w:rPr>
          <w:color w:val="auto"/>
          <w:sz w:val="22"/>
          <w:szCs w:val="22"/>
        </w:rPr>
      </w:pPr>
      <w:r w:rsidRPr="00E54B4D">
        <w:rPr>
          <w:color w:val="auto"/>
          <w:sz w:val="22"/>
          <w:szCs w:val="22"/>
          <w:u w:val="single"/>
        </w:rPr>
        <w:t xml:space="preserve">Therefore, the distributor only acted as a middleman on behalf of the assessee for procuring and retaining customers </w:t>
      </w:r>
      <w:r w:rsidRPr="005A5F60">
        <w:rPr>
          <w:color w:val="auto"/>
          <w:sz w:val="22"/>
          <w:szCs w:val="22"/>
          <w:u w:val="single"/>
        </w:rPr>
        <w:t>and therefore, the discount given to him was within the meaning of commission under section 194H on which tax was deductible.</w:t>
      </w:r>
      <w:r>
        <w:rPr>
          <w:color w:val="auto"/>
          <w:sz w:val="22"/>
          <w:szCs w:val="22"/>
        </w:rPr>
        <w:t xml:space="preserve"> </w:t>
      </w:r>
    </w:p>
    <w:p w:rsidR="005A5F60" w:rsidRDefault="005A5F60" w:rsidP="00E54B4D">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4. Can difference between published price and minimum fixed commercial price be treated as additional special commission in the hands of the agents of an airline company to attract TDS provisions under section 194H, where the airline company has no information about the exact rate at which tickets are ultimately sold by the agents? </w:t>
      </w:r>
    </w:p>
    <w:p w:rsidR="00335713" w:rsidRDefault="00335713" w:rsidP="00335713">
      <w:pPr>
        <w:pStyle w:val="Default"/>
        <w:rPr>
          <w:color w:val="auto"/>
          <w:sz w:val="22"/>
          <w:szCs w:val="22"/>
        </w:rPr>
      </w:pPr>
      <w:r>
        <w:rPr>
          <w:b/>
          <w:bCs/>
          <w:i/>
          <w:iCs/>
          <w:color w:val="auto"/>
          <w:sz w:val="22"/>
          <w:szCs w:val="22"/>
        </w:rPr>
        <w:t xml:space="preserve">CIT v. Qatar Airways (2011) 332 ITR 253 (Bom.) </w:t>
      </w:r>
    </w:p>
    <w:p w:rsidR="00335713" w:rsidRDefault="005A5F60" w:rsidP="00335713">
      <w:pPr>
        <w:pStyle w:val="Default"/>
        <w:rPr>
          <w:color w:val="auto"/>
          <w:sz w:val="22"/>
          <w:szCs w:val="22"/>
        </w:rPr>
      </w:pPr>
      <w:r w:rsidRPr="005A5F60">
        <w:rPr>
          <w:b/>
          <w:color w:val="auto"/>
          <w:sz w:val="22"/>
          <w:szCs w:val="22"/>
        </w:rPr>
        <w:t>Facts</w:t>
      </w:r>
      <w:r>
        <w:rPr>
          <w:color w:val="auto"/>
          <w:sz w:val="22"/>
          <w:szCs w:val="22"/>
        </w:rPr>
        <w:t>:</w:t>
      </w:r>
      <w:r w:rsidR="00335713">
        <w:rPr>
          <w:color w:val="auto"/>
          <w:sz w:val="22"/>
          <w:szCs w:val="22"/>
        </w:rPr>
        <w:t xml:space="preserve">In this case, the airline company sold tickets to the agents at a minimum fixed commercial price. The agents were permitted to sell the tickets at a higher price, however, up to the maximum of published price. Commission at </w:t>
      </w:r>
      <w:r w:rsidR="00335713">
        <w:rPr>
          <w:color w:val="auto"/>
          <w:sz w:val="22"/>
          <w:szCs w:val="22"/>
        </w:rPr>
        <w:lastRenderedPageBreak/>
        <w:t xml:space="preserve">the rate of 9% of published price was payable to the agents of the airline company, on which tax was deducted under section 194H. </w:t>
      </w:r>
    </w:p>
    <w:p w:rsidR="00335713" w:rsidRDefault="005A5F60" w:rsidP="00335713">
      <w:pPr>
        <w:pStyle w:val="Default"/>
        <w:rPr>
          <w:color w:val="auto"/>
          <w:sz w:val="22"/>
          <w:szCs w:val="22"/>
        </w:rPr>
      </w:pPr>
      <w:r w:rsidRPr="005A5F60">
        <w:rPr>
          <w:b/>
          <w:color w:val="auto"/>
          <w:sz w:val="22"/>
          <w:szCs w:val="22"/>
        </w:rPr>
        <w:t>Ans</w:t>
      </w:r>
      <w:r>
        <w:rPr>
          <w:color w:val="auto"/>
          <w:sz w:val="22"/>
          <w:szCs w:val="22"/>
        </w:rPr>
        <w:t>. No,</w:t>
      </w:r>
      <w:r w:rsidR="00335713">
        <w:rPr>
          <w:color w:val="auto"/>
          <w:sz w:val="22"/>
          <w:szCs w:val="22"/>
        </w:rPr>
        <w:t xml:space="preserve"> since the published price was the maximum price and airline company had granted permission to the agents to sell the tickets at a price</w:t>
      </w:r>
      <w:r>
        <w:rPr>
          <w:color w:val="auto"/>
          <w:sz w:val="22"/>
          <w:szCs w:val="22"/>
        </w:rPr>
        <w:t xml:space="preserve"> lower than the published price</w:t>
      </w:r>
      <w:r w:rsidR="00335713">
        <w:rPr>
          <w:color w:val="auto"/>
          <w:sz w:val="22"/>
          <w:szCs w:val="22"/>
        </w:rPr>
        <w:t xml:space="preserve"> </w:t>
      </w:r>
      <w:r>
        <w:rPr>
          <w:color w:val="auto"/>
          <w:sz w:val="22"/>
          <w:szCs w:val="22"/>
        </w:rPr>
        <w:t>and</w:t>
      </w:r>
      <w:r w:rsidR="00335713">
        <w:rPr>
          <w:color w:val="auto"/>
          <w:sz w:val="22"/>
          <w:szCs w:val="22"/>
        </w:rPr>
        <w:t xml:space="preserve"> the airline company would have no information about the exact rate at which the tickets were ultimately sold by its agents, It would be impracticable and unreasonable to expect the airline company to get a feedback from its numerous agents in respect of each ticket sold. </w:t>
      </w:r>
    </w:p>
    <w:p w:rsidR="00335713" w:rsidRDefault="00335713" w:rsidP="005A5F60">
      <w:pPr>
        <w:pStyle w:val="Default"/>
        <w:rPr>
          <w:i/>
          <w:iCs/>
          <w:color w:val="auto"/>
          <w:sz w:val="22"/>
          <w:szCs w:val="22"/>
        </w:rPr>
      </w:pPr>
      <w:r>
        <w:rPr>
          <w:b/>
          <w:bCs/>
          <w:color w:val="auto"/>
          <w:sz w:val="22"/>
          <w:szCs w:val="22"/>
        </w:rPr>
        <w:t xml:space="preserve">Note: </w:t>
      </w:r>
      <w:r w:rsidR="005A5F60" w:rsidRPr="005A5F60">
        <w:rPr>
          <w:bCs/>
          <w:color w:val="auto"/>
          <w:sz w:val="22"/>
          <w:szCs w:val="22"/>
        </w:rPr>
        <w:t>If</w:t>
      </w:r>
      <w:r w:rsidR="005A5F60">
        <w:rPr>
          <w:b/>
          <w:bCs/>
          <w:color w:val="auto"/>
          <w:sz w:val="22"/>
          <w:szCs w:val="22"/>
        </w:rPr>
        <w:t xml:space="preserve"> </w:t>
      </w:r>
      <w:r>
        <w:rPr>
          <w:i/>
          <w:iCs/>
          <w:color w:val="auto"/>
          <w:sz w:val="22"/>
          <w:szCs w:val="22"/>
        </w:rPr>
        <w:t xml:space="preserve">the billing analysis statement clearly indicated the extra commission in the form of special or supplementary commission that was paid to the travel agent with reference to </w:t>
      </w:r>
      <w:r w:rsidR="005A5F60">
        <w:rPr>
          <w:i/>
          <w:iCs/>
          <w:color w:val="auto"/>
          <w:sz w:val="22"/>
          <w:szCs w:val="22"/>
        </w:rPr>
        <w:t xml:space="preserve">the deal code </w:t>
      </w:r>
      <w:r w:rsidR="005A5F60" w:rsidRPr="005A5F60">
        <w:rPr>
          <w:b/>
          <w:i/>
          <w:iCs/>
          <w:color w:val="auto"/>
          <w:sz w:val="22"/>
          <w:szCs w:val="22"/>
        </w:rPr>
        <w:t>then</w:t>
      </w:r>
      <w:r w:rsidRPr="005A5F60">
        <w:rPr>
          <w:b/>
          <w:i/>
          <w:iCs/>
          <w:color w:val="auto"/>
          <w:sz w:val="22"/>
          <w:szCs w:val="22"/>
        </w:rPr>
        <w:t xml:space="preserve"> the supplementary commission in the hands of the agent was ascertainable </w:t>
      </w:r>
      <w:r w:rsidR="005A5F60">
        <w:rPr>
          <w:i/>
          <w:iCs/>
          <w:color w:val="auto"/>
          <w:sz w:val="22"/>
          <w:szCs w:val="22"/>
        </w:rPr>
        <w:t xml:space="preserve">by the airline company and </w:t>
      </w:r>
      <w:r>
        <w:rPr>
          <w:i/>
          <w:iCs/>
          <w:color w:val="auto"/>
          <w:sz w:val="22"/>
          <w:szCs w:val="22"/>
        </w:rPr>
        <w:t xml:space="preserve"> the airline company was liable to deduct tax at source on the same under section 194H.</w:t>
      </w:r>
      <w:r w:rsidR="005A5F60" w:rsidRPr="005A5F60">
        <w:rPr>
          <w:i/>
          <w:iCs/>
          <w:color w:val="auto"/>
          <w:sz w:val="22"/>
          <w:szCs w:val="22"/>
        </w:rPr>
        <w:t xml:space="preserve"> </w:t>
      </w:r>
      <w:r w:rsidR="005A5F60">
        <w:rPr>
          <w:i/>
          <w:iCs/>
          <w:color w:val="auto"/>
          <w:sz w:val="22"/>
          <w:szCs w:val="22"/>
        </w:rPr>
        <w:t>[CIT v. Singapore Airlines Ltd.(2009)(Delhi)]</w:t>
      </w:r>
    </w:p>
    <w:p w:rsidR="005A5F60" w:rsidRDefault="005A5F60" w:rsidP="005A5F60">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5. What is the nature of landing and parking charges paid by an airline company to the Airports Authority of India and is tax required to be deducted at source in respect thereof? </w:t>
      </w:r>
    </w:p>
    <w:p w:rsidR="00335713" w:rsidRDefault="00335713" w:rsidP="00335713">
      <w:pPr>
        <w:pStyle w:val="Default"/>
        <w:rPr>
          <w:color w:val="auto"/>
          <w:sz w:val="22"/>
          <w:szCs w:val="22"/>
        </w:rPr>
      </w:pPr>
      <w:r>
        <w:rPr>
          <w:b/>
          <w:bCs/>
          <w:i/>
          <w:iCs/>
          <w:color w:val="auto"/>
          <w:sz w:val="22"/>
          <w:szCs w:val="22"/>
        </w:rPr>
        <w:t xml:space="preserve">CIT v. Japan Airlines Co. Ltd. (2010) 325 ITR 298 (Del.) </w:t>
      </w:r>
    </w:p>
    <w:p w:rsidR="00335713" w:rsidRDefault="00335713" w:rsidP="00335713">
      <w:pPr>
        <w:pStyle w:val="Default"/>
        <w:rPr>
          <w:color w:val="auto"/>
          <w:sz w:val="22"/>
          <w:szCs w:val="22"/>
        </w:rPr>
      </w:pPr>
      <w:r>
        <w:rPr>
          <w:b/>
          <w:bCs/>
          <w:color w:val="auto"/>
          <w:sz w:val="22"/>
          <w:szCs w:val="22"/>
        </w:rPr>
        <w:t xml:space="preserve">Relevant section: 194-I </w:t>
      </w:r>
    </w:p>
    <w:p w:rsidR="008E3D55" w:rsidRDefault="008E3D55" w:rsidP="00335713">
      <w:pPr>
        <w:pStyle w:val="Default"/>
        <w:rPr>
          <w:color w:val="auto"/>
          <w:sz w:val="22"/>
          <w:szCs w:val="22"/>
        </w:rPr>
      </w:pPr>
      <w:r>
        <w:rPr>
          <w:color w:val="auto"/>
          <w:sz w:val="22"/>
          <w:szCs w:val="22"/>
        </w:rPr>
        <w:t>Rent and covered u/s 194-I.</w:t>
      </w:r>
    </w:p>
    <w:p w:rsidR="008E3D55" w:rsidRDefault="008E3D55" w:rsidP="00335713">
      <w:pPr>
        <w:pStyle w:val="Default"/>
        <w:rPr>
          <w:b/>
          <w:bCs/>
          <w:color w:val="auto"/>
          <w:sz w:val="22"/>
          <w:szCs w:val="22"/>
        </w:rPr>
      </w:pPr>
      <w:r>
        <w:rPr>
          <w:color w:val="auto"/>
          <w:sz w:val="22"/>
          <w:szCs w:val="22"/>
        </w:rPr>
        <w:t xml:space="preserve">Rent </w:t>
      </w:r>
      <w:r w:rsidR="00335713">
        <w:rPr>
          <w:color w:val="auto"/>
          <w:sz w:val="22"/>
          <w:szCs w:val="22"/>
        </w:rPr>
        <w:t xml:space="preserve">included any agreement or arrangement for use of land. </w:t>
      </w:r>
      <w:r>
        <w:rPr>
          <w:color w:val="auto"/>
          <w:sz w:val="22"/>
          <w:szCs w:val="22"/>
        </w:rPr>
        <w:t>W</w:t>
      </w:r>
      <w:r w:rsidR="00335713">
        <w:rPr>
          <w:b/>
          <w:bCs/>
          <w:color w:val="auto"/>
          <w:sz w:val="22"/>
          <w:szCs w:val="22"/>
        </w:rPr>
        <w:t>hen the wheels of the aircraft coming into an airport touch the surface of the airfield, use of the land of the airport immediately begins. Similarly, for parking the aircraft in that airport, again, there is use of the land</w:t>
      </w:r>
      <w:r>
        <w:rPr>
          <w:b/>
          <w:bCs/>
          <w:color w:val="auto"/>
          <w:sz w:val="22"/>
          <w:szCs w:val="22"/>
        </w:rPr>
        <w:t>.</w:t>
      </w:r>
    </w:p>
    <w:p w:rsidR="008E3D55" w:rsidRDefault="008E3D55" w:rsidP="00335713">
      <w:pPr>
        <w:pStyle w:val="Default"/>
        <w:rPr>
          <w:b/>
          <w:bCs/>
          <w:color w:val="auto"/>
          <w:sz w:val="22"/>
          <w:szCs w:val="22"/>
        </w:rPr>
      </w:pPr>
    </w:p>
    <w:p w:rsidR="00335713" w:rsidRDefault="00335713" w:rsidP="00335713">
      <w:pPr>
        <w:pStyle w:val="Default"/>
        <w:rPr>
          <w:color w:val="auto"/>
          <w:sz w:val="22"/>
          <w:szCs w:val="22"/>
        </w:rPr>
      </w:pPr>
      <w:r w:rsidRPr="00F10500">
        <w:rPr>
          <w:b/>
          <w:bCs/>
          <w:color w:val="auto"/>
          <w:sz w:val="22"/>
          <w:szCs w:val="22"/>
          <w:highlight w:val="yellow"/>
        </w:rPr>
        <w:t>6</w:t>
      </w:r>
      <w:r>
        <w:rPr>
          <w:b/>
          <w:bCs/>
          <w:color w:val="auto"/>
          <w:sz w:val="22"/>
          <w:szCs w:val="22"/>
        </w:rPr>
        <w:t>. Whether retention of a percentage</w:t>
      </w:r>
      <w:r w:rsidR="007B31D3">
        <w:rPr>
          <w:b/>
          <w:bCs/>
          <w:color w:val="auto"/>
          <w:sz w:val="22"/>
          <w:szCs w:val="22"/>
        </w:rPr>
        <w:t>(here 15%)</w:t>
      </w:r>
      <w:r>
        <w:rPr>
          <w:b/>
          <w:bCs/>
          <w:color w:val="auto"/>
          <w:sz w:val="22"/>
          <w:szCs w:val="22"/>
        </w:rPr>
        <w:t xml:space="preserve"> of advertising charges collected from customers by the advertising agencies for payment to Doordarshan for telecasting advertisements would attract the provisions of tax deduction at source under section 194H? </w:t>
      </w:r>
    </w:p>
    <w:p w:rsidR="00335713" w:rsidRDefault="00335713" w:rsidP="00335713">
      <w:pPr>
        <w:pStyle w:val="Default"/>
        <w:rPr>
          <w:color w:val="auto"/>
          <w:sz w:val="22"/>
          <w:szCs w:val="22"/>
        </w:rPr>
      </w:pPr>
      <w:r>
        <w:rPr>
          <w:b/>
          <w:bCs/>
          <w:i/>
          <w:iCs/>
          <w:color w:val="auto"/>
          <w:sz w:val="22"/>
          <w:szCs w:val="22"/>
        </w:rPr>
        <w:t xml:space="preserve">CIT v. Director, Prasar Bharti (2010) 325 ITR 205 (Ker) </w:t>
      </w:r>
    </w:p>
    <w:p w:rsidR="00335713" w:rsidRDefault="00335713" w:rsidP="00335713">
      <w:pPr>
        <w:pStyle w:val="Default"/>
        <w:rPr>
          <w:color w:val="auto"/>
          <w:sz w:val="22"/>
          <w:szCs w:val="22"/>
        </w:rPr>
      </w:pPr>
      <w:r>
        <w:rPr>
          <w:b/>
          <w:bCs/>
          <w:color w:val="auto"/>
          <w:sz w:val="22"/>
          <w:szCs w:val="22"/>
        </w:rPr>
        <w:t xml:space="preserve">Relevant section: 194H </w:t>
      </w:r>
    </w:p>
    <w:p w:rsidR="00335713" w:rsidRDefault="007B31D3" w:rsidP="00335713">
      <w:pPr>
        <w:pStyle w:val="Default"/>
        <w:rPr>
          <w:color w:val="auto"/>
          <w:sz w:val="22"/>
          <w:szCs w:val="22"/>
        </w:rPr>
      </w:pPr>
      <w:r>
        <w:rPr>
          <w:b/>
          <w:bCs/>
          <w:color w:val="auto"/>
          <w:sz w:val="22"/>
          <w:szCs w:val="22"/>
        </w:rPr>
        <w:t>Yes.</w:t>
      </w:r>
      <w:r w:rsidR="00335713">
        <w:rPr>
          <w:b/>
          <w:bCs/>
          <w:color w:val="auto"/>
          <w:sz w:val="22"/>
          <w:szCs w:val="22"/>
        </w:rPr>
        <w:t xml:space="preserve"> </w:t>
      </w:r>
    </w:p>
    <w:p w:rsidR="00335713" w:rsidRDefault="00335713" w:rsidP="00335713">
      <w:pPr>
        <w:pStyle w:val="Default"/>
        <w:rPr>
          <w:b/>
          <w:bCs/>
          <w:color w:val="auto"/>
          <w:sz w:val="22"/>
          <w:szCs w:val="22"/>
        </w:rPr>
      </w:pPr>
      <w:r>
        <w:rPr>
          <w:color w:val="auto"/>
          <w:sz w:val="22"/>
          <w:szCs w:val="22"/>
        </w:rPr>
        <w:t xml:space="preserve">It is clear from section 194H that tax has to be deducted at the time of credit of such sum to the account of the payee or at the time of payment of such income in cash or by the issue of cheque or draft or any other mode, whichever is earlier. </w:t>
      </w:r>
      <w:r>
        <w:rPr>
          <w:b/>
          <w:bCs/>
          <w:color w:val="auto"/>
          <w:sz w:val="22"/>
          <w:szCs w:val="22"/>
        </w:rPr>
        <w:t xml:space="preserve">When the agent pays 85% of the advertisement charges collected from the customer, the agent simultaneously gets paid commission of 15%, which he is free to appropriate as his income. TDS on commission charges of 15% has to be paid to the Income-tax Department with reference to the date on which 85% of the advertisement charges are received from the agent. </w:t>
      </w:r>
    </w:p>
    <w:p w:rsidR="001F754E" w:rsidRDefault="001F754E" w:rsidP="00335713">
      <w:pPr>
        <w:pStyle w:val="Default"/>
        <w:rPr>
          <w:color w:val="auto"/>
          <w:sz w:val="22"/>
          <w:szCs w:val="22"/>
        </w:rPr>
      </w:pPr>
    </w:p>
    <w:p w:rsidR="00335713" w:rsidRDefault="00335713" w:rsidP="00335713">
      <w:pPr>
        <w:pStyle w:val="Default"/>
        <w:rPr>
          <w:color w:val="auto"/>
          <w:sz w:val="22"/>
          <w:szCs w:val="22"/>
        </w:rPr>
      </w:pPr>
      <w:r>
        <w:rPr>
          <w:b/>
          <w:bCs/>
          <w:color w:val="auto"/>
          <w:sz w:val="22"/>
          <w:szCs w:val="22"/>
        </w:rPr>
        <w:t xml:space="preserve">7. Can services rendered by a hotel to its customers in providing hotel room with various facilities / amenities (like house keeping, bank counter, beauty saloon, car rental, health club etc.) amount to “carrying out any work” to attract the provisions of section 194C? </w:t>
      </w:r>
    </w:p>
    <w:p w:rsidR="00335713" w:rsidRDefault="00335713" w:rsidP="00335713">
      <w:pPr>
        <w:pStyle w:val="Default"/>
        <w:rPr>
          <w:color w:val="auto"/>
          <w:sz w:val="22"/>
          <w:szCs w:val="22"/>
        </w:rPr>
      </w:pPr>
      <w:r>
        <w:rPr>
          <w:b/>
          <w:bCs/>
          <w:i/>
          <w:iCs/>
          <w:color w:val="auto"/>
          <w:sz w:val="22"/>
          <w:szCs w:val="22"/>
        </w:rPr>
        <w:t xml:space="preserve">East India Hotels Ltd. v. CBDT (2010) 320 ITR 526 (Bom.) </w:t>
      </w:r>
    </w:p>
    <w:p w:rsidR="00335713" w:rsidRDefault="00335713" w:rsidP="00335713">
      <w:pPr>
        <w:pStyle w:val="Default"/>
        <w:rPr>
          <w:color w:val="auto"/>
          <w:sz w:val="22"/>
          <w:szCs w:val="22"/>
        </w:rPr>
      </w:pPr>
      <w:r>
        <w:rPr>
          <w:b/>
          <w:bCs/>
          <w:color w:val="auto"/>
          <w:sz w:val="22"/>
          <w:szCs w:val="22"/>
        </w:rPr>
        <w:t xml:space="preserve">Relevant section: 194C </w:t>
      </w:r>
    </w:p>
    <w:p w:rsidR="001F754E" w:rsidRDefault="001F754E" w:rsidP="007B31D3">
      <w:pPr>
        <w:pStyle w:val="Default"/>
        <w:rPr>
          <w:rFonts w:cstheme="minorBidi"/>
          <w:b/>
          <w:bCs/>
          <w:color w:val="auto"/>
          <w:sz w:val="22"/>
          <w:szCs w:val="22"/>
        </w:rPr>
      </w:pPr>
      <w:r>
        <w:rPr>
          <w:color w:val="auto"/>
          <w:sz w:val="22"/>
          <w:szCs w:val="22"/>
        </w:rPr>
        <w:t>No.T</w:t>
      </w:r>
      <w:r w:rsidR="00335713">
        <w:rPr>
          <w:color w:val="auto"/>
          <w:sz w:val="22"/>
          <w:szCs w:val="22"/>
        </w:rPr>
        <w:t>he words “carrying out any work” in section 194C are limited to any work which on being carried out culminates in a product or result</w:t>
      </w:r>
      <w:r>
        <w:rPr>
          <w:color w:val="auto"/>
          <w:sz w:val="22"/>
          <w:szCs w:val="22"/>
        </w:rPr>
        <w:t>.</w:t>
      </w:r>
      <w:r w:rsidR="00335713">
        <w:rPr>
          <w:color w:val="auto"/>
          <w:sz w:val="22"/>
          <w:szCs w:val="22"/>
        </w:rPr>
        <w:t xml:space="preserve">The provisions of tax deduction at source under section 194C would be attracted in respect of payments for carrying out the work like construction of dams, laying of roads and air fields, erection or installation of plant and machinery etc. </w:t>
      </w:r>
      <w:r w:rsidR="00335713" w:rsidRPr="001F754E">
        <w:rPr>
          <w:b/>
          <w:color w:val="auto"/>
          <w:sz w:val="22"/>
          <w:szCs w:val="22"/>
        </w:rPr>
        <w:t>In these contracts, the execution of the contract by a contractor or sub-contractor results in production of the desired object or accomplishing the task under the contract</w:t>
      </w:r>
      <w:r w:rsidR="00335713">
        <w:rPr>
          <w:color w:val="auto"/>
          <w:sz w:val="22"/>
          <w:szCs w:val="22"/>
        </w:rPr>
        <w:t xml:space="preserve">. </w:t>
      </w:r>
      <w:r w:rsidR="00335713">
        <w:rPr>
          <w:rFonts w:cstheme="minorBidi"/>
          <w:b/>
          <w:bCs/>
          <w:color w:val="auto"/>
          <w:sz w:val="22"/>
          <w:szCs w:val="22"/>
        </w:rPr>
        <w:t>However, facilities or amenities made available by a hotel to its customers do not fall within the meaning of work under section 194C</w:t>
      </w:r>
      <w:r>
        <w:rPr>
          <w:rFonts w:cstheme="minorBidi"/>
          <w:b/>
          <w:bCs/>
          <w:color w:val="auto"/>
          <w:sz w:val="22"/>
          <w:szCs w:val="22"/>
        </w:rPr>
        <w:t>.</w:t>
      </w:r>
      <w:r w:rsidR="00335713">
        <w:rPr>
          <w:rFonts w:cstheme="minorBidi"/>
          <w:b/>
          <w:bCs/>
          <w:color w:val="auto"/>
          <w:sz w:val="22"/>
          <w:szCs w:val="22"/>
        </w:rPr>
        <w:t xml:space="preserve"> </w:t>
      </w:r>
    </w:p>
    <w:p w:rsidR="007B31D3" w:rsidRDefault="007B31D3" w:rsidP="007B31D3">
      <w:pPr>
        <w:pStyle w:val="Default"/>
        <w:rPr>
          <w:rFonts w:cstheme="minorBidi"/>
          <w:color w:val="auto"/>
          <w:sz w:val="22"/>
          <w:szCs w:val="22"/>
        </w:rPr>
      </w:pPr>
    </w:p>
    <w:p w:rsidR="007B31D3" w:rsidRDefault="007B31D3" w:rsidP="007B31D3">
      <w:pPr>
        <w:pStyle w:val="Default"/>
        <w:rPr>
          <w:rFonts w:cstheme="minorBidi"/>
          <w:color w:val="auto"/>
          <w:sz w:val="22"/>
          <w:szCs w:val="22"/>
        </w:rPr>
      </w:pPr>
    </w:p>
    <w:p w:rsidR="007B31D3" w:rsidRDefault="007B31D3" w:rsidP="007B31D3">
      <w:pPr>
        <w:pStyle w:val="Default"/>
        <w:rPr>
          <w:rFonts w:cstheme="minorBidi"/>
          <w:color w:val="auto"/>
          <w:sz w:val="22"/>
          <w:szCs w:val="22"/>
        </w:rPr>
      </w:pPr>
    </w:p>
    <w:p w:rsidR="00335713" w:rsidRDefault="00335713" w:rsidP="00335713">
      <w:pPr>
        <w:pStyle w:val="Default"/>
        <w:rPr>
          <w:rFonts w:cstheme="minorBidi"/>
          <w:color w:val="auto"/>
          <w:sz w:val="22"/>
          <w:szCs w:val="22"/>
        </w:rPr>
      </w:pPr>
      <w:r>
        <w:rPr>
          <w:rFonts w:cstheme="minorBidi"/>
          <w:b/>
          <w:bCs/>
          <w:color w:val="auto"/>
          <w:sz w:val="22"/>
          <w:szCs w:val="22"/>
        </w:rPr>
        <w:lastRenderedPageBreak/>
        <w:t xml:space="preserve">8. Can the interest under sections 234B and 234C, be levied on the basis of interest calculation given in the </w:t>
      </w:r>
      <w:r w:rsidRPr="006053E3">
        <w:rPr>
          <w:rFonts w:cstheme="minorBidi"/>
          <w:b/>
          <w:bCs/>
          <w:color w:val="auto"/>
          <w:sz w:val="22"/>
          <w:szCs w:val="22"/>
          <w:u w:val="single"/>
        </w:rPr>
        <w:t>computation sheet</w:t>
      </w:r>
      <w:r>
        <w:rPr>
          <w:rFonts w:cstheme="minorBidi"/>
          <w:b/>
          <w:bCs/>
          <w:color w:val="auto"/>
          <w:sz w:val="22"/>
          <w:szCs w:val="22"/>
        </w:rPr>
        <w:t xml:space="preserve"> annexed to the assessment order, though the direction to charge such interest is not mentioned in the assessment order? </w:t>
      </w:r>
    </w:p>
    <w:p w:rsidR="00335713" w:rsidRDefault="00335713" w:rsidP="00335713">
      <w:pPr>
        <w:pStyle w:val="Default"/>
        <w:rPr>
          <w:color w:val="auto"/>
          <w:sz w:val="22"/>
          <w:szCs w:val="22"/>
        </w:rPr>
      </w:pPr>
      <w:r>
        <w:rPr>
          <w:b/>
          <w:bCs/>
          <w:i/>
          <w:iCs/>
          <w:color w:val="auto"/>
          <w:sz w:val="22"/>
          <w:szCs w:val="22"/>
        </w:rPr>
        <w:t xml:space="preserve">CIT v. Assam Mineral Development Corporation Ltd. (2010) 320 ITR 149 (Gau.) </w:t>
      </w:r>
    </w:p>
    <w:p w:rsidR="006053E3" w:rsidRDefault="006053E3" w:rsidP="00335713">
      <w:pPr>
        <w:pStyle w:val="Default"/>
        <w:rPr>
          <w:color w:val="auto"/>
          <w:sz w:val="22"/>
          <w:szCs w:val="22"/>
        </w:rPr>
      </w:pPr>
    </w:p>
    <w:p w:rsidR="00335713" w:rsidRDefault="006053E3" w:rsidP="00335713">
      <w:pPr>
        <w:pStyle w:val="Default"/>
        <w:rPr>
          <w:color w:val="auto"/>
          <w:sz w:val="22"/>
          <w:szCs w:val="22"/>
        </w:rPr>
      </w:pPr>
      <w:r>
        <w:rPr>
          <w:color w:val="auto"/>
          <w:sz w:val="22"/>
          <w:szCs w:val="22"/>
        </w:rPr>
        <w:t>Yes. T</w:t>
      </w:r>
      <w:r w:rsidR="00335713">
        <w:rPr>
          <w:color w:val="auto"/>
          <w:sz w:val="22"/>
          <w:szCs w:val="22"/>
        </w:rPr>
        <w:t xml:space="preserve">he interest leviable under sections 234B and 234C is mandatory in nature. The computation sheet in the form prescribed, signed or initialed by the Assessing Officer, </w:t>
      </w:r>
      <w:r w:rsidR="00335713" w:rsidRPr="006053E3">
        <w:rPr>
          <w:color w:val="auto"/>
          <w:sz w:val="22"/>
          <w:szCs w:val="22"/>
          <w:u w:val="single"/>
        </w:rPr>
        <w:t>is an order</w:t>
      </w:r>
      <w:r w:rsidR="00335713">
        <w:rPr>
          <w:color w:val="auto"/>
          <w:sz w:val="22"/>
          <w:szCs w:val="22"/>
        </w:rPr>
        <w:t xml:space="preserve"> in writing determining the tax payable within the meaning of section 143(3). </w:t>
      </w:r>
      <w:r w:rsidR="00335713" w:rsidRPr="006053E3">
        <w:rPr>
          <w:color w:val="auto"/>
          <w:sz w:val="22"/>
          <w:szCs w:val="22"/>
          <w:u w:val="single"/>
        </w:rPr>
        <w:t>It is an integral part of the assessment order</w:t>
      </w:r>
      <w:r w:rsidR="00335713">
        <w:rPr>
          <w:color w:val="auto"/>
          <w:sz w:val="22"/>
          <w:szCs w:val="22"/>
        </w:rPr>
        <w:t xml:space="preserve">. Hence, the levy of interest and the basis for arriving at the quantum thereof have been explicitly indicated in the computation sheet and therefore, such interest has to be paid. </w:t>
      </w:r>
    </w:p>
    <w:p w:rsidR="00335713" w:rsidRPr="00682190" w:rsidRDefault="006053E3" w:rsidP="00682190">
      <w:pPr>
        <w:pStyle w:val="Default"/>
        <w:rPr>
          <w:rFonts w:cstheme="minorBidi"/>
          <w:color w:val="auto"/>
          <w:sz w:val="98"/>
          <w:szCs w:val="98"/>
        </w:rPr>
      </w:pPr>
      <w:r>
        <w:rPr>
          <w:color w:val="auto"/>
          <w:sz w:val="22"/>
          <w:szCs w:val="22"/>
        </w:rPr>
        <w:t>Note: Similar case CIT</w:t>
      </w:r>
      <w:r>
        <w:rPr>
          <w:i/>
          <w:iCs/>
          <w:color w:val="auto"/>
          <w:sz w:val="22"/>
          <w:szCs w:val="22"/>
        </w:rPr>
        <w:t xml:space="preserve"> v. Anjum M. H. Ghaswala (2001) (SC).</w:t>
      </w:r>
    </w:p>
    <w:p w:rsidR="00335713" w:rsidRDefault="00682190" w:rsidP="00335713">
      <w:pPr>
        <w:pStyle w:val="Default"/>
        <w:pageBreakBefore/>
        <w:rPr>
          <w:rFonts w:cstheme="minorBidi"/>
          <w:color w:val="auto"/>
          <w:sz w:val="96"/>
          <w:szCs w:val="96"/>
        </w:rPr>
      </w:pPr>
      <w:r>
        <w:rPr>
          <w:rFonts w:cstheme="minorBidi"/>
          <w:b/>
          <w:bCs/>
          <w:color w:val="auto"/>
          <w:sz w:val="96"/>
          <w:szCs w:val="96"/>
        </w:rPr>
        <w:lastRenderedPageBreak/>
        <w:t>1</w:t>
      </w:r>
      <w:r w:rsidR="00335713">
        <w:rPr>
          <w:rFonts w:cstheme="minorBidi"/>
          <w:b/>
          <w:bCs/>
          <w:color w:val="auto"/>
          <w:sz w:val="96"/>
          <w:szCs w:val="96"/>
        </w:rPr>
        <w:t xml:space="preserve">4 </w:t>
      </w:r>
    </w:p>
    <w:p w:rsidR="00335713" w:rsidRDefault="00335713" w:rsidP="00335713">
      <w:pPr>
        <w:pStyle w:val="Default"/>
        <w:rPr>
          <w:rFonts w:cstheme="minorBidi"/>
          <w:color w:val="auto"/>
          <w:sz w:val="38"/>
          <w:szCs w:val="38"/>
        </w:rPr>
      </w:pPr>
      <w:r>
        <w:rPr>
          <w:rFonts w:cstheme="minorBidi"/>
          <w:b/>
          <w:bCs/>
          <w:color w:val="auto"/>
          <w:sz w:val="48"/>
          <w:szCs w:val="48"/>
        </w:rPr>
        <w:t>W</w:t>
      </w:r>
      <w:r>
        <w:rPr>
          <w:rFonts w:cstheme="minorBidi"/>
          <w:b/>
          <w:bCs/>
          <w:color w:val="auto"/>
          <w:sz w:val="38"/>
          <w:szCs w:val="38"/>
        </w:rPr>
        <w:t xml:space="preserve">EALTH TAX </w:t>
      </w:r>
    </w:p>
    <w:p w:rsidR="00335713" w:rsidRDefault="00335713" w:rsidP="00335713">
      <w:pPr>
        <w:pStyle w:val="Default"/>
        <w:rPr>
          <w:rFonts w:cstheme="minorBidi"/>
          <w:color w:val="auto"/>
          <w:sz w:val="22"/>
          <w:szCs w:val="22"/>
        </w:rPr>
      </w:pPr>
      <w:r>
        <w:rPr>
          <w:rFonts w:cstheme="minorBidi"/>
          <w:b/>
          <w:bCs/>
          <w:color w:val="auto"/>
          <w:sz w:val="22"/>
          <w:szCs w:val="22"/>
        </w:rPr>
        <w:t xml:space="preserve">1. Whether the best judgment assessment order passed without giving the assessee an opportunity of being heard is valid in a case where the notice under section 16(4) has already been given? </w:t>
      </w:r>
    </w:p>
    <w:p w:rsidR="00335713" w:rsidRDefault="00335713" w:rsidP="00335713">
      <w:pPr>
        <w:pStyle w:val="Default"/>
        <w:rPr>
          <w:color w:val="auto"/>
          <w:sz w:val="22"/>
          <w:szCs w:val="22"/>
        </w:rPr>
      </w:pPr>
      <w:r>
        <w:rPr>
          <w:b/>
          <w:bCs/>
          <w:i/>
          <w:iCs/>
          <w:color w:val="auto"/>
          <w:sz w:val="22"/>
          <w:szCs w:val="22"/>
        </w:rPr>
        <w:t xml:space="preserve">CWT v. Motor and General Finance Limited (2011) 332 ITR 1 (Delhi) </w:t>
      </w:r>
    </w:p>
    <w:p w:rsidR="007B31D3" w:rsidRDefault="007B31D3" w:rsidP="00335713">
      <w:pPr>
        <w:pStyle w:val="Default"/>
        <w:rPr>
          <w:color w:val="auto"/>
          <w:sz w:val="22"/>
          <w:szCs w:val="22"/>
        </w:rPr>
      </w:pPr>
      <w:r>
        <w:rPr>
          <w:color w:val="auto"/>
          <w:sz w:val="22"/>
          <w:szCs w:val="22"/>
        </w:rPr>
        <w:t>Yes.</w:t>
      </w:r>
    </w:p>
    <w:p w:rsidR="00335713" w:rsidRDefault="007B31D3" w:rsidP="00335713">
      <w:pPr>
        <w:pStyle w:val="Default"/>
        <w:rPr>
          <w:color w:val="auto"/>
          <w:sz w:val="22"/>
          <w:szCs w:val="22"/>
        </w:rPr>
      </w:pPr>
      <w:r>
        <w:rPr>
          <w:color w:val="auto"/>
          <w:sz w:val="22"/>
          <w:szCs w:val="22"/>
        </w:rPr>
        <w:t>A</w:t>
      </w:r>
      <w:r w:rsidR="00335713">
        <w:rPr>
          <w:color w:val="auto"/>
          <w:sz w:val="22"/>
          <w:szCs w:val="22"/>
        </w:rPr>
        <w:t xml:space="preserve">s per section 16(5) the Assessing Officer can resort to making best judgment assessment, after giving an opportunity of being heard to the assessee by issue of notice, in case where: </w:t>
      </w:r>
    </w:p>
    <w:p w:rsidR="00335713" w:rsidRDefault="00335713" w:rsidP="00335713">
      <w:pPr>
        <w:pStyle w:val="Default"/>
        <w:rPr>
          <w:color w:val="auto"/>
          <w:sz w:val="22"/>
          <w:szCs w:val="22"/>
        </w:rPr>
      </w:pPr>
      <w:r>
        <w:rPr>
          <w:color w:val="auto"/>
          <w:sz w:val="22"/>
          <w:szCs w:val="22"/>
        </w:rPr>
        <w:t xml:space="preserve">(a) where a person fails to make the return under section 14(1) or under section 15, or </w:t>
      </w:r>
    </w:p>
    <w:p w:rsidR="00335713" w:rsidRDefault="00335713" w:rsidP="00335713">
      <w:pPr>
        <w:pStyle w:val="Default"/>
        <w:rPr>
          <w:color w:val="auto"/>
          <w:sz w:val="22"/>
          <w:szCs w:val="22"/>
        </w:rPr>
      </w:pPr>
      <w:r>
        <w:rPr>
          <w:color w:val="auto"/>
          <w:sz w:val="22"/>
          <w:szCs w:val="22"/>
        </w:rPr>
        <w:t xml:space="preserve">(b) where he fails to comply with all the terms of notice issued under section 16(2) or section 16(4). </w:t>
      </w:r>
    </w:p>
    <w:p w:rsidR="00335713" w:rsidRDefault="00335713" w:rsidP="00335713">
      <w:pPr>
        <w:pStyle w:val="Default"/>
        <w:rPr>
          <w:color w:val="auto"/>
          <w:sz w:val="22"/>
          <w:szCs w:val="22"/>
        </w:rPr>
      </w:pPr>
      <w:r>
        <w:rPr>
          <w:color w:val="auto"/>
          <w:sz w:val="22"/>
          <w:szCs w:val="22"/>
        </w:rPr>
        <w:t xml:space="preserve">Further, according to the second proviso to section 16(5), no notice or opportunity of hearing is required where a notice under section 16(4) has been issued prior to the making of the best judgment assessment. </w:t>
      </w:r>
    </w:p>
    <w:p w:rsidR="00335713" w:rsidRDefault="00335713" w:rsidP="00335713">
      <w:pPr>
        <w:pStyle w:val="Default"/>
        <w:rPr>
          <w:color w:val="auto"/>
          <w:sz w:val="22"/>
          <w:szCs w:val="22"/>
        </w:rPr>
      </w:pPr>
      <w:r>
        <w:rPr>
          <w:color w:val="auto"/>
          <w:sz w:val="22"/>
          <w:szCs w:val="22"/>
        </w:rPr>
        <w:t xml:space="preserve">In the present case, since the Assessing Officer has duly served the notice under section 16(4) on the assessee upon failure of the assessee to file the wealth-tax return, no separate notice under section 16(5) giving opportunity of being heard is required to be issued before making a best judgment assessment. </w:t>
      </w:r>
    </w:p>
    <w:p w:rsidR="007B31D3" w:rsidRDefault="007B31D3" w:rsidP="00335713">
      <w:pPr>
        <w:pStyle w:val="Default"/>
        <w:rPr>
          <w:b/>
          <w:bCs/>
          <w:color w:val="auto"/>
          <w:sz w:val="22"/>
          <w:szCs w:val="22"/>
        </w:rPr>
      </w:pPr>
    </w:p>
    <w:p w:rsidR="00335713" w:rsidRDefault="00335713" w:rsidP="00335713">
      <w:pPr>
        <w:pStyle w:val="Default"/>
        <w:rPr>
          <w:color w:val="auto"/>
          <w:sz w:val="22"/>
          <w:szCs w:val="22"/>
        </w:rPr>
      </w:pPr>
      <w:r>
        <w:rPr>
          <w:b/>
          <w:bCs/>
          <w:color w:val="auto"/>
          <w:sz w:val="22"/>
          <w:szCs w:val="22"/>
        </w:rPr>
        <w:t xml:space="preserve">2. Is wealth-tax leviable on the value of house under construction, where the construction was still incomplete on the relevant valuation date? </w:t>
      </w:r>
    </w:p>
    <w:p w:rsidR="00335713" w:rsidRDefault="00335713" w:rsidP="00335713">
      <w:pPr>
        <w:pStyle w:val="Default"/>
        <w:rPr>
          <w:color w:val="auto"/>
          <w:sz w:val="22"/>
          <w:szCs w:val="22"/>
        </w:rPr>
      </w:pPr>
      <w:r>
        <w:rPr>
          <w:b/>
          <w:bCs/>
          <w:i/>
          <w:iCs/>
          <w:color w:val="auto"/>
          <w:sz w:val="22"/>
          <w:szCs w:val="22"/>
        </w:rPr>
        <w:t xml:space="preserve">CIT v. Smt. Neena Jain (2011) 330 ITR 157 (P &amp; H) </w:t>
      </w:r>
    </w:p>
    <w:p w:rsidR="006053E3" w:rsidRDefault="006053E3" w:rsidP="00335713">
      <w:pPr>
        <w:pStyle w:val="Default"/>
        <w:rPr>
          <w:color w:val="auto"/>
          <w:sz w:val="22"/>
          <w:szCs w:val="22"/>
        </w:rPr>
      </w:pPr>
      <w:r>
        <w:rPr>
          <w:color w:val="auto"/>
          <w:sz w:val="22"/>
          <w:szCs w:val="22"/>
        </w:rPr>
        <w:t>No. B</w:t>
      </w:r>
      <w:r w:rsidR="00335713">
        <w:rPr>
          <w:color w:val="auto"/>
          <w:sz w:val="22"/>
          <w:szCs w:val="22"/>
        </w:rPr>
        <w:t>ecause</w:t>
      </w:r>
    </w:p>
    <w:p w:rsidR="006053E3" w:rsidRDefault="006053E3" w:rsidP="00335713">
      <w:pPr>
        <w:pStyle w:val="Default"/>
        <w:rPr>
          <w:color w:val="auto"/>
          <w:sz w:val="22"/>
          <w:szCs w:val="22"/>
        </w:rPr>
      </w:pPr>
      <w:r>
        <w:rPr>
          <w:color w:val="auto"/>
          <w:sz w:val="22"/>
          <w:szCs w:val="22"/>
        </w:rPr>
        <w:t>1. An</w:t>
      </w:r>
      <w:r w:rsidR="00335713">
        <w:rPr>
          <w:color w:val="auto"/>
          <w:sz w:val="22"/>
          <w:szCs w:val="22"/>
        </w:rPr>
        <w:t xml:space="preserve"> incomplete building could not possibly either be used for residential or commercial purposes or for the purposes of maintaining a guest house. </w:t>
      </w:r>
    </w:p>
    <w:p w:rsidR="006053E3" w:rsidRDefault="006053E3" w:rsidP="00335713">
      <w:pPr>
        <w:pStyle w:val="Default"/>
        <w:rPr>
          <w:color w:val="auto"/>
          <w:sz w:val="22"/>
          <w:szCs w:val="22"/>
        </w:rPr>
      </w:pPr>
      <w:r>
        <w:rPr>
          <w:color w:val="auto"/>
          <w:sz w:val="22"/>
          <w:szCs w:val="22"/>
        </w:rPr>
        <w:t>2. The</w:t>
      </w:r>
      <w:r w:rsidR="00335713">
        <w:rPr>
          <w:color w:val="auto"/>
          <w:sz w:val="22"/>
          <w:szCs w:val="22"/>
        </w:rPr>
        <w:t xml:space="preserve"> assessee was constructing the building after obtaining sanction from the appropriate authorities</w:t>
      </w:r>
      <w:r>
        <w:rPr>
          <w:color w:val="auto"/>
          <w:sz w:val="22"/>
          <w:szCs w:val="22"/>
        </w:rPr>
        <w:t xml:space="preserve"> hence not to be considered as urban land also.</w:t>
      </w:r>
      <w:r w:rsidR="00335713">
        <w:rPr>
          <w:color w:val="auto"/>
          <w:sz w:val="22"/>
          <w:szCs w:val="22"/>
        </w:rPr>
        <w:t xml:space="preserve"> </w:t>
      </w:r>
    </w:p>
    <w:p w:rsidR="00335713" w:rsidRDefault="00335713" w:rsidP="00335713">
      <w:pPr>
        <w:pStyle w:val="Default"/>
        <w:rPr>
          <w:color w:val="auto"/>
          <w:sz w:val="22"/>
          <w:szCs w:val="22"/>
        </w:rPr>
      </w:pPr>
      <w:r>
        <w:rPr>
          <w:color w:val="auto"/>
          <w:sz w:val="22"/>
          <w:szCs w:val="22"/>
        </w:rPr>
        <w:t xml:space="preserve">Therefore, the incomplete building of the assessee neither fell within the meaning of a building nor within the purview of “urban land” under section 2(ea). Consequently, the incomplete building is not an asset chargeable to wealth-tax. </w:t>
      </w:r>
    </w:p>
    <w:p w:rsidR="00BF0D68" w:rsidRDefault="00BF0D68" w:rsidP="00335713"/>
    <w:sectPr w:rsidR="00BF0D68" w:rsidSect="00C379D6">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743E" w:rsidRDefault="0027743E" w:rsidP="00AD7ED7">
      <w:pPr>
        <w:spacing w:after="0" w:line="240" w:lineRule="auto"/>
      </w:pPr>
      <w:r>
        <w:separator/>
      </w:r>
    </w:p>
  </w:endnote>
  <w:endnote w:type="continuationSeparator" w:id="1">
    <w:p w:rsidR="0027743E" w:rsidRDefault="0027743E" w:rsidP="00AD7E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ED7" w:rsidRDefault="00AD7ED7">
    <w:pPr>
      <w:pStyle w:val="Footer"/>
      <w:pBdr>
        <w:top w:val="thinThickSmallGap" w:sz="24" w:space="1" w:color="622423" w:themeColor="accent2" w:themeShade="7F"/>
      </w:pBdr>
      <w:rPr>
        <w:rFonts w:asciiTheme="majorHAnsi" w:hAnsiTheme="majorHAnsi"/>
      </w:rPr>
    </w:pPr>
    <w:r>
      <w:rPr>
        <w:rFonts w:asciiTheme="majorHAnsi" w:hAnsiTheme="majorHAnsi"/>
      </w:rPr>
      <w:t xml:space="preserve">                                                                          With Best Wishes</w:t>
    </w:r>
    <w:r>
      <w:rPr>
        <w:rFonts w:asciiTheme="majorHAnsi" w:hAnsiTheme="majorHAnsi"/>
      </w:rPr>
      <w:ptab w:relativeTo="margin" w:alignment="right" w:leader="none"/>
    </w:r>
    <w:r>
      <w:rPr>
        <w:rFonts w:asciiTheme="majorHAnsi" w:hAnsiTheme="majorHAnsi"/>
      </w:rPr>
      <w:t xml:space="preserve">Page </w:t>
    </w:r>
    <w:fldSimple w:instr=" PAGE   \* MERGEFORMAT ">
      <w:r w:rsidR="002F5E08" w:rsidRPr="002F5E08">
        <w:rPr>
          <w:rFonts w:asciiTheme="majorHAnsi" w:hAnsiTheme="majorHAnsi"/>
          <w:noProof/>
        </w:rPr>
        <w:t>1</w:t>
      </w:r>
    </w:fldSimple>
  </w:p>
  <w:p w:rsidR="00AD7ED7" w:rsidRDefault="00AD7E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743E" w:rsidRDefault="0027743E" w:rsidP="00AD7ED7">
      <w:pPr>
        <w:spacing w:after="0" w:line="240" w:lineRule="auto"/>
      </w:pPr>
      <w:r>
        <w:separator/>
      </w:r>
    </w:p>
  </w:footnote>
  <w:footnote w:type="continuationSeparator" w:id="1">
    <w:p w:rsidR="0027743E" w:rsidRDefault="0027743E" w:rsidP="00AD7E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le"/>
      <w:id w:val="77738743"/>
      <w:placeholder>
        <w:docPart w:val="F64732440C6A487DB9F80F2F1BBA7C89"/>
      </w:placeholder>
      <w:dataBinding w:prefixMappings="xmlns:ns0='http://schemas.openxmlformats.org/package/2006/metadata/core-properties' xmlns:ns1='http://purl.org/dc/elements/1.1/'" w:xpath="/ns0:coreProperties[1]/ns1:title[1]" w:storeItemID="{6C3C8BC8-F283-45AE-878A-BAB7291924A1}"/>
      <w:text/>
    </w:sdtPr>
    <w:sdtContent>
      <w:p w:rsidR="0006431F" w:rsidRPr="0006431F" w:rsidRDefault="0006431F" w:rsidP="0006431F">
        <w:pPr>
          <w:pStyle w:val="Header"/>
          <w:pBdr>
            <w:bottom w:val="thickThinSmallGap" w:sz="24" w:space="1" w:color="622423" w:themeColor="accent2" w:themeShade="7F"/>
          </w:pBdr>
          <w:rPr>
            <w:rFonts w:asciiTheme="majorHAnsi" w:eastAsiaTheme="majorEastAsia" w:hAnsiTheme="majorHAnsi" w:cstheme="majorBidi"/>
            <w:sz w:val="32"/>
            <w:szCs w:val="32"/>
          </w:rPr>
        </w:pPr>
        <w:r w:rsidRPr="0006431F">
          <w:rPr>
            <w:rFonts w:asciiTheme="majorHAnsi" w:eastAsiaTheme="majorEastAsia" w:hAnsiTheme="majorHAnsi" w:cstheme="majorBidi"/>
            <w:sz w:val="32"/>
            <w:szCs w:val="32"/>
          </w:rPr>
          <w:t>Summary of Imp Case Laws</w:t>
        </w:r>
        <w:r w:rsidR="002F5E08">
          <w:rPr>
            <w:rFonts w:asciiTheme="majorHAnsi" w:eastAsiaTheme="majorEastAsia" w:hAnsiTheme="majorHAnsi" w:cstheme="majorBidi"/>
            <w:sz w:val="32"/>
            <w:szCs w:val="32"/>
          </w:rPr>
          <w:t xml:space="preserve"> of DT</w:t>
        </w:r>
        <w:r w:rsidRPr="0006431F">
          <w:rPr>
            <w:rFonts w:asciiTheme="majorHAnsi" w:eastAsiaTheme="majorEastAsia" w:hAnsiTheme="majorHAnsi" w:cstheme="majorBidi"/>
            <w:sz w:val="32"/>
            <w:szCs w:val="32"/>
          </w:rPr>
          <w:t xml:space="preserve"> for</w:t>
        </w:r>
        <w:r w:rsidR="002F5E08">
          <w:rPr>
            <w:rFonts w:asciiTheme="majorHAnsi" w:eastAsiaTheme="majorEastAsia" w:hAnsiTheme="majorHAnsi" w:cstheme="majorBidi"/>
            <w:sz w:val="32"/>
            <w:szCs w:val="32"/>
          </w:rPr>
          <w:t xml:space="preserve"> CA Final,</w:t>
        </w:r>
        <w:r w:rsidRPr="0006431F">
          <w:rPr>
            <w:rFonts w:asciiTheme="majorHAnsi" w:eastAsiaTheme="majorEastAsia" w:hAnsiTheme="majorHAnsi" w:cstheme="majorBidi"/>
            <w:sz w:val="32"/>
            <w:szCs w:val="32"/>
          </w:rPr>
          <w:t xml:space="preserve"> Nov 2012 exams </w:t>
        </w:r>
        <w:r w:rsidR="002F5E08">
          <w:rPr>
            <w:rFonts w:asciiTheme="majorHAnsi" w:eastAsiaTheme="majorEastAsia" w:hAnsiTheme="majorHAnsi" w:cstheme="majorBidi"/>
            <w:sz w:val="32"/>
            <w:szCs w:val="32"/>
          </w:rPr>
          <w:t xml:space="preserve">  </w:t>
        </w:r>
        <w:r w:rsidRPr="0006431F">
          <w:rPr>
            <w:rFonts w:asciiTheme="majorHAnsi" w:eastAsiaTheme="majorEastAsia" w:hAnsiTheme="majorHAnsi" w:cstheme="majorBidi"/>
            <w:sz w:val="32"/>
            <w:szCs w:val="32"/>
          </w:rPr>
          <w:t>issued by ICAI</w:t>
        </w:r>
      </w:p>
    </w:sdtContent>
  </w:sdt>
  <w:p w:rsidR="00AD7ED7" w:rsidRDefault="00AD7ED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335713"/>
    <w:rsid w:val="00045106"/>
    <w:rsid w:val="0006431F"/>
    <w:rsid w:val="00105C35"/>
    <w:rsid w:val="001405FD"/>
    <w:rsid w:val="001610B2"/>
    <w:rsid w:val="00172F6F"/>
    <w:rsid w:val="001D3466"/>
    <w:rsid w:val="001F278F"/>
    <w:rsid w:val="001F754E"/>
    <w:rsid w:val="00203282"/>
    <w:rsid w:val="00244DDE"/>
    <w:rsid w:val="0027743E"/>
    <w:rsid w:val="002808F4"/>
    <w:rsid w:val="002A06FA"/>
    <w:rsid w:val="002B7D3B"/>
    <w:rsid w:val="002C2EA1"/>
    <w:rsid w:val="002E6A1F"/>
    <w:rsid w:val="002F3732"/>
    <w:rsid w:val="002F5E08"/>
    <w:rsid w:val="00315933"/>
    <w:rsid w:val="00335713"/>
    <w:rsid w:val="00390A3D"/>
    <w:rsid w:val="003A6768"/>
    <w:rsid w:val="003B6FDB"/>
    <w:rsid w:val="003D0866"/>
    <w:rsid w:val="0040514B"/>
    <w:rsid w:val="00422478"/>
    <w:rsid w:val="00441A56"/>
    <w:rsid w:val="004570EC"/>
    <w:rsid w:val="00476A95"/>
    <w:rsid w:val="00494CE3"/>
    <w:rsid w:val="004C4B3F"/>
    <w:rsid w:val="004D23C5"/>
    <w:rsid w:val="004F5204"/>
    <w:rsid w:val="0050773B"/>
    <w:rsid w:val="005A5F60"/>
    <w:rsid w:val="005A7E8E"/>
    <w:rsid w:val="005B60A4"/>
    <w:rsid w:val="005E190C"/>
    <w:rsid w:val="005E3969"/>
    <w:rsid w:val="006053E3"/>
    <w:rsid w:val="00682190"/>
    <w:rsid w:val="006B6054"/>
    <w:rsid w:val="006F4A5C"/>
    <w:rsid w:val="00704B93"/>
    <w:rsid w:val="007325CD"/>
    <w:rsid w:val="007459C6"/>
    <w:rsid w:val="0075615E"/>
    <w:rsid w:val="00774C76"/>
    <w:rsid w:val="007B31D3"/>
    <w:rsid w:val="00805A21"/>
    <w:rsid w:val="00823366"/>
    <w:rsid w:val="00835D41"/>
    <w:rsid w:val="00836A3C"/>
    <w:rsid w:val="0085661B"/>
    <w:rsid w:val="008B3E50"/>
    <w:rsid w:val="008E3D55"/>
    <w:rsid w:val="00992865"/>
    <w:rsid w:val="00994D43"/>
    <w:rsid w:val="00A055AD"/>
    <w:rsid w:val="00A126F3"/>
    <w:rsid w:val="00A866CB"/>
    <w:rsid w:val="00AC521A"/>
    <w:rsid w:val="00AD7ED7"/>
    <w:rsid w:val="00AE2E08"/>
    <w:rsid w:val="00B56EA3"/>
    <w:rsid w:val="00BC140B"/>
    <w:rsid w:val="00BC26E0"/>
    <w:rsid w:val="00BC4D00"/>
    <w:rsid w:val="00BD49B0"/>
    <w:rsid w:val="00BF0D68"/>
    <w:rsid w:val="00C379D6"/>
    <w:rsid w:val="00CB3ACD"/>
    <w:rsid w:val="00CC04C9"/>
    <w:rsid w:val="00CD1C78"/>
    <w:rsid w:val="00D601AC"/>
    <w:rsid w:val="00DE37A9"/>
    <w:rsid w:val="00DE6B90"/>
    <w:rsid w:val="00E02A58"/>
    <w:rsid w:val="00E54B4D"/>
    <w:rsid w:val="00E66E2D"/>
    <w:rsid w:val="00F10500"/>
    <w:rsid w:val="00F1100A"/>
    <w:rsid w:val="00F9547A"/>
    <w:rsid w:val="00FA1F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9D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35713"/>
    <w:pPr>
      <w:autoSpaceDE w:val="0"/>
      <w:autoSpaceDN w:val="0"/>
      <w:adjustRightInd w:val="0"/>
      <w:spacing w:after="0" w:line="240" w:lineRule="auto"/>
    </w:pPr>
    <w:rPr>
      <w:rFonts w:ascii="Arial Narrow" w:hAnsi="Arial Narrow" w:cs="Arial Narrow"/>
      <w:color w:val="000000"/>
      <w:sz w:val="24"/>
      <w:szCs w:val="24"/>
    </w:rPr>
  </w:style>
  <w:style w:type="paragraph" w:styleId="Header">
    <w:name w:val="header"/>
    <w:basedOn w:val="Normal"/>
    <w:link w:val="HeaderChar"/>
    <w:uiPriority w:val="99"/>
    <w:unhideWhenUsed/>
    <w:rsid w:val="00AD7E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7ED7"/>
  </w:style>
  <w:style w:type="paragraph" w:styleId="Footer">
    <w:name w:val="footer"/>
    <w:basedOn w:val="Normal"/>
    <w:link w:val="FooterChar"/>
    <w:uiPriority w:val="99"/>
    <w:unhideWhenUsed/>
    <w:rsid w:val="00AD7E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7ED7"/>
  </w:style>
  <w:style w:type="paragraph" w:styleId="BalloonText">
    <w:name w:val="Balloon Text"/>
    <w:basedOn w:val="Normal"/>
    <w:link w:val="BalloonTextChar"/>
    <w:uiPriority w:val="99"/>
    <w:semiHidden/>
    <w:unhideWhenUsed/>
    <w:rsid w:val="00AD7E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7E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6666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64732440C6A487DB9F80F2F1BBA7C89"/>
        <w:category>
          <w:name w:val="General"/>
          <w:gallery w:val="placeholder"/>
        </w:category>
        <w:types>
          <w:type w:val="bbPlcHdr"/>
        </w:types>
        <w:behaviors>
          <w:behavior w:val="content"/>
        </w:behaviors>
        <w:guid w:val="{079C4FCC-A3C9-40C5-B575-C7982E09097E}"/>
      </w:docPartPr>
      <w:docPartBody>
        <w:p w:rsidR="006248D1" w:rsidRDefault="00A46830" w:rsidP="00A46830">
          <w:pPr>
            <w:pStyle w:val="F64732440C6A487DB9F80F2F1BBA7C8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B423E"/>
    <w:rsid w:val="0017360F"/>
    <w:rsid w:val="001B423E"/>
    <w:rsid w:val="006248D1"/>
    <w:rsid w:val="00752BD6"/>
    <w:rsid w:val="00A468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6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47F2143CC4A453990B8841823A3B02B">
    <w:name w:val="547F2143CC4A453990B8841823A3B02B"/>
    <w:rsid w:val="001B423E"/>
  </w:style>
  <w:style w:type="paragraph" w:customStyle="1" w:styleId="8B8B9031A21A4D1B8452FF20AD4925BA">
    <w:name w:val="8B8B9031A21A4D1B8452FF20AD4925BA"/>
    <w:rsid w:val="001B423E"/>
  </w:style>
  <w:style w:type="paragraph" w:customStyle="1" w:styleId="58D2141C78CE4243BA639A5F2421E3CD">
    <w:name w:val="58D2141C78CE4243BA639A5F2421E3CD"/>
    <w:rsid w:val="001B423E"/>
  </w:style>
  <w:style w:type="paragraph" w:customStyle="1" w:styleId="F64732440C6A487DB9F80F2F1BBA7C89">
    <w:name w:val="F64732440C6A487DB9F80F2F1BBA7C89"/>
    <w:rsid w:val="00A4683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804</TotalTime>
  <Pages>1</Pages>
  <Words>9687</Words>
  <Characters>55221</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Imp Case Laws of DT for CA Final, Nov 2012 exams   issued by ICAI</dc:title>
  <dc:subject/>
  <dc:creator>nema</dc:creator>
  <cp:keywords/>
  <dc:description/>
  <cp:lastModifiedBy>my pc</cp:lastModifiedBy>
  <cp:revision>27</cp:revision>
  <dcterms:created xsi:type="dcterms:W3CDTF">2012-10-16T13:51:00Z</dcterms:created>
  <dcterms:modified xsi:type="dcterms:W3CDTF">2012-10-24T13:21:00Z</dcterms:modified>
</cp:coreProperties>
</file>