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Mar>
          <w:top w:w="60" w:type="dxa"/>
          <w:left w:w="60" w:type="dxa"/>
          <w:bottom w:w="60" w:type="dxa"/>
          <w:right w:w="60" w:type="dxa"/>
        </w:tblCellMar>
        <w:tblLook w:val="04A0"/>
      </w:tblPr>
      <w:tblGrid>
        <w:gridCol w:w="9480"/>
      </w:tblGrid>
      <w:tr w:rsidR="002D0315" w:rsidRPr="002D0315">
        <w:tc>
          <w:tcPr>
            <w:tcW w:w="0" w:type="auto"/>
            <w:tcBorders>
              <w:top w:val="nil"/>
              <w:left w:val="nil"/>
              <w:bottom w:val="nil"/>
              <w:right w:val="nil"/>
            </w:tcBorders>
            <w:shd w:val="clear" w:color="auto" w:fill="008080"/>
            <w:vAlign w:val="center"/>
            <w:hideMark/>
          </w:tcPr>
          <w:p w:rsidR="002D0315" w:rsidRPr="002D0315" w:rsidRDefault="002D0315" w:rsidP="002D0315">
            <w:pPr>
              <w:spacing w:before="100" w:beforeAutospacing="1" w:after="100" w:afterAutospacing="1" w:line="240" w:lineRule="auto"/>
              <w:jc w:val="center"/>
              <w:rPr>
                <w:rFonts w:ascii="Times New Roman" w:eastAsia="Times New Roman" w:hAnsi="Times New Roman" w:cs="Times New Roman"/>
                <w:sz w:val="24"/>
                <w:szCs w:val="24"/>
              </w:rPr>
            </w:pPr>
          </w:p>
        </w:tc>
      </w:tr>
      <w:tr w:rsidR="002D0315" w:rsidRPr="002D0315">
        <w:tc>
          <w:tcPr>
            <w:tcW w:w="0" w:type="auto"/>
            <w:tcBorders>
              <w:top w:val="nil"/>
              <w:left w:val="nil"/>
              <w:bottom w:val="nil"/>
              <w:right w:val="nil"/>
            </w:tcBorders>
            <w:shd w:val="clear" w:color="auto" w:fill="B5E6E8"/>
            <w:vAlign w:val="center"/>
            <w:hideMark/>
          </w:tcPr>
          <w:p w:rsidR="002D0315" w:rsidRPr="002D0315" w:rsidRDefault="002D0315" w:rsidP="002D0315">
            <w:pPr>
              <w:spacing w:before="100" w:beforeAutospacing="1" w:after="100" w:afterAutospacing="1" w:line="240" w:lineRule="auto"/>
              <w:jc w:val="center"/>
              <w:rPr>
                <w:rFonts w:ascii="Candara" w:eastAsia="Times New Roman" w:hAnsi="Candara" w:cs="Times New Roman"/>
                <w:b/>
                <w:bCs/>
              </w:rPr>
            </w:pPr>
            <w:r w:rsidRPr="002D0315">
              <w:rPr>
                <w:rFonts w:ascii="Verdana" w:eastAsia="Times New Roman" w:hAnsi="Verdana" w:cs="Times New Roman"/>
                <w:b/>
                <w:bCs/>
              </w:rPr>
              <w:t>Questions &amp; Answers</w:t>
            </w:r>
          </w:p>
          <w:p w:rsidR="002D0315" w:rsidRPr="002D0315" w:rsidRDefault="002D0315" w:rsidP="002D0315">
            <w:pPr>
              <w:spacing w:before="100" w:beforeAutospacing="1" w:after="100" w:afterAutospacing="1" w:line="240" w:lineRule="auto"/>
              <w:jc w:val="center"/>
              <w:rPr>
                <w:rFonts w:ascii="Times New Roman" w:eastAsia="Times New Roman" w:hAnsi="Times New Roman" w:cs="Times New Roman"/>
                <w:sz w:val="24"/>
                <w:szCs w:val="24"/>
              </w:rPr>
            </w:pPr>
            <w:r w:rsidRPr="002D0315">
              <w:rPr>
                <w:rFonts w:ascii="Verdana" w:eastAsia="Times New Roman" w:hAnsi="Verdana" w:cs="Times New Roman"/>
                <w:b/>
                <w:bCs/>
              </w:rPr>
              <w:t>Direct Taxes</w:t>
            </w:r>
          </w:p>
        </w:tc>
      </w:tr>
    </w:tbl>
    <w:p w:rsidR="002D0315" w:rsidRPr="002D0315" w:rsidRDefault="002D0315" w:rsidP="002D0315">
      <w:pPr>
        <w:spacing w:before="75" w:after="100" w:afterAutospacing="1" w:line="240" w:lineRule="auto"/>
        <w:rPr>
          <w:rFonts w:ascii="Candara" w:eastAsia="Times New Roman" w:hAnsi="Candara" w:cs="Times New Roman"/>
          <w:b/>
          <w:bCs/>
          <w:i/>
          <w:iCs/>
          <w:sz w:val="24"/>
          <w:szCs w:val="24"/>
        </w:rPr>
      </w:pPr>
      <w:r w:rsidRPr="002D0315">
        <w:rPr>
          <w:rFonts w:ascii="Verdana" w:eastAsia="Times New Roman" w:hAnsi="Verdana" w:cs="Times New Roman"/>
          <w:b/>
          <w:bCs/>
          <w:i/>
          <w:iCs/>
          <w:sz w:val="20"/>
          <w:szCs w:val="20"/>
        </w:rPr>
        <w:t>Q.1 Sec 115JB – MAT Provisions Capital Gains</w:t>
      </w:r>
      <w:proofErr w:type="gramStart"/>
      <w:r w:rsidRPr="002D0315">
        <w:rPr>
          <w:rFonts w:ascii="Verdana" w:eastAsia="Times New Roman" w:hAnsi="Verdana" w:cs="Times New Roman"/>
          <w:b/>
          <w:bCs/>
          <w:i/>
          <w:iCs/>
          <w:sz w:val="20"/>
          <w:szCs w:val="20"/>
        </w:rPr>
        <w:t>:–</w:t>
      </w:r>
      <w:proofErr w:type="gramEnd"/>
      <w:r w:rsidRPr="002D0315">
        <w:rPr>
          <w:rFonts w:ascii="Verdana" w:eastAsia="Times New Roman" w:hAnsi="Verdana" w:cs="Times New Roman"/>
          <w:b/>
          <w:bCs/>
          <w:i/>
          <w:iCs/>
          <w:sz w:val="20"/>
          <w:szCs w:val="20"/>
        </w:rPr>
        <w:t xml:space="preserve"> Whether capital gains earned by a company are to be subjected to book profits tax under Sec 115JB of the Income-tax Act, 1961 even when the benefit of reinvestment under Sec.54E is availed by the company ? Whether the same would be exempt under Sec 115JB? Whether different accounting treatment of capital gains in the books of a company would make any difference in respect of liability under Sec 115JB?</w:t>
      </w:r>
    </w:p>
    <w:p w:rsidR="002D0315" w:rsidRPr="002D0315" w:rsidRDefault="002D0315" w:rsidP="002D0315">
      <w:pPr>
        <w:spacing w:before="100" w:beforeAutospacing="1" w:after="100" w:afterAutospacing="1" w:line="240" w:lineRule="auto"/>
        <w:rPr>
          <w:rFonts w:ascii="Verdana" w:eastAsia="Times New Roman" w:hAnsi="Verdana" w:cs="Times New Roman"/>
          <w:b/>
          <w:bCs/>
          <w:sz w:val="20"/>
          <w:szCs w:val="20"/>
        </w:rPr>
      </w:pPr>
      <w:proofErr w:type="gramStart"/>
      <w:r w:rsidRPr="002D0315">
        <w:rPr>
          <w:rFonts w:ascii="Verdana" w:eastAsia="Times New Roman" w:hAnsi="Verdana" w:cs="Times New Roman"/>
          <w:b/>
          <w:bCs/>
          <w:sz w:val="20"/>
          <w:szCs w:val="20"/>
        </w:rPr>
        <w:t>Ans. MAT Provisions.</w:t>
      </w:r>
      <w:proofErr w:type="gramEnd"/>
    </w:p>
    <w:p w:rsidR="002D0315" w:rsidRPr="002D0315" w:rsidRDefault="002D0315" w:rsidP="002D0315">
      <w:pPr>
        <w:spacing w:before="100" w:beforeAutospacing="1" w:after="100" w:afterAutospacing="1" w:line="240" w:lineRule="auto"/>
        <w:rPr>
          <w:rFonts w:ascii="Verdana" w:eastAsia="Times New Roman" w:hAnsi="Verdana" w:cs="Times New Roman"/>
          <w:sz w:val="20"/>
          <w:szCs w:val="20"/>
        </w:rPr>
      </w:pPr>
      <w:r w:rsidRPr="002D0315">
        <w:rPr>
          <w:rFonts w:ascii="Verdana" w:eastAsia="Times New Roman" w:hAnsi="Verdana" w:cs="Times New Roman"/>
          <w:sz w:val="20"/>
          <w:szCs w:val="20"/>
        </w:rPr>
        <w:t xml:space="preserve">The Income-tax Act is riddled with a plethora of tax incentives, deductions, allowances, re-investment options which have the effect of considerable, eroding the tax base. Since tax incentives are generally sticky in nature, their distortionary impact can be </w:t>
      </w:r>
      <w:proofErr w:type="gramStart"/>
      <w:r w:rsidRPr="002D0315">
        <w:rPr>
          <w:rFonts w:ascii="Verdana" w:eastAsia="Times New Roman" w:hAnsi="Verdana" w:cs="Times New Roman"/>
          <w:sz w:val="20"/>
          <w:szCs w:val="20"/>
        </w:rPr>
        <w:t>reduced/eliminated</w:t>
      </w:r>
      <w:proofErr w:type="gramEnd"/>
      <w:r w:rsidRPr="002D0315">
        <w:rPr>
          <w:rFonts w:ascii="Verdana" w:eastAsia="Times New Roman" w:hAnsi="Verdana" w:cs="Times New Roman"/>
          <w:sz w:val="20"/>
          <w:szCs w:val="20"/>
        </w:rPr>
        <w:t xml:space="preserve"> only by imposing a cap thereon. To require such companies to contribute for the people, </w:t>
      </w:r>
      <w:proofErr w:type="gramStart"/>
      <w:r w:rsidRPr="002D0315">
        <w:rPr>
          <w:rFonts w:ascii="Verdana" w:eastAsia="Times New Roman" w:hAnsi="Verdana" w:cs="Times New Roman"/>
          <w:sz w:val="20"/>
          <w:szCs w:val="20"/>
        </w:rPr>
        <w:t>which</w:t>
      </w:r>
      <w:proofErr w:type="gramEnd"/>
      <w:r w:rsidRPr="002D0315">
        <w:rPr>
          <w:rFonts w:ascii="Verdana" w:eastAsia="Times New Roman" w:hAnsi="Verdana" w:cs="Times New Roman"/>
          <w:sz w:val="20"/>
          <w:szCs w:val="20"/>
        </w:rPr>
        <w:t xml:space="preserve"> fall in the category of zero tax companies, the Minimum Alternate Tax has been designed to achieve this objective. Under the existing provisions of section 115JB of the Income-tax Act, a company is required to pay a minimum tax on its "book profits", if the income-tax payable on the total income, as computed under the Act was less than 15% of its book profit. Such book profit shall be deemed to be the total income and the tax payable on such total income shall be the amount of income tax at the rate of 15% with effect from 1.4.2010 and 18% from 1.4.2011. Book profit has been defined in Explanation 1 which means the net profit as shown in the profit and loss account prepared in accordance with the provisions of Parts II and III of Schedule VI to the Companies Act, 1956, as laid before the company at its annual general meeting in accordance with the provisions of sec.210 of the Companies Act, 1956. The said explanation specifies the items which are to be increased or reduced from such "book profit". On going through the said explanation, it is apparent that amount of capital gain in respect whereof benefit of reinvestment u/s. 54E is availed by the company, is not to be reduced from the "book profit". The accounting treatment of capital gains in the books of a company have to be in accord with the provisions of Schedule VI to the Companies Act and no other tinkering is possible. The Hon’ble Supreme Court in </w:t>
      </w:r>
      <w:r w:rsidRPr="002D0315">
        <w:rPr>
          <w:rFonts w:ascii="Verdana" w:eastAsia="Times New Roman" w:hAnsi="Verdana" w:cs="Times New Roman"/>
          <w:i/>
          <w:iCs/>
          <w:sz w:val="20"/>
          <w:szCs w:val="20"/>
        </w:rPr>
        <w:t>Apolo Tyres vs. CIT (202) 255 ITR 273</w:t>
      </w:r>
      <w:r w:rsidRPr="002D0315">
        <w:rPr>
          <w:rFonts w:ascii="Verdana" w:eastAsia="Times New Roman" w:hAnsi="Verdana" w:cs="Times New Roman"/>
          <w:sz w:val="20"/>
          <w:szCs w:val="20"/>
        </w:rPr>
        <w:t xml:space="preserve"> held that the Assessing Officer has no power to scrutinize the accounts except as provided in the Explanation, meaning thereby neither any additional item can be increased or reduced. Increase / reduction </w:t>
      </w:r>
      <w:proofErr w:type="gramStart"/>
      <w:r w:rsidRPr="002D0315">
        <w:rPr>
          <w:rFonts w:ascii="Verdana" w:eastAsia="Times New Roman" w:hAnsi="Verdana" w:cs="Times New Roman"/>
          <w:sz w:val="20"/>
          <w:szCs w:val="20"/>
        </w:rPr>
        <w:t>has</w:t>
      </w:r>
      <w:proofErr w:type="gramEnd"/>
      <w:r w:rsidRPr="002D0315">
        <w:rPr>
          <w:rFonts w:ascii="Verdana" w:eastAsia="Times New Roman" w:hAnsi="Verdana" w:cs="Times New Roman"/>
          <w:sz w:val="20"/>
          <w:szCs w:val="20"/>
        </w:rPr>
        <w:t xml:space="preserve"> to be in accord with the said explanation. </w:t>
      </w:r>
    </w:p>
    <w:p w:rsidR="002D0315" w:rsidRPr="002D0315" w:rsidRDefault="002D0315" w:rsidP="002D0315">
      <w:pPr>
        <w:spacing w:before="100" w:beforeAutospacing="1" w:after="100" w:afterAutospacing="1" w:line="240" w:lineRule="auto"/>
        <w:rPr>
          <w:rFonts w:ascii="Verdana" w:eastAsia="Times New Roman" w:hAnsi="Verdana" w:cs="Times New Roman"/>
          <w:sz w:val="20"/>
          <w:szCs w:val="20"/>
        </w:rPr>
      </w:pPr>
      <w:r w:rsidRPr="002D0315">
        <w:rPr>
          <w:rFonts w:ascii="Verdana" w:eastAsia="Times New Roman" w:hAnsi="Verdana" w:cs="Times New Roman"/>
          <w:sz w:val="20"/>
          <w:szCs w:val="20"/>
        </w:rPr>
        <w:t>Clause 2(b) and clause 3(xiib) of part II of Schedule II of the Companies Act, Accounting Standards and guidance Notes need to be analysed in depth on a case to case basis for the different accounting treatment, as contemplated in the question.</w:t>
      </w:r>
    </w:p>
    <w:p w:rsidR="002D0315" w:rsidRPr="002D0315" w:rsidRDefault="002D0315" w:rsidP="002D0315">
      <w:pPr>
        <w:spacing w:before="100" w:beforeAutospacing="1" w:after="100" w:afterAutospacing="1" w:line="240" w:lineRule="auto"/>
        <w:rPr>
          <w:rFonts w:ascii="Candara" w:eastAsia="Times New Roman" w:hAnsi="Candara" w:cs="Times New Roman"/>
          <w:b/>
          <w:bCs/>
          <w:i/>
          <w:iCs/>
          <w:sz w:val="24"/>
          <w:szCs w:val="24"/>
        </w:rPr>
      </w:pPr>
      <w:r w:rsidRPr="002D0315">
        <w:rPr>
          <w:rFonts w:ascii="Verdana" w:eastAsia="Times New Roman" w:hAnsi="Verdana" w:cs="Times New Roman"/>
          <w:b/>
          <w:bCs/>
          <w:i/>
          <w:iCs/>
          <w:sz w:val="20"/>
          <w:szCs w:val="20"/>
        </w:rPr>
        <w:t>Q.2 Additional Depreciation Sec 32 (i) (iia):– Whether an Assessee is eligible to claim additional depreciation only in respect of such plant and machinery directly engaged in manufactured or production of article or thing ? In other words whether investments in machinery which is not directly utilized for manufacturing activity but forms part of the overall plant of the Assessee, would be eligible for claim of additional depreciation or not ?</w:t>
      </w:r>
    </w:p>
    <w:p w:rsidR="002D0315" w:rsidRPr="002D0315" w:rsidRDefault="002D0315" w:rsidP="002D0315">
      <w:pPr>
        <w:spacing w:before="100" w:beforeAutospacing="1" w:after="100" w:afterAutospacing="1" w:line="240" w:lineRule="auto"/>
        <w:rPr>
          <w:rFonts w:ascii="Verdana" w:eastAsia="Times New Roman" w:hAnsi="Verdana" w:cs="Times New Roman"/>
          <w:b/>
          <w:bCs/>
          <w:sz w:val="20"/>
          <w:szCs w:val="20"/>
        </w:rPr>
      </w:pPr>
      <w:proofErr w:type="gramStart"/>
      <w:r w:rsidRPr="002D0315">
        <w:rPr>
          <w:rFonts w:ascii="Verdana" w:eastAsia="Times New Roman" w:hAnsi="Verdana" w:cs="Times New Roman"/>
          <w:b/>
          <w:bCs/>
          <w:sz w:val="20"/>
          <w:szCs w:val="20"/>
        </w:rPr>
        <w:t>Ans. Additional depreciation.</w:t>
      </w:r>
      <w:proofErr w:type="gramEnd"/>
    </w:p>
    <w:p w:rsidR="002D0315" w:rsidRPr="002D0315" w:rsidRDefault="002D0315" w:rsidP="002D0315">
      <w:pPr>
        <w:spacing w:before="100" w:beforeAutospacing="1" w:after="100" w:afterAutospacing="1" w:line="240" w:lineRule="auto"/>
        <w:rPr>
          <w:rFonts w:ascii="Verdana" w:eastAsia="Times New Roman" w:hAnsi="Verdana" w:cs="Times New Roman"/>
          <w:sz w:val="20"/>
          <w:szCs w:val="20"/>
        </w:rPr>
      </w:pPr>
      <w:r w:rsidRPr="002D0315">
        <w:rPr>
          <w:rFonts w:ascii="Verdana" w:eastAsia="Times New Roman" w:hAnsi="Verdana" w:cs="Times New Roman"/>
          <w:sz w:val="20"/>
          <w:szCs w:val="20"/>
        </w:rPr>
        <w:lastRenderedPageBreak/>
        <w:t>Additional depreciation u/s.32(1)(iia) is admissible from 1.4.2006 in the case of any new machinery or plant which has been acquired and installed after the 31st day of March, 2005 by an assessee engaged in the business of manufacture or production of any article or thing. It nowhere requires that for eligibility, such new plant and machinery should be directly engaged in manufacture or production of article or thing. No such explicit condition having been put, it can be opined that the querist would be eligible for claim of additional deprecation if he is engaged in the business of manufacture or production and has acquired and installed a new machinery or plant after 31.3.2005.</w:t>
      </w:r>
    </w:p>
    <w:p w:rsidR="002D0315" w:rsidRPr="002D0315" w:rsidRDefault="002D0315" w:rsidP="002D0315">
      <w:pPr>
        <w:spacing w:before="100" w:beforeAutospacing="1" w:after="100" w:afterAutospacing="1" w:line="240" w:lineRule="auto"/>
        <w:rPr>
          <w:rFonts w:ascii="Candara" w:eastAsia="Times New Roman" w:hAnsi="Candara" w:cs="Times New Roman"/>
          <w:b/>
          <w:bCs/>
          <w:i/>
          <w:iCs/>
          <w:sz w:val="24"/>
          <w:szCs w:val="24"/>
        </w:rPr>
      </w:pPr>
      <w:r w:rsidRPr="002D0315">
        <w:rPr>
          <w:rFonts w:ascii="Verdana" w:eastAsia="Times New Roman" w:hAnsi="Verdana" w:cs="Times New Roman"/>
          <w:b/>
          <w:bCs/>
          <w:i/>
          <w:iCs/>
          <w:sz w:val="20"/>
          <w:szCs w:val="20"/>
        </w:rPr>
        <w:t>Q.3 Warranty Charges</w:t>
      </w:r>
      <w:proofErr w:type="gramStart"/>
      <w:r w:rsidRPr="002D0315">
        <w:rPr>
          <w:rFonts w:ascii="Verdana" w:eastAsia="Times New Roman" w:hAnsi="Verdana" w:cs="Times New Roman"/>
          <w:b/>
          <w:bCs/>
          <w:i/>
          <w:iCs/>
          <w:sz w:val="20"/>
          <w:szCs w:val="20"/>
        </w:rPr>
        <w:t>:–</w:t>
      </w:r>
      <w:proofErr w:type="gramEnd"/>
      <w:r w:rsidRPr="002D0315">
        <w:rPr>
          <w:rFonts w:ascii="Verdana" w:eastAsia="Times New Roman" w:hAnsi="Verdana" w:cs="Times New Roman"/>
          <w:b/>
          <w:bCs/>
          <w:i/>
          <w:iCs/>
          <w:sz w:val="20"/>
          <w:szCs w:val="20"/>
        </w:rPr>
        <w:t xml:space="preserve"> Whether provision for warranty against the products sold by an Assessee in business on a reasonable basis would qualify for deduction? Is it a contingent liability or an ascertained liability? In the absence of precise quantification of the said liability what is the present legal position as to its allowability as an expenditure in the hands of the Assessee?</w:t>
      </w:r>
    </w:p>
    <w:p w:rsidR="002D0315" w:rsidRPr="002D0315" w:rsidRDefault="002D0315" w:rsidP="002D0315">
      <w:pPr>
        <w:spacing w:before="100" w:beforeAutospacing="1" w:after="100" w:afterAutospacing="1" w:line="240" w:lineRule="auto"/>
        <w:rPr>
          <w:rFonts w:ascii="Verdana" w:eastAsia="Times New Roman" w:hAnsi="Verdana" w:cs="Times New Roman"/>
          <w:b/>
          <w:bCs/>
          <w:sz w:val="20"/>
          <w:szCs w:val="20"/>
        </w:rPr>
      </w:pPr>
      <w:r w:rsidRPr="002D0315">
        <w:rPr>
          <w:rFonts w:ascii="Verdana" w:eastAsia="Times New Roman" w:hAnsi="Verdana" w:cs="Times New Roman"/>
          <w:b/>
          <w:bCs/>
          <w:sz w:val="20"/>
          <w:szCs w:val="20"/>
        </w:rPr>
        <w:t xml:space="preserve">Ans. Warranty </w:t>
      </w:r>
      <w:proofErr w:type="gramStart"/>
      <w:r w:rsidRPr="002D0315">
        <w:rPr>
          <w:rFonts w:ascii="Verdana" w:eastAsia="Times New Roman" w:hAnsi="Verdana" w:cs="Times New Roman"/>
          <w:b/>
          <w:bCs/>
          <w:sz w:val="20"/>
          <w:szCs w:val="20"/>
        </w:rPr>
        <w:t>Charges :</w:t>
      </w:r>
      <w:proofErr w:type="gramEnd"/>
    </w:p>
    <w:p w:rsidR="002D0315" w:rsidRPr="002D0315" w:rsidRDefault="002D0315" w:rsidP="002D0315">
      <w:pPr>
        <w:spacing w:before="100" w:beforeAutospacing="1" w:after="100" w:afterAutospacing="1" w:line="240" w:lineRule="auto"/>
        <w:rPr>
          <w:rFonts w:ascii="Verdana" w:eastAsia="Times New Roman" w:hAnsi="Verdana" w:cs="Times New Roman"/>
          <w:sz w:val="20"/>
          <w:szCs w:val="20"/>
        </w:rPr>
      </w:pPr>
      <w:r w:rsidRPr="002D0315">
        <w:rPr>
          <w:rFonts w:ascii="Verdana" w:eastAsia="Times New Roman" w:hAnsi="Verdana" w:cs="Times New Roman"/>
          <w:sz w:val="20"/>
          <w:szCs w:val="20"/>
        </w:rPr>
        <w:t xml:space="preserve">While selling any product it is part of sale system to issue a warranty in order to inspire confidence. The warranty becomes an integral part of the sale price. In other words the warranty expense stood considered while working of sale price of the product. Hence, the querist is entitled to deduction u/s.37 of the I.T. Act in respect of the present value of such liability for warranty expense. The liability should be properly ascertained and discounted on actuarial basis. The estimate should be just fair, reasonable and real. It would depend on the nature of the business, the nature of sales, the nature of the product manufactured and sold and the scientific method of accounting adopted by the assessee. It would also depend upon the historical trend and upon the number of articles produced. The Hon’ble Supreme Court in </w:t>
      </w:r>
      <w:r w:rsidRPr="002D0315">
        <w:rPr>
          <w:rFonts w:ascii="Verdana" w:eastAsia="Times New Roman" w:hAnsi="Verdana" w:cs="Times New Roman"/>
          <w:i/>
          <w:iCs/>
          <w:sz w:val="20"/>
          <w:szCs w:val="20"/>
        </w:rPr>
        <w:t>Rotork Controls India P. Ltd. vs. CIT (2009) 314 ITR 62</w:t>
      </w:r>
      <w:r w:rsidRPr="002D0315">
        <w:rPr>
          <w:rFonts w:ascii="Verdana" w:eastAsia="Times New Roman" w:hAnsi="Verdana" w:cs="Times New Roman"/>
          <w:sz w:val="20"/>
          <w:szCs w:val="20"/>
        </w:rPr>
        <w:t xml:space="preserve"> allowed the deduction for such liability after relying on </w:t>
      </w:r>
      <w:r w:rsidRPr="002D0315">
        <w:rPr>
          <w:rFonts w:ascii="Verdana" w:eastAsia="Times New Roman" w:hAnsi="Verdana" w:cs="Times New Roman"/>
          <w:i/>
          <w:iCs/>
          <w:sz w:val="20"/>
          <w:szCs w:val="20"/>
        </w:rPr>
        <w:t xml:space="preserve">Metal Box Company of India Ltd. vs. Their Workmen (1969) 73 ITR 53(SC) </w:t>
      </w:r>
      <w:r w:rsidRPr="002D0315">
        <w:rPr>
          <w:rFonts w:ascii="Verdana" w:eastAsia="Times New Roman" w:hAnsi="Verdana" w:cs="Times New Roman"/>
          <w:sz w:val="20"/>
          <w:szCs w:val="20"/>
        </w:rPr>
        <w:t xml:space="preserve">and </w:t>
      </w:r>
      <w:r w:rsidRPr="002D0315">
        <w:rPr>
          <w:rFonts w:ascii="Verdana" w:eastAsia="Times New Roman" w:hAnsi="Verdana" w:cs="Times New Roman"/>
          <w:i/>
          <w:iCs/>
          <w:sz w:val="20"/>
          <w:szCs w:val="20"/>
        </w:rPr>
        <w:t xml:space="preserve">Bhart Earth Movers vs. CIT (2000)245 ITR 428 (SC). </w:t>
      </w:r>
      <w:r w:rsidRPr="002D0315">
        <w:rPr>
          <w:rFonts w:ascii="Verdana" w:eastAsia="Times New Roman" w:hAnsi="Verdana" w:cs="Times New Roman"/>
          <w:sz w:val="20"/>
          <w:szCs w:val="20"/>
        </w:rPr>
        <w:t>It shall be an ascertained liability and not a contingent liability.</w:t>
      </w:r>
    </w:p>
    <w:p w:rsidR="002D0315" w:rsidRPr="002D0315" w:rsidRDefault="002D0315" w:rsidP="002D0315">
      <w:pPr>
        <w:spacing w:before="100" w:beforeAutospacing="1" w:after="100" w:afterAutospacing="1" w:line="240" w:lineRule="auto"/>
        <w:rPr>
          <w:rFonts w:ascii="Candara" w:eastAsia="Times New Roman" w:hAnsi="Candara" w:cs="Times New Roman"/>
          <w:b/>
          <w:bCs/>
          <w:i/>
          <w:iCs/>
          <w:sz w:val="24"/>
          <w:szCs w:val="24"/>
        </w:rPr>
      </w:pPr>
      <w:r w:rsidRPr="002D0315">
        <w:rPr>
          <w:rFonts w:ascii="Verdana" w:eastAsia="Times New Roman" w:hAnsi="Verdana" w:cs="Times New Roman"/>
          <w:b/>
          <w:bCs/>
          <w:i/>
          <w:iCs/>
          <w:sz w:val="20"/>
          <w:szCs w:val="20"/>
        </w:rPr>
        <w:t xml:space="preserve">Q.4 Depreciation Unused </w:t>
      </w:r>
      <w:proofErr w:type="gramStart"/>
      <w:r w:rsidRPr="002D0315">
        <w:rPr>
          <w:rFonts w:ascii="Verdana" w:eastAsia="Times New Roman" w:hAnsi="Verdana" w:cs="Times New Roman"/>
          <w:b/>
          <w:bCs/>
          <w:i/>
          <w:iCs/>
          <w:sz w:val="20"/>
          <w:szCs w:val="20"/>
        </w:rPr>
        <w:t>Assets :-</w:t>
      </w:r>
      <w:proofErr w:type="gramEnd"/>
      <w:r w:rsidRPr="002D0315">
        <w:rPr>
          <w:rFonts w:ascii="Verdana" w:eastAsia="Times New Roman" w:hAnsi="Verdana" w:cs="Times New Roman"/>
          <w:b/>
          <w:bCs/>
          <w:i/>
          <w:iCs/>
          <w:sz w:val="20"/>
          <w:szCs w:val="20"/>
        </w:rPr>
        <w:t xml:space="preserve"> In the block of assets system whether each asset is to be actively used for claim of depreciation? In other words once an asset enters a block it loses separate identity, hence is it incumbent on the Assessee to demonstrate active user of each asset against which depreciation is being claimed</w:t>
      </w:r>
    </w:p>
    <w:p w:rsidR="002D0315" w:rsidRPr="002D0315" w:rsidRDefault="002D0315" w:rsidP="002D0315">
      <w:pPr>
        <w:spacing w:before="100" w:beforeAutospacing="1" w:after="100" w:afterAutospacing="1" w:line="240" w:lineRule="auto"/>
        <w:rPr>
          <w:rFonts w:ascii="Verdana" w:eastAsia="Times New Roman" w:hAnsi="Verdana" w:cs="Times New Roman"/>
          <w:b/>
          <w:bCs/>
          <w:sz w:val="20"/>
          <w:szCs w:val="20"/>
        </w:rPr>
      </w:pPr>
      <w:r w:rsidRPr="002D0315">
        <w:rPr>
          <w:rFonts w:ascii="Verdana" w:eastAsia="Times New Roman" w:hAnsi="Verdana" w:cs="Times New Roman"/>
          <w:b/>
          <w:bCs/>
          <w:sz w:val="20"/>
          <w:szCs w:val="20"/>
        </w:rPr>
        <w:t>Ans. Depreciation</w:t>
      </w:r>
    </w:p>
    <w:p w:rsidR="002D0315" w:rsidRPr="002D0315" w:rsidRDefault="002D0315" w:rsidP="002D0315">
      <w:pPr>
        <w:spacing w:before="100" w:beforeAutospacing="1" w:after="100" w:afterAutospacing="1" w:line="240" w:lineRule="auto"/>
        <w:rPr>
          <w:rFonts w:ascii="Candara" w:eastAsia="Times New Roman" w:hAnsi="Candara" w:cs="Times New Roman"/>
          <w:sz w:val="24"/>
          <w:szCs w:val="24"/>
        </w:rPr>
      </w:pPr>
      <w:proofErr w:type="gramStart"/>
      <w:r w:rsidRPr="002D0315">
        <w:rPr>
          <w:rFonts w:ascii="Verdana" w:eastAsia="Times New Roman" w:hAnsi="Verdana" w:cs="Times New Roman"/>
          <w:sz w:val="20"/>
          <w:szCs w:val="20"/>
        </w:rPr>
        <w:t>The term ‘block of assets’ has been defined in sec.2 (11) of the Act.</w:t>
      </w:r>
      <w:proofErr w:type="gramEnd"/>
      <w:r w:rsidRPr="002D0315">
        <w:rPr>
          <w:rFonts w:ascii="Verdana" w:eastAsia="Times New Roman" w:hAnsi="Verdana" w:cs="Times New Roman"/>
          <w:sz w:val="20"/>
          <w:szCs w:val="20"/>
        </w:rPr>
        <w:t xml:space="preserve"> The "block of assets" means (i) a group of assets; (ii) which falls within a class of assets, being building, machinery, plant or furniture, (iii) in respect of which the same percentage of depreciation is prescribed. </w:t>
      </w:r>
      <w:proofErr w:type="gramStart"/>
      <w:r w:rsidRPr="002D0315">
        <w:rPr>
          <w:rFonts w:ascii="Verdana" w:eastAsia="Times New Roman" w:hAnsi="Verdana" w:cs="Times New Roman"/>
          <w:sz w:val="20"/>
          <w:szCs w:val="20"/>
        </w:rPr>
        <w:t>In section 2(11) there is neither any explicit nor implied condition that the asset should be used for the purpose of business during the year under consideration.</w:t>
      </w:r>
      <w:proofErr w:type="gramEnd"/>
      <w:r w:rsidRPr="002D0315">
        <w:rPr>
          <w:rFonts w:ascii="Verdana" w:eastAsia="Times New Roman" w:hAnsi="Verdana" w:cs="Times New Roman"/>
          <w:sz w:val="20"/>
          <w:szCs w:val="20"/>
        </w:rPr>
        <w:t xml:space="preserve"> The user of the asset is important for the purpose of actual allowability of the depreciation, but not for determining whether the asset falls within the block of assets or not as held in </w:t>
      </w:r>
      <w:r w:rsidRPr="002D0315">
        <w:rPr>
          <w:rFonts w:ascii="Verdana" w:eastAsia="Times New Roman" w:hAnsi="Verdana" w:cs="Times New Roman"/>
          <w:i/>
          <w:iCs/>
          <w:sz w:val="20"/>
          <w:szCs w:val="20"/>
        </w:rPr>
        <w:t>Chhabria Trust vs. AC IT (2003) 264 ITR page 13 (AT SB).</w:t>
      </w:r>
      <w:r w:rsidRPr="002D0315">
        <w:rPr>
          <w:rFonts w:ascii="Verdana" w:eastAsia="Times New Roman" w:hAnsi="Verdana" w:cs="Times New Roman"/>
          <w:sz w:val="20"/>
          <w:szCs w:val="20"/>
        </w:rPr>
        <w:t xml:space="preserve"> Depreciation is admissible on actual cost and </w:t>
      </w:r>
      <w:proofErr w:type="gramStart"/>
      <w:r w:rsidRPr="002D0315">
        <w:rPr>
          <w:rFonts w:ascii="Verdana" w:eastAsia="Times New Roman" w:hAnsi="Verdana" w:cs="Times New Roman"/>
          <w:sz w:val="20"/>
          <w:szCs w:val="20"/>
        </w:rPr>
        <w:t>its</w:t>
      </w:r>
      <w:proofErr w:type="gramEnd"/>
      <w:r w:rsidRPr="002D0315">
        <w:rPr>
          <w:rFonts w:ascii="Verdana" w:eastAsia="Times New Roman" w:hAnsi="Verdana" w:cs="Times New Roman"/>
          <w:sz w:val="20"/>
          <w:szCs w:val="20"/>
        </w:rPr>
        <w:t xml:space="preserve"> written down value. As per sec.43(6)(c) in the case of any block of assets, the aggregate of the written down values of all the assets falling within that block of assets at the beginning of the previous year and adjusted by the increase by the actual cost of any asset falling within that block, acquired during the previous year. Once an asset enters a block, it loses separate identity and, therefore, it is not incumbent on the assessee </w:t>
      </w:r>
      <w:r w:rsidRPr="002D0315">
        <w:rPr>
          <w:rFonts w:ascii="Verdana" w:eastAsia="Times New Roman" w:hAnsi="Verdana" w:cs="Times New Roman"/>
          <w:sz w:val="20"/>
          <w:szCs w:val="20"/>
        </w:rPr>
        <w:lastRenderedPageBreak/>
        <w:t xml:space="preserve">to demonstrate active user of each asset against which depreciation is being claimed as held in </w:t>
      </w:r>
      <w:r w:rsidRPr="002D0315">
        <w:rPr>
          <w:rFonts w:ascii="Verdana" w:eastAsia="Times New Roman" w:hAnsi="Verdana" w:cs="Times New Roman"/>
          <w:i/>
          <w:iCs/>
          <w:sz w:val="20"/>
          <w:szCs w:val="20"/>
        </w:rPr>
        <w:t>CIT vs. Sonal Gum Industries (2010) 322 ITR 542 (Guj.)</w:t>
      </w:r>
    </w:p>
    <w:p w:rsidR="002D0315" w:rsidRPr="002D0315" w:rsidRDefault="002D0315" w:rsidP="002D0315">
      <w:pPr>
        <w:spacing w:before="100" w:beforeAutospacing="1" w:after="100" w:afterAutospacing="1" w:line="240" w:lineRule="auto"/>
        <w:rPr>
          <w:rFonts w:ascii="Candara" w:eastAsia="Times New Roman" w:hAnsi="Candara" w:cs="Times New Roman"/>
          <w:b/>
          <w:bCs/>
          <w:i/>
          <w:iCs/>
          <w:sz w:val="24"/>
          <w:szCs w:val="24"/>
        </w:rPr>
      </w:pPr>
      <w:r w:rsidRPr="002D0315">
        <w:rPr>
          <w:rFonts w:ascii="Verdana" w:eastAsia="Times New Roman" w:hAnsi="Verdana" w:cs="Times New Roman"/>
          <w:b/>
          <w:bCs/>
          <w:i/>
          <w:iCs/>
          <w:sz w:val="20"/>
          <w:szCs w:val="20"/>
        </w:rPr>
        <w:t>Q.5 Manufacture</w:t>
      </w:r>
      <w:proofErr w:type="gramStart"/>
      <w:r w:rsidRPr="002D0315">
        <w:rPr>
          <w:rFonts w:ascii="Verdana" w:eastAsia="Times New Roman" w:hAnsi="Verdana" w:cs="Times New Roman"/>
          <w:b/>
          <w:bCs/>
          <w:i/>
          <w:iCs/>
          <w:sz w:val="20"/>
          <w:szCs w:val="20"/>
        </w:rPr>
        <w:t>:–</w:t>
      </w:r>
      <w:proofErr w:type="gramEnd"/>
      <w:r w:rsidRPr="002D0315">
        <w:rPr>
          <w:rFonts w:ascii="Verdana" w:eastAsia="Times New Roman" w:hAnsi="Verdana" w:cs="Times New Roman"/>
          <w:b/>
          <w:bCs/>
          <w:i/>
          <w:iCs/>
          <w:sz w:val="20"/>
          <w:szCs w:val="20"/>
        </w:rPr>
        <w:t xml:space="preserve"> Whether duplication of a computer software into a licensed product in the form of CDs would amount to manufacture for claiming tax holiday under the Income Tax Law Is there any new product that is emanating from such duplication so as to claim that the process is to be treated as a manufacturing activity? What is the core principle in deciding whether the process activity constitutes "manufacture"?</w:t>
      </w:r>
    </w:p>
    <w:p w:rsidR="002D0315" w:rsidRPr="002D0315" w:rsidRDefault="002D0315" w:rsidP="002D0315">
      <w:pPr>
        <w:spacing w:before="100" w:beforeAutospacing="1" w:after="100" w:afterAutospacing="1" w:line="240" w:lineRule="auto"/>
        <w:rPr>
          <w:rFonts w:ascii="Verdana" w:eastAsia="Times New Roman" w:hAnsi="Verdana" w:cs="Times New Roman"/>
          <w:b/>
          <w:bCs/>
          <w:sz w:val="20"/>
          <w:szCs w:val="20"/>
        </w:rPr>
      </w:pPr>
      <w:proofErr w:type="gramStart"/>
      <w:r w:rsidRPr="002D0315">
        <w:rPr>
          <w:rFonts w:ascii="Verdana" w:eastAsia="Times New Roman" w:hAnsi="Verdana" w:cs="Times New Roman"/>
          <w:b/>
          <w:bCs/>
          <w:sz w:val="20"/>
          <w:szCs w:val="20"/>
        </w:rPr>
        <w:t>Ans.</w:t>
      </w:r>
      <w:proofErr w:type="gramEnd"/>
      <w:r w:rsidRPr="002D0315">
        <w:rPr>
          <w:rFonts w:ascii="Verdana" w:eastAsia="Times New Roman" w:hAnsi="Verdana" w:cs="Times New Roman"/>
          <w:b/>
          <w:bCs/>
          <w:sz w:val="20"/>
          <w:szCs w:val="20"/>
        </w:rPr>
        <w:t xml:space="preserve"> A Manufacture:</w:t>
      </w:r>
    </w:p>
    <w:p w:rsidR="002D0315" w:rsidRPr="002D0315" w:rsidRDefault="002D0315" w:rsidP="002D0315">
      <w:pPr>
        <w:spacing w:before="100" w:beforeAutospacing="1" w:after="100" w:afterAutospacing="1" w:line="240" w:lineRule="auto"/>
        <w:rPr>
          <w:rFonts w:ascii="Verdana" w:eastAsia="Times New Roman" w:hAnsi="Verdana" w:cs="Times New Roman"/>
          <w:sz w:val="20"/>
          <w:szCs w:val="20"/>
        </w:rPr>
      </w:pPr>
      <w:r w:rsidRPr="002D0315">
        <w:rPr>
          <w:rFonts w:ascii="Verdana" w:eastAsia="Times New Roman" w:hAnsi="Verdana" w:cs="Times New Roman"/>
          <w:sz w:val="20"/>
          <w:szCs w:val="20"/>
        </w:rPr>
        <w:t xml:space="preserve">The expression ‘manufacture’ was not defined in the Income-tax Act, 1961 and different interpretation was arrived at by judicial precedents. </w:t>
      </w:r>
      <w:proofErr w:type="gramStart"/>
      <w:r w:rsidRPr="002D0315">
        <w:rPr>
          <w:rFonts w:ascii="Verdana" w:eastAsia="Times New Roman" w:hAnsi="Verdana" w:cs="Times New Roman"/>
          <w:sz w:val="20"/>
          <w:szCs w:val="20"/>
        </w:rPr>
        <w:t>To set at rest the controversy.</w:t>
      </w:r>
      <w:proofErr w:type="gramEnd"/>
      <w:r w:rsidRPr="002D0315">
        <w:rPr>
          <w:rFonts w:ascii="Verdana" w:eastAsia="Times New Roman" w:hAnsi="Verdana" w:cs="Times New Roman"/>
          <w:sz w:val="20"/>
          <w:szCs w:val="20"/>
        </w:rPr>
        <w:t xml:space="preserve"> </w:t>
      </w:r>
      <w:proofErr w:type="gramStart"/>
      <w:r w:rsidRPr="002D0315">
        <w:rPr>
          <w:rFonts w:ascii="Verdana" w:eastAsia="Times New Roman" w:hAnsi="Verdana" w:cs="Times New Roman"/>
          <w:sz w:val="20"/>
          <w:szCs w:val="20"/>
        </w:rPr>
        <w:t>Sec.2(</w:t>
      </w:r>
      <w:proofErr w:type="gramEnd"/>
      <w:r w:rsidRPr="002D0315">
        <w:rPr>
          <w:rFonts w:ascii="Verdana" w:eastAsia="Times New Roman" w:hAnsi="Verdana" w:cs="Times New Roman"/>
          <w:sz w:val="20"/>
          <w:szCs w:val="20"/>
        </w:rPr>
        <w:t xml:space="preserve">29BA) was inserted with effect from 1.4.2009. It defines ‘manufacture’ to mean a change in a non-living physical object or article or thing (a) resulting in transformation of the object or article or thing into a new and distinct object or article or thing having a different name, character and use; or (b) bringing into existence of a new object or article or thing with a different chemical composition or integral structure. Hence, what is required is that there should be transformation into a new and distinct object or article or thing having a different name, character and use or bringing into existence of a new and definite object or article or thing with a different chemical composition or integral structure. The Hon’ble Supreme Court in </w:t>
      </w:r>
      <w:r w:rsidRPr="002D0315">
        <w:rPr>
          <w:rFonts w:ascii="Verdana" w:eastAsia="Times New Roman" w:hAnsi="Verdana" w:cs="Times New Roman"/>
          <w:i/>
          <w:iCs/>
          <w:sz w:val="20"/>
          <w:szCs w:val="20"/>
        </w:rPr>
        <w:t>ITO vs. Arihant Tiles and Marbles P. Ltd. (2010) 320 ITR 79</w:t>
      </w:r>
      <w:r w:rsidRPr="002D0315">
        <w:rPr>
          <w:rFonts w:ascii="Verdana" w:eastAsia="Times New Roman" w:hAnsi="Verdana" w:cs="Times New Roman"/>
          <w:sz w:val="20"/>
          <w:szCs w:val="20"/>
        </w:rPr>
        <w:t xml:space="preserve"> held that when marble blocks are cut into slabs, undergo polishing and polished slabs and tiles are produced it amounts to emergence of a new and distinct commodity and activity constituted ‘manufacture or production. It applied </w:t>
      </w:r>
      <w:r w:rsidRPr="002D0315">
        <w:rPr>
          <w:rFonts w:ascii="Verdana" w:eastAsia="Times New Roman" w:hAnsi="Verdana" w:cs="Times New Roman"/>
          <w:i/>
          <w:iCs/>
          <w:sz w:val="20"/>
          <w:szCs w:val="20"/>
        </w:rPr>
        <w:t xml:space="preserve">CIT vs. Sesa Goa Ltd. (2004) 271 ITR 331 (SC) </w:t>
      </w:r>
      <w:r w:rsidRPr="002D0315">
        <w:rPr>
          <w:rFonts w:ascii="Verdana" w:eastAsia="Times New Roman" w:hAnsi="Verdana" w:cs="Times New Roman"/>
          <w:sz w:val="20"/>
          <w:szCs w:val="20"/>
        </w:rPr>
        <w:t xml:space="preserve">and </w:t>
      </w:r>
      <w:r w:rsidRPr="002D0315">
        <w:rPr>
          <w:rFonts w:ascii="Verdana" w:eastAsia="Times New Roman" w:hAnsi="Verdana" w:cs="Times New Roman"/>
          <w:i/>
          <w:iCs/>
          <w:sz w:val="20"/>
          <w:szCs w:val="20"/>
        </w:rPr>
        <w:t>CIT vs. N.C. Budharaja and Co. (1993) 204 ITR 412 (SC)</w:t>
      </w:r>
      <w:r w:rsidRPr="002D0315">
        <w:rPr>
          <w:rFonts w:ascii="Verdana" w:eastAsia="Times New Roman" w:hAnsi="Verdana" w:cs="Times New Roman"/>
          <w:sz w:val="20"/>
          <w:szCs w:val="20"/>
        </w:rPr>
        <w:t xml:space="preserve">. The Apex Court in </w:t>
      </w:r>
      <w:r w:rsidRPr="002D0315">
        <w:rPr>
          <w:rFonts w:ascii="Verdana" w:eastAsia="Times New Roman" w:hAnsi="Verdana" w:cs="Times New Roman"/>
          <w:i/>
          <w:iCs/>
          <w:sz w:val="20"/>
          <w:szCs w:val="20"/>
        </w:rPr>
        <w:t>CIT vs. Oracle Software India Ltd (2010) 320 ITR 546</w:t>
      </w:r>
      <w:r w:rsidRPr="002D0315">
        <w:rPr>
          <w:rFonts w:ascii="Verdana" w:eastAsia="Times New Roman" w:hAnsi="Verdana" w:cs="Times New Roman"/>
          <w:sz w:val="20"/>
          <w:szCs w:val="20"/>
        </w:rPr>
        <w:t xml:space="preserve"> held that blank CD was an input and by the duplicating process undertaken by the assessee, the recordable media which is unfit for any specific use got converted into the programme which is embedded in the master media and thus the blank CD got converted into recorded CD by such an intricate process. The duplicating process changed the basic character of a blank CD dedicating it to a specific use. It held that the marketed copies of the CD were goods and the process in which they became goods was covered by ‘manufacture or processing of goods’. The Apex Court again in </w:t>
      </w:r>
      <w:r w:rsidRPr="002D0315">
        <w:rPr>
          <w:rFonts w:ascii="Verdana" w:eastAsia="Times New Roman" w:hAnsi="Verdana" w:cs="Times New Roman"/>
          <w:i/>
          <w:iCs/>
          <w:sz w:val="20"/>
          <w:szCs w:val="20"/>
        </w:rPr>
        <w:t>CIT vs. Emptee Poly-Yarn P. Ltd. (2010) 320-ITR-665</w:t>
      </w:r>
      <w:r w:rsidRPr="002D0315">
        <w:rPr>
          <w:rFonts w:ascii="Verdana" w:eastAsia="Times New Roman" w:hAnsi="Verdana" w:cs="Times New Roman"/>
          <w:sz w:val="20"/>
          <w:szCs w:val="20"/>
        </w:rPr>
        <w:t xml:space="preserve"> held that the question whether there is any process which amounts to ‘manufacture’ has to be decided by examining the process undertaken by the assessee. It held that twisting and texturising partially oriented yarn amounts to manufacture. In the light of the binding precedents the querist has to analyze as to whether duplication of a computer software into a licensed product in the form of CDs is a new article or </w:t>
      </w:r>
      <w:proofErr w:type="gramStart"/>
      <w:r w:rsidRPr="002D0315">
        <w:rPr>
          <w:rFonts w:ascii="Verdana" w:eastAsia="Times New Roman" w:hAnsi="Verdana" w:cs="Times New Roman"/>
          <w:sz w:val="20"/>
          <w:szCs w:val="20"/>
        </w:rPr>
        <w:t>thing ?</w:t>
      </w:r>
      <w:proofErr w:type="gramEnd"/>
      <w:r w:rsidRPr="002D0315">
        <w:rPr>
          <w:rFonts w:ascii="Verdana" w:eastAsia="Times New Roman" w:hAnsi="Verdana" w:cs="Times New Roman"/>
          <w:sz w:val="20"/>
          <w:szCs w:val="20"/>
        </w:rPr>
        <w:t xml:space="preserve"> Unless and until complete processes are examined no definite opinion can be expressed at this stage.</w:t>
      </w:r>
    </w:p>
    <w:p w:rsidR="002D0315" w:rsidRPr="002D0315" w:rsidRDefault="002D0315" w:rsidP="002D0315">
      <w:pPr>
        <w:spacing w:before="100" w:beforeAutospacing="1" w:after="100" w:afterAutospacing="1" w:line="240" w:lineRule="auto"/>
        <w:rPr>
          <w:rFonts w:ascii="Verdana" w:eastAsia="Times New Roman" w:hAnsi="Verdana" w:cs="Times New Roman"/>
          <w:sz w:val="20"/>
          <w:szCs w:val="20"/>
        </w:rPr>
      </w:pPr>
      <w:r w:rsidRPr="002D0315">
        <w:rPr>
          <w:rFonts w:ascii="Verdana" w:eastAsia="Times New Roman" w:hAnsi="Verdana" w:cs="Times New Roman"/>
          <w:sz w:val="20"/>
          <w:szCs w:val="20"/>
        </w:rPr>
        <w:t xml:space="preserve">One should note that there is a decision of Kerala High Court in the case of </w:t>
      </w:r>
      <w:r w:rsidRPr="002D0315">
        <w:rPr>
          <w:rFonts w:ascii="Verdana" w:eastAsia="Times New Roman" w:hAnsi="Verdana" w:cs="Times New Roman"/>
          <w:i/>
          <w:iCs/>
          <w:sz w:val="20"/>
          <w:szCs w:val="20"/>
        </w:rPr>
        <w:t>Girnar Industries vs. C.I.T. (187-Taxman-136)</w:t>
      </w:r>
      <w:r w:rsidRPr="002D0315">
        <w:rPr>
          <w:rFonts w:ascii="Verdana" w:eastAsia="Times New Roman" w:hAnsi="Verdana" w:cs="Times New Roman"/>
          <w:sz w:val="20"/>
          <w:szCs w:val="20"/>
        </w:rPr>
        <w:t xml:space="preserve"> providing that the purpose of exemption as Free Trade Zone (Section 10A) is to give effect to the Exim policy of the Government, the definition of the Term "manufacture" contained in EXIM policy is applicable. Manufacture as per EXIM policy also interalia provides that manufacture means……. To make produce ….. </w:t>
      </w:r>
      <w:proofErr w:type="gramStart"/>
      <w:r w:rsidRPr="002D0315">
        <w:rPr>
          <w:rFonts w:ascii="Verdana" w:eastAsia="Times New Roman" w:hAnsi="Verdana" w:cs="Times New Roman"/>
          <w:sz w:val="20"/>
          <w:szCs w:val="20"/>
        </w:rPr>
        <w:t>process</w:t>
      </w:r>
      <w:proofErr w:type="gramEnd"/>
      <w:r w:rsidRPr="002D0315">
        <w:rPr>
          <w:rFonts w:ascii="Verdana" w:eastAsia="Times New Roman" w:hAnsi="Verdana" w:cs="Times New Roman"/>
          <w:sz w:val="20"/>
          <w:szCs w:val="20"/>
        </w:rPr>
        <w:t xml:space="preserve"> a new product having a distinctive name, character or use….. Therefore, the Supreme Court decision fits in line.</w:t>
      </w:r>
    </w:p>
    <w:p w:rsidR="002D0315" w:rsidRPr="002D0315" w:rsidRDefault="002D0315" w:rsidP="002D0315">
      <w:pPr>
        <w:spacing w:before="100" w:beforeAutospacing="1" w:after="100" w:afterAutospacing="1" w:line="240" w:lineRule="auto"/>
        <w:rPr>
          <w:rFonts w:ascii="Candara" w:eastAsia="Times New Roman" w:hAnsi="Candara" w:cs="Times New Roman"/>
          <w:b/>
          <w:bCs/>
          <w:i/>
          <w:iCs/>
          <w:sz w:val="24"/>
          <w:szCs w:val="24"/>
        </w:rPr>
      </w:pPr>
      <w:r w:rsidRPr="002D0315">
        <w:rPr>
          <w:rFonts w:ascii="Verdana" w:eastAsia="Times New Roman" w:hAnsi="Verdana" w:cs="Times New Roman"/>
          <w:b/>
          <w:bCs/>
          <w:i/>
          <w:iCs/>
          <w:sz w:val="20"/>
          <w:szCs w:val="20"/>
        </w:rPr>
        <w:t>Q.6 Sec. 10A/10B – Eligible Undertaking</w:t>
      </w:r>
      <w:proofErr w:type="gramStart"/>
      <w:r w:rsidRPr="002D0315">
        <w:rPr>
          <w:rFonts w:ascii="Verdana" w:eastAsia="Times New Roman" w:hAnsi="Verdana" w:cs="Times New Roman"/>
          <w:b/>
          <w:bCs/>
          <w:i/>
          <w:iCs/>
          <w:sz w:val="20"/>
          <w:szCs w:val="20"/>
        </w:rPr>
        <w:t>:–</w:t>
      </w:r>
      <w:proofErr w:type="gramEnd"/>
      <w:r w:rsidRPr="002D0315">
        <w:rPr>
          <w:rFonts w:ascii="Verdana" w:eastAsia="Times New Roman" w:hAnsi="Verdana" w:cs="Times New Roman"/>
          <w:b/>
          <w:bCs/>
          <w:i/>
          <w:iCs/>
          <w:sz w:val="20"/>
          <w:szCs w:val="20"/>
        </w:rPr>
        <w:t xml:space="preserve"> As per the present provisions of sec 10A 10B change in ownership of the undertaking is not an embargo on claim of </w:t>
      </w:r>
      <w:r w:rsidRPr="002D0315">
        <w:rPr>
          <w:rFonts w:ascii="Verdana" w:eastAsia="Times New Roman" w:hAnsi="Verdana" w:cs="Times New Roman"/>
          <w:b/>
          <w:bCs/>
          <w:i/>
          <w:iCs/>
          <w:sz w:val="20"/>
          <w:szCs w:val="20"/>
        </w:rPr>
        <w:lastRenderedPageBreak/>
        <w:t>deduction by the successor. Whether succession means only change of ownership or does it also include full fledged lease of the undertaking? In other words, whether transfer of undertaking includes transfer through lease, making the lessee - assessee eligible for claim of deduction for unexpired period of the tax holiday</w:t>
      </w:r>
    </w:p>
    <w:p w:rsidR="002D0315" w:rsidRPr="002D0315" w:rsidRDefault="002D0315" w:rsidP="002D0315">
      <w:pPr>
        <w:spacing w:before="100" w:beforeAutospacing="1" w:after="100" w:afterAutospacing="1" w:line="240" w:lineRule="auto"/>
        <w:rPr>
          <w:rFonts w:ascii="Verdana" w:eastAsia="Times New Roman" w:hAnsi="Verdana" w:cs="Times New Roman"/>
          <w:b/>
          <w:bCs/>
          <w:sz w:val="20"/>
          <w:szCs w:val="20"/>
        </w:rPr>
      </w:pPr>
      <w:proofErr w:type="gramStart"/>
      <w:r w:rsidRPr="002D0315">
        <w:rPr>
          <w:rFonts w:ascii="Verdana" w:eastAsia="Times New Roman" w:hAnsi="Verdana" w:cs="Times New Roman"/>
          <w:b/>
          <w:bCs/>
          <w:sz w:val="20"/>
          <w:szCs w:val="20"/>
        </w:rPr>
        <w:t>Ans.</w:t>
      </w:r>
      <w:proofErr w:type="gramEnd"/>
      <w:r w:rsidRPr="002D0315">
        <w:rPr>
          <w:rFonts w:ascii="Verdana" w:eastAsia="Times New Roman" w:hAnsi="Verdana" w:cs="Times New Roman"/>
          <w:b/>
          <w:bCs/>
          <w:sz w:val="20"/>
          <w:szCs w:val="20"/>
        </w:rPr>
        <w:t xml:space="preserve"> </w:t>
      </w:r>
      <w:proofErr w:type="gramStart"/>
      <w:r w:rsidRPr="002D0315">
        <w:rPr>
          <w:rFonts w:ascii="Verdana" w:eastAsia="Times New Roman" w:hAnsi="Verdana" w:cs="Times New Roman"/>
          <w:b/>
          <w:bCs/>
          <w:sz w:val="20"/>
          <w:szCs w:val="20"/>
        </w:rPr>
        <w:t>A Sec.10A/10B – Eligible undertaking.</w:t>
      </w:r>
      <w:proofErr w:type="gramEnd"/>
    </w:p>
    <w:p w:rsidR="002D0315" w:rsidRPr="002D0315" w:rsidRDefault="002D0315" w:rsidP="002D0315">
      <w:pPr>
        <w:spacing w:before="100" w:beforeAutospacing="1" w:after="100" w:afterAutospacing="1" w:line="240" w:lineRule="auto"/>
        <w:rPr>
          <w:rFonts w:ascii="Verdana" w:eastAsia="Times New Roman" w:hAnsi="Verdana" w:cs="Times New Roman"/>
          <w:sz w:val="20"/>
          <w:szCs w:val="20"/>
        </w:rPr>
      </w:pPr>
      <w:r w:rsidRPr="002D0315">
        <w:rPr>
          <w:rFonts w:ascii="Verdana" w:eastAsia="Times New Roman" w:hAnsi="Verdana" w:cs="Times New Roman"/>
          <w:sz w:val="20"/>
          <w:szCs w:val="20"/>
        </w:rPr>
        <w:t xml:space="preserve">Deduction u/s. 10A/10B is to an assessee, in whose hands income from the eligible undertaking is included while computing its total income. It is for the specified years and on compliance of the conditions. It is attached with the undertaking and hence is eligible to a successor. There lay a Circular dated 13.12.1963. Lease is transfer for a limited period, for use and exploitation, with no ownership rights. A lessee is not a successor in-interest. Section </w:t>
      </w:r>
      <w:proofErr w:type="gramStart"/>
      <w:r w:rsidRPr="002D0315">
        <w:rPr>
          <w:rFonts w:ascii="Verdana" w:eastAsia="Times New Roman" w:hAnsi="Verdana" w:cs="Times New Roman"/>
          <w:sz w:val="20"/>
          <w:szCs w:val="20"/>
        </w:rPr>
        <w:t>10B(</w:t>
      </w:r>
      <w:proofErr w:type="gramEnd"/>
      <w:r w:rsidRPr="002D0315">
        <w:rPr>
          <w:rFonts w:ascii="Verdana" w:eastAsia="Times New Roman" w:hAnsi="Verdana" w:cs="Times New Roman"/>
          <w:sz w:val="20"/>
          <w:szCs w:val="20"/>
        </w:rPr>
        <w:t xml:space="preserve">7A) provides for transfer in the case of amalgamation or demerger of a Company, becoming eligible to the deduction. It too does not cover a lease. If it is allowed to the lessee, the lessor may claim that he is also entitled to depreciation on leased assets. In my opinion it may not be admissible to a lessee. Support can be had from the case of </w:t>
      </w:r>
      <w:r w:rsidRPr="002D0315">
        <w:rPr>
          <w:rFonts w:ascii="Verdana" w:eastAsia="Times New Roman" w:hAnsi="Verdana" w:cs="Times New Roman"/>
          <w:i/>
          <w:iCs/>
          <w:sz w:val="20"/>
          <w:szCs w:val="20"/>
        </w:rPr>
        <w:t>A.G.S. Tiber and Chemical Industries vs. C.I.T. (1998) 233-ITR-207 (Madras).</w:t>
      </w:r>
    </w:p>
    <w:p w:rsidR="002D0315" w:rsidRPr="002D0315" w:rsidRDefault="002D0315" w:rsidP="002D0315">
      <w:pPr>
        <w:spacing w:before="100" w:beforeAutospacing="1" w:after="100" w:afterAutospacing="1" w:line="240" w:lineRule="auto"/>
        <w:rPr>
          <w:rFonts w:ascii="Verdana" w:eastAsia="Times New Roman" w:hAnsi="Verdana" w:cs="Times New Roman"/>
          <w:sz w:val="20"/>
          <w:szCs w:val="20"/>
        </w:rPr>
      </w:pPr>
      <w:r w:rsidRPr="002D0315">
        <w:rPr>
          <w:rFonts w:ascii="Verdana" w:eastAsia="Times New Roman" w:hAnsi="Verdana" w:cs="Times New Roman"/>
          <w:sz w:val="20"/>
          <w:szCs w:val="20"/>
        </w:rPr>
        <w:t xml:space="preserve">It may be stated that it is still not a settled position that the benefit exemption under Section 10A/10B should be allowed in every case of succession and change in ownership, without going through the tests as provided under Section </w:t>
      </w:r>
      <w:proofErr w:type="gramStart"/>
      <w:r w:rsidRPr="002D0315">
        <w:rPr>
          <w:rFonts w:ascii="Verdana" w:eastAsia="Times New Roman" w:hAnsi="Verdana" w:cs="Times New Roman"/>
          <w:sz w:val="20"/>
          <w:szCs w:val="20"/>
        </w:rPr>
        <w:t>10A(</w:t>
      </w:r>
      <w:proofErr w:type="gramEnd"/>
      <w:r w:rsidRPr="002D0315">
        <w:rPr>
          <w:rFonts w:ascii="Verdana" w:eastAsia="Times New Roman" w:hAnsi="Verdana" w:cs="Times New Roman"/>
          <w:sz w:val="20"/>
          <w:szCs w:val="20"/>
        </w:rPr>
        <w:t xml:space="preserve">2). There are compelling reasons of a CBDT Circular 149/68/94 - TPL dated 23rd Nov., 1994 and orders of Tribunal in the case of </w:t>
      </w:r>
      <w:r w:rsidRPr="002D0315">
        <w:rPr>
          <w:rFonts w:ascii="Verdana" w:eastAsia="Times New Roman" w:hAnsi="Verdana" w:cs="Times New Roman"/>
          <w:i/>
          <w:iCs/>
          <w:sz w:val="20"/>
          <w:szCs w:val="20"/>
        </w:rPr>
        <w:t xml:space="preserve">Hindustan Petroleum (25-TTJ-(Bom.)-28. </w:t>
      </w:r>
      <w:proofErr w:type="gramStart"/>
      <w:r w:rsidRPr="002D0315">
        <w:rPr>
          <w:rFonts w:ascii="Verdana" w:eastAsia="Times New Roman" w:hAnsi="Verdana" w:cs="Times New Roman"/>
          <w:i/>
          <w:iCs/>
          <w:sz w:val="20"/>
          <w:szCs w:val="20"/>
        </w:rPr>
        <w:t>Maneklal Industries Ltd. (17-ITD-515 (Ahd.), Shah Granites (21-ITD-282 (Bom.), Infotech (82-TTJ (Delhi)-174</w:t>
      </w:r>
      <w:r w:rsidRPr="002D0315">
        <w:rPr>
          <w:rFonts w:ascii="Verdana" w:eastAsia="Times New Roman" w:hAnsi="Verdana" w:cs="Times New Roman"/>
          <w:sz w:val="20"/>
          <w:szCs w:val="20"/>
        </w:rPr>
        <w:t xml:space="preserve"> and others to take a position that the benefit is attached to the undertaking and not to owner.</w:t>
      </w:r>
      <w:proofErr w:type="gramEnd"/>
      <w:r w:rsidRPr="002D0315">
        <w:rPr>
          <w:rFonts w:ascii="Verdana" w:eastAsia="Times New Roman" w:hAnsi="Verdana" w:cs="Times New Roman"/>
          <w:sz w:val="20"/>
          <w:szCs w:val="20"/>
        </w:rPr>
        <w:t xml:space="preserve"> None of the cases was testing it in a lease scenario as per the query. It may be noted that the Section </w:t>
      </w:r>
      <w:proofErr w:type="gramStart"/>
      <w:r w:rsidRPr="002D0315">
        <w:rPr>
          <w:rFonts w:ascii="Verdana" w:eastAsia="Times New Roman" w:hAnsi="Verdana" w:cs="Times New Roman"/>
          <w:sz w:val="20"/>
          <w:szCs w:val="20"/>
        </w:rPr>
        <w:t>10A(</w:t>
      </w:r>
      <w:proofErr w:type="gramEnd"/>
      <w:r w:rsidRPr="002D0315">
        <w:rPr>
          <w:rFonts w:ascii="Verdana" w:eastAsia="Times New Roman" w:hAnsi="Verdana" w:cs="Times New Roman"/>
          <w:sz w:val="20"/>
          <w:szCs w:val="20"/>
        </w:rPr>
        <w:t>9), which was later dropped, originally provided for both the situations transfer of the ownership or the beneficial interest by any means.</w:t>
      </w:r>
    </w:p>
    <w:p w:rsidR="002D0315" w:rsidRPr="002D0315" w:rsidRDefault="002D0315" w:rsidP="002D0315">
      <w:pPr>
        <w:spacing w:before="100" w:beforeAutospacing="1" w:after="100" w:afterAutospacing="1" w:line="240" w:lineRule="auto"/>
        <w:rPr>
          <w:rFonts w:ascii="Candara" w:eastAsia="Times New Roman" w:hAnsi="Candara" w:cs="Times New Roman"/>
          <w:b/>
          <w:bCs/>
          <w:i/>
          <w:iCs/>
          <w:sz w:val="20"/>
          <w:szCs w:val="20"/>
        </w:rPr>
      </w:pPr>
      <w:r w:rsidRPr="002D0315">
        <w:rPr>
          <w:rFonts w:ascii="Verdana" w:eastAsia="Times New Roman" w:hAnsi="Verdana" w:cs="Times New Roman"/>
          <w:b/>
          <w:bCs/>
          <w:i/>
          <w:iCs/>
          <w:sz w:val="20"/>
          <w:szCs w:val="20"/>
        </w:rPr>
        <w:t>Q.7 Job works were carried on by an Engineering Firm to M/s B. K. Corporation during the previous year ending 31-03-2009 The Engineering firm however raised the bill for the work executed in the month of July, 2009 M/s B.K. Corporation since was not aware of the actual liability on the last date of accounting period ending 31-03 -2009 claimed the deduction in the financial year 2009-2010 when the bills were submitted for payment On these facts M/s. B. K. Corporation wants to know.</w:t>
      </w:r>
    </w:p>
    <w:p w:rsidR="002D0315" w:rsidRPr="002D0315" w:rsidRDefault="002D0315" w:rsidP="002D0315">
      <w:pPr>
        <w:spacing w:before="100" w:beforeAutospacing="1" w:after="100" w:afterAutospacing="1" w:line="240" w:lineRule="auto"/>
        <w:rPr>
          <w:rFonts w:ascii="Candara" w:eastAsia="Times New Roman" w:hAnsi="Candara" w:cs="Times New Roman"/>
          <w:b/>
          <w:bCs/>
          <w:i/>
          <w:iCs/>
          <w:sz w:val="20"/>
          <w:szCs w:val="20"/>
        </w:rPr>
      </w:pPr>
      <w:proofErr w:type="gramStart"/>
      <w:r w:rsidRPr="002D0315">
        <w:rPr>
          <w:rFonts w:ascii="Verdana" w:eastAsia="Times New Roman" w:hAnsi="Verdana" w:cs="Times New Roman"/>
          <w:b/>
          <w:bCs/>
          <w:i/>
          <w:iCs/>
          <w:sz w:val="20"/>
          <w:szCs w:val="20"/>
        </w:rPr>
        <w:t>a</w:t>
      </w:r>
      <w:proofErr w:type="gramEnd"/>
      <w:r w:rsidRPr="002D0315">
        <w:rPr>
          <w:rFonts w:ascii="Verdana" w:eastAsia="Times New Roman" w:hAnsi="Verdana" w:cs="Times New Roman"/>
          <w:b/>
          <w:bCs/>
          <w:i/>
          <w:iCs/>
          <w:sz w:val="20"/>
          <w:szCs w:val="20"/>
        </w:rPr>
        <w:t xml:space="preserve"> Whether it is justified to claim the deduction in the financial year 2009-2010? </w:t>
      </w:r>
    </w:p>
    <w:p w:rsidR="002D0315" w:rsidRPr="002D0315" w:rsidRDefault="002D0315" w:rsidP="002D0315">
      <w:pPr>
        <w:spacing w:before="100" w:beforeAutospacing="1" w:after="100" w:afterAutospacing="1" w:line="240" w:lineRule="auto"/>
        <w:rPr>
          <w:rFonts w:ascii="Candara" w:eastAsia="Times New Roman" w:hAnsi="Candara" w:cs="Times New Roman"/>
          <w:b/>
          <w:bCs/>
          <w:i/>
          <w:iCs/>
          <w:sz w:val="20"/>
          <w:szCs w:val="20"/>
        </w:rPr>
      </w:pPr>
      <w:proofErr w:type="gramStart"/>
      <w:r w:rsidRPr="002D0315">
        <w:rPr>
          <w:rFonts w:ascii="Verdana" w:eastAsia="Times New Roman" w:hAnsi="Verdana" w:cs="Times New Roman"/>
          <w:b/>
          <w:bCs/>
          <w:i/>
          <w:iCs/>
          <w:sz w:val="20"/>
          <w:szCs w:val="20"/>
        </w:rPr>
        <w:t>b</w:t>
      </w:r>
      <w:proofErr w:type="gramEnd"/>
      <w:r w:rsidRPr="002D0315">
        <w:rPr>
          <w:rFonts w:ascii="Verdana" w:eastAsia="Times New Roman" w:hAnsi="Verdana" w:cs="Times New Roman"/>
          <w:b/>
          <w:bCs/>
          <w:i/>
          <w:iCs/>
          <w:sz w:val="20"/>
          <w:szCs w:val="20"/>
        </w:rPr>
        <w:t xml:space="preserve"> Whether the deduction should be claimed only in the financial year 2008-2009? </w:t>
      </w:r>
    </w:p>
    <w:p w:rsidR="002D0315" w:rsidRPr="002D0315" w:rsidRDefault="002D0315" w:rsidP="002D0315">
      <w:pPr>
        <w:spacing w:before="100" w:beforeAutospacing="1" w:after="100" w:afterAutospacing="1" w:line="240" w:lineRule="auto"/>
        <w:rPr>
          <w:rFonts w:ascii="Candara" w:eastAsia="Times New Roman" w:hAnsi="Candara" w:cs="Times New Roman"/>
          <w:b/>
          <w:bCs/>
          <w:i/>
          <w:iCs/>
          <w:sz w:val="20"/>
          <w:szCs w:val="20"/>
        </w:rPr>
      </w:pPr>
      <w:proofErr w:type="gramStart"/>
      <w:r w:rsidRPr="002D0315">
        <w:rPr>
          <w:rFonts w:ascii="Verdana" w:eastAsia="Times New Roman" w:hAnsi="Verdana" w:cs="Times New Roman"/>
          <w:b/>
          <w:bCs/>
          <w:i/>
          <w:iCs/>
          <w:sz w:val="20"/>
          <w:szCs w:val="20"/>
        </w:rPr>
        <w:t>c</w:t>
      </w:r>
      <w:proofErr w:type="gramEnd"/>
      <w:r w:rsidRPr="002D0315">
        <w:rPr>
          <w:rFonts w:ascii="Verdana" w:eastAsia="Times New Roman" w:hAnsi="Verdana" w:cs="Times New Roman"/>
          <w:b/>
          <w:bCs/>
          <w:i/>
          <w:iCs/>
          <w:sz w:val="20"/>
          <w:szCs w:val="20"/>
        </w:rPr>
        <w:t xml:space="preserve"> Despite the bill not raised? </w:t>
      </w:r>
      <w:proofErr w:type="gramStart"/>
      <w:r w:rsidRPr="002D0315">
        <w:rPr>
          <w:rFonts w:ascii="Verdana" w:eastAsia="Times New Roman" w:hAnsi="Verdana" w:cs="Times New Roman"/>
          <w:b/>
          <w:bCs/>
          <w:i/>
          <w:iCs/>
          <w:sz w:val="20"/>
          <w:szCs w:val="20"/>
        </w:rPr>
        <w:t>would</w:t>
      </w:r>
      <w:proofErr w:type="gramEnd"/>
      <w:r w:rsidRPr="002D0315">
        <w:rPr>
          <w:rFonts w:ascii="Verdana" w:eastAsia="Times New Roman" w:hAnsi="Verdana" w:cs="Times New Roman"/>
          <w:b/>
          <w:bCs/>
          <w:i/>
          <w:iCs/>
          <w:sz w:val="20"/>
          <w:szCs w:val="20"/>
        </w:rPr>
        <w:t xml:space="preserve"> it be correct to suggest that the liability could not be ascertained?</w:t>
      </w:r>
    </w:p>
    <w:p w:rsidR="002D0315" w:rsidRPr="002D0315" w:rsidRDefault="002D0315" w:rsidP="002D0315">
      <w:pPr>
        <w:spacing w:before="100" w:beforeAutospacing="1" w:after="100" w:afterAutospacing="1" w:line="240" w:lineRule="auto"/>
        <w:rPr>
          <w:rFonts w:ascii="Candara" w:eastAsia="Times New Roman" w:hAnsi="Candara" w:cs="Times New Roman"/>
          <w:b/>
          <w:bCs/>
          <w:i/>
          <w:iCs/>
          <w:sz w:val="20"/>
          <w:szCs w:val="20"/>
        </w:rPr>
      </w:pPr>
      <w:r w:rsidRPr="002D0315">
        <w:rPr>
          <w:rFonts w:ascii="Verdana" w:eastAsia="Times New Roman" w:hAnsi="Verdana" w:cs="Times New Roman"/>
          <w:b/>
          <w:bCs/>
          <w:i/>
          <w:iCs/>
          <w:sz w:val="20"/>
          <w:szCs w:val="20"/>
        </w:rPr>
        <w:t xml:space="preserve">And hence </w:t>
      </w:r>
      <w:proofErr w:type="gramStart"/>
      <w:r w:rsidRPr="002D0315">
        <w:rPr>
          <w:rFonts w:ascii="Verdana" w:eastAsia="Times New Roman" w:hAnsi="Verdana" w:cs="Times New Roman"/>
          <w:b/>
          <w:bCs/>
          <w:i/>
          <w:iCs/>
          <w:sz w:val="20"/>
          <w:szCs w:val="20"/>
        </w:rPr>
        <w:t>Is</w:t>
      </w:r>
      <w:proofErr w:type="gramEnd"/>
      <w:r w:rsidRPr="002D0315">
        <w:rPr>
          <w:rFonts w:ascii="Verdana" w:eastAsia="Times New Roman" w:hAnsi="Verdana" w:cs="Times New Roman"/>
          <w:b/>
          <w:bCs/>
          <w:i/>
          <w:iCs/>
          <w:sz w:val="20"/>
          <w:szCs w:val="20"/>
        </w:rPr>
        <w:t xml:space="preserve"> it proper to make the claim only in the financial year 2009 2010?</w:t>
      </w:r>
    </w:p>
    <w:p w:rsidR="002D0315" w:rsidRPr="002D0315" w:rsidRDefault="002D0315" w:rsidP="002D0315">
      <w:pPr>
        <w:spacing w:before="100" w:beforeAutospacing="1" w:after="100" w:afterAutospacing="1" w:line="240" w:lineRule="auto"/>
        <w:rPr>
          <w:rFonts w:ascii="Verdana" w:eastAsia="Times New Roman" w:hAnsi="Verdana" w:cs="Times New Roman"/>
          <w:b/>
          <w:bCs/>
          <w:sz w:val="20"/>
          <w:szCs w:val="20"/>
        </w:rPr>
      </w:pPr>
      <w:proofErr w:type="gramStart"/>
      <w:r w:rsidRPr="002D0315">
        <w:rPr>
          <w:rFonts w:ascii="Verdana" w:eastAsia="Times New Roman" w:hAnsi="Verdana" w:cs="Times New Roman"/>
          <w:b/>
          <w:bCs/>
          <w:sz w:val="20"/>
          <w:szCs w:val="20"/>
        </w:rPr>
        <w:t>Ans. Deduction for job work.</w:t>
      </w:r>
      <w:proofErr w:type="gramEnd"/>
    </w:p>
    <w:p w:rsidR="002D0315" w:rsidRPr="002D0315" w:rsidRDefault="002D0315" w:rsidP="002D0315">
      <w:pPr>
        <w:spacing w:before="100" w:beforeAutospacing="1" w:after="100" w:afterAutospacing="1" w:line="240" w:lineRule="auto"/>
        <w:rPr>
          <w:rFonts w:ascii="Verdana" w:eastAsia="Times New Roman" w:hAnsi="Verdana" w:cs="Times New Roman"/>
          <w:sz w:val="20"/>
          <w:szCs w:val="20"/>
        </w:rPr>
      </w:pPr>
      <w:r w:rsidRPr="002D0315">
        <w:rPr>
          <w:rFonts w:ascii="Verdana" w:eastAsia="Times New Roman" w:hAnsi="Verdana" w:cs="Times New Roman"/>
          <w:sz w:val="20"/>
          <w:szCs w:val="20"/>
        </w:rPr>
        <w:t xml:space="preserve">Admittedly, the querist is maintaining books of accounts on mercantile basis, there is a contract for doing job work on the basis whereof job work charges are duly </w:t>
      </w:r>
      <w:proofErr w:type="gramStart"/>
      <w:r w:rsidRPr="002D0315">
        <w:rPr>
          <w:rFonts w:ascii="Verdana" w:eastAsia="Times New Roman" w:hAnsi="Verdana" w:cs="Times New Roman"/>
          <w:sz w:val="20"/>
          <w:szCs w:val="20"/>
        </w:rPr>
        <w:t>ascertainable ,</w:t>
      </w:r>
      <w:proofErr w:type="gramEnd"/>
      <w:r w:rsidRPr="002D0315">
        <w:rPr>
          <w:rFonts w:ascii="Verdana" w:eastAsia="Times New Roman" w:hAnsi="Verdana" w:cs="Times New Roman"/>
          <w:sz w:val="20"/>
          <w:szCs w:val="20"/>
        </w:rPr>
        <w:t xml:space="preserve"> </w:t>
      </w:r>
      <w:r w:rsidRPr="002D0315">
        <w:rPr>
          <w:rFonts w:ascii="Verdana" w:eastAsia="Times New Roman" w:hAnsi="Verdana" w:cs="Times New Roman"/>
          <w:sz w:val="20"/>
          <w:szCs w:val="20"/>
        </w:rPr>
        <w:lastRenderedPageBreak/>
        <w:t xml:space="preserve">the job work was performed during the previous year ending on 31.3.2009 but the bill was raised by the jobber in the month of July, 2009. To say that M/s. B.K. Corporation was not aware of the actual liability in the last date of accounting period appears to be unsupported by supporting material. If the actual liability is unascertainable or there is some dispute or the bill is settled after dispute, it can be claimed, being a contractual liability on settlement, as held by the Supreme Court in </w:t>
      </w:r>
      <w:r w:rsidRPr="002D0315">
        <w:rPr>
          <w:rFonts w:ascii="Verdana" w:eastAsia="Times New Roman" w:hAnsi="Verdana" w:cs="Times New Roman"/>
          <w:i/>
          <w:iCs/>
          <w:sz w:val="20"/>
          <w:szCs w:val="20"/>
        </w:rPr>
        <w:t xml:space="preserve">CIT vs. Swadeshi Cotton &amp; Flour Mills Pte. </w:t>
      </w:r>
      <w:proofErr w:type="gramStart"/>
      <w:r w:rsidRPr="002D0315">
        <w:rPr>
          <w:rFonts w:ascii="Verdana" w:eastAsia="Times New Roman" w:hAnsi="Verdana" w:cs="Times New Roman"/>
          <w:i/>
          <w:iCs/>
          <w:sz w:val="20"/>
          <w:szCs w:val="20"/>
        </w:rPr>
        <w:t>Ltd. (1964) 53 ITR 134.</w:t>
      </w:r>
      <w:proofErr w:type="gramEnd"/>
      <w:r w:rsidRPr="002D0315">
        <w:rPr>
          <w:rFonts w:ascii="Verdana" w:eastAsia="Times New Roman" w:hAnsi="Verdana" w:cs="Times New Roman"/>
          <w:sz w:val="20"/>
          <w:szCs w:val="20"/>
        </w:rPr>
        <w:t xml:space="preserve"> Otherwise also the accounting standards require to give a true and fair view and accounting has to be on ‘matching principle’ as held by the Supreme Court in </w:t>
      </w:r>
      <w:r w:rsidRPr="002D0315">
        <w:rPr>
          <w:rFonts w:ascii="Verdana" w:eastAsia="Times New Roman" w:hAnsi="Verdana" w:cs="Times New Roman"/>
          <w:i/>
          <w:iCs/>
          <w:sz w:val="20"/>
          <w:szCs w:val="20"/>
        </w:rPr>
        <w:t>J. K. Industries Ltd. vs. Union of India (2008) 297-ITR-176</w:t>
      </w:r>
      <w:r w:rsidRPr="002D0315">
        <w:rPr>
          <w:rFonts w:ascii="Verdana" w:eastAsia="Times New Roman" w:hAnsi="Verdana" w:cs="Times New Roman"/>
          <w:sz w:val="20"/>
          <w:szCs w:val="20"/>
        </w:rPr>
        <w:t xml:space="preserve"> while upholding validity of Accounting Standard 22. By non-debiting the estimated job charges accrued by 31.3.2009, the trading results in the year ended on 31.3.2009 would be distorted and the querist may not succeed for its claim for the assessment year 2010-11. Mere non-receipt of a bill is of no consequence as held by the Supreme Court in </w:t>
      </w:r>
      <w:r w:rsidRPr="002D0315">
        <w:rPr>
          <w:rFonts w:ascii="Verdana" w:eastAsia="Times New Roman" w:hAnsi="Verdana" w:cs="Times New Roman"/>
          <w:i/>
          <w:iCs/>
          <w:sz w:val="20"/>
          <w:szCs w:val="20"/>
        </w:rPr>
        <w:t>Calcutta Co. vs. C.I.T. (1959) 37-ITR-1.</w:t>
      </w:r>
      <w:r w:rsidRPr="002D0315">
        <w:rPr>
          <w:rFonts w:ascii="Verdana" w:eastAsia="Times New Roman" w:hAnsi="Verdana" w:cs="Times New Roman"/>
          <w:sz w:val="20"/>
          <w:szCs w:val="20"/>
        </w:rPr>
        <w:t xml:space="preserve"> On the facts, it is advisable to claim after calculating on the basis of the Contract, job charges in the financial year 2008-09 and in case it is disallowed by the A.O., he would be duty bound to allow in the financial year 2009-10. If it is claimed in the financial year 2009-10 and disallowed, the querist may have to go for rectification / revision for the assessment in the financial year 2008-09 and indulge in long drawn litigation.</w:t>
      </w:r>
    </w:p>
    <w:p w:rsidR="002D0315" w:rsidRPr="002D0315" w:rsidRDefault="002D0315" w:rsidP="002D0315">
      <w:pPr>
        <w:spacing w:before="100" w:beforeAutospacing="1" w:after="100" w:afterAutospacing="1" w:line="240" w:lineRule="auto"/>
        <w:rPr>
          <w:rFonts w:ascii="Verdana" w:eastAsia="Times New Roman" w:hAnsi="Verdana" w:cs="Times New Roman"/>
          <w:sz w:val="20"/>
          <w:szCs w:val="20"/>
        </w:rPr>
      </w:pPr>
      <w:r w:rsidRPr="002D0315">
        <w:rPr>
          <w:rFonts w:ascii="Verdana" w:eastAsia="Times New Roman" w:hAnsi="Verdana" w:cs="Times New Roman"/>
          <w:sz w:val="20"/>
          <w:szCs w:val="20"/>
        </w:rPr>
        <w:t xml:space="preserve">The facts and circumstances of the case would determine this issue. Attention is drawn to a well reasoned decision of Gujarat High Court in the case of </w:t>
      </w:r>
      <w:r w:rsidRPr="002D0315">
        <w:rPr>
          <w:rFonts w:ascii="Verdana" w:eastAsia="Times New Roman" w:hAnsi="Verdana" w:cs="Times New Roman"/>
          <w:i/>
          <w:iCs/>
          <w:sz w:val="20"/>
          <w:szCs w:val="20"/>
        </w:rPr>
        <w:t xml:space="preserve">Saurashtra Cement and Chemicals </w:t>
      </w:r>
      <w:proofErr w:type="gramStart"/>
      <w:r w:rsidRPr="002D0315">
        <w:rPr>
          <w:rFonts w:ascii="Verdana" w:eastAsia="Times New Roman" w:hAnsi="Verdana" w:cs="Times New Roman"/>
          <w:i/>
          <w:iCs/>
          <w:sz w:val="20"/>
          <w:szCs w:val="20"/>
        </w:rPr>
        <w:t>–(</w:t>
      </w:r>
      <w:proofErr w:type="gramEnd"/>
      <w:r w:rsidRPr="002D0315">
        <w:rPr>
          <w:rFonts w:ascii="Verdana" w:eastAsia="Times New Roman" w:hAnsi="Verdana" w:cs="Times New Roman"/>
          <w:i/>
          <w:iCs/>
          <w:sz w:val="20"/>
          <w:szCs w:val="20"/>
        </w:rPr>
        <w:t>1995) 213-ITR-523</w:t>
      </w:r>
      <w:r w:rsidRPr="002D0315">
        <w:rPr>
          <w:rFonts w:ascii="Verdana" w:eastAsia="Times New Roman" w:hAnsi="Verdana" w:cs="Times New Roman"/>
          <w:sz w:val="20"/>
          <w:szCs w:val="20"/>
        </w:rPr>
        <w:t xml:space="preserve"> – The following principle emerges : (a) Merely because an expense relates to a transaction of an earlier year it does not become a liability payable in the earlier year; (b) The liability need to stand crystallized and quantified during the year with a demand and accepted. If the liability is actually claimed and paid in the later previous years, it cannot be disallowed as deduction merely on the basis that the accounts are maintained on mercantile basis and that it related to a transaction of the earlier previous year.</w:t>
      </w:r>
    </w:p>
    <w:p w:rsidR="002D0315" w:rsidRPr="002D0315" w:rsidRDefault="002D0315" w:rsidP="002D0315">
      <w:pPr>
        <w:spacing w:before="100" w:beforeAutospacing="1" w:after="100" w:afterAutospacing="1" w:line="240" w:lineRule="auto"/>
        <w:rPr>
          <w:rFonts w:ascii="Candara" w:eastAsia="Times New Roman" w:hAnsi="Candara" w:cs="Times New Roman"/>
          <w:b/>
          <w:bCs/>
          <w:i/>
          <w:iCs/>
          <w:sz w:val="24"/>
          <w:szCs w:val="24"/>
        </w:rPr>
      </w:pPr>
      <w:r w:rsidRPr="002D0315">
        <w:rPr>
          <w:rFonts w:ascii="Verdana" w:eastAsia="Times New Roman" w:hAnsi="Verdana" w:cs="Times New Roman"/>
          <w:b/>
          <w:bCs/>
          <w:i/>
          <w:iCs/>
          <w:sz w:val="20"/>
          <w:szCs w:val="20"/>
        </w:rPr>
        <w:t xml:space="preserve">Q.8 </w:t>
      </w:r>
      <w:proofErr w:type="gramStart"/>
      <w:r w:rsidRPr="002D0315">
        <w:rPr>
          <w:rFonts w:ascii="Verdana" w:eastAsia="Times New Roman" w:hAnsi="Verdana" w:cs="Times New Roman"/>
          <w:b/>
          <w:bCs/>
          <w:i/>
          <w:iCs/>
          <w:sz w:val="20"/>
          <w:szCs w:val="20"/>
        </w:rPr>
        <w:t>A</w:t>
      </w:r>
      <w:proofErr w:type="gramEnd"/>
      <w:r w:rsidRPr="002D0315">
        <w:rPr>
          <w:rFonts w:ascii="Verdana" w:eastAsia="Times New Roman" w:hAnsi="Verdana" w:cs="Times New Roman"/>
          <w:b/>
          <w:bCs/>
          <w:i/>
          <w:iCs/>
          <w:sz w:val="20"/>
          <w:szCs w:val="20"/>
        </w:rPr>
        <w:t xml:space="preserve"> corporate entity a manufacturing concern procured funds from banks and financial institutions for the capital outlay. Such funds remained unutilized were invested in short term deposits with banks. Interest was earned from such investments. Whether the interest income earned before utilization in business has to be admitted as income from business and/or income from other sources? Whether the investment could be said to be incidental to the business activity?</w:t>
      </w:r>
    </w:p>
    <w:p w:rsidR="002D0315" w:rsidRPr="002D0315" w:rsidRDefault="002D0315" w:rsidP="002D0315">
      <w:pPr>
        <w:spacing w:before="100" w:beforeAutospacing="1" w:after="100" w:afterAutospacing="1" w:line="240" w:lineRule="auto"/>
        <w:rPr>
          <w:rFonts w:ascii="Verdana" w:eastAsia="Times New Roman" w:hAnsi="Verdana" w:cs="Times New Roman"/>
          <w:b/>
          <w:bCs/>
          <w:sz w:val="20"/>
          <w:szCs w:val="20"/>
        </w:rPr>
      </w:pPr>
      <w:r w:rsidRPr="002D0315">
        <w:rPr>
          <w:rFonts w:ascii="Verdana" w:eastAsia="Times New Roman" w:hAnsi="Verdana" w:cs="Times New Roman"/>
          <w:b/>
          <w:bCs/>
          <w:sz w:val="20"/>
          <w:szCs w:val="20"/>
        </w:rPr>
        <w:t>Ans. Interest – Business income or income from other sources:</w:t>
      </w:r>
    </w:p>
    <w:p w:rsidR="002D0315" w:rsidRPr="002D0315" w:rsidRDefault="002D0315" w:rsidP="002D0315">
      <w:pPr>
        <w:spacing w:before="100" w:beforeAutospacing="1" w:after="100" w:afterAutospacing="1" w:line="240" w:lineRule="auto"/>
        <w:rPr>
          <w:rFonts w:ascii="Candara" w:eastAsia="Times New Roman" w:hAnsi="Candara" w:cs="Times New Roman"/>
          <w:sz w:val="24"/>
          <w:szCs w:val="24"/>
        </w:rPr>
      </w:pPr>
      <w:r w:rsidRPr="002D0315">
        <w:rPr>
          <w:rFonts w:ascii="Verdana" w:eastAsia="Times New Roman" w:hAnsi="Verdana" w:cs="Times New Roman"/>
          <w:sz w:val="20"/>
          <w:szCs w:val="20"/>
        </w:rPr>
        <w:t xml:space="preserve">Admittedly, funds have been procured while carrying on the business. However, as such funds remain unutilized, were invested with banks. The S.C. in </w:t>
      </w:r>
      <w:r w:rsidRPr="002D0315">
        <w:rPr>
          <w:rFonts w:ascii="Verdana" w:eastAsia="Times New Roman" w:hAnsi="Verdana" w:cs="Times New Roman"/>
          <w:i/>
          <w:iCs/>
          <w:sz w:val="20"/>
          <w:szCs w:val="20"/>
        </w:rPr>
        <w:t>Tuticorin Alkali Chemicals &amp; Fertilizers Ltd. vs. CIT (1997) 227 ITR 172</w:t>
      </w:r>
      <w:r w:rsidRPr="002D0315">
        <w:rPr>
          <w:rFonts w:ascii="Verdana" w:eastAsia="Times New Roman" w:hAnsi="Verdana" w:cs="Times New Roman"/>
          <w:sz w:val="20"/>
          <w:szCs w:val="20"/>
        </w:rPr>
        <w:t xml:space="preserve"> held that interest from bank was income from other sources. The said case was before operation of business. The Apex Court in </w:t>
      </w:r>
      <w:r w:rsidRPr="002D0315">
        <w:rPr>
          <w:rFonts w:ascii="Verdana" w:eastAsia="Times New Roman" w:hAnsi="Verdana" w:cs="Times New Roman"/>
          <w:i/>
          <w:iCs/>
          <w:sz w:val="20"/>
          <w:szCs w:val="20"/>
        </w:rPr>
        <w:t>CIT vs. Bokaro Steel Ltd. (1999) 236 ITR 315</w:t>
      </w:r>
      <w:r w:rsidRPr="002D0315">
        <w:rPr>
          <w:rFonts w:ascii="Verdana" w:eastAsia="Times New Roman" w:hAnsi="Verdana" w:cs="Times New Roman"/>
          <w:sz w:val="20"/>
          <w:szCs w:val="20"/>
        </w:rPr>
        <w:t xml:space="preserve"> reduced the rigour of the said decision by holding that income earned during pre-business period by the company including interest income which was inextricably connected with the setting up and commencement of business constituted capital receipt. The S.C. in </w:t>
      </w:r>
      <w:r w:rsidRPr="002D0315">
        <w:rPr>
          <w:rFonts w:ascii="Verdana" w:eastAsia="Times New Roman" w:hAnsi="Verdana" w:cs="Times New Roman"/>
          <w:i/>
          <w:iCs/>
          <w:sz w:val="20"/>
          <w:szCs w:val="20"/>
        </w:rPr>
        <w:t>CIT vs. Karnal Cooperative Sugar Mills Ltd. (2000) 243 ITR 2</w:t>
      </w:r>
      <w:r w:rsidRPr="002D0315">
        <w:rPr>
          <w:rFonts w:ascii="Verdana" w:eastAsia="Times New Roman" w:hAnsi="Verdana" w:cs="Times New Roman"/>
          <w:sz w:val="20"/>
          <w:szCs w:val="20"/>
        </w:rPr>
        <w:t xml:space="preserve"> held that interest earned on ‘surplus’ or ‘idle’ fund is liable to be assessed as independent income. The Delhi High Court in </w:t>
      </w:r>
      <w:r w:rsidRPr="002D0315">
        <w:rPr>
          <w:rFonts w:ascii="Verdana" w:eastAsia="Times New Roman" w:hAnsi="Verdana" w:cs="Times New Roman"/>
          <w:i/>
          <w:iCs/>
          <w:sz w:val="20"/>
          <w:szCs w:val="20"/>
        </w:rPr>
        <w:t>Indian Oil Panipat Power Consortium Ltd. (2009) 315 ITR 255,</w:t>
      </w:r>
      <w:r w:rsidRPr="002D0315">
        <w:rPr>
          <w:rFonts w:ascii="Verdana" w:eastAsia="Times New Roman" w:hAnsi="Verdana" w:cs="Times New Roman"/>
          <w:sz w:val="20"/>
          <w:szCs w:val="20"/>
        </w:rPr>
        <w:t xml:space="preserve"> held interest during pre-operative period as capital receipt. The Calcutta High Court in </w:t>
      </w:r>
      <w:r w:rsidRPr="002D0315">
        <w:rPr>
          <w:rFonts w:ascii="Verdana" w:eastAsia="Times New Roman" w:hAnsi="Verdana" w:cs="Times New Roman"/>
          <w:i/>
          <w:iCs/>
          <w:sz w:val="20"/>
          <w:szCs w:val="20"/>
        </w:rPr>
        <w:t>CIT vs. J.J. Exporters Ltd. (2010) 324 ITR 329</w:t>
      </w:r>
      <w:r w:rsidRPr="002D0315">
        <w:rPr>
          <w:rFonts w:ascii="Verdana" w:eastAsia="Times New Roman" w:hAnsi="Verdana" w:cs="Times New Roman"/>
          <w:sz w:val="20"/>
          <w:szCs w:val="20"/>
        </w:rPr>
        <w:t xml:space="preserve"> held that interest earned by investing the surplus funds as income from business because it arose on account of business carried on by the assessee and the business was authorized by clause 18 of the </w:t>
      </w:r>
      <w:r w:rsidRPr="002D0315">
        <w:rPr>
          <w:rFonts w:ascii="Verdana" w:eastAsia="Times New Roman" w:hAnsi="Verdana" w:cs="Times New Roman"/>
          <w:sz w:val="20"/>
          <w:szCs w:val="20"/>
        </w:rPr>
        <w:lastRenderedPageBreak/>
        <w:t xml:space="preserve">objects clause of the memorandum and articles of association. The Supreme Court has dismissed the Special Leave Petition filed by the Department; (2010) 322 ITR (Statue) 7. In the said case the decision of </w:t>
      </w:r>
      <w:r w:rsidRPr="002D0315">
        <w:rPr>
          <w:rFonts w:ascii="Verdana" w:eastAsia="Times New Roman" w:hAnsi="Verdana" w:cs="Times New Roman"/>
          <w:i/>
          <w:iCs/>
          <w:sz w:val="20"/>
          <w:szCs w:val="20"/>
        </w:rPr>
        <w:t xml:space="preserve">Tuticorin Alkali Chemicals &amp; Fertilizers Ltd. (supra) </w:t>
      </w:r>
      <w:r w:rsidRPr="002D0315">
        <w:rPr>
          <w:rFonts w:ascii="Verdana" w:eastAsia="Times New Roman" w:hAnsi="Verdana" w:cs="Times New Roman"/>
          <w:sz w:val="20"/>
          <w:szCs w:val="20"/>
        </w:rPr>
        <w:t>has been referred to. In the light of the facts and the law, it can be opined that the interest income earned by a manufacturing concern during carrying on the business, should be assessed, as income from business.</w:t>
      </w:r>
    </w:p>
    <w:p w:rsidR="002D0315" w:rsidRPr="002D0315" w:rsidRDefault="002D0315" w:rsidP="002D0315">
      <w:pPr>
        <w:spacing w:before="100" w:beforeAutospacing="1" w:after="100" w:afterAutospacing="1" w:line="240" w:lineRule="auto"/>
        <w:rPr>
          <w:rFonts w:ascii="Candara" w:eastAsia="Times New Roman" w:hAnsi="Candara" w:cs="Times New Roman"/>
          <w:sz w:val="24"/>
          <w:szCs w:val="24"/>
        </w:rPr>
      </w:pPr>
      <w:r w:rsidRPr="002D0315">
        <w:rPr>
          <w:rFonts w:ascii="Verdana" w:eastAsia="Times New Roman" w:hAnsi="Verdana" w:cs="Times New Roman"/>
          <w:sz w:val="20"/>
          <w:szCs w:val="20"/>
        </w:rPr>
        <w:t xml:space="preserve">In the case of </w:t>
      </w:r>
      <w:r w:rsidRPr="002D0315">
        <w:rPr>
          <w:rFonts w:ascii="Verdana" w:eastAsia="Times New Roman" w:hAnsi="Verdana" w:cs="Times New Roman"/>
          <w:i/>
          <w:iCs/>
          <w:sz w:val="20"/>
          <w:szCs w:val="20"/>
        </w:rPr>
        <w:t>Rajputana Trading Co. Ltd. vs. CIT (1969) 72 ITR 286 (SC],</w:t>
      </w:r>
      <w:r w:rsidRPr="002D0315">
        <w:rPr>
          <w:rFonts w:ascii="Verdana" w:eastAsia="Times New Roman" w:hAnsi="Verdana" w:cs="Times New Roman"/>
          <w:sz w:val="20"/>
          <w:szCs w:val="20"/>
        </w:rPr>
        <w:t xml:space="preserve"> it was held that when there is a fairly direct and proximate relationship between an income and the business of the undertaking, it would be most illogical and irrational to treat the so-called income as having a neutral source and not springing out of the said business. In </w:t>
      </w:r>
      <w:r w:rsidRPr="002D0315">
        <w:rPr>
          <w:rFonts w:ascii="Verdana" w:eastAsia="Times New Roman" w:hAnsi="Verdana" w:cs="Times New Roman"/>
          <w:i/>
          <w:iCs/>
          <w:sz w:val="20"/>
          <w:szCs w:val="20"/>
        </w:rPr>
        <w:t>Snam Proghetti S.P.A. vs. Addl. CIT [1981] 132 ITR 70 (Delhi)</w:t>
      </w:r>
      <w:r w:rsidRPr="002D0315">
        <w:rPr>
          <w:rFonts w:ascii="Verdana" w:eastAsia="Times New Roman" w:hAnsi="Verdana" w:cs="Times New Roman"/>
          <w:sz w:val="20"/>
          <w:szCs w:val="20"/>
        </w:rPr>
        <w:t xml:space="preserve"> it was held : "In all these cases, the first inference, that interest receipt should always be taxed under the head "Other sources", overlooks the fact that interest income will be taxable under other sources only where income is from investments, pure and simple, and not to a case, where surplus funds are parked for future use in a bank or where fixed deposits are with the bank for purpose of securing credit. In such cases, it could hardly ever be income from other sources. Nexus with the activities sought to be encouraged cannot be overlooked, where the income is attributable to or derived from the targeted activity. In fact, "other sources" is a residuary head only when a class of income does not fall under any other head. It is necessary that the Revenue does not take too narrow a view, so as to restrict an intended relief by a wrong classification of the heads of income." </w:t>
      </w:r>
      <w:proofErr w:type="gramStart"/>
      <w:r w:rsidRPr="002D0315">
        <w:rPr>
          <w:rFonts w:ascii="Verdana" w:eastAsia="Times New Roman" w:hAnsi="Verdana" w:cs="Times New Roman"/>
          <w:sz w:val="20"/>
          <w:szCs w:val="20"/>
        </w:rPr>
        <w:t xml:space="preserve">In the case of A.P. Industrial Infrastructure </w:t>
      </w:r>
      <w:r w:rsidRPr="002D0315">
        <w:rPr>
          <w:rFonts w:ascii="Verdana" w:eastAsia="Times New Roman" w:hAnsi="Verdana" w:cs="Times New Roman"/>
          <w:i/>
          <w:iCs/>
          <w:sz w:val="20"/>
          <w:szCs w:val="20"/>
        </w:rPr>
        <w:t>Corpn.</w:t>
      </w:r>
      <w:proofErr w:type="gramEnd"/>
      <w:r w:rsidRPr="002D0315">
        <w:rPr>
          <w:rFonts w:ascii="Verdana" w:eastAsia="Times New Roman" w:hAnsi="Verdana" w:cs="Times New Roman"/>
          <w:i/>
          <w:iCs/>
          <w:sz w:val="20"/>
          <w:szCs w:val="20"/>
        </w:rPr>
        <w:t xml:space="preserve"> Ltd. vs. CIT (1989) 175 ITR 361 (AP)</w:t>
      </w:r>
      <w:r w:rsidRPr="002D0315">
        <w:rPr>
          <w:rFonts w:ascii="Verdana" w:eastAsia="Times New Roman" w:hAnsi="Verdana" w:cs="Times New Roman"/>
          <w:sz w:val="20"/>
          <w:szCs w:val="20"/>
        </w:rPr>
        <w:t xml:space="preserve">, the Andhra Pradesh High Court has held that the interest income earned by keeping the surplus amount in the bank during the interval between receipt and disbursement was to be treated as income from business. A similar view has been taken in the case of </w:t>
      </w:r>
      <w:r w:rsidRPr="002D0315">
        <w:rPr>
          <w:rFonts w:ascii="Verdana" w:eastAsia="Times New Roman" w:hAnsi="Verdana" w:cs="Times New Roman"/>
          <w:i/>
          <w:iCs/>
          <w:sz w:val="20"/>
          <w:szCs w:val="20"/>
        </w:rPr>
        <w:t xml:space="preserve">CIT vs. Tamil Nadu Dairy Development Corpn. </w:t>
      </w:r>
      <w:proofErr w:type="gramStart"/>
      <w:r w:rsidRPr="002D0315">
        <w:rPr>
          <w:rFonts w:ascii="Verdana" w:eastAsia="Times New Roman" w:hAnsi="Verdana" w:cs="Times New Roman"/>
          <w:i/>
          <w:iCs/>
          <w:sz w:val="20"/>
          <w:szCs w:val="20"/>
        </w:rPr>
        <w:t>Ltd. (1995) 216 ITR 535 (Mad.).</w:t>
      </w:r>
      <w:proofErr w:type="gramEnd"/>
      <w:r w:rsidRPr="002D0315">
        <w:rPr>
          <w:rFonts w:ascii="Verdana" w:eastAsia="Times New Roman" w:hAnsi="Verdana" w:cs="Times New Roman"/>
          <w:i/>
          <w:iCs/>
          <w:sz w:val="20"/>
          <w:szCs w:val="20"/>
        </w:rPr>
        <w:t xml:space="preserve"> </w:t>
      </w:r>
      <w:r w:rsidRPr="002D0315">
        <w:rPr>
          <w:rFonts w:ascii="Verdana" w:eastAsia="Times New Roman" w:hAnsi="Verdana" w:cs="Times New Roman"/>
          <w:sz w:val="20"/>
          <w:szCs w:val="20"/>
        </w:rPr>
        <w:t xml:space="preserve">Interest income which arises out of surplus funds generated out of export business profits and kept in short-term deposits with banks pending utilization in such business as soon as circumstances permit, would also bear the character of business income as such income arises from the ‘business activity of deposit of the business asset with banks’, as held in the case of </w:t>
      </w:r>
      <w:r w:rsidRPr="002D0315">
        <w:rPr>
          <w:rFonts w:ascii="Verdana" w:eastAsia="Times New Roman" w:hAnsi="Verdana" w:cs="Times New Roman"/>
          <w:i/>
          <w:iCs/>
          <w:sz w:val="20"/>
          <w:szCs w:val="20"/>
        </w:rPr>
        <w:t>CIT vs. Cochin Refineries Ltd. (1985) 154 ITR 345 (Ker.).</w:t>
      </w:r>
      <w:r w:rsidRPr="002D0315">
        <w:rPr>
          <w:rFonts w:ascii="Verdana" w:eastAsia="Times New Roman" w:hAnsi="Verdana" w:cs="Times New Roman"/>
          <w:sz w:val="20"/>
          <w:szCs w:val="20"/>
        </w:rPr>
        <w:t xml:space="preserve"> Surplus funds which have arisen out of business profits are the commercial or trading assets of the assessee. The exploitation of such assets yields income which has to be looked upon as business income. Such assets may be exploited directly by the assessee himself or the assessee may derive income by allowing others, temporarily, to exploit the same. In both cases the income earned would still be the assessee’s business income, vide </w:t>
      </w:r>
      <w:r w:rsidRPr="002D0315">
        <w:rPr>
          <w:rFonts w:ascii="Verdana" w:eastAsia="Times New Roman" w:hAnsi="Verdana" w:cs="Times New Roman"/>
          <w:i/>
          <w:iCs/>
          <w:sz w:val="20"/>
          <w:szCs w:val="20"/>
        </w:rPr>
        <w:t>Shri Lakshmi Silk Mills Ltd.’s vs. Commissioner of Excess Profits Tax (1951) 20 ITR 451 (SC).</w:t>
      </w:r>
    </w:p>
    <w:p w:rsidR="002D0315" w:rsidRPr="002D0315" w:rsidRDefault="002D0315" w:rsidP="002D0315">
      <w:pPr>
        <w:spacing w:before="100" w:beforeAutospacing="1" w:after="100" w:afterAutospacing="1" w:line="240" w:lineRule="auto"/>
        <w:rPr>
          <w:rFonts w:ascii="Candara" w:eastAsia="Times New Roman" w:hAnsi="Candara" w:cs="Times New Roman"/>
          <w:b/>
          <w:bCs/>
          <w:i/>
          <w:iCs/>
          <w:sz w:val="24"/>
          <w:szCs w:val="24"/>
        </w:rPr>
      </w:pPr>
      <w:r w:rsidRPr="002D0315">
        <w:rPr>
          <w:rFonts w:ascii="Verdana" w:eastAsia="Times New Roman" w:hAnsi="Verdana" w:cs="Times New Roman"/>
          <w:b/>
          <w:bCs/>
          <w:i/>
          <w:iCs/>
          <w:sz w:val="20"/>
          <w:szCs w:val="20"/>
        </w:rPr>
        <w:t xml:space="preserve">Q.9 In the original assessment completed under section 143(3) the long term capital loss was wrongly arrived due to difference in the value of land adopted. There was also wrong calculation of depreciation in terms of the rate of depreciation adopted during the assessment year 2006-2007 i. e. previous year ending 31-3-2006 </w:t>
      </w:r>
      <w:proofErr w:type="gramStart"/>
      <w:r w:rsidRPr="002D0315">
        <w:rPr>
          <w:rFonts w:ascii="Verdana" w:eastAsia="Times New Roman" w:hAnsi="Verdana" w:cs="Times New Roman"/>
          <w:b/>
          <w:bCs/>
          <w:i/>
          <w:iCs/>
          <w:sz w:val="20"/>
          <w:szCs w:val="20"/>
        </w:rPr>
        <w:t>On</w:t>
      </w:r>
      <w:proofErr w:type="gramEnd"/>
      <w:r w:rsidRPr="002D0315">
        <w:rPr>
          <w:rFonts w:ascii="Verdana" w:eastAsia="Times New Roman" w:hAnsi="Verdana" w:cs="Times New Roman"/>
          <w:b/>
          <w:bCs/>
          <w:i/>
          <w:iCs/>
          <w:sz w:val="20"/>
          <w:szCs w:val="20"/>
        </w:rPr>
        <w:t xml:space="preserve"> these facts whether the assessment can be reopened on the premise that there was escapement of income assessed?</w:t>
      </w:r>
    </w:p>
    <w:p w:rsidR="002D0315" w:rsidRPr="002D0315" w:rsidRDefault="002D0315" w:rsidP="002D0315">
      <w:pPr>
        <w:spacing w:before="100" w:beforeAutospacing="1" w:after="100" w:afterAutospacing="1" w:line="240" w:lineRule="auto"/>
        <w:rPr>
          <w:rFonts w:ascii="Verdana" w:eastAsia="Times New Roman" w:hAnsi="Verdana" w:cs="Times New Roman"/>
          <w:b/>
          <w:bCs/>
          <w:sz w:val="20"/>
          <w:szCs w:val="20"/>
        </w:rPr>
      </w:pPr>
      <w:r w:rsidRPr="002D0315">
        <w:rPr>
          <w:rFonts w:ascii="Verdana" w:eastAsia="Times New Roman" w:hAnsi="Verdana" w:cs="Times New Roman"/>
          <w:b/>
          <w:bCs/>
          <w:sz w:val="20"/>
          <w:szCs w:val="20"/>
        </w:rPr>
        <w:t xml:space="preserve">Ans. Reassessment </w:t>
      </w:r>
      <w:proofErr w:type="gramStart"/>
      <w:r w:rsidRPr="002D0315">
        <w:rPr>
          <w:rFonts w:ascii="Verdana" w:eastAsia="Times New Roman" w:hAnsi="Verdana" w:cs="Times New Roman"/>
          <w:b/>
          <w:bCs/>
          <w:sz w:val="20"/>
          <w:szCs w:val="20"/>
        </w:rPr>
        <w:t>Notice :</w:t>
      </w:r>
      <w:proofErr w:type="gramEnd"/>
    </w:p>
    <w:p w:rsidR="002D0315" w:rsidRPr="002D0315" w:rsidRDefault="002D0315" w:rsidP="002D0315">
      <w:pPr>
        <w:spacing w:before="100" w:beforeAutospacing="1" w:after="100" w:afterAutospacing="1" w:line="240" w:lineRule="auto"/>
        <w:rPr>
          <w:rFonts w:ascii="Verdana" w:eastAsia="Times New Roman" w:hAnsi="Verdana" w:cs="Times New Roman"/>
          <w:sz w:val="20"/>
          <w:szCs w:val="20"/>
        </w:rPr>
      </w:pPr>
      <w:r w:rsidRPr="002D0315">
        <w:rPr>
          <w:rFonts w:ascii="Verdana" w:eastAsia="Times New Roman" w:hAnsi="Verdana" w:cs="Times New Roman"/>
          <w:sz w:val="20"/>
          <w:szCs w:val="20"/>
        </w:rPr>
        <w:t>Though original assessment was completed u/s. 143(3) of the Act but admittedly (i) the long term capital loss was wrongly arrived and there was wrong calculation of depreciation. Hence, there had been an under assessment or income chargeable to tax has escaped assessment within the meaning of Explanation 2(iv) of Section 147 of the Act. Clause (</w:t>
      </w:r>
      <w:proofErr w:type="gramStart"/>
      <w:r w:rsidRPr="002D0315">
        <w:rPr>
          <w:rFonts w:ascii="Verdana" w:eastAsia="Times New Roman" w:hAnsi="Verdana" w:cs="Times New Roman"/>
          <w:sz w:val="20"/>
          <w:szCs w:val="20"/>
        </w:rPr>
        <w:t>iv</w:t>
      </w:r>
      <w:proofErr w:type="gramEnd"/>
      <w:r w:rsidRPr="002D0315">
        <w:rPr>
          <w:rFonts w:ascii="Verdana" w:eastAsia="Times New Roman" w:hAnsi="Verdana" w:cs="Times New Roman"/>
          <w:sz w:val="20"/>
          <w:szCs w:val="20"/>
        </w:rPr>
        <w:t xml:space="preserve">) deals with the case where excessive loss or depreciation allowance or any other allowance </w:t>
      </w:r>
      <w:r w:rsidRPr="002D0315">
        <w:rPr>
          <w:rFonts w:ascii="Verdana" w:eastAsia="Times New Roman" w:hAnsi="Verdana" w:cs="Times New Roman"/>
          <w:sz w:val="20"/>
          <w:szCs w:val="20"/>
        </w:rPr>
        <w:lastRenderedPageBreak/>
        <w:t>under this Act has been computed. In the example, excessive capital loss has been computed and excessive depreciation has been allowed. Hence, clause (</w:t>
      </w:r>
      <w:proofErr w:type="gramStart"/>
      <w:r w:rsidRPr="002D0315">
        <w:rPr>
          <w:rFonts w:ascii="Verdana" w:eastAsia="Times New Roman" w:hAnsi="Verdana" w:cs="Times New Roman"/>
          <w:sz w:val="20"/>
          <w:szCs w:val="20"/>
        </w:rPr>
        <w:t>iv</w:t>
      </w:r>
      <w:proofErr w:type="gramEnd"/>
      <w:r w:rsidRPr="002D0315">
        <w:rPr>
          <w:rFonts w:ascii="Verdana" w:eastAsia="Times New Roman" w:hAnsi="Verdana" w:cs="Times New Roman"/>
          <w:sz w:val="20"/>
          <w:szCs w:val="20"/>
        </w:rPr>
        <w:t xml:space="preserve">) has been attracted. There is therefore a case of income escaping assessment. Such assessment can be reopened within a period of 4 years. </w:t>
      </w:r>
    </w:p>
    <w:p w:rsidR="002D0315" w:rsidRPr="002D0315" w:rsidRDefault="002D0315" w:rsidP="002D0315">
      <w:pPr>
        <w:spacing w:before="100" w:beforeAutospacing="1" w:after="100" w:afterAutospacing="1" w:line="240" w:lineRule="auto"/>
        <w:rPr>
          <w:rFonts w:ascii="Verdana" w:eastAsia="Times New Roman" w:hAnsi="Verdana" w:cs="Times New Roman"/>
          <w:sz w:val="20"/>
          <w:szCs w:val="20"/>
        </w:rPr>
      </w:pPr>
      <w:r w:rsidRPr="002D0315">
        <w:rPr>
          <w:rFonts w:ascii="Verdana" w:eastAsia="Times New Roman" w:hAnsi="Verdana" w:cs="Times New Roman"/>
          <w:sz w:val="20"/>
          <w:szCs w:val="20"/>
        </w:rPr>
        <w:t xml:space="preserve">As per the First proviso it may be noted that once the scrutiny assessment under section 143 (3) or re-assessment under section 147 has been made for a particular AY the AO cannot initiate any action to carry out the re-assessment under section 147 beyond the period of 4 years from the end of the relevant AY. However, if there is any failure on the part of the assessee to disclose fully and truly all material facts necessary for the assessment for that AY, the AO is empowered to make re-assessment beyond the period of 4 years from the end of the relevant AY. The time limit to initiate re-assessment has to be in conjoint with the time limit as mandated under section 149 (i.e., 4 years or 6 years). Therefore, in order to assume jurisdiction under section 147 after the expiry of 4 years from the end of the relevant AY, the AO must have ‘reason to believe’ that the income of the assessee has escaped assessment and that such escapement is by reason of failure on the part of the assessee to disclose fully and truly all material facts necessary for his assessment. Further, in the reasons recorded, the AO has to allege that the escapement of income is due to failure of the assessee specified in the first proviso as per </w:t>
      </w:r>
      <w:r w:rsidRPr="002D0315">
        <w:rPr>
          <w:rFonts w:ascii="Verdana" w:eastAsia="Times New Roman" w:hAnsi="Verdana" w:cs="Times New Roman"/>
          <w:i/>
          <w:iCs/>
          <w:sz w:val="20"/>
          <w:szCs w:val="20"/>
        </w:rPr>
        <w:t xml:space="preserve">JSRS Udyog Limited and another vs. ITO [2009] 313 ITR 321 (Delhi) HC. </w:t>
      </w:r>
    </w:p>
    <w:p w:rsidR="002D0315" w:rsidRPr="002D0315" w:rsidRDefault="002D0315" w:rsidP="002D0315">
      <w:pPr>
        <w:spacing w:before="100" w:beforeAutospacing="1" w:after="100" w:afterAutospacing="1" w:line="240" w:lineRule="auto"/>
        <w:rPr>
          <w:rFonts w:ascii="Verdana" w:eastAsia="Times New Roman" w:hAnsi="Verdana" w:cs="Times New Roman"/>
          <w:sz w:val="20"/>
          <w:szCs w:val="20"/>
        </w:rPr>
      </w:pPr>
      <w:r w:rsidRPr="002D0315">
        <w:rPr>
          <w:rFonts w:ascii="Verdana" w:eastAsia="Times New Roman" w:hAnsi="Verdana" w:cs="Times New Roman"/>
          <w:sz w:val="20"/>
          <w:szCs w:val="20"/>
        </w:rPr>
        <w:t xml:space="preserve">In the case of </w:t>
      </w:r>
      <w:r w:rsidRPr="002D0315">
        <w:rPr>
          <w:rFonts w:ascii="Verdana" w:eastAsia="Times New Roman" w:hAnsi="Verdana" w:cs="Times New Roman"/>
          <w:i/>
          <w:iCs/>
          <w:sz w:val="20"/>
          <w:szCs w:val="20"/>
        </w:rPr>
        <w:t>VXL India Ltd. vs. Asst. CIT [1995] 215 ITR 295</w:t>
      </w:r>
      <w:r w:rsidRPr="002D0315">
        <w:rPr>
          <w:rFonts w:ascii="Verdana" w:eastAsia="Times New Roman" w:hAnsi="Verdana" w:cs="Times New Roman"/>
          <w:sz w:val="20"/>
          <w:szCs w:val="20"/>
        </w:rPr>
        <w:t xml:space="preserve"> the Gujarat High Court has held that in a case where the Assessing Officer holds the opinion that because of excessive loss or depreciation allowance the income has escaped assessment, the reasons recorded by the Assessing Officer must disclose by what process of reasoning he holds such belief that excessive loss or depreciation allowance has been computed in the original assessment. </w:t>
      </w:r>
      <w:proofErr w:type="gramStart"/>
      <w:r w:rsidRPr="002D0315">
        <w:rPr>
          <w:rFonts w:ascii="Verdana" w:eastAsia="Times New Roman" w:hAnsi="Verdana" w:cs="Times New Roman"/>
          <w:sz w:val="20"/>
          <w:szCs w:val="20"/>
        </w:rPr>
        <w:t>Merely saying that excessive loss or depreciation allowance has been computed without disclosing reasons which led the assessing authority to hold such belief, does not confer jurisdiction on the Assessing Officer to take action under sections 147 and 148 of the Act.</w:t>
      </w:r>
      <w:proofErr w:type="gramEnd"/>
      <w:r w:rsidRPr="002D0315">
        <w:rPr>
          <w:rFonts w:ascii="Verdana" w:eastAsia="Times New Roman" w:hAnsi="Verdana" w:cs="Times New Roman"/>
          <w:sz w:val="20"/>
          <w:szCs w:val="20"/>
        </w:rPr>
        <w:t xml:space="preserve"> The Supreme Court in </w:t>
      </w:r>
      <w:r w:rsidRPr="002D0315">
        <w:rPr>
          <w:rFonts w:ascii="Verdana" w:eastAsia="Times New Roman" w:hAnsi="Verdana" w:cs="Times New Roman"/>
          <w:i/>
          <w:iCs/>
          <w:sz w:val="20"/>
          <w:szCs w:val="20"/>
        </w:rPr>
        <w:t>CIT, Delhi vs. M/s Kelvinator Of India Limited [2010] 320 ITR 561 (SC)</w:t>
      </w:r>
      <w:r w:rsidRPr="002D0315">
        <w:rPr>
          <w:rFonts w:ascii="Verdana" w:eastAsia="Times New Roman" w:hAnsi="Verdana" w:cs="Times New Roman"/>
          <w:sz w:val="20"/>
          <w:szCs w:val="20"/>
        </w:rPr>
        <w:t xml:space="preserve"> held mere change of opinion is no good reason. : "One must treat the concept of "change of opinion" as an in-built test to check abuse of power by the Assessing Officer. Hence, after 1st April, 1989, Assessing Officer has power to re-open, provided there is "tangible material" to come to the conclusion that there is escapement of income from assessment. Reasons must have a live link with the formation of the belief." On fulfilling conditions precedent, can be re-opened beyond 4 years.</w:t>
      </w:r>
    </w:p>
    <w:p w:rsidR="002D0315" w:rsidRPr="002D0315" w:rsidRDefault="002D0315" w:rsidP="002D0315">
      <w:pPr>
        <w:spacing w:before="100" w:beforeAutospacing="1" w:after="100" w:afterAutospacing="1" w:line="240" w:lineRule="auto"/>
        <w:rPr>
          <w:rFonts w:ascii="Candara" w:eastAsia="Times New Roman" w:hAnsi="Candara" w:cs="Times New Roman"/>
          <w:b/>
          <w:bCs/>
          <w:i/>
          <w:iCs/>
          <w:sz w:val="24"/>
          <w:szCs w:val="24"/>
        </w:rPr>
      </w:pPr>
      <w:r w:rsidRPr="002D0315">
        <w:rPr>
          <w:rFonts w:ascii="Verdana" w:eastAsia="Times New Roman" w:hAnsi="Verdana" w:cs="Times New Roman"/>
          <w:b/>
          <w:bCs/>
          <w:i/>
          <w:iCs/>
          <w:sz w:val="20"/>
          <w:szCs w:val="20"/>
        </w:rPr>
        <w:t xml:space="preserve">Q.10 In the course of assessment proceedings a letter was given by an assessee offering further income to have piece of mind in the matter of certain discrepancy in the capital account arising out of investments made and to avoid further scrutiny. The same was accepted by the assessing officer who completed the assessment. As a consequence additional demand has arisen. Considering the said additional demand the assessing officer charged interest u/s 234A and 234B of the I.T. Act? Is the assessing officer justified in the levy of such </w:t>
      </w:r>
      <w:proofErr w:type="gramStart"/>
      <w:r w:rsidRPr="002D0315">
        <w:rPr>
          <w:rFonts w:ascii="Verdana" w:eastAsia="Times New Roman" w:hAnsi="Verdana" w:cs="Times New Roman"/>
          <w:b/>
          <w:bCs/>
          <w:i/>
          <w:iCs/>
          <w:sz w:val="20"/>
          <w:szCs w:val="20"/>
        </w:rPr>
        <w:t>interest</w:t>
      </w:r>
      <w:proofErr w:type="gramEnd"/>
    </w:p>
    <w:p w:rsidR="002D0315" w:rsidRPr="002D0315" w:rsidRDefault="002D0315" w:rsidP="002D0315">
      <w:pPr>
        <w:spacing w:before="100" w:beforeAutospacing="1" w:after="100" w:afterAutospacing="1" w:line="240" w:lineRule="auto"/>
        <w:rPr>
          <w:rFonts w:ascii="Verdana" w:eastAsia="Times New Roman" w:hAnsi="Verdana" w:cs="Times New Roman"/>
          <w:b/>
          <w:bCs/>
          <w:sz w:val="20"/>
          <w:szCs w:val="20"/>
        </w:rPr>
      </w:pPr>
      <w:r w:rsidRPr="002D0315">
        <w:rPr>
          <w:rFonts w:ascii="Verdana" w:eastAsia="Times New Roman" w:hAnsi="Verdana" w:cs="Times New Roman"/>
          <w:b/>
          <w:bCs/>
          <w:sz w:val="20"/>
          <w:szCs w:val="20"/>
        </w:rPr>
        <w:t xml:space="preserve">Ans. Charging of </w:t>
      </w:r>
      <w:proofErr w:type="gramStart"/>
      <w:r w:rsidRPr="002D0315">
        <w:rPr>
          <w:rFonts w:ascii="Verdana" w:eastAsia="Times New Roman" w:hAnsi="Verdana" w:cs="Times New Roman"/>
          <w:b/>
          <w:bCs/>
          <w:sz w:val="20"/>
          <w:szCs w:val="20"/>
        </w:rPr>
        <w:t>interest :</w:t>
      </w:r>
      <w:proofErr w:type="gramEnd"/>
    </w:p>
    <w:p w:rsidR="002D0315" w:rsidRPr="002D0315" w:rsidRDefault="002D0315" w:rsidP="002D0315">
      <w:pPr>
        <w:spacing w:before="100" w:beforeAutospacing="1" w:after="100" w:afterAutospacing="1" w:line="240" w:lineRule="auto"/>
        <w:rPr>
          <w:rFonts w:ascii="Verdana" w:eastAsia="Times New Roman" w:hAnsi="Verdana" w:cs="Times New Roman"/>
          <w:sz w:val="20"/>
          <w:szCs w:val="20"/>
        </w:rPr>
      </w:pPr>
      <w:r w:rsidRPr="002D0315">
        <w:rPr>
          <w:rFonts w:ascii="Verdana" w:eastAsia="Times New Roman" w:hAnsi="Verdana" w:cs="Times New Roman"/>
          <w:sz w:val="20"/>
          <w:szCs w:val="20"/>
        </w:rPr>
        <w:t xml:space="preserve">The discrepancy was noticed, was accepted by the assessee during the assessment proceedings and assessment was completed on such offered income. In such circumstances, the Karnataka High Court in </w:t>
      </w:r>
      <w:r w:rsidRPr="002D0315">
        <w:rPr>
          <w:rFonts w:ascii="Verdana" w:eastAsia="Times New Roman" w:hAnsi="Verdana" w:cs="Times New Roman"/>
          <w:i/>
          <w:iCs/>
          <w:sz w:val="20"/>
          <w:szCs w:val="20"/>
        </w:rPr>
        <w:t>TP Indra Kumar vs. ITO (2010) 322 ITR 454</w:t>
      </w:r>
      <w:r w:rsidRPr="002D0315">
        <w:rPr>
          <w:rFonts w:ascii="Verdana" w:eastAsia="Times New Roman" w:hAnsi="Verdana" w:cs="Times New Roman"/>
          <w:sz w:val="20"/>
          <w:szCs w:val="20"/>
        </w:rPr>
        <w:t xml:space="preserve"> held that the amount offered by way of income as per the letter, to have piece of mind in the matter, to avoid further adverse consequence, the Assessing Authority having acted upon this </w:t>
      </w:r>
      <w:r w:rsidRPr="002D0315">
        <w:rPr>
          <w:rFonts w:ascii="Verdana" w:eastAsia="Times New Roman" w:hAnsi="Verdana" w:cs="Times New Roman"/>
          <w:sz w:val="20"/>
          <w:szCs w:val="20"/>
        </w:rPr>
        <w:lastRenderedPageBreak/>
        <w:t xml:space="preserve">proposition of the assessee, levy of interest u/s. 234A and 234B was not necessary and not justified having regard to the peculiar facts and circumstances of this case. However, the said view needs reconsideration. Sec. 234B and the circular issued by the Board do not justify non-levy of interest. </w:t>
      </w:r>
    </w:p>
    <w:p w:rsidR="002D0315" w:rsidRPr="002D0315" w:rsidRDefault="002D0315" w:rsidP="002D0315">
      <w:pPr>
        <w:spacing w:before="100" w:beforeAutospacing="1" w:after="100" w:afterAutospacing="1" w:line="240" w:lineRule="auto"/>
        <w:rPr>
          <w:rFonts w:ascii="Verdana" w:eastAsia="Times New Roman" w:hAnsi="Verdana" w:cs="Times New Roman"/>
          <w:sz w:val="20"/>
          <w:szCs w:val="20"/>
        </w:rPr>
      </w:pPr>
      <w:r w:rsidRPr="002D0315">
        <w:rPr>
          <w:rFonts w:ascii="Verdana" w:eastAsia="Times New Roman" w:hAnsi="Verdana" w:cs="Times New Roman"/>
          <w:sz w:val="20"/>
          <w:szCs w:val="20"/>
        </w:rPr>
        <w:t xml:space="preserve">There is a difference between section 234A and section 234B in as much as the former would apply for failure to furnish the return/belated filing of return whereas the latter would apply for default in payment of advance tax. For section 234B to apply, firstly it is necessary to establish that the assessee is liable to pay advance tax under section 208. In other words, if one is able to establish that the </w:t>
      </w:r>
      <w:proofErr w:type="gramStart"/>
      <w:r w:rsidRPr="002D0315">
        <w:rPr>
          <w:rFonts w:ascii="Verdana" w:eastAsia="Times New Roman" w:hAnsi="Verdana" w:cs="Times New Roman"/>
          <w:sz w:val="20"/>
          <w:szCs w:val="20"/>
        </w:rPr>
        <w:t>assessee,</w:t>
      </w:r>
      <w:proofErr w:type="gramEnd"/>
      <w:r w:rsidRPr="002D0315">
        <w:rPr>
          <w:rFonts w:ascii="Verdana" w:eastAsia="Times New Roman" w:hAnsi="Verdana" w:cs="Times New Roman"/>
          <w:sz w:val="20"/>
          <w:szCs w:val="20"/>
        </w:rPr>
        <w:t xml:space="preserve"> is not liable to pay advance tax under section 208, the liability to pay interest under the section cannot be fastened. However, take a case where, an assessee is liable to pay advance tax as per section 208 and has paid advance tax on his current income. Subsequently, additions are made in the course of regular assessment and these additions could not have been taken into consideration while estimating the current income. </w:t>
      </w:r>
      <w:proofErr w:type="gramStart"/>
      <w:r w:rsidRPr="002D0315">
        <w:rPr>
          <w:rFonts w:ascii="Verdana" w:eastAsia="Times New Roman" w:hAnsi="Verdana" w:cs="Times New Roman"/>
          <w:sz w:val="20"/>
          <w:szCs w:val="20"/>
        </w:rPr>
        <w:t>This being a case where the liability to pay advance tax exists but the items of additions couldn’t have been part of current income.</w:t>
      </w:r>
      <w:proofErr w:type="gramEnd"/>
      <w:r w:rsidRPr="002D0315">
        <w:rPr>
          <w:rFonts w:ascii="Verdana" w:eastAsia="Times New Roman" w:hAnsi="Verdana" w:cs="Times New Roman"/>
          <w:sz w:val="20"/>
          <w:szCs w:val="20"/>
        </w:rPr>
        <w:t xml:space="preserve"> In such case, the primary condition of section 234B being satisfied, the only question that remains is whether such additions form part of assessed tax. If one looks at the definition of assessed tax as per Explanation1 to section 234B, it is clear that the assessed tax means the tax on total income determined under section 143 (1) and where regular assessment was made, the tax on the total income determined under such regular assessment. Therefore, once the liability to pay advance tax is crystallised, it is not possible to take certain amounts out of assessed tax while computing interest under section 234B. </w:t>
      </w:r>
    </w:p>
    <w:p w:rsidR="002D0315" w:rsidRPr="002D0315" w:rsidRDefault="002D0315" w:rsidP="002D0315">
      <w:pPr>
        <w:spacing w:before="100" w:beforeAutospacing="1" w:after="100" w:afterAutospacing="1" w:line="240" w:lineRule="auto"/>
        <w:rPr>
          <w:rFonts w:ascii="Candara" w:eastAsia="Times New Roman" w:hAnsi="Candara" w:cs="Times New Roman"/>
          <w:b/>
          <w:bCs/>
          <w:i/>
          <w:iCs/>
          <w:sz w:val="24"/>
          <w:szCs w:val="24"/>
        </w:rPr>
      </w:pPr>
      <w:r w:rsidRPr="002D0315">
        <w:rPr>
          <w:rFonts w:ascii="Verdana" w:eastAsia="Times New Roman" w:hAnsi="Verdana" w:cs="Times New Roman"/>
          <w:b/>
          <w:bCs/>
          <w:i/>
          <w:iCs/>
          <w:sz w:val="20"/>
          <w:szCs w:val="20"/>
        </w:rPr>
        <w:t xml:space="preserve">Q.11. </w:t>
      </w:r>
      <w:proofErr w:type="gramStart"/>
      <w:r w:rsidRPr="002D0315">
        <w:rPr>
          <w:rFonts w:ascii="Verdana" w:eastAsia="Times New Roman" w:hAnsi="Verdana" w:cs="Times New Roman"/>
          <w:b/>
          <w:bCs/>
          <w:i/>
          <w:iCs/>
          <w:sz w:val="20"/>
          <w:szCs w:val="20"/>
        </w:rPr>
        <w:t>Whether</w:t>
      </w:r>
      <w:proofErr w:type="gramEnd"/>
      <w:r w:rsidRPr="002D0315">
        <w:rPr>
          <w:rFonts w:ascii="Verdana" w:eastAsia="Times New Roman" w:hAnsi="Verdana" w:cs="Times New Roman"/>
          <w:b/>
          <w:bCs/>
          <w:i/>
          <w:iCs/>
          <w:sz w:val="20"/>
          <w:szCs w:val="20"/>
        </w:rPr>
        <w:t xml:space="preserve"> the provision of section 50C of the I T Act shall apply in the case of sale of ‘tenancy rights’?</w:t>
      </w:r>
    </w:p>
    <w:p w:rsidR="002D0315" w:rsidRPr="002D0315" w:rsidRDefault="002D0315" w:rsidP="002D0315">
      <w:pPr>
        <w:spacing w:before="100" w:beforeAutospacing="1" w:after="100" w:afterAutospacing="1" w:line="240" w:lineRule="auto"/>
        <w:rPr>
          <w:rFonts w:ascii="Verdana" w:eastAsia="Times New Roman" w:hAnsi="Verdana" w:cs="Times New Roman"/>
          <w:b/>
          <w:bCs/>
          <w:sz w:val="20"/>
          <w:szCs w:val="20"/>
        </w:rPr>
      </w:pPr>
      <w:r w:rsidRPr="002D0315">
        <w:rPr>
          <w:rFonts w:ascii="Verdana" w:eastAsia="Times New Roman" w:hAnsi="Verdana" w:cs="Times New Roman"/>
          <w:b/>
          <w:bCs/>
          <w:sz w:val="20"/>
          <w:szCs w:val="20"/>
        </w:rPr>
        <w:t>Ans. Tenancy rights Sec.50C.</w:t>
      </w:r>
    </w:p>
    <w:p w:rsidR="002D0315" w:rsidRPr="002D0315" w:rsidRDefault="002D0315" w:rsidP="002D0315">
      <w:pPr>
        <w:spacing w:before="100" w:beforeAutospacing="1" w:after="100" w:afterAutospacing="1" w:line="240" w:lineRule="auto"/>
        <w:rPr>
          <w:rFonts w:ascii="Verdana" w:eastAsia="Times New Roman" w:hAnsi="Verdana" w:cs="Times New Roman"/>
          <w:sz w:val="20"/>
          <w:szCs w:val="20"/>
        </w:rPr>
      </w:pPr>
      <w:r w:rsidRPr="002D0315">
        <w:rPr>
          <w:rFonts w:ascii="Verdana" w:eastAsia="Times New Roman" w:hAnsi="Verdana" w:cs="Times New Roman"/>
          <w:sz w:val="20"/>
          <w:szCs w:val="20"/>
        </w:rPr>
        <w:t xml:space="preserve">Sec. 50C is applicable where the consideration received or accruing as a result of transfer by an asessee of a capital asset, being land or building or both, is less than the value adopted or assessed or assessable by a State Stamp Valuation Authority. Registration of a transfer of tenancy right is compulsory when tenancy is for more than 11 months. If tenancy is for more than 11 months it may be considered as lease. Lease is a capital asset as as held by the Supreme Court in </w:t>
      </w:r>
      <w:r w:rsidRPr="002D0315">
        <w:rPr>
          <w:rFonts w:ascii="Verdana" w:eastAsia="Times New Roman" w:hAnsi="Verdana" w:cs="Times New Roman"/>
          <w:i/>
          <w:iCs/>
          <w:sz w:val="20"/>
          <w:szCs w:val="20"/>
        </w:rPr>
        <w:t>R.K.B. vs. CIT (1988) 172 ITR 311</w:t>
      </w:r>
      <w:r w:rsidRPr="002D0315">
        <w:rPr>
          <w:rFonts w:ascii="Verdana" w:eastAsia="Times New Roman" w:hAnsi="Verdana" w:cs="Times New Roman"/>
          <w:sz w:val="20"/>
          <w:szCs w:val="20"/>
        </w:rPr>
        <w:t xml:space="preserve"> and in </w:t>
      </w:r>
      <w:r w:rsidRPr="002D0315">
        <w:rPr>
          <w:rFonts w:ascii="Verdana" w:eastAsia="Times New Roman" w:hAnsi="Verdana" w:cs="Times New Roman"/>
          <w:i/>
          <w:iCs/>
          <w:sz w:val="20"/>
          <w:szCs w:val="20"/>
        </w:rPr>
        <w:t xml:space="preserve">A.R. Krishna Murthy and others vs. CIT (1989) 176 ITR 417. </w:t>
      </w:r>
      <w:r w:rsidRPr="002D0315">
        <w:rPr>
          <w:rFonts w:ascii="Verdana" w:eastAsia="Times New Roman" w:hAnsi="Verdana" w:cs="Times New Roman"/>
          <w:sz w:val="20"/>
          <w:szCs w:val="20"/>
        </w:rPr>
        <w:t>Hence on sale of leasehold rights, the provisions of sec.50C of the I.T. Act shall apply. It may be mentioned that lease creates an interest in property and confers right to hold, use, occupy and exploit for the specified years.</w:t>
      </w:r>
    </w:p>
    <w:p w:rsidR="002D0315" w:rsidRPr="002D0315" w:rsidRDefault="002D0315" w:rsidP="002D0315">
      <w:pPr>
        <w:spacing w:before="100" w:beforeAutospacing="1" w:after="100" w:afterAutospacing="1" w:line="240" w:lineRule="auto"/>
        <w:rPr>
          <w:rFonts w:ascii="Verdana" w:eastAsia="Times New Roman" w:hAnsi="Verdana" w:cs="Times New Roman"/>
          <w:sz w:val="20"/>
          <w:szCs w:val="20"/>
        </w:rPr>
      </w:pPr>
      <w:r w:rsidRPr="002D0315">
        <w:rPr>
          <w:rFonts w:ascii="Verdana" w:eastAsia="Times New Roman" w:hAnsi="Verdana" w:cs="Times New Roman"/>
          <w:sz w:val="20"/>
          <w:szCs w:val="20"/>
        </w:rPr>
        <w:t xml:space="preserve">The phrase ‘land or building or </w:t>
      </w:r>
      <w:proofErr w:type="gramStart"/>
      <w:r w:rsidRPr="002D0315">
        <w:rPr>
          <w:rFonts w:ascii="Verdana" w:eastAsia="Times New Roman" w:hAnsi="Verdana" w:cs="Times New Roman"/>
          <w:sz w:val="20"/>
          <w:szCs w:val="20"/>
        </w:rPr>
        <w:t>both‘ has</w:t>
      </w:r>
      <w:proofErr w:type="gramEnd"/>
      <w:r w:rsidRPr="002D0315">
        <w:rPr>
          <w:rFonts w:ascii="Verdana" w:eastAsia="Times New Roman" w:hAnsi="Verdana" w:cs="Times New Roman"/>
          <w:sz w:val="20"/>
          <w:szCs w:val="20"/>
        </w:rPr>
        <w:t xml:space="preserve"> not been defined in section 50C. Even in section 13 (2) (b), the phrase ‘land, building or other property’ has been used without the definition. In Explanation2 (a) to section 35 (2), it is stated that "land" includes any interest in land. In Explanation (a) (i) &amp; (ii) to section 35D, </w:t>
      </w:r>
      <w:proofErr w:type="gramStart"/>
      <w:r w:rsidRPr="002D0315">
        <w:rPr>
          <w:rFonts w:ascii="Verdana" w:eastAsia="Times New Roman" w:hAnsi="Verdana" w:cs="Times New Roman"/>
          <w:sz w:val="20"/>
          <w:szCs w:val="20"/>
        </w:rPr>
        <w:t>‘leaseholds‘ although</w:t>
      </w:r>
      <w:proofErr w:type="gramEnd"/>
      <w:r w:rsidRPr="002D0315">
        <w:rPr>
          <w:rFonts w:ascii="Verdana" w:eastAsia="Times New Roman" w:hAnsi="Verdana" w:cs="Times New Roman"/>
          <w:sz w:val="20"/>
          <w:szCs w:val="20"/>
        </w:rPr>
        <w:t xml:space="preserve"> constitutes an interest in land has been specifically named after land and buildings. Section 54D, section 54G and section 54 GA all refer to land or building or any right in land or building. Explanation (d</w:t>
      </w:r>
      <w:proofErr w:type="gramStart"/>
      <w:r w:rsidRPr="002D0315">
        <w:rPr>
          <w:rFonts w:ascii="Verdana" w:eastAsia="Times New Roman" w:hAnsi="Verdana" w:cs="Times New Roman"/>
          <w:sz w:val="20"/>
          <w:szCs w:val="20"/>
        </w:rPr>
        <w:t>)(</w:t>
      </w:r>
      <w:proofErr w:type="gramEnd"/>
      <w:r w:rsidRPr="002D0315">
        <w:rPr>
          <w:rFonts w:ascii="Verdana" w:eastAsia="Times New Roman" w:hAnsi="Verdana" w:cs="Times New Roman"/>
          <w:sz w:val="20"/>
          <w:szCs w:val="20"/>
        </w:rPr>
        <w:t xml:space="preserve">i) to Section 56 (2) (vii) refers to immovable property being land or building or both. Explanation to section 155 (5A) provides that where an assessee having any leasehold or other right of occupancy in any land transfers such right, he shall be deemed to have sold or otherwise transferred such land. Explanation (i) to section 194I refers to (a) land; or (b) building including factory building); or (c) land appurtenant to a building (including factory building). Explanation to section 269A(e)(i) provides that land, building, part of a building, machinery, plant, furniture, fittings and other things include any rights therein. Similar is the definition </w:t>
      </w:r>
      <w:r w:rsidRPr="002D0315">
        <w:rPr>
          <w:rFonts w:ascii="Verdana" w:eastAsia="Times New Roman" w:hAnsi="Verdana" w:cs="Times New Roman"/>
          <w:sz w:val="20"/>
          <w:szCs w:val="20"/>
        </w:rPr>
        <w:lastRenderedPageBreak/>
        <w:t xml:space="preserve">given in Explanation to section </w:t>
      </w:r>
      <w:proofErr w:type="gramStart"/>
      <w:r w:rsidRPr="002D0315">
        <w:rPr>
          <w:rFonts w:ascii="Verdana" w:eastAsia="Times New Roman" w:hAnsi="Verdana" w:cs="Times New Roman"/>
          <w:sz w:val="20"/>
          <w:szCs w:val="20"/>
        </w:rPr>
        <w:t>269UA(</w:t>
      </w:r>
      <w:proofErr w:type="gramEnd"/>
      <w:r w:rsidRPr="002D0315">
        <w:rPr>
          <w:rFonts w:ascii="Verdana" w:eastAsia="Times New Roman" w:hAnsi="Verdana" w:cs="Times New Roman"/>
          <w:sz w:val="20"/>
          <w:szCs w:val="20"/>
        </w:rPr>
        <w:t xml:space="preserve">d)(i). It indicates clearly that wherever the legislature intended to expand the meaning of ‘land or building‘, the same has been done by specifically including either leaseholds or rights in land etc. In the absence of any such intention expressed in section 50C, it may not be permissible to read anything more into the phrase </w:t>
      </w:r>
      <w:proofErr w:type="gramStart"/>
      <w:r w:rsidRPr="002D0315">
        <w:rPr>
          <w:rFonts w:ascii="Verdana" w:eastAsia="Times New Roman" w:hAnsi="Verdana" w:cs="Times New Roman"/>
          <w:sz w:val="20"/>
          <w:szCs w:val="20"/>
        </w:rPr>
        <w:t>‘ land</w:t>
      </w:r>
      <w:proofErr w:type="gramEnd"/>
      <w:r w:rsidRPr="002D0315">
        <w:rPr>
          <w:rFonts w:ascii="Verdana" w:eastAsia="Times New Roman" w:hAnsi="Verdana" w:cs="Times New Roman"/>
          <w:sz w:val="20"/>
          <w:szCs w:val="20"/>
        </w:rPr>
        <w:t xml:space="preserve"> or building or both’. Hence one may attempt and claim that strict provisions of Section 50C are inapplicable.</w:t>
      </w:r>
    </w:p>
    <w:p w:rsidR="002D0315" w:rsidRPr="002D0315" w:rsidRDefault="002D0315" w:rsidP="002D0315">
      <w:pPr>
        <w:spacing w:before="100" w:beforeAutospacing="1" w:after="100" w:afterAutospacing="1" w:line="240" w:lineRule="auto"/>
        <w:rPr>
          <w:rFonts w:ascii="Candara" w:eastAsia="Times New Roman" w:hAnsi="Candara" w:cs="Times New Roman"/>
          <w:b/>
          <w:bCs/>
          <w:i/>
          <w:iCs/>
          <w:sz w:val="24"/>
          <w:szCs w:val="24"/>
        </w:rPr>
      </w:pPr>
      <w:r w:rsidRPr="002D0315">
        <w:rPr>
          <w:rFonts w:ascii="Verdana" w:eastAsia="Times New Roman" w:hAnsi="Verdana" w:cs="Times New Roman"/>
          <w:b/>
          <w:bCs/>
          <w:i/>
          <w:iCs/>
          <w:sz w:val="20"/>
          <w:szCs w:val="20"/>
        </w:rPr>
        <w:t xml:space="preserve">Q.12. </w:t>
      </w:r>
      <w:proofErr w:type="gramStart"/>
      <w:r w:rsidRPr="002D0315">
        <w:rPr>
          <w:rFonts w:ascii="Verdana" w:eastAsia="Times New Roman" w:hAnsi="Verdana" w:cs="Times New Roman"/>
          <w:b/>
          <w:bCs/>
          <w:i/>
          <w:iCs/>
          <w:sz w:val="20"/>
          <w:szCs w:val="20"/>
        </w:rPr>
        <w:t>The</w:t>
      </w:r>
      <w:proofErr w:type="gramEnd"/>
      <w:r w:rsidRPr="002D0315">
        <w:rPr>
          <w:rFonts w:ascii="Verdana" w:eastAsia="Times New Roman" w:hAnsi="Verdana" w:cs="Times New Roman"/>
          <w:b/>
          <w:bCs/>
          <w:i/>
          <w:iCs/>
          <w:sz w:val="20"/>
          <w:szCs w:val="20"/>
        </w:rPr>
        <w:t xml:space="preserve"> assessee carries on the business of assembling Diesel generator sets at its various units. Whether the assembling would constitute manufacture or production to enable the assessee to claim deduction U/s. 80IA of the I. T. Act?</w:t>
      </w:r>
    </w:p>
    <w:p w:rsidR="002D0315" w:rsidRPr="002D0315" w:rsidRDefault="002D0315" w:rsidP="002D0315">
      <w:pPr>
        <w:spacing w:before="100" w:beforeAutospacing="1" w:after="100" w:afterAutospacing="1" w:line="240" w:lineRule="auto"/>
        <w:rPr>
          <w:rFonts w:ascii="Verdana" w:eastAsia="Times New Roman" w:hAnsi="Verdana" w:cs="Times New Roman"/>
          <w:b/>
          <w:bCs/>
          <w:sz w:val="20"/>
          <w:szCs w:val="20"/>
        </w:rPr>
      </w:pPr>
      <w:proofErr w:type="gramStart"/>
      <w:r w:rsidRPr="002D0315">
        <w:rPr>
          <w:rFonts w:ascii="Verdana" w:eastAsia="Times New Roman" w:hAnsi="Verdana" w:cs="Times New Roman"/>
          <w:b/>
          <w:bCs/>
          <w:sz w:val="20"/>
          <w:szCs w:val="20"/>
        </w:rPr>
        <w:t>Ans. Deduction 80 1A.</w:t>
      </w:r>
      <w:proofErr w:type="gramEnd"/>
    </w:p>
    <w:p w:rsidR="002D0315" w:rsidRPr="002D0315" w:rsidRDefault="002D0315" w:rsidP="002D0315">
      <w:pPr>
        <w:spacing w:before="100" w:beforeAutospacing="1" w:after="100" w:afterAutospacing="1" w:line="240" w:lineRule="auto"/>
        <w:rPr>
          <w:rFonts w:ascii="Verdana" w:eastAsia="Times New Roman" w:hAnsi="Verdana" w:cs="Times New Roman"/>
          <w:sz w:val="20"/>
          <w:szCs w:val="20"/>
        </w:rPr>
      </w:pPr>
      <w:proofErr w:type="gramStart"/>
      <w:r w:rsidRPr="002D0315">
        <w:rPr>
          <w:rFonts w:ascii="Verdana" w:eastAsia="Times New Roman" w:hAnsi="Verdana" w:cs="Times New Roman"/>
          <w:sz w:val="20"/>
          <w:szCs w:val="20"/>
        </w:rPr>
        <w:t>Sec.801A(</w:t>
      </w:r>
      <w:proofErr w:type="gramEnd"/>
      <w:r w:rsidRPr="002D0315">
        <w:rPr>
          <w:rFonts w:ascii="Verdana" w:eastAsia="Times New Roman" w:hAnsi="Verdana" w:cs="Times New Roman"/>
          <w:sz w:val="20"/>
          <w:szCs w:val="20"/>
        </w:rPr>
        <w:t>4) specifies the business to which it shall apply. Sub-clause (</w:t>
      </w:r>
      <w:proofErr w:type="gramStart"/>
      <w:r w:rsidRPr="002D0315">
        <w:rPr>
          <w:rFonts w:ascii="Verdana" w:eastAsia="Times New Roman" w:hAnsi="Verdana" w:cs="Times New Roman"/>
          <w:sz w:val="20"/>
          <w:szCs w:val="20"/>
        </w:rPr>
        <w:t>iv</w:t>
      </w:r>
      <w:proofErr w:type="gramEnd"/>
      <w:r w:rsidRPr="002D0315">
        <w:rPr>
          <w:rFonts w:ascii="Verdana" w:eastAsia="Times New Roman" w:hAnsi="Verdana" w:cs="Times New Roman"/>
          <w:sz w:val="20"/>
          <w:szCs w:val="20"/>
        </w:rPr>
        <w:t>) provides for undertaking which is set up for the generation or generation and distribution of power if it begins to generate power at any time after 1.4.1993. Assembling Diesel generator sets at various units may constitute manufacture or production. But it would not entitle for deduction u/s. 801A of the Act because the assessee is not generating any power.</w:t>
      </w:r>
    </w:p>
    <w:p w:rsidR="002D0315" w:rsidRPr="002D0315" w:rsidRDefault="002D0315" w:rsidP="002D0315">
      <w:pPr>
        <w:spacing w:before="100" w:beforeAutospacing="1" w:after="100" w:afterAutospacing="1" w:line="240" w:lineRule="auto"/>
        <w:rPr>
          <w:rFonts w:ascii="Verdana" w:eastAsia="Times New Roman" w:hAnsi="Verdana" w:cs="Times New Roman"/>
          <w:sz w:val="20"/>
          <w:szCs w:val="20"/>
        </w:rPr>
      </w:pPr>
      <w:r w:rsidRPr="002D0315">
        <w:rPr>
          <w:rFonts w:ascii="Verdana" w:eastAsia="Times New Roman" w:hAnsi="Verdana" w:cs="Times New Roman"/>
          <w:sz w:val="20"/>
          <w:szCs w:val="20"/>
        </w:rPr>
        <w:t xml:space="preserve">In </w:t>
      </w:r>
      <w:r w:rsidRPr="002D0315">
        <w:rPr>
          <w:rFonts w:ascii="Verdana" w:eastAsia="Times New Roman" w:hAnsi="Verdana" w:cs="Times New Roman"/>
          <w:i/>
          <w:iCs/>
          <w:sz w:val="20"/>
          <w:szCs w:val="20"/>
        </w:rPr>
        <w:t>CIT vs. Shri Mahesh Chandra Sharma (P&amp;H) (2009) 308 ITR 222 (P&amp;H),</w:t>
      </w:r>
      <w:r w:rsidRPr="002D0315">
        <w:rPr>
          <w:rFonts w:ascii="Verdana" w:eastAsia="Times New Roman" w:hAnsi="Verdana" w:cs="Times New Roman"/>
          <w:sz w:val="20"/>
          <w:szCs w:val="20"/>
        </w:rPr>
        <w:t xml:space="preserve"> it was held that whether one takes into account the wider or narrower meaning of the word "manufacture", assembling of automotive bus or truck chassis from imported parts from which the automotive chassis from imported parts in "knocked down" condition, would give rise to an article which is totally different from the parts and would amount to manufacture. This is so even though the component parts of which the automotive chassis is made retain their individual identity in the whole article which is thus manufactured or produced.’ The Bombay High Court in the case of </w:t>
      </w:r>
      <w:r w:rsidRPr="002D0315">
        <w:rPr>
          <w:rFonts w:ascii="Verdana" w:eastAsia="Times New Roman" w:hAnsi="Verdana" w:cs="Times New Roman"/>
          <w:i/>
          <w:iCs/>
          <w:sz w:val="20"/>
          <w:szCs w:val="20"/>
        </w:rPr>
        <w:t>Tata Locomotive &amp; Engg. Co. Ltd. [1968] 68 ITR 325</w:t>
      </w:r>
      <w:r w:rsidRPr="002D0315">
        <w:rPr>
          <w:rFonts w:ascii="Verdana" w:eastAsia="Times New Roman" w:hAnsi="Verdana" w:cs="Times New Roman"/>
          <w:sz w:val="20"/>
          <w:szCs w:val="20"/>
        </w:rPr>
        <w:t xml:space="preserve"> held that ‘assembling of the imported parts into a finished chassis’ amounted to the manufacture or production of an article within the meaning of section 15C(2)(ii) of the Indian Income-tax Act, 1922 (corresponding to section 80J of the present Act). Such assessee may claim deduction u/s. 80IB of the Act on fulfilling of other conditions.</w:t>
      </w:r>
    </w:p>
    <w:p w:rsidR="002D0315" w:rsidRPr="002D0315" w:rsidRDefault="002D0315" w:rsidP="002D0315">
      <w:pPr>
        <w:spacing w:before="100" w:beforeAutospacing="1" w:after="100" w:afterAutospacing="1" w:line="240" w:lineRule="auto"/>
        <w:rPr>
          <w:rFonts w:ascii="Candara" w:eastAsia="Times New Roman" w:hAnsi="Candara" w:cs="Times New Roman"/>
          <w:b/>
          <w:bCs/>
          <w:i/>
          <w:iCs/>
          <w:sz w:val="24"/>
          <w:szCs w:val="24"/>
        </w:rPr>
      </w:pPr>
      <w:r w:rsidRPr="002D0315">
        <w:rPr>
          <w:rFonts w:ascii="Verdana" w:eastAsia="Times New Roman" w:hAnsi="Verdana" w:cs="Times New Roman"/>
          <w:b/>
          <w:bCs/>
          <w:i/>
          <w:iCs/>
          <w:sz w:val="20"/>
          <w:szCs w:val="20"/>
        </w:rPr>
        <w:t xml:space="preserve">Q.13. Can the commissioner of income-tax exercising his powers of revision u/s. 263 of </w:t>
      </w:r>
      <w:proofErr w:type="gramStart"/>
      <w:r w:rsidRPr="002D0315">
        <w:rPr>
          <w:rFonts w:ascii="Verdana" w:eastAsia="Times New Roman" w:hAnsi="Verdana" w:cs="Times New Roman"/>
          <w:b/>
          <w:bCs/>
          <w:i/>
          <w:iCs/>
          <w:sz w:val="20"/>
          <w:szCs w:val="20"/>
        </w:rPr>
        <w:t>the I</w:t>
      </w:r>
      <w:proofErr w:type="gramEnd"/>
      <w:r w:rsidRPr="002D0315">
        <w:rPr>
          <w:rFonts w:ascii="Verdana" w:eastAsia="Times New Roman" w:hAnsi="Verdana" w:cs="Times New Roman"/>
          <w:b/>
          <w:bCs/>
          <w:i/>
          <w:iCs/>
          <w:sz w:val="20"/>
          <w:szCs w:val="20"/>
        </w:rPr>
        <w:t xml:space="preserve"> T Act direct an assessing officer to complete the assessment set aside in a particular manner?</w:t>
      </w:r>
    </w:p>
    <w:p w:rsidR="002D0315" w:rsidRPr="002D0315" w:rsidRDefault="002D0315" w:rsidP="002D0315">
      <w:pPr>
        <w:spacing w:before="100" w:beforeAutospacing="1" w:after="100" w:afterAutospacing="1" w:line="240" w:lineRule="auto"/>
        <w:rPr>
          <w:rFonts w:ascii="Verdana" w:eastAsia="Times New Roman" w:hAnsi="Verdana" w:cs="Times New Roman"/>
          <w:b/>
          <w:bCs/>
          <w:sz w:val="20"/>
          <w:szCs w:val="20"/>
        </w:rPr>
      </w:pPr>
      <w:proofErr w:type="gramStart"/>
      <w:r w:rsidRPr="002D0315">
        <w:rPr>
          <w:rFonts w:ascii="Verdana" w:eastAsia="Times New Roman" w:hAnsi="Verdana" w:cs="Times New Roman"/>
          <w:b/>
          <w:bCs/>
          <w:sz w:val="20"/>
          <w:szCs w:val="20"/>
        </w:rPr>
        <w:t>Ans. Revision u/s. 263.</w:t>
      </w:r>
      <w:proofErr w:type="gramEnd"/>
    </w:p>
    <w:p w:rsidR="002D0315" w:rsidRPr="002D0315" w:rsidRDefault="002D0315" w:rsidP="002D0315">
      <w:pPr>
        <w:spacing w:before="100" w:beforeAutospacing="1" w:after="100" w:afterAutospacing="1" w:line="240" w:lineRule="auto"/>
        <w:rPr>
          <w:rFonts w:ascii="Verdana" w:eastAsia="Times New Roman" w:hAnsi="Verdana" w:cs="Times New Roman"/>
          <w:sz w:val="20"/>
          <w:szCs w:val="20"/>
        </w:rPr>
      </w:pPr>
      <w:r w:rsidRPr="002D0315">
        <w:rPr>
          <w:rFonts w:ascii="Verdana" w:eastAsia="Times New Roman" w:hAnsi="Verdana" w:cs="Times New Roman"/>
          <w:sz w:val="20"/>
          <w:szCs w:val="20"/>
        </w:rPr>
        <w:t xml:space="preserve">Commissioner has been conferred the power to revise an order of the Assessing Officer, if found to be erroneous prejudicial to the interest of the Revenue. He may pass such order thereon as the circumstances of the case justify, including an order enhancing or modifying the assessment or cancelling the assessment and directing a fresh assessment. However, there is no power vested with the Commissioner to direct the Assessing Officer to complete the assessment in a particular manner as held in </w:t>
      </w:r>
      <w:r w:rsidRPr="002D0315">
        <w:rPr>
          <w:rFonts w:ascii="Verdana" w:eastAsia="Times New Roman" w:hAnsi="Verdana" w:cs="Times New Roman"/>
          <w:i/>
          <w:iCs/>
          <w:sz w:val="20"/>
          <w:szCs w:val="20"/>
        </w:rPr>
        <w:t>CIT vs. Smt. Tasneem Z Madraswala (2010) 324 ITR 67 (Madras).</w:t>
      </w:r>
    </w:p>
    <w:p w:rsidR="002D0315" w:rsidRPr="002D0315" w:rsidRDefault="002D0315" w:rsidP="002D0315">
      <w:pPr>
        <w:spacing w:before="100" w:beforeAutospacing="1" w:after="100" w:afterAutospacing="1" w:line="240" w:lineRule="auto"/>
        <w:rPr>
          <w:rFonts w:ascii="Verdana" w:eastAsia="Times New Roman" w:hAnsi="Verdana" w:cs="Times New Roman"/>
          <w:sz w:val="20"/>
          <w:szCs w:val="20"/>
        </w:rPr>
      </w:pPr>
      <w:r w:rsidRPr="002D0315">
        <w:rPr>
          <w:rFonts w:ascii="Verdana" w:eastAsia="Times New Roman" w:hAnsi="Verdana" w:cs="Times New Roman"/>
          <w:sz w:val="20"/>
          <w:szCs w:val="20"/>
        </w:rPr>
        <w:t xml:space="preserve">The question is whether the Commissioner can issue directions to complete assessment in particular manner by taking recourse to the phrase ‘pass such order thereon as the circumstances of the case justify‘ and ‘cancelling the assessment and directing a fresh assessment‘. There is no doubt that the Commissioner may himself pass an order enhancing the assessment or modifying the assessment. Instead, he may cancel the assessment and direct a fresh assessment. Obviously, in all these cases, he has found that the order of the </w:t>
      </w:r>
      <w:r w:rsidRPr="002D0315">
        <w:rPr>
          <w:rFonts w:ascii="Verdana" w:eastAsia="Times New Roman" w:hAnsi="Verdana" w:cs="Times New Roman"/>
          <w:sz w:val="20"/>
          <w:szCs w:val="20"/>
        </w:rPr>
        <w:lastRenderedPageBreak/>
        <w:t xml:space="preserve">assessing officer is erroneous and prejudicial. In such case, if he is restrained to set aside the assessment and direct a fresh assessment without giving any directions, the assessing officer may pass any order as it thinks fit requiring the Commissioner to exercise the jurisdiction all over again. This may not have been the intention of the legislature. This view is supported by the decisions in the cases of </w:t>
      </w:r>
      <w:r w:rsidRPr="002D0315">
        <w:rPr>
          <w:rFonts w:ascii="Verdana" w:eastAsia="Times New Roman" w:hAnsi="Verdana" w:cs="Times New Roman"/>
          <w:i/>
          <w:iCs/>
          <w:sz w:val="20"/>
          <w:szCs w:val="20"/>
        </w:rPr>
        <w:t xml:space="preserve">CIT versus Hindustan Coconut 255 ITR 428, CIT vs. Novelty Jewellers 250 ITR 784 (SC) and CIT versus Rama Verma 70 taxman 3. </w:t>
      </w:r>
    </w:p>
    <w:p w:rsidR="002D0315" w:rsidRPr="002D0315" w:rsidRDefault="002D0315" w:rsidP="002D0315">
      <w:pPr>
        <w:spacing w:before="100" w:beforeAutospacing="1" w:after="100" w:afterAutospacing="1" w:line="240" w:lineRule="auto"/>
        <w:rPr>
          <w:rFonts w:ascii="Verdana" w:eastAsia="Times New Roman" w:hAnsi="Verdana" w:cs="Times New Roman"/>
          <w:sz w:val="20"/>
          <w:szCs w:val="20"/>
        </w:rPr>
      </w:pPr>
      <w:r w:rsidRPr="002D0315">
        <w:rPr>
          <w:rFonts w:ascii="Verdana" w:eastAsia="Times New Roman" w:hAnsi="Verdana" w:cs="Times New Roman"/>
          <w:sz w:val="20"/>
          <w:szCs w:val="20"/>
        </w:rPr>
        <w:t>However, there is a school of thought suggesting that the AO being quasi-judicial authority has been vested powers to carry on the function of completing assessment as per various provisions of the IT Act. It may also be noted that CBDT from time to time, issue such orders, instructions and directions to other income-tax authorities as it may deem fit for the proper administration of this Act and such instructions issued by CBDT are binding on the income-tax authorities. However, even CBDT cannot instruct or direct so as to require any income-tax authority to make a particular assessment or to dispose of a particular case in a particular manner. Such being the case, there is no question of Commissioner having power to direct the AO to make assessment in a particular manner.</w:t>
      </w:r>
    </w:p>
    <w:p w:rsidR="002D0315" w:rsidRPr="002D0315" w:rsidRDefault="002D0315" w:rsidP="002D0315">
      <w:pPr>
        <w:spacing w:before="100" w:beforeAutospacing="1" w:after="100" w:afterAutospacing="1" w:line="240" w:lineRule="auto"/>
        <w:rPr>
          <w:rFonts w:ascii="Verdana" w:eastAsia="Times New Roman" w:hAnsi="Verdana" w:cs="Times New Roman"/>
          <w:sz w:val="20"/>
          <w:szCs w:val="20"/>
        </w:rPr>
      </w:pPr>
      <w:r w:rsidRPr="002D0315">
        <w:rPr>
          <w:rFonts w:ascii="Verdana" w:eastAsia="Times New Roman" w:hAnsi="Verdana" w:cs="Times New Roman"/>
          <w:sz w:val="20"/>
          <w:szCs w:val="20"/>
        </w:rPr>
        <w:t xml:space="preserve">In </w:t>
      </w:r>
      <w:r w:rsidRPr="002D0315">
        <w:rPr>
          <w:rFonts w:ascii="Verdana" w:eastAsia="Times New Roman" w:hAnsi="Verdana" w:cs="Times New Roman"/>
          <w:i/>
          <w:iCs/>
          <w:sz w:val="20"/>
          <w:szCs w:val="20"/>
        </w:rPr>
        <w:t>CIT vs. Greenworld Corporation vs. ITO and another [2009] 314 ITR 81 (SC),</w:t>
      </w:r>
      <w:r w:rsidRPr="002D0315">
        <w:rPr>
          <w:rFonts w:ascii="Verdana" w:eastAsia="Times New Roman" w:hAnsi="Verdana" w:cs="Times New Roman"/>
          <w:sz w:val="20"/>
          <w:szCs w:val="20"/>
        </w:rPr>
        <w:t xml:space="preserve"> it was held that when a statute provides for different hierarchies providing for forums in relation to passing of an order as also appellate or original order; by no stretch of imagination a higher authority can interfere with the independence which is the basic feature of any statutory scheme involving adjudicatory process. It was held that the order of assessment passed by the Assessing Officer on the dictates of the higher authorities is wholly without jurisdiction,</w:t>
      </w:r>
    </w:p>
    <w:p w:rsidR="002D0315" w:rsidRPr="002D0315" w:rsidRDefault="002D0315" w:rsidP="002D0315">
      <w:pPr>
        <w:spacing w:before="100" w:beforeAutospacing="1" w:after="100" w:afterAutospacing="1" w:line="240" w:lineRule="auto"/>
        <w:rPr>
          <w:rFonts w:ascii="Verdana" w:eastAsia="Times New Roman" w:hAnsi="Verdana" w:cs="Times New Roman"/>
          <w:b/>
          <w:bCs/>
          <w:i/>
          <w:iCs/>
          <w:sz w:val="20"/>
          <w:szCs w:val="20"/>
        </w:rPr>
      </w:pPr>
      <w:r w:rsidRPr="002D0315">
        <w:rPr>
          <w:rFonts w:ascii="Verdana" w:eastAsia="Times New Roman" w:hAnsi="Verdana" w:cs="Times New Roman"/>
          <w:b/>
          <w:bCs/>
          <w:i/>
          <w:iCs/>
          <w:sz w:val="20"/>
          <w:szCs w:val="20"/>
        </w:rPr>
        <w:t xml:space="preserve">Q.14. </w:t>
      </w:r>
      <w:proofErr w:type="gramStart"/>
      <w:r w:rsidRPr="002D0315">
        <w:rPr>
          <w:rFonts w:ascii="Verdana" w:eastAsia="Times New Roman" w:hAnsi="Verdana" w:cs="Times New Roman"/>
          <w:b/>
          <w:bCs/>
          <w:i/>
          <w:iCs/>
          <w:sz w:val="20"/>
          <w:szCs w:val="20"/>
        </w:rPr>
        <w:t>An</w:t>
      </w:r>
      <w:proofErr w:type="gramEnd"/>
      <w:r w:rsidRPr="002D0315">
        <w:rPr>
          <w:rFonts w:ascii="Verdana" w:eastAsia="Times New Roman" w:hAnsi="Verdana" w:cs="Times New Roman"/>
          <w:b/>
          <w:bCs/>
          <w:i/>
          <w:iCs/>
          <w:sz w:val="20"/>
          <w:szCs w:val="20"/>
        </w:rPr>
        <w:t xml:space="preserve"> assessee had filed the return of income for an assessment year. The return was processed U/s. 143 1 a of the I. T. Act, 1961. The limitation for issue of notice U/s. 143 2 for that assessment year has not expired. </w:t>
      </w:r>
      <w:proofErr w:type="gramStart"/>
      <w:r w:rsidRPr="002D0315">
        <w:rPr>
          <w:rFonts w:ascii="Verdana" w:eastAsia="Times New Roman" w:hAnsi="Verdana" w:cs="Times New Roman"/>
          <w:b/>
          <w:bCs/>
          <w:i/>
          <w:iCs/>
          <w:sz w:val="20"/>
          <w:szCs w:val="20"/>
        </w:rPr>
        <w:t>Despite so during such period.</w:t>
      </w:r>
      <w:proofErr w:type="gramEnd"/>
      <w:r w:rsidRPr="002D0315">
        <w:rPr>
          <w:rFonts w:ascii="Verdana" w:eastAsia="Times New Roman" w:hAnsi="Verdana" w:cs="Times New Roman"/>
          <w:b/>
          <w:bCs/>
          <w:i/>
          <w:iCs/>
          <w:sz w:val="20"/>
          <w:szCs w:val="20"/>
        </w:rPr>
        <w:t xml:space="preserve"> Whether a notice U/s. 148 could be issued by the assessing officer for that assessment year?</w:t>
      </w:r>
    </w:p>
    <w:p w:rsidR="002D0315" w:rsidRPr="002D0315" w:rsidRDefault="002D0315" w:rsidP="002D0315">
      <w:pPr>
        <w:spacing w:before="100" w:beforeAutospacing="1" w:after="100" w:afterAutospacing="1" w:line="240" w:lineRule="auto"/>
        <w:rPr>
          <w:rFonts w:ascii="Verdana" w:eastAsia="Times New Roman" w:hAnsi="Verdana" w:cs="Times New Roman"/>
          <w:b/>
          <w:bCs/>
          <w:sz w:val="20"/>
          <w:szCs w:val="20"/>
        </w:rPr>
      </w:pPr>
      <w:proofErr w:type="gramStart"/>
      <w:r w:rsidRPr="002D0315">
        <w:rPr>
          <w:rFonts w:ascii="Verdana" w:eastAsia="Times New Roman" w:hAnsi="Verdana" w:cs="Times New Roman"/>
          <w:b/>
          <w:bCs/>
          <w:sz w:val="20"/>
          <w:szCs w:val="20"/>
        </w:rPr>
        <w:t>Ans. Notice u/s. 143(2).</w:t>
      </w:r>
      <w:proofErr w:type="gramEnd"/>
    </w:p>
    <w:p w:rsidR="002D0315" w:rsidRPr="002D0315" w:rsidRDefault="002D0315" w:rsidP="002D0315">
      <w:pPr>
        <w:spacing w:before="100" w:beforeAutospacing="1" w:after="100" w:afterAutospacing="1" w:line="240" w:lineRule="auto"/>
        <w:rPr>
          <w:rFonts w:ascii="Verdana" w:eastAsia="Times New Roman" w:hAnsi="Verdana" w:cs="Times New Roman"/>
          <w:sz w:val="20"/>
          <w:szCs w:val="20"/>
        </w:rPr>
      </w:pPr>
      <w:r w:rsidRPr="002D0315">
        <w:rPr>
          <w:rFonts w:ascii="Verdana" w:eastAsia="Times New Roman" w:hAnsi="Verdana" w:cs="Times New Roman"/>
          <w:sz w:val="20"/>
          <w:szCs w:val="20"/>
        </w:rPr>
        <w:t>Admittedly, time for issue of notice u/</w:t>
      </w:r>
      <w:proofErr w:type="gramStart"/>
      <w:r w:rsidRPr="002D0315">
        <w:rPr>
          <w:rFonts w:ascii="Verdana" w:eastAsia="Times New Roman" w:hAnsi="Verdana" w:cs="Times New Roman"/>
          <w:sz w:val="20"/>
          <w:szCs w:val="20"/>
        </w:rPr>
        <w:t>s.143(</w:t>
      </w:r>
      <w:proofErr w:type="gramEnd"/>
      <w:r w:rsidRPr="002D0315">
        <w:rPr>
          <w:rFonts w:ascii="Verdana" w:eastAsia="Times New Roman" w:hAnsi="Verdana" w:cs="Times New Roman"/>
          <w:sz w:val="20"/>
          <w:szCs w:val="20"/>
        </w:rPr>
        <w:t>2) of the Act has not expired. The assessing officer should first exhaust the remedy available u/</w:t>
      </w:r>
      <w:proofErr w:type="gramStart"/>
      <w:r w:rsidRPr="002D0315">
        <w:rPr>
          <w:rFonts w:ascii="Verdana" w:eastAsia="Times New Roman" w:hAnsi="Verdana" w:cs="Times New Roman"/>
          <w:sz w:val="20"/>
          <w:szCs w:val="20"/>
        </w:rPr>
        <w:t>s.143(</w:t>
      </w:r>
      <w:proofErr w:type="gramEnd"/>
      <w:r w:rsidRPr="002D0315">
        <w:rPr>
          <w:rFonts w:ascii="Verdana" w:eastAsia="Times New Roman" w:hAnsi="Verdana" w:cs="Times New Roman"/>
          <w:sz w:val="20"/>
          <w:szCs w:val="20"/>
        </w:rPr>
        <w:t xml:space="preserve">2) of the Act. The act of issuing a notice u/s.148 prior to expiry of time frame within which the notice u/s.143(2) can be issued is illegal as held by the Madras High Court in </w:t>
      </w:r>
      <w:r w:rsidRPr="002D0315">
        <w:rPr>
          <w:rFonts w:ascii="Verdana" w:eastAsia="Times New Roman" w:hAnsi="Verdana" w:cs="Times New Roman"/>
          <w:i/>
          <w:iCs/>
          <w:sz w:val="20"/>
          <w:szCs w:val="20"/>
        </w:rPr>
        <w:t xml:space="preserve">CIT vs. Qatalys Software Technologies Ltd. (2009) 308 ITR 249. </w:t>
      </w:r>
      <w:r w:rsidRPr="002D0315">
        <w:rPr>
          <w:rFonts w:ascii="Verdana" w:eastAsia="Times New Roman" w:hAnsi="Verdana" w:cs="Times New Roman"/>
          <w:sz w:val="20"/>
          <w:szCs w:val="20"/>
        </w:rPr>
        <w:t xml:space="preserve">The same view has been expressed by the Calcutta High Court in </w:t>
      </w:r>
      <w:r w:rsidRPr="002D0315">
        <w:rPr>
          <w:rFonts w:ascii="Verdana" w:eastAsia="Times New Roman" w:hAnsi="Verdana" w:cs="Times New Roman"/>
          <w:i/>
          <w:iCs/>
          <w:sz w:val="20"/>
          <w:szCs w:val="20"/>
        </w:rPr>
        <w:t>CESC Ltd. vs. Deputy CIT (No. 2) (2003 263 ITR 402,</w:t>
      </w:r>
      <w:r w:rsidRPr="002D0315">
        <w:rPr>
          <w:rFonts w:ascii="Verdana" w:eastAsia="Times New Roman" w:hAnsi="Verdana" w:cs="Times New Roman"/>
          <w:sz w:val="20"/>
          <w:szCs w:val="20"/>
        </w:rPr>
        <w:t xml:space="preserve"> the judgment of the Bombay High Court in </w:t>
      </w:r>
      <w:r w:rsidRPr="002D0315">
        <w:rPr>
          <w:rFonts w:ascii="Verdana" w:eastAsia="Times New Roman" w:hAnsi="Verdana" w:cs="Times New Roman"/>
          <w:i/>
          <w:iCs/>
          <w:sz w:val="20"/>
          <w:szCs w:val="20"/>
        </w:rPr>
        <w:t>CIT vs. Rajendra G. Shah (2001) 247 ITR 772 (Bom.)</w:t>
      </w:r>
      <w:r w:rsidRPr="002D0315">
        <w:rPr>
          <w:rFonts w:ascii="Verdana" w:eastAsia="Times New Roman" w:hAnsi="Verdana" w:cs="Times New Roman"/>
          <w:sz w:val="20"/>
          <w:szCs w:val="20"/>
        </w:rPr>
        <w:t xml:space="preserve"> and the judgment of this court in </w:t>
      </w:r>
      <w:r w:rsidRPr="002D0315">
        <w:rPr>
          <w:rFonts w:ascii="Verdana" w:eastAsia="Times New Roman" w:hAnsi="Verdana" w:cs="Times New Roman"/>
          <w:i/>
          <w:iCs/>
          <w:sz w:val="20"/>
          <w:szCs w:val="20"/>
        </w:rPr>
        <w:t>Vipin Khanna vs. CIT (2002) 255 ITR 220.</w:t>
      </w:r>
      <w:r w:rsidRPr="002D0315">
        <w:rPr>
          <w:rFonts w:ascii="Verdana" w:eastAsia="Times New Roman" w:hAnsi="Verdana" w:cs="Times New Roman"/>
          <w:sz w:val="20"/>
          <w:szCs w:val="20"/>
        </w:rPr>
        <w:t xml:space="preserve"> Notice u/s. 148 is illegal exercise rather misuse of power and bad in law. </w:t>
      </w:r>
    </w:p>
    <w:p w:rsidR="00E116D9" w:rsidRPr="00E116D9" w:rsidRDefault="002D0315" w:rsidP="002D0315">
      <w:r w:rsidRPr="002D0315">
        <w:rPr>
          <w:rFonts w:ascii="Verdana" w:eastAsia="Times New Roman" w:hAnsi="Verdana" w:cs="Times New Roman"/>
          <w:sz w:val="20"/>
          <w:szCs w:val="20"/>
        </w:rPr>
        <w:pict/>
      </w:r>
    </w:p>
    <w:sectPr w:rsidR="00E116D9" w:rsidRPr="00E116D9" w:rsidSect="0078216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Candara">
    <w:panose1 w:val="020E0502030303020204"/>
    <w:charset w:val="00"/>
    <w:family w:val="swiss"/>
    <w:pitch w:val="variable"/>
    <w:sig w:usb0="A00002EF" w:usb1="4000204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D076D0"/>
    <w:multiLevelType w:val="multilevel"/>
    <w:tmpl w:val="91387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useFELayout/>
  </w:compat>
  <w:rsids>
    <w:rsidRoot w:val="000E3586"/>
    <w:rsid w:val="000E3586"/>
    <w:rsid w:val="002D0315"/>
    <w:rsid w:val="0078216F"/>
    <w:rsid w:val="00E116D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216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E358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48819634">
      <w:blockQuote w:val="1"/>
      <w:marLeft w:val="720"/>
      <w:marRight w:val="720"/>
      <w:marTop w:val="100"/>
      <w:marBottom w:val="100"/>
      <w:divBdr>
        <w:top w:val="none" w:sz="0" w:space="0" w:color="auto"/>
        <w:left w:val="none" w:sz="0" w:space="0" w:color="auto"/>
        <w:bottom w:val="none" w:sz="0" w:space="0" w:color="auto"/>
        <w:right w:val="none" w:sz="0" w:space="0" w:color="auto"/>
      </w:divBdr>
    </w:div>
    <w:div w:id="532621593">
      <w:blockQuote w:val="1"/>
      <w:marLeft w:val="720"/>
      <w:marRight w:val="720"/>
      <w:marTop w:val="100"/>
      <w:marBottom w:val="100"/>
      <w:divBdr>
        <w:top w:val="none" w:sz="0" w:space="0" w:color="auto"/>
        <w:left w:val="none" w:sz="0" w:space="0" w:color="auto"/>
        <w:bottom w:val="none" w:sz="0" w:space="0" w:color="auto"/>
        <w:right w:val="none" w:sz="0" w:space="0" w:color="auto"/>
      </w:divBdr>
    </w:div>
    <w:div w:id="680742164">
      <w:bodyDiv w:val="1"/>
      <w:marLeft w:val="0"/>
      <w:marRight w:val="0"/>
      <w:marTop w:val="0"/>
      <w:marBottom w:val="0"/>
      <w:divBdr>
        <w:top w:val="none" w:sz="0" w:space="0" w:color="auto"/>
        <w:left w:val="none" w:sz="0" w:space="0" w:color="auto"/>
        <w:bottom w:val="none" w:sz="0" w:space="0" w:color="auto"/>
        <w:right w:val="none" w:sz="0" w:space="0" w:color="auto"/>
      </w:divBdr>
      <w:divsChild>
        <w:div w:id="256643940">
          <w:blockQuote w:val="1"/>
          <w:marLeft w:val="720"/>
          <w:marRight w:val="720"/>
          <w:marTop w:val="100"/>
          <w:marBottom w:val="100"/>
          <w:divBdr>
            <w:top w:val="none" w:sz="0" w:space="0" w:color="auto"/>
            <w:left w:val="none" w:sz="0" w:space="0" w:color="auto"/>
            <w:bottom w:val="none" w:sz="0" w:space="0" w:color="auto"/>
            <w:right w:val="none" w:sz="0" w:space="0" w:color="auto"/>
          </w:divBdr>
        </w:div>
        <w:div w:id="1847939375">
          <w:blockQuote w:val="1"/>
          <w:marLeft w:val="720"/>
          <w:marRight w:val="720"/>
          <w:marTop w:val="100"/>
          <w:marBottom w:val="100"/>
          <w:divBdr>
            <w:top w:val="none" w:sz="0" w:space="0" w:color="auto"/>
            <w:left w:val="none" w:sz="0" w:space="0" w:color="auto"/>
            <w:bottom w:val="none" w:sz="0" w:space="0" w:color="auto"/>
            <w:right w:val="none" w:sz="0" w:space="0" w:color="auto"/>
          </w:divBdr>
        </w:div>
        <w:div w:id="387648207">
          <w:blockQuote w:val="1"/>
          <w:marLeft w:val="720"/>
          <w:marRight w:val="720"/>
          <w:marTop w:val="100"/>
          <w:marBottom w:val="100"/>
          <w:divBdr>
            <w:top w:val="none" w:sz="0" w:space="0" w:color="auto"/>
            <w:left w:val="none" w:sz="0" w:space="0" w:color="auto"/>
            <w:bottom w:val="none" w:sz="0" w:space="0" w:color="auto"/>
            <w:right w:val="none" w:sz="0" w:space="0" w:color="auto"/>
          </w:divBdr>
        </w:div>
        <w:div w:id="899750718">
          <w:blockQuote w:val="1"/>
          <w:marLeft w:val="720"/>
          <w:marRight w:val="720"/>
          <w:marTop w:val="100"/>
          <w:marBottom w:val="100"/>
          <w:divBdr>
            <w:top w:val="none" w:sz="0" w:space="0" w:color="auto"/>
            <w:left w:val="none" w:sz="0" w:space="0" w:color="auto"/>
            <w:bottom w:val="none" w:sz="0" w:space="0" w:color="auto"/>
            <w:right w:val="none" w:sz="0" w:space="0" w:color="auto"/>
          </w:divBdr>
        </w:div>
        <w:div w:id="832067455">
          <w:blockQuote w:val="1"/>
          <w:marLeft w:val="720"/>
          <w:marRight w:val="720"/>
          <w:marTop w:val="100"/>
          <w:marBottom w:val="100"/>
          <w:divBdr>
            <w:top w:val="none" w:sz="0" w:space="0" w:color="auto"/>
            <w:left w:val="none" w:sz="0" w:space="0" w:color="auto"/>
            <w:bottom w:val="none" w:sz="0" w:space="0" w:color="auto"/>
            <w:right w:val="none" w:sz="0" w:space="0" w:color="auto"/>
          </w:divBdr>
        </w:div>
        <w:div w:id="1356999076">
          <w:blockQuote w:val="1"/>
          <w:marLeft w:val="720"/>
          <w:marRight w:val="720"/>
          <w:marTop w:val="100"/>
          <w:marBottom w:val="100"/>
          <w:divBdr>
            <w:top w:val="none" w:sz="0" w:space="0" w:color="auto"/>
            <w:left w:val="none" w:sz="0" w:space="0" w:color="auto"/>
            <w:bottom w:val="none" w:sz="0" w:space="0" w:color="auto"/>
            <w:right w:val="none" w:sz="0" w:space="0" w:color="auto"/>
          </w:divBdr>
        </w:div>
        <w:div w:id="353502324">
          <w:blockQuote w:val="1"/>
          <w:marLeft w:val="720"/>
          <w:marRight w:val="720"/>
          <w:marTop w:val="100"/>
          <w:marBottom w:val="100"/>
          <w:divBdr>
            <w:top w:val="none" w:sz="0" w:space="0" w:color="auto"/>
            <w:left w:val="none" w:sz="0" w:space="0" w:color="auto"/>
            <w:bottom w:val="none" w:sz="0" w:space="0" w:color="auto"/>
            <w:right w:val="none" w:sz="0" w:space="0" w:color="auto"/>
          </w:divBdr>
        </w:div>
        <w:div w:id="18906044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7139636">
      <w:bodyDiv w:val="1"/>
      <w:marLeft w:val="0"/>
      <w:marRight w:val="0"/>
      <w:marTop w:val="0"/>
      <w:marBottom w:val="0"/>
      <w:divBdr>
        <w:top w:val="none" w:sz="0" w:space="0" w:color="auto"/>
        <w:left w:val="none" w:sz="0" w:space="0" w:color="auto"/>
        <w:bottom w:val="none" w:sz="0" w:space="0" w:color="auto"/>
        <w:right w:val="none" w:sz="0" w:space="0" w:color="auto"/>
      </w:divBdr>
    </w:div>
    <w:div w:id="1193500089">
      <w:blockQuote w:val="1"/>
      <w:marLeft w:val="720"/>
      <w:marRight w:val="720"/>
      <w:marTop w:val="100"/>
      <w:marBottom w:val="100"/>
      <w:divBdr>
        <w:top w:val="none" w:sz="0" w:space="0" w:color="auto"/>
        <w:left w:val="none" w:sz="0" w:space="0" w:color="auto"/>
        <w:bottom w:val="none" w:sz="0" w:space="0" w:color="auto"/>
        <w:right w:val="none" w:sz="0" w:space="0" w:color="auto"/>
      </w:divBdr>
    </w:div>
    <w:div w:id="1609312835">
      <w:blockQuote w:val="1"/>
      <w:marLeft w:val="720"/>
      <w:marRight w:val="720"/>
      <w:marTop w:val="100"/>
      <w:marBottom w:val="100"/>
      <w:divBdr>
        <w:top w:val="none" w:sz="0" w:space="0" w:color="auto"/>
        <w:left w:val="none" w:sz="0" w:space="0" w:color="auto"/>
        <w:bottom w:val="none" w:sz="0" w:space="0" w:color="auto"/>
        <w:right w:val="none" w:sz="0" w:space="0" w:color="auto"/>
      </w:divBdr>
    </w:div>
    <w:div w:id="1906261845">
      <w:blockQuote w:val="1"/>
      <w:marLeft w:val="720"/>
      <w:marRight w:val="720"/>
      <w:marTop w:val="100"/>
      <w:marBottom w:val="100"/>
      <w:divBdr>
        <w:top w:val="none" w:sz="0" w:space="0" w:color="auto"/>
        <w:left w:val="none" w:sz="0" w:space="0" w:color="auto"/>
        <w:bottom w:val="none" w:sz="0" w:space="0" w:color="auto"/>
        <w:right w:val="none" w:sz="0" w:space="0" w:color="auto"/>
      </w:divBdr>
    </w:div>
    <w:div w:id="2089812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10</Pages>
  <Words>5486</Words>
  <Characters>31276</Characters>
  <Application>Microsoft Office Word</Application>
  <DocSecurity>0</DocSecurity>
  <Lines>260</Lines>
  <Paragraphs>73</Paragraphs>
  <ScaleCrop>false</ScaleCrop>
  <Company>richlook</Company>
  <LinksUpToDate>false</LinksUpToDate>
  <CharactersWithSpaces>36689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dengue</dc:creator>
  <cp:keywords/>
  <dc:description/>
  <cp:lastModifiedBy>dengue</cp:lastModifiedBy>
  <cp:revision>5</cp:revision>
  <dcterms:created xsi:type="dcterms:W3CDTF">2010-12-29T13:32:00Z</dcterms:created>
  <dcterms:modified xsi:type="dcterms:W3CDTF">2010-12-30T12:14:00Z</dcterms:modified>
</cp:coreProperties>
</file>