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500" w:type="dxa"/>
        <w:jc w:val="center"/>
        <w:tblCellSpacing w:w="15" w:type="dxa"/>
        <w:tblCellMar>
          <w:top w:w="15" w:type="dxa"/>
          <w:left w:w="15" w:type="dxa"/>
          <w:bottom w:w="15" w:type="dxa"/>
          <w:right w:w="15" w:type="dxa"/>
        </w:tblCellMar>
        <w:tblLook w:val="04A0"/>
      </w:tblPr>
      <w:tblGrid>
        <w:gridCol w:w="10500"/>
      </w:tblGrid>
      <w:tr w:rsidR="00D94B11" w:rsidRPr="00D94B11" w:rsidTr="00D94B11">
        <w:trPr>
          <w:trHeight w:val="765"/>
          <w:tblCellSpacing w:w="15" w:type="dxa"/>
          <w:jc w:val="center"/>
        </w:trPr>
        <w:tc>
          <w:tcPr>
            <w:tcW w:w="10080" w:type="dxa"/>
            <w:shd w:val="clear" w:color="auto" w:fill="auto"/>
            <w:hideMark/>
          </w:tcPr>
          <w:p w:rsidR="00D94B11" w:rsidRPr="00D94B11" w:rsidRDefault="00D94B11" w:rsidP="00DC79DF">
            <w:pPr>
              <w:spacing w:before="100" w:beforeAutospacing="1" w:after="100" w:afterAutospacing="1" w:line="270" w:lineRule="atLeast"/>
              <w:jc w:val="center"/>
              <w:rPr>
                <w:rFonts w:ascii="Verdana" w:eastAsia="Times New Roman" w:hAnsi="Verdana" w:cs="Times New Roman"/>
                <w:b/>
                <w:bCs/>
                <w:color w:val="FF8000"/>
                <w:sz w:val="21"/>
                <w:szCs w:val="21"/>
              </w:rPr>
            </w:pPr>
            <w:r w:rsidRPr="00DC79DF">
              <w:rPr>
                <w:rFonts w:ascii="Verdana" w:eastAsia="Times New Roman" w:hAnsi="Verdana" w:cs="Times New Roman"/>
                <w:b/>
                <w:bCs/>
                <w:color w:val="FF8000"/>
                <w:sz w:val="37"/>
              </w:rPr>
              <w:t>Step Fixed Cost and Break-even Analysis</w:t>
            </w:r>
            <w:r w:rsidRPr="00D94B11">
              <w:rPr>
                <w:rFonts w:ascii="Verdana" w:eastAsia="Times New Roman" w:hAnsi="Verdana" w:cs="Times New Roman"/>
                <w:b/>
                <w:bCs/>
                <w:color w:val="FF8000"/>
                <w:sz w:val="21"/>
                <w:szCs w:val="21"/>
              </w:rPr>
              <w:br/>
            </w:r>
          </w:p>
        </w:tc>
      </w:tr>
      <w:tr w:rsidR="00D94B11" w:rsidRPr="00D94B11" w:rsidTr="00D94B11">
        <w:trPr>
          <w:trHeight w:val="1185"/>
          <w:tblCellSpacing w:w="15" w:type="dxa"/>
          <w:jc w:val="center"/>
        </w:trPr>
        <w:tc>
          <w:tcPr>
            <w:tcW w:w="0" w:type="auto"/>
            <w:shd w:val="clear" w:color="auto" w:fill="auto"/>
            <w:hideMark/>
          </w:tcPr>
          <w:tbl>
            <w:tblPr>
              <w:tblW w:w="4500" w:type="pct"/>
              <w:jc w:val="center"/>
              <w:tblCellSpacing w:w="15" w:type="dxa"/>
              <w:shd w:val="clear" w:color="auto" w:fill="FFFFFF" w:themeFill="background1"/>
              <w:tblCellMar>
                <w:top w:w="30" w:type="dxa"/>
                <w:left w:w="30" w:type="dxa"/>
                <w:bottom w:w="30" w:type="dxa"/>
                <w:right w:w="30" w:type="dxa"/>
              </w:tblCellMar>
              <w:tblLook w:val="04A0"/>
            </w:tblPr>
            <w:tblGrid>
              <w:gridCol w:w="9369"/>
            </w:tblGrid>
            <w:tr w:rsidR="00D94B11" w:rsidRPr="00D94B11" w:rsidTr="00D94B11">
              <w:trPr>
                <w:tblCellSpacing w:w="15" w:type="dxa"/>
                <w:jc w:val="center"/>
              </w:trPr>
              <w:tc>
                <w:tcPr>
                  <w:tcW w:w="0" w:type="auto"/>
                  <w:shd w:val="clear" w:color="auto" w:fill="FFFFFF" w:themeFill="background1"/>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separation of costs into fixed and variable components helps provide relevant information about costs for making decisions. VARIABLE, DIRECT OR MARGINAL COSTING assigns only variable manufacturing costs to products.</w:t>
                  </w:r>
                </w:p>
              </w:tc>
            </w:tr>
            <w:tr w:rsidR="00D94B11" w:rsidRPr="00D94B11" w:rsidTr="00D94B11">
              <w:trPr>
                <w:tblCellSpacing w:w="15" w:type="dxa"/>
                <w:jc w:val="center"/>
              </w:trPr>
              <w:tc>
                <w:tcPr>
                  <w:tcW w:w="500" w:type="pct"/>
                  <w:shd w:val="clear" w:color="auto" w:fill="FFFFFF" w:themeFill="background1"/>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Short-term VARIABLE COSTS vary in direct proportion to the level of activity.  </w:t>
                  </w:r>
                </w:p>
              </w:tc>
            </w:tr>
            <w:tr w:rsidR="00D94B11" w:rsidRPr="00D94B11" w:rsidTr="00D94B11">
              <w:trPr>
                <w:tblCellSpacing w:w="15" w:type="dxa"/>
                <w:jc w:val="center"/>
              </w:trPr>
              <w:tc>
                <w:tcPr>
                  <w:tcW w:w="0" w:type="auto"/>
                  <w:shd w:val="clear" w:color="auto" w:fill="FFFFFF" w:themeFill="background1"/>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FIXED COSTS remain constant over wide ranges of activity for a specified time period.</w:t>
                  </w:r>
                </w:p>
              </w:tc>
            </w:tr>
            <w:tr w:rsidR="00D94B11" w:rsidRPr="00D94B11" w:rsidTr="00D94B11">
              <w:trPr>
                <w:tblCellSpacing w:w="15" w:type="dxa"/>
                <w:jc w:val="center"/>
              </w:trPr>
              <w:tc>
                <w:tcPr>
                  <w:tcW w:w="500" w:type="pct"/>
                  <w:shd w:val="clear" w:color="auto" w:fill="FFFFFF" w:themeFill="background1"/>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Under certain assumptions, given the fixed costs, variable costs, and the selling price the BREAK-EVEN POINT (Level of activity which results in a no profit no loss situation) can be calculated using the formula :</w:t>
                  </w:r>
                </w:p>
              </w:tc>
            </w:tr>
            <w:tr w:rsidR="00D94B11" w:rsidRPr="00D94B11" w:rsidTr="00D94B11">
              <w:trPr>
                <w:tblCellSpacing w:w="15" w:type="dxa"/>
                <w:jc w:val="center"/>
              </w:trPr>
              <w:tc>
                <w:tcPr>
                  <w:tcW w:w="0" w:type="auto"/>
                  <w:shd w:val="clear" w:color="auto" w:fill="FFFFFF" w:themeFill="background1"/>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BREAK-EVEN POINT (BEP) = TOTAL FIXED COST / CONTRIBUTION PER UNIT.</w:t>
                  </w:r>
                </w:p>
              </w:tc>
            </w:tr>
            <w:tr w:rsidR="00D94B11" w:rsidRPr="00D94B11" w:rsidTr="00D94B11">
              <w:trPr>
                <w:tblCellSpacing w:w="15" w:type="dxa"/>
                <w:jc w:val="center"/>
              </w:trPr>
              <w:tc>
                <w:tcPr>
                  <w:tcW w:w="500" w:type="pct"/>
                  <w:shd w:val="clear" w:color="auto" w:fill="FFFFFF" w:themeFill="background1"/>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assumptions are - </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behaviour of costs and revenues have been reliably determined and is linear over the relevant range</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All costs may be divided into fixed and variable elements.</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xml:space="preserve">Fixed </w:t>
                  </w:r>
                  <w:r w:rsidR="00DC79DF" w:rsidRPr="00D94B11">
                    <w:rPr>
                      <w:rFonts w:ascii="Verdana" w:eastAsia="Times New Roman" w:hAnsi="Verdana" w:cs="Times New Roman"/>
                      <w:color w:val="707070"/>
                      <w:sz w:val="18"/>
                      <w:szCs w:val="18"/>
                    </w:rPr>
                    <w:t>cost remains</w:t>
                  </w:r>
                  <w:r w:rsidRPr="00D94B11">
                    <w:rPr>
                      <w:rFonts w:ascii="Verdana" w:eastAsia="Times New Roman" w:hAnsi="Verdana" w:cs="Times New Roman"/>
                      <w:color w:val="707070"/>
                      <w:sz w:val="18"/>
                      <w:szCs w:val="18"/>
                    </w:rPr>
                    <w:t xml:space="preserve"> constant over the relevant volume range of the break-even analysis.</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Variable costs are proportional to volume.</w:t>
                  </w:r>
                  <w:r w:rsidRPr="00D94B11">
                    <w:rPr>
                      <w:rFonts w:ascii="Verdana" w:eastAsia="Times New Roman" w:hAnsi="Verdana" w:cs="Times New Roman"/>
                      <w:color w:val="707070"/>
                      <w:sz w:val="18"/>
                    </w:rPr>
                    <w:t> </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Selling prices to be unchanged.</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Prices of cost factors are to be unchanged.</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Efficiency and productivity remain unchanged.</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analysis either covers a single product or it assumes that a given sales-mix will be maintained as total volume changes.</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Revenue and costs are being compared on a common activity base.</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xml:space="preserve">Perhaps the most basic assumption of all is that the volume is the only relevant factor affecting cost. Of course other factors also affect costs and </w:t>
                  </w:r>
                  <w:proofErr w:type="gramStart"/>
                  <w:r w:rsidRPr="00D94B11">
                    <w:rPr>
                      <w:rFonts w:ascii="Verdana" w:eastAsia="Times New Roman" w:hAnsi="Verdana" w:cs="Times New Roman"/>
                      <w:color w:val="707070"/>
                      <w:sz w:val="18"/>
                      <w:szCs w:val="18"/>
                    </w:rPr>
                    <w:t>sales ;</w:t>
                  </w:r>
                  <w:proofErr w:type="gramEnd"/>
                  <w:r w:rsidRPr="00D94B11">
                    <w:rPr>
                      <w:rFonts w:ascii="Verdana" w:eastAsia="Times New Roman" w:hAnsi="Verdana" w:cs="Times New Roman"/>
                      <w:color w:val="707070"/>
                      <w:sz w:val="18"/>
                      <w:szCs w:val="18"/>
                    </w:rPr>
                    <w:t xml:space="preserve"> Ordinary CVP analysis is a crude over simplification when these factors are unjustifiably ignored.</w:t>
                  </w:r>
                  <w:r w:rsidRPr="00D94B11">
                    <w:rPr>
                      <w:rFonts w:ascii="Verdana" w:eastAsia="Times New Roman" w:hAnsi="Verdana" w:cs="Times New Roman"/>
                      <w:color w:val="707070"/>
                      <w:sz w:val="18"/>
                    </w:rPr>
                    <w:t> </w:t>
                  </w:r>
                </w:p>
                <w:p w:rsidR="00D94B11" w:rsidRPr="00D94B11" w:rsidRDefault="00D94B11" w:rsidP="00D94B11">
                  <w:pPr>
                    <w:numPr>
                      <w:ilvl w:val="0"/>
                      <w:numId w:val="1"/>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Changes in beginning and ending inventory levels are insignificant in amount.</w:t>
                  </w:r>
                </w:p>
              </w:tc>
            </w:tr>
            <w:tr w:rsidR="00D94B11" w:rsidRPr="00D94B11" w:rsidTr="00D94B11">
              <w:trPr>
                <w:tblCellSpacing w:w="15" w:type="dxa"/>
                <w:jc w:val="center"/>
              </w:trPr>
              <w:tc>
                <w:tcPr>
                  <w:tcW w:w="0" w:type="auto"/>
                  <w:shd w:val="clear" w:color="auto" w:fill="FFFFFF" w:themeFill="background1"/>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C79DF">
                    <w:rPr>
                      <w:rFonts w:ascii="Verdana" w:eastAsia="Times New Roman" w:hAnsi="Verdana" w:cs="Times New Roman"/>
                      <w:b/>
                      <w:color w:val="707070"/>
                      <w:sz w:val="18"/>
                      <w:szCs w:val="18"/>
                    </w:rPr>
                    <w:t>STEP-FIXED COSTS</w:t>
                  </w:r>
                  <w:r w:rsidRPr="00D94B11">
                    <w:rPr>
                      <w:rFonts w:ascii="Verdana" w:eastAsia="Times New Roman" w:hAnsi="Verdana" w:cs="Times New Roman"/>
                      <w:color w:val="707070"/>
                      <w:sz w:val="18"/>
                      <w:szCs w:val="18"/>
                    </w:rPr>
                    <w:t xml:space="preserve"> have a distinguishing feature in that within a given time period, they are fixed within specified activity levels, but they eventually increase or decrease by a certain amount that at various critical activity levels.</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5976"/>
              <w:gridCol w:w="3393"/>
            </w:tblGrid>
            <w:tr w:rsidR="00D94B11" w:rsidRPr="00D94B11">
              <w:trPr>
                <w:tblCellSpacing w:w="15" w:type="dxa"/>
                <w:jc w:val="center"/>
              </w:trPr>
              <w:tc>
                <w:tcPr>
                  <w:tcW w:w="0" w:type="auto"/>
                  <w:gridSpan w:val="2"/>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There are four distinct possibilities :</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INCREASE IN RANGE (VOLUME)</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STEP FIXED COST</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Constant</w:t>
                  </w:r>
                </w:p>
              </w:tc>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Constant</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Not Constant</w:t>
                  </w:r>
                </w:p>
              </w:tc>
              <w:tc>
                <w:tcPr>
                  <w:tcW w:w="0" w:type="auto"/>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Constant</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Constant</w:t>
                  </w:r>
                </w:p>
              </w:tc>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Not Constant</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Not Constant</w:t>
                  </w:r>
                </w:p>
              </w:tc>
              <w:tc>
                <w:tcPr>
                  <w:tcW w:w="0" w:type="auto"/>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Not Constant</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9369"/>
            </w:tblGrid>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A typical example would be the cost of supervisors for conducting an examination were in each supervisor would be in charge of a range of candidates. Once the given range is exceeded an additional supervisor would be required. The cost is fixed within the range of candidates but changes once the range is exceeded. Illustration 1 clarifies the situation.</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4684"/>
              <w:gridCol w:w="4685"/>
            </w:tblGrid>
            <w:tr w:rsidR="00D94B11" w:rsidRPr="00D94B11">
              <w:trPr>
                <w:tblCellSpacing w:w="15" w:type="dxa"/>
                <w:jc w:val="center"/>
              </w:trPr>
              <w:tc>
                <w:tcPr>
                  <w:tcW w:w="0" w:type="auto"/>
                  <w:gridSpan w:val="2"/>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ILLUSTRATION 1 :</w:t>
                  </w:r>
                  <w:r w:rsidRPr="00D94B11">
                    <w:rPr>
                      <w:rFonts w:ascii="Verdana" w:eastAsia="Times New Roman" w:hAnsi="Verdana" w:cs="Times New Roman"/>
                      <w:color w:val="707070"/>
                      <w:sz w:val="18"/>
                      <w:szCs w:val="18"/>
                    </w:rPr>
                    <w:br/>
                    <w:t>(Simplified situation of a real-life example)</w:t>
                  </w:r>
                </w:p>
              </w:tc>
            </w:tr>
            <w:tr w:rsidR="00D94B11" w:rsidRPr="00D94B11">
              <w:trPr>
                <w:tblCellSpacing w:w="15" w:type="dxa"/>
                <w:jc w:val="center"/>
              </w:trPr>
              <w:tc>
                <w:tcPr>
                  <w:tcW w:w="0" w:type="auto"/>
                  <w:gridSpan w:val="2"/>
                  <w:shd w:val="clear" w:color="auto" w:fill="FFE3AA"/>
                  <w:hideMark/>
                </w:tcPr>
                <w:p w:rsidR="00D94B11" w:rsidRPr="00D94B11" w:rsidRDefault="00D94B11" w:rsidP="00D94B11">
                  <w:pPr>
                    <w:spacing w:after="0"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lastRenderedPageBreak/>
                    <w:t>Rs.</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Examination Fee per student</w:t>
                  </w:r>
                </w:p>
              </w:tc>
              <w:tc>
                <w:tcPr>
                  <w:tcW w:w="500" w:type="pct"/>
                  <w:shd w:val="clear" w:color="auto" w:fill="FFF0D2"/>
                  <w:hideMark/>
                </w:tcPr>
                <w:p w:rsidR="00D94B11" w:rsidRPr="00D94B11" w:rsidRDefault="00D94B11" w:rsidP="00D94B11">
                  <w:pPr>
                    <w:spacing w:after="0"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50</w:t>
                  </w:r>
                </w:p>
              </w:tc>
            </w:tr>
            <w:tr w:rsidR="00D94B11" w:rsidRPr="00D94B11">
              <w:trPr>
                <w:tblCellSpacing w:w="15" w:type="dxa"/>
                <w:jc w:val="center"/>
              </w:trPr>
              <w:tc>
                <w:tcPr>
                  <w:tcW w:w="500" w:type="pct"/>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Variable cost in conducting an examination (Answer papers, question setting etc.)</w:t>
                  </w:r>
                </w:p>
              </w:tc>
              <w:tc>
                <w:tcPr>
                  <w:tcW w:w="0" w:type="auto"/>
                  <w:shd w:val="clear" w:color="auto" w:fill="FFE3AA"/>
                  <w:hideMark/>
                </w:tcPr>
                <w:p w:rsidR="00D94B11" w:rsidRPr="00D94B11" w:rsidRDefault="00D94B11" w:rsidP="00D94B11">
                  <w:pPr>
                    <w:spacing w:after="0"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30</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Fixed costs associated with the examination (Hall rent honorarium etc.)</w:t>
                  </w:r>
                </w:p>
              </w:tc>
              <w:tc>
                <w:tcPr>
                  <w:tcW w:w="500" w:type="pct"/>
                  <w:shd w:val="clear" w:color="auto" w:fill="FFF0D2"/>
                  <w:hideMark/>
                </w:tcPr>
                <w:p w:rsidR="00D94B11" w:rsidRPr="00D94B11" w:rsidRDefault="00D94B11" w:rsidP="00D94B11">
                  <w:pPr>
                    <w:spacing w:after="0"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20,000</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9369"/>
            </w:tblGrid>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In addition to the above cost supervisor have to be hired to supervise the students. One supervisor is required for every 100 candidates. The charge per supervisor is Rs. 200.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In the above situation the supervision cost are constant over a range of 100 students. Once the range is exceeded i.e. the 101st student writes the exam an additional supervisor would be required. Such costs are described as Step-Fixed costs.</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Costs are analysed within a RELEVANT RANG in marginal costing. Once the given range of activity changes fixed costs tend to vary as depicted in the graph.</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formula used in the calculation of the BEP has to be modified for a situation containing step-fixed costs.</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2787"/>
              <w:gridCol w:w="2014"/>
              <w:gridCol w:w="2378"/>
              <w:gridCol w:w="2190"/>
            </w:tblGrid>
            <w:tr w:rsidR="00D94B11" w:rsidRPr="00D94B11">
              <w:trPr>
                <w:tblCellSpacing w:w="15" w:type="dxa"/>
                <w:jc w:val="center"/>
              </w:trPr>
              <w:tc>
                <w:tcPr>
                  <w:tcW w:w="0" w:type="auto"/>
                  <w:gridSpan w:val="4"/>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approach is as below (Solution to Illustration 1) :</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Tentative BEP (Students)</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No. of supervisors</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Additional costs (Rs.)</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Additional Students</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20000/20 = 1000</w:t>
                  </w:r>
                </w:p>
              </w:tc>
              <w:tc>
                <w:tcPr>
                  <w:tcW w:w="0" w:type="auto"/>
                  <w:shd w:val="clear" w:color="auto" w:fill="FFF0D2"/>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w:t>
                  </w:r>
                </w:p>
              </w:tc>
              <w:tc>
                <w:tcPr>
                  <w:tcW w:w="0" w:type="auto"/>
                  <w:shd w:val="clear" w:color="auto" w:fill="FFF0D2"/>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 * 200 = 2000</w:t>
                  </w:r>
                </w:p>
              </w:tc>
              <w:tc>
                <w:tcPr>
                  <w:tcW w:w="0" w:type="auto"/>
                  <w:shd w:val="clear" w:color="auto" w:fill="FFF0D2"/>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2000/20 = 100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100/1100</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11</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 * 200 = 200</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200/20 = 10</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10/1110</w:t>
                  </w:r>
                </w:p>
              </w:tc>
              <w:tc>
                <w:tcPr>
                  <w:tcW w:w="0" w:type="auto"/>
                  <w:shd w:val="clear" w:color="auto" w:fill="FFF0D2"/>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12</w:t>
                  </w:r>
                </w:p>
              </w:tc>
              <w:tc>
                <w:tcPr>
                  <w:tcW w:w="0" w:type="auto"/>
                  <w:shd w:val="clear" w:color="auto" w:fill="FFF0D2"/>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 * 200 = 200</w:t>
                  </w:r>
                </w:p>
              </w:tc>
              <w:tc>
                <w:tcPr>
                  <w:tcW w:w="0" w:type="auto"/>
                  <w:shd w:val="clear" w:color="auto" w:fill="FFF0D2"/>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200 / 20 = 10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10/1120</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12</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NIL</w:t>
                  </w:r>
                </w:p>
              </w:tc>
              <w:tc>
                <w:tcPr>
                  <w:tcW w:w="0" w:type="auto"/>
                  <w:shd w:val="clear" w:color="auto" w:fill="FFE3AA"/>
                  <w:hideMark/>
                </w:tcPr>
                <w:p w:rsidR="00D94B11" w:rsidRPr="00D94B11" w:rsidRDefault="00D94B11" w:rsidP="00D94B11">
                  <w:pPr>
                    <w:spacing w:before="100" w:beforeAutospacing="1" w:after="100" w:afterAutospacing="1"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NIL</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9369"/>
            </w:tblGrid>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Therefore the BEP is 1120 students.</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Variable cost per unit is assumed to be a constant. But in some situations they vary in the same manner as step-fixed cost. For instance where discounts are offered as in Illustration 2, variable costs become STEP-VARIABLE COSTS.</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2942"/>
              <w:gridCol w:w="2073"/>
              <w:gridCol w:w="1676"/>
              <w:gridCol w:w="1195"/>
              <w:gridCol w:w="1483"/>
            </w:tblGrid>
            <w:tr w:rsidR="00D94B11" w:rsidRPr="00D94B11">
              <w:trPr>
                <w:tblCellSpacing w:w="15" w:type="dxa"/>
                <w:jc w:val="center"/>
              </w:trPr>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Quantity Purchased {Kg.)</w:t>
                  </w:r>
                </w:p>
              </w:tc>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Price per KG (Rs.)</w:t>
                  </w:r>
                </w:p>
              </w:tc>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Discount (Rs.)</w:t>
                  </w:r>
                </w:p>
              </w:tc>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Cost (Rs.)</w:t>
                  </w:r>
                </w:p>
              </w:tc>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Range (Kgs)</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w:t>
                  </w:r>
                </w:p>
              </w:tc>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w:t>
                  </w:r>
                </w:p>
              </w:tc>
              <w:tc>
                <w:tcPr>
                  <w:tcW w:w="0" w:type="auto"/>
                  <w:gridSpan w:val="3"/>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discount is for each range of 100 Kg]</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100</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100</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100</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0-100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200</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100</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90</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101-200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300</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100</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20</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80</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201-300</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9369"/>
            </w:tblGrid>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In the above situation, if the discount offered is in the nature of a trade discount, then the discounts will be for the full quantity of purchases, thereby making the price a direct variable cost. If the discounts are for specific ranges, the cost becomes the step variable cost ; Where the variable cost is a constant for a range ; Once the range is crossed, is varies but is constant for another range. The situation also requires an analysis of the range in the manner illustrated in Illustration 1 to arrive at the BEP.</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MULTIPLE BREAK EVEN POINTS</w:t>
                  </w:r>
                </w:p>
              </w:tc>
            </w:tr>
            <w:tr w:rsidR="00D94B11" w:rsidRPr="00D94B11">
              <w:trPr>
                <w:trHeight w:val="1200"/>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Step fixed costs give rise to a unique situation where in more than 1 BEP exists for a given situation, i.e., more than one level of activity giving rise to a no profit no loss situation. I can be illustrated that as many step increases in fixed cost, there will be a maximum of so many BEPs possible. [Refer Graph 2].</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3255"/>
              <w:gridCol w:w="2601"/>
              <w:gridCol w:w="3513"/>
            </w:tblGrid>
            <w:tr w:rsidR="00D94B11" w:rsidRPr="00D94B11">
              <w:trPr>
                <w:tblCellSpacing w:w="15" w:type="dxa"/>
                <w:jc w:val="center"/>
              </w:trPr>
              <w:tc>
                <w:tcPr>
                  <w:tcW w:w="0" w:type="auto"/>
                  <w:gridSpan w:val="3"/>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lastRenderedPageBreak/>
                    <w:t>RANGE OF STUDENTS (DATA FROM ILLUSTRATION 1)</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1000-1100</w:t>
                  </w:r>
                </w:p>
              </w:tc>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1100-1200</w:t>
                  </w:r>
                </w:p>
              </w:tc>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1200-1300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Full-loss Zone</w:t>
                  </w:r>
                </w:p>
              </w:tc>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BEP</w:t>
                  </w:r>
                </w:p>
              </w:tc>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Full-profit zone</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9369"/>
            </w:tblGrid>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All the multiple BEP's will fall within the full loss and full profit zones. A full-loss zone is a range where any activity level within the range will result in a loss. In the like manner, a full-profit zone is the one where any activity level within the range will result in a profit.</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A second BEP can be recognised by calculating a tentative BEP at the immediately next range. If it falls outside the range there is no other BEP. If it does fall within the range then we have the second BEP and the possibility of a third cannot be ruled out.</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FORMULATIONS FOR EVALUATING THE FIRST AND SUBSEQUENT BREAK EVEN POINTS</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xml:space="preserve">Case </w:t>
                  </w:r>
                  <w:proofErr w:type="gramStart"/>
                  <w:r w:rsidRPr="00D94B11">
                    <w:rPr>
                      <w:rFonts w:ascii="Verdana" w:eastAsia="Times New Roman" w:hAnsi="Verdana" w:cs="Times New Roman"/>
                      <w:color w:val="707070"/>
                      <w:sz w:val="18"/>
                      <w:szCs w:val="18"/>
                    </w:rPr>
                    <w:t>1 :</w:t>
                  </w:r>
                  <w:proofErr w:type="gramEnd"/>
                  <w:r w:rsidRPr="00D94B11">
                    <w:rPr>
                      <w:rFonts w:ascii="Verdana" w:eastAsia="Times New Roman" w:hAnsi="Verdana" w:cs="Times New Roman"/>
                      <w:color w:val="707070"/>
                      <w:sz w:val="18"/>
                      <w:szCs w:val="18"/>
                    </w:rPr>
                    <w:t xml:space="preserve"> When the first break even point lands on the extreme point of the range over which the fixed cost is constant there will be a second BEP in the immediately succeeding range. The step fixed cost becomes a variable cost at the extreme point.</w:t>
                  </w:r>
                </w:p>
              </w:tc>
            </w:tr>
            <w:tr w:rsidR="00D94B11" w:rsidRPr="00D94B11">
              <w:trPr>
                <w:trHeight w:val="1560"/>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Such a situation can be recognised even without computing the first BEP for the first category of step fixed cost which we have previously mentioned i.e with the following assumptions :</w:t>
                  </w:r>
                </w:p>
                <w:p w:rsidR="00D94B11" w:rsidRPr="00D94B11" w:rsidRDefault="00D94B11" w:rsidP="00D94B11">
                  <w:pPr>
                    <w:numPr>
                      <w:ilvl w:val="0"/>
                      <w:numId w:val="2"/>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range over which the step-fixed cost varies is a constant.</w:t>
                  </w:r>
                </w:p>
                <w:p w:rsidR="00D94B11" w:rsidRPr="00D94B11" w:rsidRDefault="00D94B11" w:rsidP="00D94B11">
                  <w:pPr>
                    <w:numPr>
                      <w:ilvl w:val="0"/>
                      <w:numId w:val="2"/>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change in step fixed cost is a constant.</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40" w:lineRule="auto"/>
                    <w:rPr>
                      <w:rFonts w:ascii="Times New Roman" w:eastAsia="Times New Roman" w:hAnsi="Times New Roman" w:cs="Times New Roman"/>
                      <w:sz w:val="24"/>
                      <w:szCs w:val="24"/>
                    </w:rPr>
                  </w:pPr>
                  <w:r w:rsidRPr="00D94B11">
                    <w:rPr>
                      <w:rFonts w:ascii="Verdana" w:eastAsia="Times New Roman" w:hAnsi="Verdana" w:cs="Times New Roman"/>
                      <w:color w:val="707070"/>
                      <w:sz w:val="18"/>
                    </w:rPr>
                    <w:t>NOTATIONS</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Base fixed cost - FC [20000 in illustration 1]</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Step fixed cost - SFC [200 in illustration 1]</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Contribution per unit - C [20 in illustration 1]</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Range/Step - R [100 in illustration 1]</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No. of steps - N</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240" w:line="240" w:lineRule="auto"/>
                    <w:rPr>
                      <w:rFonts w:ascii="Times New Roman" w:eastAsia="Times New Roman" w:hAnsi="Times New Roman" w:cs="Times New Roman"/>
                      <w:sz w:val="24"/>
                      <w:szCs w:val="24"/>
                    </w:rPr>
                  </w:pPr>
                  <w:r w:rsidRPr="00D94B11">
                    <w:rPr>
                      <w:rFonts w:ascii="Verdana" w:eastAsia="Times New Roman" w:hAnsi="Verdana" w:cs="Times New Roman"/>
                      <w:color w:val="707070"/>
                      <w:sz w:val="18"/>
                    </w:rPr>
                    <w:t xml:space="preserve">The derivations is </w:t>
                  </w:r>
                  <w:proofErr w:type="gramStart"/>
                  <w:r w:rsidRPr="00D94B11">
                    <w:rPr>
                      <w:rFonts w:ascii="Verdana" w:eastAsia="Times New Roman" w:hAnsi="Verdana" w:cs="Times New Roman"/>
                      <w:color w:val="707070"/>
                      <w:sz w:val="18"/>
                    </w:rPr>
                    <w:t>as follows :</w:t>
                  </w:r>
                  <w:proofErr w:type="gramEnd"/>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On the extreme point the fixed cost becomes a variable cost at that point. Hence the total base fixed cost (General Fixed cost) is a function of the net recovery at that step i.e.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Total fixed cost = Base Fixed cost + Total step fixed cost = FC + (N * SFC</w:t>
                  </w:r>
                  <w:proofErr w:type="gramStart"/>
                  <w:r w:rsidRPr="00D94B11">
                    <w:rPr>
                      <w:rFonts w:ascii="Verdana" w:eastAsia="Times New Roman" w:hAnsi="Verdana" w:cs="Times New Roman"/>
                      <w:color w:val="707070"/>
                      <w:sz w:val="18"/>
                    </w:rPr>
                    <w:t>)</w:t>
                  </w:r>
                  <w:proofErr w:type="gramEnd"/>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Total recovery (Contribution) = No. of units * Contribution per unit = (N * R) * C</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At the extreme point (BEP)</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Total Fixed cost = Total Recovery.</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FC + (N * SFC) = (N * R) * C</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 xml:space="preserve">N = FC / </w:t>
                  </w:r>
                  <w:proofErr w:type="gramStart"/>
                  <w:r w:rsidRPr="00D94B11">
                    <w:rPr>
                      <w:rFonts w:ascii="Verdana" w:eastAsia="Times New Roman" w:hAnsi="Verdana" w:cs="Times New Roman"/>
                      <w:color w:val="707070"/>
                      <w:sz w:val="18"/>
                    </w:rPr>
                    <w:t>( (</w:t>
                  </w:r>
                  <w:proofErr w:type="gramEnd"/>
                  <w:r w:rsidRPr="00D94B11">
                    <w:rPr>
                      <w:rFonts w:ascii="Verdana" w:eastAsia="Times New Roman" w:hAnsi="Verdana" w:cs="Times New Roman"/>
                      <w:color w:val="707070"/>
                      <w:sz w:val="18"/>
                    </w:rPr>
                    <w:t>R*C) - SFC)</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i.e., the total base fixed cost (the numerator) is a function of the net recovery at a step (the denominator).</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If the resultant 'N', i.e the number of step is an integer then we have a situation of the first BEP landing on the extreme point and the step fixed cost approximating to a variable cost.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 xml:space="preserve">In such a situation the long drawn solution to locate the BEP can be simplified in a </w:t>
                  </w:r>
                  <w:proofErr w:type="gramStart"/>
                  <w:r w:rsidRPr="00D94B11">
                    <w:rPr>
                      <w:rFonts w:ascii="Verdana" w:eastAsia="Times New Roman" w:hAnsi="Verdana" w:cs="Times New Roman"/>
                      <w:color w:val="707070"/>
                      <w:sz w:val="18"/>
                    </w:rPr>
                    <w:t>single step :</w:t>
                  </w:r>
                  <w:proofErr w:type="gramEnd"/>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lastRenderedPageBreak/>
                    <w:br/>
                  </w:r>
                  <w:r w:rsidRPr="00D94B11">
                    <w:rPr>
                      <w:rFonts w:ascii="Verdana" w:eastAsia="Times New Roman" w:hAnsi="Verdana" w:cs="Times New Roman"/>
                      <w:color w:val="707070"/>
                      <w:sz w:val="18"/>
                    </w:rPr>
                    <w:t>BEP = N * R</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i.e., BEP = (FC * R) / ( (R * C) - SFC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b/>
                      <w:bCs/>
                      <w:color w:val="707070"/>
                      <w:sz w:val="18"/>
                    </w:rPr>
                    <w:t>Note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The BEP can be located using this formula only if N is an integer. However a slight modification would give the BEP in other cases also as shown in CASE 2.</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lastRenderedPageBreak/>
                    <w:t>Illustration 3.</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24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Using the data from illustration 1, change the base fixed cost to Rs. 18000.</w:t>
                  </w:r>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N = 18000</w:t>
                  </w:r>
                  <w:proofErr w:type="gramStart"/>
                  <w:r w:rsidRPr="00D94B11">
                    <w:rPr>
                      <w:rFonts w:ascii="Verdana" w:eastAsia="Times New Roman" w:hAnsi="Verdana" w:cs="Times New Roman"/>
                      <w:color w:val="707070"/>
                      <w:sz w:val="18"/>
                      <w:szCs w:val="18"/>
                    </w:rPr>
                    <w:t>/(</w:t>
                  </w:r>
                  <w:proofErr w:type="gramEnd"/>
                  <w:r w:rsidRPr="00D94B11">
                    <w:rPr>
                      <w:rFonts w:ascii="Verdana" w:eastAsia="Times New Roman" w:hAnsi="Verdana" w:cs="Times New Roman"/>
                      <w:color w:val="707070"/>
                      <w:sz w:val="18"/>
                      <w:szCs w:val="18"/>
                    </w:rPr>
                    <w:t xml:space="preserve"> (1000 * 20) - 200 )</w:t>
                  </w:r>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 first BEP = 10 * 100 = 1000</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 xml:space="preserve">There will be a second BEP since 'N' is a Integer. The second BEP is calculated </w:t>
                  </w:r>
                  <w:proofErr w:type="gramStart"/>
                  <w:r w:rsidRPr="00D94B11">
                    <w:rPr>
                      <w:rFonts w:ascii="Verdana" w:eastAsia="Times New Roman" w:hAnsi="Verdana" w:cs="Times New Roman"/>
                      <w:color w:val="707070"/>
                      <w:sz w:val="18"/>
                      <w:szCs w:val="18"/>
                    </w:rPr>
                    <w:t>as follows :</w:t>
                  </w:r>
                  <w:proofErr w:type="gramEnd"/>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Step fixed cost = 200</w:t>
                  </w:r>
                  <w:r w:rsidRPr="00D94B11">
                    <w:rPr>
                      <w:rFonts w:ascii="Verdana" w:eastAsia="Times New Roman" w:hAnsi="Verdana" w:cs="Times New Roman"/>
                      <w:color w:val="707070"/>
                      <w:sz w:val="18"/>
                      <w:szCs w:val="18"/>
                    </w:rPr>
                    <w:br/>
                    <w:t>No. of students to cover the cost = 200/20 = 10</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Therefore the second BEP = 1000 + 10 = 1010</w:t>
                  </w:r>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br/>
                    <w:t>( The results can be verified by working back from the BEPs)</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 conclusion is that when 'N' is an integer there will be atleast 2 BEPs.</w:t>
                  </w:r>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Another intresting derivations is that when fixed cost is a multiple of Rs. 1800 (Denominator in the formula), more than one BEP is possible.</w:t>
                  </w:r>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proofErr w:type="gramStart"/>
                  <w:r w:rsidRPr="00D94B11">
                    <w:rPr>
                      <w:rFonts w:ascii="Verdana" w:eastAsia="Times New Roman" w:hAnsi="Verdana" w:cs="Times New Roman"/>
                      <w:b/>
                      <w:bCs/>
                      <w:color w:val="707070"/>
                      <w:sz w:val="18"/>
                    </w:rPr>
                    <w:t>Note :</w:t>
                  </w:r>
                  <w:proofErr w:type="gramEnd"/>
                  <w:r w:rsidRPr="00D94B11">
                    <w:rPr>
                      <w:rFonts w:ascii="Verdana" w:eastAsia="Times New Roman" w:hAnsi="Verdana" w:cs="Times New Roman"/>
                      <w:b/>
                      <w:bCs/>
                      <w:color w:val="707070"/>
                      <w:sz w:val="18"/>
                    </w:rPr>
                    <w:t> </w:t>
                  </w:r>
                  <w:r w:rsidRPr="00D94B11">
                    <w:rPr>
                      <w:rFonts w:ascii="Verdana" w:eastAsia="Times New Roman" w:hAnsi="Verdana" w:cs="Times New Roman"/>
                      <w:color w:val="707070"/>
                      <w:sz w:val="18"/>
                      <w:szCs w:val="18"/>
                    </w:rPr>
                    <w:br/>
                    <w:t>It is to be noted that when the net recovery at a step (Denominator in the formula) is nil, there will be no BEP i.e. if R * C = SFC, then 'N' tends to infinity. Hence, there is no BEP. Similarly when R * C &lt; SFC the denominator is negative leading to a negative step. Since this also is an impossibility there will no BEP when R * C &lt;= SFC.</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Case 2 :</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Supposing 'N' from case 1 is not an integer then still there is a possiblity of a second BEP if the step fixed cost associated with a range is grater than the recovery from the excess capacity at the level in which the first BEP falls. In other words total cost at the next higher step (Step next to the one in which BEP falls) is greater than the total recovery at the extreme point of the previous level.</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 assumptions laid down in case 1 hold. 'N' calculated using the formula will not be an integer. Replace 'N' with the immediately higher whole number to signify the step in which the BEP falls.</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Total recovery at the extreme point of the current step = (N * R) * C</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Total Step fixed cost at the next step = (N + 1) * SFC</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if FC + (N + 1) * SFC &gt; N * R * C --------I</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there will be another BEP</w:t>
                  </w:r>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lastRenderedPageBreak/>
                    <w:br/>
                    <w:t>or</w:t>
                  </w:r>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i.e., FC &gt; [N * (R * C - SFC) - SFC] --------II</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or</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 excess capacity at the current level = N * R - BEP</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 recovery from the excess capacity = [ (N * R) - BEP] * C</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Therefore if [ (N * R) - BEP ] * C &lt; SFC --------III</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there will be another BEP.</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Equations I, II and III can be used to indicate the existence of another BEP.</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7375"/>
              <w:gridCol w:w="1994"/>
            </w:tblGrid>
            <w:tr w:rsidR="00D94B11" w:rsidRPr="00D94B11">
              <w:trPr>
                <w:tblCellSpacing w:w="15" w:type="dxa"/>
                <w:jc w:val="center"/>
              </w:trPr>
              <w:tc>
                <w:tcPr>
                  <w:tcW w:w="0" w:type="auto"/>
                  <w:gridSpan w:val="2"/>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Illustration 4</w:t>
                  </w:r>
                </w:p>
              </w:tc>
            </w:tr>
            <w:tr w:rsidR="00D94B11" w:rsidRPr="00D94B11">
              <w:trPr>
                <w:tblCellSpacing w:w="15" w:type="dxa"/>
                <w:jc w:val="center"/>
              </w:trPr>
              <w:tc>
                <w:tcPr>
                  <w:tcW w:w="0" w:type="auto"/>
                  <w:gridSpan w:val="2"/>
                  <w:shd w:val="clear" w:color="auto" w:fill="FFE3AA"/>
                  <w:hideMark/>
                </w:tcPr>
                <w:p w:rsidR="00D94B11" w:rsidRPr="00D94B11" w:rsidRDefault="00D94B11" w:rsidP="00D94B11">
                  <w:pPr>
                    <w:spacing w:before="100" w:beforeAutospacing="1" w:after="100" w:afterAutospacing="1"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Rs.</w:t>
                  </w:r>
                </w:p>
              </w:tc>
            </w:tr>
            <w:tr w:rsidR="00D94B11" w:rsidRPr="00D94B11">
              <w:trPr>
                <w:tblCellSpacing w:w="15" w:type="dxa"/>
                <w:jc w:val="center"/>
              </w:trPr>
              <w:tc>
                <w:tcPr>
                  <w:tcW w:w="3950" w:type="pct"/>
                  <w:shd w:val="clear" w:color="auto" w:fill="FFF0D2"/>
                  <w:hideMark/>
                </w:tcPr>
                <w:p w:rsidR="00D94B11" w:rsidRPr="00D94B11" w:rsidRDefault="00D94B11" w:rsidP="00D94B11">
                  <w:pPr>
                    <w:spacing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Revenue per unit</w:t>
                  </w:r>
                </w:p>
              </w:tc>
              <w:tc>
                <w:tcPr>
                  <w:tcW w:w="1050" w:type="pct"/>
                  <w:shd w:val="clear" w:color="auto" w:fill="FFF0D2"/>
                  <w:hideMark/>
                </w:tcPr>
                <w:p w:rsidR="00D94B11" w:rsidRPr="00D94B11" w:rsidRDefault="00D94B11" w:rsidP="00D94B11">
                  <w:pPr>
                    <w:spacing w:beforeAutospacing="1" w:after="100" w:afterAutospacing="1"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50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Variable Cost per unit</w:t>
                  </w:r>
                </w:p>
              </w:tc>
              <w:tc>
                <w:tcPr>
                  <w:tcW w:w="0" w:type="auto"/>
                  <w:shd w:val="clear" w:color="auto" w:fill="FFE3AA"/>
                  <w:hideMark/>
                </w:tcPr>
                <w:p w:rsidR="00D94B11" w:rsidRPr="00D94B11" w:rsidRDefault="00D94B11" w:rsidP="00D94B11">
                  <w:pPr>
                    <w:spacing w:beforeAutospacing="1" w:after="100" w:afterAutospacing="1"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25</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Fixed cost</w:t>
                  </w:r>
                </w:p>
              </w:tc>
              <w:tc>
                <w:tcPr>
                  <w:tcW w:w="0" w:type="auto"/>
                  <w:shd w:val="clear" w:color="auto" w:fill="FFF0D2"/>
                  <w:hideMark/>
                </w:tcPr>
                <w:p w:rsidR="00D94B11" w:rsidRPr="00D94B11" w:rsidRDefault="00D94B11" w:rsidP="00D94B11">
                  <w:pPr>
                    <w:spacing w:beforeAutospacing="1" w:after="100" w:afterAutospacing="1"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500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Step (Range)</w:t>
                  </w:r>
                </w:p>
              </w:tc>
              <w:tc>
                <w:tcPr>
                  <w:tcW w:w="0" w:type="auto"/>
                  <w:shd w:val="clear" w:color="auto" w:fill="FFE3AA"/>
                  <w:hideMark/>
                </w:tcPr>
                <w:p w:rsidR="00D94B11" w:rsidRPr="00D94B11" w:rsidRDefault="00D94B11" w:rsidP="00D94B11">
                  <w:pPr>
                    <w:spacing w:beforeAutospacing="1" w:after="100" w:afterAutospacing="1"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50</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Step fixed cost</w:t>
                  </w:r>
                </w:p>
              </w:tc>
              <w:tc>
                <w:tcPr>
                  <w:tcW w:w="0" w:type="auto"/>
                  <w:shd w:val="clear" w:color="auto" w:fill="FFF0D2"/>
                  <w:hideMark/>
                </w:tcPr>
                <w:p w:rsidR="00D94B11" w:rsidRPr="00D94B11" w:rsidRDefault="00D94B11" w:rsidP="00D94B11">
                  <w:pPr>
                    <w:spacing w:beforeAutospacing="1" w:after="100" w:afterAutospacing="1" w:line="270" w:lineRule="atLeast"/>
                    <w:jc w:val="righ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800</w:t>
                  </w:r>
                </w:p>
              </w:tc>
            </w:tr>
            <w:tr w:rsidR="00D94B11" w:rsidRPr="00D94B11">
              <w:trPr>
                <w:tblCellSpacing w:w="15" w:type="dxa"/>
                <w:jc w:val="center"/>
              </w:trPr>
              <w:tc>
                <w:tcPr>
                  <w:tcW w:w="0" w:type="auto"/>
                  <w:gridSpan w:val="2"/>
                  <w:shd w:val="clear" w:color="auto" w:fill="FFE3AA"/>
                  <w:hideMark/>
                </w:tcPr>
                <w:p w:rsidR="00D94B11" w:rsidRPr="00D94B11" w:rsidRDefault="00D94B11" w:rsidP="00D94B11">
                  <w:pPr>
                    <w:spacing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[For every 50 units, the step fixed cost is Rs. 800]</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9369"/>
            </w:tblGrid>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240" w:line="240" w:lineRule="auto"/>
                    <w:rPr>
                      <w:rFonts w:ascii="Times New Roman" w:eastAsia="Times New Roman" w:hAnsi="Times New Roman" w:cs="Times New Roman"/>
                      <w:sz w:val="24"/>
                      <w:szCs w:val="24"/>
                    </w:rPr>
                  </w:pPr>
                  <w:r w:rsidRPr="00D94B11">
                    <w:rPr>
                      <w:rFonts w:ascii="Verdana" w:eastAsia="Times New Roman" w:hAnsi="Verdana" w:cs="Times New Roman"/>
                      <w:color w:val="707070"/>
                      <w:sz w:val="18"/>
                    </w:rPr>
                    <w:t xml:space="preserve">N = 500 / </w:t>
                  </w:r>
                  <w:proofErr w:type="gramStart"/>
                  <w:r w:rsidRPr="00D94B11">
                    <w:rPr>
                      <w:rFonts w:ascii="Verdana" w:eastAsia="Times New Roman" w:hAnsi="Verdana" w:cs="Times New Roman"/>
                      <w:color w:val="707070"/>
                      <w:sz w:val="18"/>
                    </w:rPr>
                    <w:t>( (</w:t>
                  </w:r>
                  <w:proofErr w:type="gramEnd"/>
                  <w:r w:rsidRPr="00D94B11">
                    <w:rPr>
                      <w:rFonts w:ascii="Verdana" w:eastAsia="Times New Roman" w:hAnsi="Verdana" w:cs="Times New Roman"/>
                      <w:color w:val="707070"/>
                      <w:sz w:val="18"/>
                    </w:rPr>
                    <w:t>50 * 25) - 800) = 1.111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BEP = Total fixed cost / contribution = [Base fixed cost + step fixed cost] / Contribution</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Therefore the first BEP = (FC + (N * SFC) ) / C</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Here 'N' is the next higher whole number.</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Therefore BEP = (500 + (2 * 800)) / 25 = 84</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Since 'N' is not a whole number we have to check for the second BEP. Equation III can be used effectively.</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 (2 * 50) - 84 ) &lt; 800</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i.e. 400 &lt; 800.</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Hence there will be another BEP. The second BEP will fall in the immediately next range.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rPr>
                    <w:t>The second BEP = 84 + (800/25) = 116</w:t>
                  </w:r>
                  <w:r w:rsidRPr="00D94B11">
                    <w:rPr>
                      <w:rFonts w:ascii="Times New Roman" w:eastAsia="Times New Roman" w:hAnsi="Times New Roman" w:cs="Times New Roman"/>
                      <w:sz w:val="24"/>
                      <w:szCs w:val="24"/>
                    </w:rPr>
                    <w:t>.</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proofErr w:type="gramStart"/>
                  <w:r w:rsidRPr="00D94B11">
                    <w:rPr>
                      <w:rFonts w:ascii="Verdana" w:eastAsia="Times New Roman" w:hAnsi="Verdana" w:cs="Times New Roman"/>
                      <w:b/>
                      <w:bCs/>
                      <w:color w:val="707070"/>
                      <w:sz w:val="18"/>
                    </w:rPr>
                    <w:t>Note :</w:t>
                  </w:r>
                  <w:proofErr w:type="gramEnd"/>
                  <w:r w:rsidRPr="00D94B11">
                    <w:rPr>
                      <w:rFonts w:ascii="Verdana" w:eastAsia="Times New Roman" w:hAnsi="Verdana" w:cs="Times New Roman"/>
                      <w:color w:val="707070"/>
                      <w:sz w:val="18"/>
                      <w:szCs w:val="18"/>
                    </w:rPr>
                    <w:br/>
                    <w:t>Case 1 is only a specific instance of Case 2 where the excess capacity at the level of the BEP is nil, hence, no further recovery is possible from that level. Therefore the step-fixed cost of the next level is always greater than the recovery from the excess capacity in the level of BEP resulting in the second BEP.</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lastRenderedPageBreak/>
                    <w:t>BREAK-EVEN POINT IN A SITUATION CONTAINING A PRODUCT MIX</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procedure for computing the BEP is the same as in the other cases except that the contribution of the mix as a whole has to be taken to determine the BEP. It is also to be assumed that the production of the minimum component in the mix would automatically produce certain quantities of the other products.</w:t>
                  </w:r>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A comprehensive Illustration is required to clarify this situation. Let us take up the case of a barber shop which offers only haircuts and shavings.</w:t>
                  </w:r>
                  <w:r w:rsidRPr="00D94B11">
                    <w:rPr>
                      <w:rFonts w:ascii="Verdana" w:eastAsia="Times New Roman" w:hAnsi="Verdana" w:cs="Times New Roman"/>
                      <w:color w:val="707070"/>
                      <w:sz w:val="18"/>
                    </w:rPr>
                    <w:t> </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5008"/>
              <w:gridCol w:w="1893"/>
              <w:gridCol w:w="2468"/>
            </w:tblGrid>
            <w:tr w:rsidR="00D94B11" w:rsidRPr="00D94B11">
              <w:trPr>
                <w:tblCellSpacing w:w="15" w:type="dxa"/>
                <w:jc w:val="center"/>
              </w:trPr>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Revenues per unit :</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Hair Cut</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Rs. 27.50</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Shaving</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Rs. 17.50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Variable cost per unit :</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Haircut</w:t>
                  </w: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Rs. 7.50</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Shaving</w:t>
                  </w:r>
                </w:p>
              </w:tc>
              <w:tc>
                <w:tcPr>
                  <w:tcW w:w="0" w:type="auto"/>
                  <w:shd w:val="clear" w:color="auto" w:fill="FFF0D2"/>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Rs. 7.50</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Fixed cost per month :</w:t>
                  </w:r>
                </w:p>
              </w:tc>
              <w:tc>
                <w:tcPr>
                  <w:tcW w:w="0" w:type="auto"/>
                  <w:shd w:val="clear" w:color="auto" w:fill="FFE3AA"/>
                  <w:hideMark/>
                </w:tcPr>
                <w:p w:rsidR="00D94B11" w:rsidRPr="00D94B11" w:rsidRDefault="00D94B11" w:rsidP="00D94B11">
                  <w:pPr>
                    <w:spacing w:after="0" w:line="270" w:lineRule="atLeast"/>
                    <w:rPr>
                      <w:rFonts w:ascii="Verdana" w:eastAsia="Times New Roman" w:hAnsi="Verdana" w:cs="Times New Roman"/>
                      <w:color w:val="707070"/>
                      <w:sz w:val="18"/>
                      <w:szCs w:val="18"/>
                    </w:rPr>
                  </w:pPr>
                </w:p>
              </w:tc>
              <w:tc>
                <w:tcPr>
                  <w:tcW w:w="0" w:type="auto"/>
                  <w:shd w:val="clear" w:color="auto" w:fill="FFE3AA"/>
                  <w:hideMark/>
                </w:tcPr>
                <w:p w:rsidR="00D94B11" w:rsidRPr="00D94B11" w:rsidRDefault="00D94B11" w:rsidP="00D94B11">
                  <w:pPr>
                    <w:spacing w:after="0" w:line="270" w:lineRule="atLeast"/>
                    <w:jc w:val="center"/>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Rs. 65,000</w:t>
                  </w:r>
                </w:p>
              </w:tc>
            </w:tr>
          </w:tbl>
          <w:p w:rsidR="00D94B11" w:rsidRPr="00D94B11" w:rsidRDefault="00D94B11" w:rsidP="00D94B11">
            <w:pPr>
              <w:spacing w:after="0" w:line="240" w:lineRule="auto"/>
              <w:rPr>
                <w:rFonts w:ascii="Times New Roman" w:eastAsia="Times New Roman" w:hAnsi="Times New Roman" w:cs="Times New Roman"/>
                <w:vanish/>
                <w:sz w:val="24"/>
                <w:szCs w:val="24"/>
              </w:rPr>
            </w:pPr>
          </w:p>
          <w:tbl>
            <w:tblPr>
              <w:tblW w:w="4500" w:type="pct"/>
              <w:jc w:val="center"/>
              <w:tblCellSpacing w:w="15" w:type="dxa"/>
              <w:tblCellMar>
                <w:top w:w="30" w:type="dxa"/>
                <w:left w:w="30" w:type="dxa"/>
                <w:bottom w:w="30" w:type="dxa"/>
                <w:right w:w="30" w:type="dxa"/>
              </w:tblCellMar>
              <w:tblLook w:val="04A0"/>
            </w:tblPr>
            <w:tblGrid>
              <w:gridCol w:w="9369"/>
            </w:tblGrid>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xml:space="preserve">The scissors used for the haircuts lasts for 250 haircuts and costs Rs. 250. Similarly the shaving cream lasts for 150 shaves and costs Rs. 200. Instead to paying a fixed rent for the shop the barber has entered into an agreement with the owner whereby he has to pay a rental based on the number of customers. The details of the agreement are </w:t>
                  </w:r>
                  <w:proofErr w:type="gramStart"/>
                  <w:r w:rsidRPr="00D94B11">
                    <w:rPr>
                      <w:rFonts w:ascii="Verdana" w:eastAsia="Times New Roman" w:hAnsi="Verdana" w:cs="Times New Roman"/>
                      <w:color w:val="707070"/>
                      <w:sz w:val="18"/>
                      <w:szCs w:val="18"/>
                    </w:rPr>
                    <w:t>as follows :</w:t>
                  </w:r>
                  <w:proofErr w:type="gramEnd"/>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With respect to the haircuts a minimum rental of Rs. 4000 per month is to be paid. If the number of haircuts exceeds 250 an additional sum of Rs. 4000 is to be paid so long as the number does not exceed 500. But a similar sum is to be paid once the number falls between 501 and 750. (</w:t>
                  </w:r>
                  <w:proofErr w:type="gramStart"/>
                  <w:r w:rsidRPr="00D94B11">
                    <w:rPr>
                      <w:rFonts w:ascii="Verdana" w:eastAsia="Times New Roman" w:hAnsi="Verdana" w:cs="Times New Roman"/>
                      <w:color w:val="707070"/>
                      <w:sz w:val="18"/>
                      <w:szCs w:val="18"/>
                    </w:rPr>
                    <w:t>i.e</w:t>
                  </w:r>
                  <w:proofErr w:type="gramEnd"/>
                  <w:r w:rsidRPr="00D94B11">
                    <w:rPr>
                      <w:rFonts w:ascii="Verdana" w:eastAsia="Times New Roman" w:hAnsi="Verdana" w:cs="Times New Roman"/>
                      <w:color w:val="707070"/>
                      <w:sz w:val="18"/>
                      <w:szCs w:val="18"/>
                    </w:rPr>
                    <w:t>. for 0-250 haircuts, total rental = Rs. 4000 ; for 251 - 500 haircuts, total rental = 8000 and so on).</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Similarly for shavings the minimum rental is Rs. 750 per month and the range of customers over which it changes is 150.</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An analysis of the number of customers in the month of Dec. 1996, reveals the following:</w:t>
                  </w:r>
                  <w:r w:rsidRPr="00D94B11">
                    <w:rPr>
                      <w:rFonts w:ascii="Verdana" w:eastAsia="Times New Roman" w:hAnsi="Verdana" w:cs="Times New Roman"/>
                      <w:color w:val="707070"/>
                      <w:sz w:val="18"/>
                      <w:szCs w:val="18"/>
                    </w:rPr>
                    <w:br/>
                    <w:t>             Haircuts alone      2000</w:t>
                  </w:r>
                  <w:r w:rsidRPr="00D94B11">
                    <w:rPr>
                      <w:rFonts w:ascii="Verdana" w:eastAsia="Times New Roman" w:hAnsi="Verdana" w:cs="Times New Roman"/>
                      <w:color w:val="707070"/>
                      <w:sz w:val="18"/>
                      <w:szCs w:val="18"/>
                    </w:rPr>
                    <w:br/>
                    <w:t>             Shavings alone     1000</w:t>
                  </w:r>
                  <w:r w:rsidRPr="00D94B11">
                    <w:rPr>
                      <w:rFonts w:ascii="Verdana" w:eastAsia="Times New Roman" w:hAnsi="Verdana" w:cs="Times New Roman"/>
                      <w:color w:val="707070"/>
                      <w:sz w:val="18"/>
                      <w:szCs w:val="18"/>
                    </w:rPr>
                    <w:br/>
                    <w:t>             Both together         500</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40" w:lineRule="auto"/>
                    <w:rPr>
                      <w:rFonts w:ascii="Times New Roman" w:eastAsia="Times New Roman" w:hAnsi="Times New Roman" w:cs="Times New Roman"/>
                      <w:sz w:val="24"/>
                      <w:szCs w:val="24"/>
                    </w:rPr>
                  </w:pPr>
                  <w:r w:rsidRPr="00D94B11">
                    <w:rPr>
                      <w:rFonts w:ascii="Verdana" w:eastAsia="Times New Roman" w:hAnsi="Verdana" w:cs="Times New Roman"/>
                      <w:color w:val="707070"/>
                      <w:sz w:val="18"/>
                    </w:rPr>
                    <w:t>You are required to find out the break-even number of customers in terms of haircuts alone, shaves alone, and both together assuming :</w:t>
                  </w:r>
                </w:p>
                <w:p w:rsidR="00D94B11" w:rsidRPr="00D94B11" w:rsidRDefault="00D94B11" w:rsidP="00D94B11">
                  <w:pPr>
                    <w:numPr>
                      <w:ilvl w:val="0"/>
                      <w:numId w:val="3"/>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proportion of customers remains the same as in Dec. 1996 and</w:t>
                  </w:r>
                </w:p>
                <w:p w:rsidR="00D94B11" w:rsidRPr="00D94B11" w:rsidRDefault="00D94B11" w:rsidP="00D94B11">
                  <w:pPr>
                    <w:numPr>
                      <w:ilvl w:val="0"/>
                      <w:numId w:val="3"/>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To the revenue and variable cost of doing a haircut and shave together is the sum revenue and variable cost of the individual activities.</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Solution :</w:t>
                  </w:r>
                  <w:r w:rsidRPr="00D94B11">
                    <w:rPr>
                      <w:rFonts w:ascii="Verdana" w:eastAsia="Times New Roman" w:hAnsi="Verdana" w:cs="Times New Roman"/>
                      <w:color w:val="707070"/>
                      <w:sz w:val="18"/>
                      <w:szCs w:val="18"/>
                    </w:rPr>
                    <w:br/>
                  </w:r>
                  <w:r w:rsidRPr="00D94B11">
                    <w:rPr>
                      <w:rFonts w:ascii="Verdana" w:eastAsia="Times New Roman" w:hAnsi="Verdana" w:cs="Times New Roman"/>
                      <w:b/>
                      <w:bCs/>
                      <w:i/>
                      <w:iCs/>
                      <w:color w:val="707070"/>
                      <w:sz w:val="18"/>
                    </w:rPr>
                    <w:t>Assumptions</w:t>
                  </w:r>
                </w:p>
                <w:p w:rsidR="00D94B11" w:rsidRPr="00D94B11" w:rsidRDefault="00D94B11" w:rsidP="00D94B11">
                  <w:pPr>
                    <w:numPr>
                      <w:ilvl w:val="0"/>
                      <w:numId w:val="4"/>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The production mix for the month of Dec. 1996 was 4:2:1. In order to eliminate fractions we assume that there shall be a minimum of 5 haircuts and 3 shave. i.e. 4 Customers opting for haircuts alone, 2 for shaves alone and 1 for both.</w:t>
                  </w:r>
                </w:p>
                <w:p w:rsidR="00D94B11" w:rsidRPr="00D94B11" w:rsidRDefault="00D94B11" w:rsidP="00D94B11">
                  <w:pPr>
                    <w:numPr>
                      <w:ilvl w:val="0"/>
                      <w:numId w:val="4"/>
                    </w:num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xml:space="preserve">The proportion of the ranges over which the step-cost for the products vary will be the same as the product mix i.e. 250:150 is the same as 5:3. (4+1 : 2+1) This is a derivation from the problem and the solution given will hold </w:t>
                  </w:r>
                  <w:proofErr w:type="gramStart"/>
                  <w:r w:rsidRPr="00D94B11">
                    <w:rPr>
                      <w:rFonts w:ascii="Verdana" w:eastAsia="Times New Roman" w:hAnsi="Verdana" w:cs="Times New Roman"/>
                      <w:color w:val="707070"/>
                      <w:sz w:val="18"/>
                      <w:szCs w:val="18"/>
                    </w:rPr>
                    <w:t>good</w:t>
                  </w:r>
                  <w:proofErr w:type="gramEnd"/>
                  <w:r w:rsidRPr="00D94B11">
                    <w:rPr>
                      <w:rFonts w:ascii="Verdana" w:eastAsia="Times New Roman" w:hAnsi="Verdana" w:cs="Times New Roman"/>
                      <w:color w:val="707070"/>
                      <w:sz w:val="18"/>
                      <w:szCs w:val="18"/>
                    </w:rPr>
                    <w:t xml:space="preserve"> only if this relation is satisfied.</w:t>
                  </w:r>
                  <w:r w:rsidRPr="00D94B11">
                    <w:rPr>
                      <w:rFonts w:ascii="Verdana" w:eastAsia="Times New Roman" w:hAnsi="Verdana" w:cs="Times New Roman"/>
                      <w:color w:val="707070"/>
                      <w:sz w:val="18"/>
                    </w:rPr>
                    <w:t> </w:t>
                  </w:r>
                </w:p>
                <w:p w:rsidR="00D94B11" w:rsidRPr="00D94B11" w:rsidRDefault="00D94B11" w:rsidP="00D94B11">
                  <w:pPr>
                    <w:numPr>
                      <w:ilvl w:val="0"/>
                      <w:numId w:val="4"/>
                    </w:numPr>
                    <w:spacing w:before="100" w:beforeAutospacing="1" w:after="240"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xml:space="preserve">The contribution derived from the combination is the same as the sum of the contributions of </w:t>
                  </w:r>
                  <w:r w:rsidRPr="00D94B11">
                    <w:rPr>
                      <w:rFonts w:ascii="Verdana" w:eastAsia="Times New Roman" w:hAnsi="Verdana" w:cs="Times New Roman"/>
                      <w:color w:val="707070"/>
                      <w:sz w:val="18"/>
                      <w:szCs w:val="18"/>
                    </w:rPr>
                    <w:lastRenderedPageBreak/>
                    <w:t>the individual products.</w:t>
                  </w:r>
                  <w:r w:rsidRPr="00D94B11">
                    <w:rPr>
                      <w:rFonts w:ascii="Verdana" w:eastAsia="Times New Roman" w:hAnsi="Verdana" w:cs="Times New Roman"/>
                      <w:color w:val="707070"/>
                      <w:sz w:val="18"/>
                    </w:rPr>
                    <w:t> </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after="0"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lastRenderedPageBreak/>
                    <w:t xml:space="preserve">Step Fixed </w:t>
                  </w:r>
                  <w:proofErr w:type="gramStart"/>
                  <w:r w:rsidRPr="00D94B11">
                    <w:rPr>
                      <w:rFonts w:ascii="Verdana" w:eastAsia="Times New Roman" w:hAnsi="Verdana" w:cs="Times New Roman"/>
                      <w:b/>
                      <w:bCs/>
                      <w:color w:val="707070"/>
                      <w:sz w:val="18"/>
                    </w:rPr>
                    <w:t>Cost :</w:t>
                  </w:r>
                  <w:proofErr w:type="gramEnd"/>
                  <w:r w:rsidRPr="00D94B11">
                    <w:rPr>
                      <w:rFonts w:ascii="Verdana" w:eastAsia="Times New Roman" w:hAnsi="Verdana" w:cs="Times New Roman"/>
                      <w:color w:val="707070"/>
                      <w:sz w:val="18"/>
                    </w:rPr>
                    <w:t> </w:t>
                  </w:r>
                  <w:r w:rsidRPr="00D94B11">
                    <w:rPr>
                      <w:rFonts w:ascii="Verdana" w:eastAsia="Times New Roman" w:hAnsi="Verdana" w:cs="Times New Roman"/>
                      <w:color w:val="707070"/>
                      <w:sz w:val="18"/>
                      <w:szCs w:val="18"/>
                    </w:rPr>
                    <w:t>Hence, there are two step fixed cost associated with both haircuts and shaves. For haircuts the step fixed cost are the cost of scissors and the rental payment. For shaves the step fixed cost are the cost of the shaving cream and the rental. The calculations are as detailed below :</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          For 250 units of haircuts - Rs. 4250 (250+4000)</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          For 150 units of shaves - Rs. 950 (200+750)</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Since, the proportion for the step-fixed cost as well as the product mix is the same (4:2:1), the two step fixed cost can be added up to compute the step fixed cost for the range.</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Since, N is whole number N1 is also a whole number.</w:t>
                  </w:r>
                  <w:r w:rsidRPr="00D94B11">
                    <w:rPr>
                      <w:rFonts w:ascii="Verdana" w:eastAsia="Times New Roman" w:hAnsi="Verdana" w:cs="Times New Roman"/>
                      <w:color w:val="707070"/>
                      <w:sz w:val="18"/>
                      <w:szCs w:val="18"/>
                    </w:rPr>
                    <w:br/>
                  </w:r>
                  <w:r w:rsidRPr="00D94B11">
                    <w:rPr>
                      <w:rFonts w:ascii="Verdana" w:eastAsia="Times New Roman" w:hAnsi="Verdana" w:cs="Times New Roman"/>
                      <w:color w:val="707070"/>
                      <w:sz w:val="18"/>
                      <w:szCs w:val="18"/>
                    </w:rPr>
                    <w:br/>
                    <w:t>Thus, the annual BEP = N1 * R = 12 * N * R    = 12 * Monthly BEP.</w:t>
                  </w:r>
                </w:p>
              </w:tc>
            </w:tr>
            <w:tr w:rsidR="00D94B11" w:rsidRPr="00D94B11">
              <w:trPr>
                <w:tblCellSpacing w:w="15" w:type="dxa"/>
                <w:jc w:val="center"/>
              </w:trPr>
              <w:tc>
                <w:tcPr>
                  <w:tcW w:w="0" w:type="auto"/>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xml:space="preserve">Thus, the annual BEP is 12times the monthly BEP when the monthly BEP falls on an extreme point. However this relation holds good only for the first monthly BEP and the first annual BEP. Second and subsequent BEP which do not fall on the extreme point will not satisfy the relation. It can be noticed that this is just a specific case of the general conditions that we have put forth. Here 'N' is always an integer and hence need not be rounded to compute the BEP. Similarly, N1 is also rounded. Hence, our original formulation stating N </w:t>
                  </w:r>
                  <w:proofErr w:type="gramStart"/>
                  <w:r w:rsidRPr="00D94B11">
                    <w:rPr>
                      <w:rFonts w:ascii="Verdana" w:eastAsia="Times New Roman" w:hAnsi="Verdana" w:cs="Times New Roman"/>
                      <w:color w:val="707070"/>
                      <w:sz w:val="18"/>
                      <w:szCs w:val="18"/>
                    </w:rPr>
                    <w:t>( Rounded</w:t>
                  </w:r>
                  <w:proofErr w:type="gramEnd"/>
                  <w:r w:rsidRPr="00D94B11">
                    <w:rPr>
                      <w:rFonts w:ascii="Verdana" w:eastAsia="Times New Roman" w:hAnsi="Verdana" w:cs="Times New Roman"/>
                      <w:color w:val="707070"/>
                      <w:sz w:val="18"/>
                      <w:szCs w:val="18"/>
                    </w:rPr>
                    <w:t xml:space="preserve"> ) must be equal to N1 ( Rounded ) is always satisfied.</w:t>
                  </w:r>
                  <w:r w:rsidRPr="00D94B11">
                    <w:rPr>
                      <w:rFonts w:ascii="Verdana" w:eastAsia="Times New Roman" w:hAnsi="Verdana" w:cs="Times New Roman"/>
                      <w:color w:val="707070"/>
                      <w:sz w:val="18"/>
                      <w:szCs w:val="18"/>
                    </w:rPr>
                    <w:br/>
                    <w:t>      (Illustration 1 with a monthly fixed cost of Rs. 21600 will result in such a situation</w:t>
                  </w:r>
                  <w:proofErr w:type="gramStart"/>
                  <w:r w:rsidRPr="00D94B11">
                    <w:rPr>
                      <w:rFonts w:ascii="Verdana" w:eastAsia="Times New Roman" w:hAnsi="Verdana" w:cs="Times New Roman"/>
                      <w:color w:val="707070"/>
                      <w:sz w:val="18"/>
                      <w:szCs w:val="18"/>
                    </w:rPr>
                    <w:t>. )</w:t>
                  </w:r>
                  <w:proofErr w:type="gramEnd"/>
                  <w:r w:rsidRPr="00D94B11">
                    <w:rPr>
                      <w:rFonts w:ascii="Verdana" w:eastAsia="Times New Roman" w:hAnsi="Verdana" w:cs="Times New Roman"/>
                      <w:color w:val="707070"/>
                      <w:sz w:val="18"/>
                      <w:szCs w:val="18"/>
                    </w:rPr>
                    <w:t> </w:t>
                  </w:r>
                </w:p>
              </w:tc>
            </w:tr>
            <w:tr w:rsidR="00D94B11" w:rsidRPr="00D94B11">
              <w:trPr>
                <w:tblCellSpacing w:w="15" w:type="dxa"/>
                <w:jc w:val="center"/>
              </w:trPr>
              <w:tc>
                <w:tcPr>
                  <w:tcW w:w="0" w:type="auto"/>
                  <w:shd w:val="clear" w:color="auto" w:fill="FFE3AA"/>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b/>
                      <w:bCs/>
                      <w:color w:val="707070"/>
                      <w:sz w:val="18"/>
                    </w:rPr>
                    <w:t>Conclusion</w:t>
                  </w:r>
                </w:p>
              </w:tc>
            </w:tr>
            <w:tr w:rsidR="00D94B11" w:rsidRPr="00D94B11">
              <w:trPr>
                <w:tblCellSpacing w:w="15" w:type="dxa"/>
                <w:jc w:val="center"/>
              </w:trPr>
              <w:tc>
                <w:tcPr>
                  <w:tcW w:w="500" w:type="pct"/>
                  <w:shd w:val="clear" w:color="auto" w:fill="FFF0D2"/>
                  <w:hideMark/>
                </w:tcPr>
                <w:p w:rsidR="00D94B11" w:rsidRPr="00D94B11" w:rsidRDefault="00D94B11" w:rsidP="00D94B11">
                  <w:pPr>
                    <w:spacing w:before="100" w:beforeAutospacing="1" w:after="100" w:afterAutospacing="1" w:line="270" w:lineRule="atLeast"/>
                    <w:rPr>
                      <w:rFonts w:ascii="Verdana" w:eastAsia="Times New Roman" w:hAnsi="Verdana" w:cs="Times New Roman"/>
                      <w:color w:val="707070"/>
                      <w:sz w:val="18"/>
                      <w:szCs w:val="18"/>
                    </w:rPr>
                  </w:pPr>
                  <w:r w:rsidRPr="00D94B11">
                    <w:rPr>
                      <w:rFonts w:ascii="Verdana" w:eastAsia="Times New Roman" w:hAnsi="Verdana" w:cs="Times New Roman"/>
                      <w:color w:val="707070"/>
                      <w:sz w:val="18"/>
                      <w:szCs w:val="18"/>
                    </w:rPr>
                    <w:t xml:space="preserve">Step fixed cost is very interesting area in Marginal costing and possesses certain unique characteristics and leads to interesting revelations. Very little has been written on the subject and a deeper analysis would reveal interesting derivations. In this article a couple of things have been stated but not </w:t>
                  </w:r>
                  <w:proofErr w:type="gramStart"/>
                  <w:r w:rsidRPr="00D94B11">
                    <w:rPr>
                      <w:rFonts w:ascii="Verdana" w:eastAsia="Times New Roman" w:hAnsi="Verdana" w:cs="Times New Roman"/>
                      <w:color w:val="707070"/>
                      <w:sz w:val="18"/>
                      <w:szCs w:val="18"/>
                    </w:rPr>
                    <w:t>proved ;</w:t>
                  </w:r>
                  <w:proofErr w:type="gramEnd"/>
                  <w:r w:rsidRPr="00D94B11">
                    <w:rPr>
                      <w:rFonts w:ascii="Verdana" w:eastAsia="Times New Roman" w:hAnsi="Verdana" w:cs="Times New Roman"/>
                      <w:color w:val="707070"/>
                      <w:sz w:val="18"/>
                      <w:szCs w:val="18"/>
                    </w:rPr>
                    <w:t xml:space="preserve"> The phrase 'As many step increases in fixed cost there will be a maximum of so many BEPs possible'. Interested readers can take up such statements for further analysis once the basic concepts about step fixed costs are understood.</w:t>
                  </w:r>
                </w:p>
              </w:tc>
            </w:tr>
          </w:tbl>
          <w:p w:rsidR="00D94B11" w:rsidRPr="00D94B11" w:rsidRDefault="00D94B11" w:rsidP="00D94B11">
            <w:pPr>
              <w:spacing w:after="0" w:line="240" w:lineRule="auto"/>
              <w:rPr>
                <w:rFonts w:ascii="Times New Roman" w:eastAsia="Times New Roman" w:hAnsi="Times New Roman" w:cs="Times New Roman"/>
                <w:sz w:val="24"/>
                <w:szCs w:val="24"/>
              </w:rPr>
            </w:pPr>
          </w:p>
        </w:tc>
      </w:tr>
    </w:tbl>
    <w:p w:rsidR="00A902A8" w:rsidRDefault="00A902A8"/>
    <w:sectPr w:rsidR="00A902A8" w:rsidSect="00874EEC">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541B00"/>
    <w:multiLevelType w:val="multilevel"/>
    <w:tmpl w:val="805E0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535C14"/>
    <w:multiLevelType w:val="multilevel"/>
    <w:tmpl w:val="8F622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EC7672"/>
    <w:multiLevelType w:val="multilevel"/>
    <w:tmpl w:val="95543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2266927"/>
    <w:multiLevelType w:val="multilevel"/>
    <w:tmpl w:val="9E025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D94B11"/>
    <w:rsid w:val="00874EEC"/>
    <w:rsid w:val="00A902A8"/>
    <w:rsid w:val="00D94B11"/>
    <w:rsid w:val="00DC79D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E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79">
    <w:name w:val="style79"/>
    <w:basedOn w:val="Normal"/>
    <w:rsid w:val="00D94B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4B11"/>
    <w:rPr>
      <w:b/>
      <w:bCs/>
    </w:rPr>
  </w:style>
  <w:style w:type="paragraph" w:styleId="NormalWeb">
    <w:name w:val="Normal (Web)"/>
    <w:basedOn w:val="Normal"/>
    <w:uiPriority w:val="99"/>
    <w:unhideWhenUsed/>
    <w:rsid w:val="00D94B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94B11"/>
  </w:style>
  <w:style w:type="paragraph" w:customStyle="1" w:styleId="style80">
    <w:name w:val="style80"/>
    <w:basedOn w:val="Normal"/>
    <w:rsid w:val="00D94B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801">
    <w:name w:val="style801"/>
    <w:basedOn w:val="DefaultParagraphFont"/>
    <w:rsid w:val="00D94B11"/>
  </w:style>
  <w:style w:type="paragraph" w:styleId="BalloonText">
    <w:name w:val="Balloon Text"/>
    <w:basedOn w:val="Normal"/>
    <w:link w:val="BalloonTextChar"/>
    <w:uiPriority w:val="99"/>
    <w:semiHidden/>
    <w:unhideWhenUsed/>
    <w:rsid w:val="00D94B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B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0360752">
      <w:bodyDiv w:val="1"/>
      <w:marLeft w:val="0"/>
      <w:marRight w:val="0"/>
      <w:marTop w:val="0"/>
      <w:marBottom w:val="0"/>
      <w:divBdr>
        <w:top w:val="none" w:sz="0" w:space="0" w:color="auto"/>
        <w:left w:val="none" w:sz="0" w:space="0" w:color="auto"/>
        <w:bottom w:val="none" w:sz="0" w:space="0" w:color="auto"/>
        <w:right w:val="none" w:sz="0" w:space="0" w:color="auto"/>
      </w:divBdr>
      <w:divsChild>
        <w:div w:id="684793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254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191883">
          <w:blockQuote w:val="1"/>
          <w:marLeft w:val="720"/>
          <w:marRight w:val="720"/>
          <w:marTop w:val="100"/>
          <w:marBottom w:val="100"/>
          <w:divBdr>
            <w:top w:val="none" w:sz="0" w:space="0" w:color="auto"/>
            <w:left w:val="none" w:sz="0" w:space="0" w:color="auto"/>
            <w:bottom w:val="none" w:sz="0" w:space="0" w:color="auto"/>
            <w:right w:val="none" w:sz="0" w:space="0" w:color="auto"/>
          </w:divBdr>
        </w:div>
        <w:div w:id="4089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69425030">
          <w:blockQuote w:val="1"/>
          <w:marLeft w:val="720"/>
          <w:marRight w:val="720"/>
          <w:marTop w:val="100"/>
          <w:marBottom w:val="100"/>
          <w:divBdr>
            <w:top w:val="none" w:sz="0" w:space="0" w:color="auto"/>
            <w:left w:val="none" w:sz="0" w:space="0" w:color="auto"/>
            <w:bottom w:val="none" w:sz="0" w:space="0" w:color="auto"/>
            <w:right w:val="none" w:sz="0" w:space="0" w:color="auto"/>
          </w:divBdr>
        </w:div>
        <w:div w:id="67265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5852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8707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6243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3450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937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87730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2327</Words>
  <Characters>13269</Characters>
  <Application>Microsoft Office Word</Application>
  <DocSecurity>0</DocSecurity>
  <Lines>110</Lines>
  <Paragraphs>31</Paragraphs>
  <ScaleCrop>false</ScaleCrop>
  <Company/>
  <LinksUpToDate>false</LinksUpToDate>
  <CharactersWithSpaces>15565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Uday Kiran Bagade</dc:creator>
  <cp:keywords/>
  <dc:description/>
  <cp:lastModifiedBy>Uday Kiran Bagade</cp:lastModifiedBy>
  <cp:revision>3</cp:revision>
  <dcterms:created xsi:type="dcterms:W3CDTF">2009-03-21T02:22:00Z</dcterms:created>
  <dcterms:modified xsi:type="dcterms:W3CDTF">2009-04-11T08:26:00Z</dcterms:modified>
</cp:coreProperties>
</file>