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1F0C" w14:textId="0E5F44E3" w:rsidR="00A50362" w:rsidRPr="00A519E6" w:rsidRDefault="00A50362">
      <w:pPr>
        <w:rPr>
          <w:rFonts w:cstheme="minorHAnsi"/>
          <w:b/>
          <w:bCs/>
          <w:color w:val="141414"/>
          <w:sz w:val="28"/>
          <w:szCs w:val="28"/>
          <w:shd w:val="clear" w:color="auto" w:fill="FEFEFE"/>
        </w:rPr>
      </w:pPr>
      <w:r w:rsidRPr="00A519E6">
        <w:rPr>
          <w:rFonts w:cstheme="minorHAnsi"/>
          <w:b/>
          <w:bCs/>
          <w:color w:val="141414"/>
          <w:sz w:val="28"/>
          <w:szCs w:val="28"/>
          <w:shd w:val="clear" w:color="auto" w:fill="FEFEFE"/>
        </w:rPr>
        <w:t>F.No.149/287/2005-TPL from Central Board of Direct Taxes</w:t>
      </w:r>
    </w:p>
    <w:p w14:paraId="02502027" w14:textId="31B2E70C" w:rsidR="00E854D3" w:rsidRPr="00984B55" w:rsidRDefault="00A24D84">
      <w:pPr>
        <w:rPr>
          <w:rFonts w:cstheme="minorHAnsi"/>
          <w:color w:val="141414"/>
          <w:sz w:val="23"/>
          <w:szCs w:val="23"/>
          <w:shd w:val="clear" w:color="auto" w:fill="FEFEFE"/>
        </w:rPr>
      </w:pPr>
      <w:r w:rsidRPr="00984B55">
        <w:rPr>
          <w:rFonts w:cstheme="minorHAnsi"/>
          <w:color w:val="141414"/>
          <w:sz w:val="23"/>
          <w:szCs w:val="23"/>
          <w:shd w:val="clear" w:color="auto" w:fill="FEFEFE"/>
        </w:rPr>
        <w:t>Sub : Distinction between shares held as stock-in-trade and shares held as investment - Tests For –</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The Central Board of Direct Taxes in its instruction no.1827 dated 31-08-1989 had laid down certain tests to distinguish between shares held as stock-in-trade and shares held as investment. The following supplementary instructions in this regard will provide further guidelines for determining whether a person is a trader in stocks or an investor in stocks:</w:t>
      </w:r>
      <w:r w:rsidRPr="00984B55">
        <w:rPr>
          <w:rFonts w:cstheme="minorHAnsi"/>
          <w:color w:val="141414"/>
          <w:sz w:val="23"/>
          <w:szCs w:val="23"/>
        </w:rPr>
        <w:br/>
      </w:r>
      <w:r w:rsidRPr="00984B55">
        <w:rPr>
          <w:rFonts w:cstheme="minorHAnsi"/>
          <w:color w:val="141414"/>
          <w:sz w:val="23"/>
          <w:szCs w:val="23"/>
        </w:rPr>
        <w:br/>
      </w:r>
      <w:proofErr w:type="spellStart"/>
      <w:r w:rsidRPr="00984B55">
        <w:rPr>
          <w:rFonts w:cstheme="minorHAnsi"/>
          <w:color w:val="141414"/>
          <w:sz w:val="23"/>
          <w:szCs w:val="23"/>
          <w:shd w:val="clear" w:color="auto" w:fill="FEFEFE"/>
        </w:rPr>
        <w:t>i</w:t>
      </w:r>
      <w:proofErr w:type="spellEnd"/>
      <w:r w:rsidRPr="00984B55">
        <w:rPr>
          <w:rFonts w:cstheme="minorHAnsi"/>
          <w:color w:val="141414"/>
          <w:sz w:val="23"/>
          <w:szCs w:val="23"/>
          <w:shd w:val="clear" w:color="auto" w:fill="FEFEFE"/>
        </w:rPr>
        <w:t>. Whether the purchase and sale of securities was allied to his usual trade or business / was incidental to it or was an occasional independent activity.</w:t>
      </w:r>
      <w:r w:rsidRPr="00984B55">
        <w:rPr>
          <w:rFonts w:cstheme="minorHAnsi"/>
          <w:color w:val="141414"/>
          <w:sz w:val="23"/>
          <w:szCs w:val="23"/>
        </w:rPr>
        <w:br/>
      </w:r>
      <w:r w:rsidRPr="00984B55">
        <w:rPr>
          <w:rFonts w:cstheme="minorHAnsi"/>
          <w:color w:val="141414"/>
          <w:sz w:val="23"/>
          <w:szCs w:val="23"/>
          <w:shd w:val="clear" w:color="auto" w:fill="FEFEFE"/>
        </w:rPr>
        <w:t>ii. Whether the purchase is made solely with the intention of resale at a profit or for long term appreciation and/or for earning dividends and interest.</w:t>
      </w:r>
      <w:r w:rsidRPr="00984B55">
        <w:rPr>
          <w:rFonts w:cstheme="minorHAnsi"/>
          <w:color w:val="141414"/>
          <w:sz w:val="23"/>
          <w:szCs w:val="23"/>
        </w:rPr>
        <w:br/>
      </w:r>
      <w:r w:rsidRPr="00984B55">
        <w:rPr>
          <w:rFonts w:cstheme="minorHAnsi"/>
          <w:color w:val="141414"/>
          <w:sz w:val="23"/>
          <w:szCs w:val="23"/>
          <w:shd w:val="clear" w:color="auto" w:fill="FEFEFE"/>
        </w:rPr>
        <w:t>iii. Whether scale of activity is substantial.</w:t>
      </w:r>
      <w:r w:rsidRPr="00984B55">
        <w:rPr>
          <w:rFonts w:cstheme="minorHAnsi"/>
          <w:color w:val="141414"/>
          <w:sz w:val="23"/>
          <w:szCs w:val="23"/>
        </w:rPr>
        <w:br/>
      </w:r>
      <w:r w:rsidRPr="00984B55">
        <w:rPr>
          <w:rFonts w:cstheme="minorHAnsi"/>
          <w:color w:val="141414"/>
          <w:sz w:val="23"/>
          <w:szCs w:val="23"/>
          <w:shd w:val="clear" w:color="auto" w:fill="FEFEFE"/>
        </w:rPr>
        <w:t>iv. Whether transactions were entered into continuously and regularly during the assessment year.</w:t>
      </w:r>
      <w:r w:rsidRPr="00984B55">
        <w:rPr>
          <w:rFonts w:cstheme="minorHAnsi"/>
          <w:color w:val="141414"/>
          <w:sz w:val="23"/>
          <w:szCs w:val="23"/>
        </w:rPr>
        <w:br/>
      </w:r>
      <w:r w:rsidRPr="00984B55">
        <w:rPr>
          <w:rFonts w:cstheme="minorHAnsi"/>
          <w:color w:val="141414"/>
          <w:sz w:val="23"/>
          <w:szCs w:val="23"/>
          <w:shd w:val="clear" w:color="auto" w:fill="FEFEFE"/>
        </w:rPr>
        <w:t>v. Whether purchases are made out of own funds or borrowings</w:t>
      </w:r>
      <w:r w:rsidRPr="00984B55">
        <w:rPr>
          <w:rFonts w:cstheme="minorHAnsi"/>
          <w:color w:val="141414"/>
          <w:sz w:val="23"/>
          <w:szCs w:val="23"/>
        </w:rPr>
        <w:br/>
      </w:r>
      <w:r w:rsidRPr="00984B55">
        <w:rPr>
          <w:rFonts w:cstheme="minorHAnsi"/>
          <w:color w:val="141414"/>
          <w:sz w:val="23"/>
          <w:szCs w:val="23"/>
          <w:shd w:val="clear" w:color="auto" w:fill="FEFEFE"/>
        </w:rPr>
        <w:t>vi. The stated objects in the Memorandum and Articles of Association in the case of a corporate assessee</w:t>
      </w:r>
      <w:r w:rsidRPr="00984B55">
        <w:rPr>
          <w:rFonts w:cstheme="minorHAnsi"/>
          <w:color w:val="141414"/>
          <w:sz w:val="23"/>
          <w:szCs w:val="23"/>
        </w:rPr>
        <w:br/>
      </w:r>
      <w:r w:rsidRPr="00984B55">
        <w:rPr>
          <w:rFonts w:cstheme="minorHAnsi"/>
          <w:color w:val="141414"/>
          <w:sz w:val="23"/>
          <w:szCs w:val="23"/>
          <w:shd w:val="clear" w:color="auto" w:fill="FEFEFE"/>
        </w:rPr>
        <w:t>vii. Typical holding period for securities bought and sold</w:t>
      </w:r>
      <w:r w:rsidRPr="00984B55">
        <w:rPr>
          <w:rFonts w:cstheme="minorHAnsi"/>
          <w:color w:val="141414"/>
          <w:sz w:val="23"/>
          <w:szCs w:val="23"/>
        </w:rPr>
        <w:br/>
      </w:r>
      <w:r w:rsidRPr="00984B55">
        <w:rPr>
          <w:rFonts w:cstheme="minorHAnsi"/>
          <w:color w:val="141414"/>
          <w:sz w:val="23"/>
          <w:szCs w:val="23"/>
          <w:shd w:val="clear" w:color="auto" w:fill="FEFEFE"/>
        </w:rPr>
        <w:t>viii. Ratio of sales to purchases and holding</w:t>
      </w:r>
      <w:r w:rsidRPr="00984B55">
        <w:rPr>
          <w:rFonts w:cstheme="minorHAnsi"/>
          <w:color w:val="141414"/>
          <w:sz w:val="23"/>
          <w:szCs w:val="23"/>
        </w:rPr>
        <w:br/>
      </w:r>
      <w:r w:rsidRPr="00984B55">
        <w:rPr>
          <w:rFonts w:cstheme="minorHAnsi"/>
          <w:color w:val="141414"/>
          <w:sz w:val="23"/>
          <w:szCs w:val="23"/>
          <w:shd w:val="clear" w:color="auto" w:fill="FEFEFE"/>
        </w:rPr>
        <w:t>ix. The time devoted to the activity and the extent to which it is the means of livelihood.</w:t>
      </w:r>
      <w:r w:rsidRPr="00984B55">
        <w:rPr>
          <w:rFonts w:cstheme="minorHAnsi"/>
          <w:color w:val="141414"/>
          <w:sz w:val="23"/>
          <w:szCs w:val="23"/>
        </w:rPr>
        <w:br/>
      </w:r>
      <w:r w:rsidRPr="00984B55">
        <w:rPr>
          <w:rFonts w:cstheme="minorHAnsi"/>
          <w:color w:val="141414"/>
          <w:sz w:val="23"/>
          <w:szCs w:val="23"/>
          <w:shd w:val="clear" w:color="auto" w:fill="FEFEFE"/>
        </w:rPr>
        <w:t>x. The characterization of securities in the books of account and in balance sheet as stock in trade or investments.</w:t>
      </w:r>
      <w:r w:rsidRPr="00984B55">
        <w:rPr>
          <w:rFonts w:cstheme="minorHAnsi"/>
          <w:color w:val="141414"/>
          <w:sz w:val="23"/>
          <w:szCs w:val="23"/>
        </w:rPr>
        <w:br/>
      </w:r>
      <w:r w:rsidRPr="00984B55">
        <w:rPr>
          <w:rFonts w:cstheme="minorHAnsi"/>
          <w:color w:val="141414"/>
          <w:sz w:val="23"/>
          <w:szCs w:val="23"/>
          <w:shd w:val="clear" w:color="auto" w:fill="FEFEFE"/>
        </w:rPr>
        <w:t>xi. Whether the securities purchased or sold are listed or unlisted.</w:t>
      </w:r>
      <w:r w:rsidRPr="00984B55">
        <w:rPr>
          <w:rFonts w:cstheme="minorHAnsi"/>
          <w:color w:val="141414"/>
          <w:sz w:val="23"/>
          <w:szCs w:val="23"/>
        </w:rPr>
        <w:br/>
      </w:r>
      <w:r w:rsidRPr="00984B55">
        <w:rPr>
          <w:rFonts w:cstheme="minorHAnsi"/>
          <w:color w:val="141414"/>
          <w:sz w:val="23"/>
          <w:szCs w:val="23"/>
          <w:shd w:val="clear" w:color="auto" w:fill="FEFEFE"/>
        </w:rPr>
        <w:t>xii. Whether investment is in sister/related concerns or independent companies.</w:t>
      </w:r>
      <w:r w:rsidRPr="00984B55">
        <w:rPr>
          <w:rFonts w:cstheme="minorHAnsi"/>
          <w:color w:val="141414"/>
          <w:sz w:val="23"/>
          <w:szCs w:val="23"/>
        </w:rPr>
        <w:br/>
      </w:r>
      <w:r w:rsidRPr="00984B55">
        <w:rPr>
          <w:rFonts w:cstheme="minorHAnsi"/>
          <w:color w:val="141414"/>
          <w:sz w:val="23"/>
          <w:szCs w:val="23"/>
          <w:shd w:val="clear" w:color="auto" w:fill="FEFEFE"/>
        </w:rPr>
        <w:t>xiii. Whether transaction is by promoters of the company.</w:t>
      </w:r>
      <w:r w:rsidRPr="00984B55">
        <w:rPr>
          <w:rFonts w:cstheme="minorHAnsi"/>
          <w:color w:val="141414"/>
          <w:sz w:val="23"/>
          <w:szCs w:val="23"/>
        </w:rPr>
        <w:br/>
      </w:r>
      <w:r w:rsidRPr="00984B55">
        <w:rPr>
          <w:rFonts w:cstheme="minorHAnsi"/>
          <w:color w:val="141414"/>
          <w:sz w:val="23"/>
          <w:szCs w:val="23"/>
          <w:shd w:val="clear" w:color="auto" w:fill="FEFEFE"/>
        </w:rPr>
        <w:t>xiv. Total number of stocks dealt in.</w:t>
      </w:r>
      <w:r w:rsidRPr="00984B55">
        <w:rPr>
          <w:rFonts w:cstheme="minorHAnsi"/>
          <w:color w:val="141414"/>
          <w:sz w:val="23"/>
          <w:szCs w:val="23"/>
        </w:rPr>
        <w:br/>
      </w:r>
      <w:r w:rsidRPr="00984B55">
        <w:rPr>
          <w:rFonts w:cstheme="minorHAnsi"/>
          <w:color w:val="141414"/>
          <w:sz w:val="23"/>
          <w:szCs w:val="23"/>
          <w:shd w:val="clear" w:color="auto" w:fill="FEFEFE"/>
        </w:rPr>
        <w:t>xv. Whether money has been paid or received or whether these are only book entries.</w:t>
      </w:r>
      <w:r w:rsidRPr="00984B55">
        <w:rPr>
          <w:rFonts w:cstheme="minorHAnsi"/>
          <w:color w:val="141414"/>
          <w:sz w:val="23"/>
          <w:szCs w:val="23"/>
        </w:rPr>
        <w:br/>
      </w:r>
      <w:r w:rsidRPr="00984B55">
        <w:rPr>
          <w:rFonts w:cstheme="minorHAnsi"/>
          <w:color w:val="141414"/>
          <w:sz w:val="23"/>
          <w:szCs w:val="23"/>
          <w:shd w:val="clear" w:color="auto" w:fill="FEFEFE"/>
        </w:rPr>
        <w:t>The Assessing Officers are also advised that no single criterion listed above is decisive and total effect of all these criteria should be considered to determine the nature of activity.</w:t>
      </w:r>
      <w:r w:rsidRPr="00984B55">
        <w:rPr>
          <w:rFonts w:cstheme="minorHAnsi"/>
          <w:color w:val="141414"/>
          <w:sz w:val="23"/>
          <w:szCs w:val="23"/>
        </w:rPr>
        <w:br/>
      </w:r>
      <w:r w:rsidRPr="00984B55">
        <w:rPr>
          <w:rFonts w:cstheme="minorHAnsi"/>
          <w:color w:val="141414"/>
          <w:sz w:val="23"/>
          <w:szCs w:val="23"/>
          <w:shd w:val="clear" w:color="auto" w:fill="FEFEFE"/>
        </w:rPr>
        <w:t>(F.No.149/287/2005-TPL from Central Board of Direct Taxes)</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(Vandana Ramachandran)</w:t>
      </w:r>
      <w:r w:rsidRPr="00984B55">
        <w:rPr>
          <w:rFonts w:cstheme="minorHAnsi"/>
          <w:color w:val="141414"/>
          <w:sz w:val="23"/>
          <w:szCs w:val="23"/>
        </w:rPr>
        <w:br/>
      </w:r>
      <w:r w:rsidRPr="00984B55">
        <w:rPr>
          <w:rFonts w:cstheme="minorHAnsi"/>
          <w:color w:val="141414"/>
          <w:sz w:val="23"/>
          <w:szCs w:val="23"/>
          <w:shd w:val="clear" w:color="auto" w:fill="FEFEFE"/>
        </w:rPr>
        <w:t>Under Secretary (TPL-I)</w:t>
      </w:r>
      <w:r w:rsidRPr="00984B55">
        <w:rPr>
          <w:rFonts w:cstheme="minorHAnsi"/>
          <w:color w:val="141414"/>
          <w:sz w:val="23"/>
          <w:szCs w:val="23"/>
        </w:rPr>
        <w:br/>
      </w:r>
      <w:r w:rsidRPr="00984B55">
        <w:rPr>
          <w:rFonts w:cstheme="minorHAnsi"/>
          <w:color w:val="141414"/>
          <w:sz w:val="23"/>
          <w:szCs w:val="23"/>
          <w:shd w:val="clear" w:color="auto" w:fill="FEFEFE"/>
        </w:rPr>
        <w:t>16th May, 2006</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rPr>
        <w:br/>
      </w:r>
    </w:p>
    <w:p w14:paraId="4CB257AC" w14:textId="77777777" w:rsidR="00216F38" w:rsidRPr="00984B55" w:rsidRDefault="00216F38">
      <w:pPr>
        <w:rPr>
          <w:rFonts w:cstheme="minorHAnsi"/>
          <w:color w:val="141414"/>
          <w:sz w:val="23"/>
          <w:szCs w:val="23"/>
          <w:shd w:val="clear" w:color="auto" w:fill="FEFEFE"/>
        </w:rPr>
      </w:pPr>
    </w:p>
    <w:p w14:paraId="018CB506" w14:textId="77777777" w:rsidR="00216F38" w:rsidRPr="00984B55" w:rsidRDefault="00216F38">
      <w:pPr>
        <w:rPr>
          <w:rFonts w:cstheme="minorHAnsi"/>
          <w:color w:val="141414"/>
          <w:sz w:val="23"/>
          <w:szCs w:val="23"/>
          <w:shd w:val="clear" w:color="auto" w:fill="FEFEFE"/>
        </w:rPr>
      </w:pPr>
    </w:p>
    <w:p w14:paraId="0C0B660C" w14:textId="77777777" w:rsidR="00216F38" w:rsidRPr="00984B55" w:rsidRDefault="00216F38" w:rsidP="00216F38">
      <w:pPr>
        <w:pStyle w:val="NormalWeb"/>
        <w:spacing w:before="0" w:beforeAutospacing="0" w:after="120" w:afterAutospacing="0"/>
        <w:jc w:val="center"/>
        <w:rPr>
          <w:rFonts w:asciiTheme="minorHAnsi" w:hAnsiTheme="minorHAnsi" w:cstheme="minorHAnsi"/>
          <w:color w:val="000000"/>
          <w:sz w:val="27"/>
          <w:szCs w:val="27"/>
        </w:rPr>
      </w:pPr>
      <w:r w:rsidRPr="00984B55">
        <w:rPr>
          <w:rFonts w:asciiTheme="minorHAnsi" w:hAnsiTheme="minorHAnsi" w:cstheme="minorHAnsi"/>
          <w:b/>
          <w:bCs/>
          <w:color w:val="000000"/>
          <w:sz w:val="28"/>
          <w:szCs w:val="28"/>
        </w:rPr>
        <w:lastRenderedPageBreak/>
        <w:t>Distinction between shares held as stock-in-trade and shares held as investment - tests for such a distinction</w:t>
      </w:r>
    </w:p>
    <w:p w14:paraId="2C5692A2" w14:textId="77777777" w:rsidR="00216F38" w:rsidRPr="00984B55" w:rsidRDefault="00216F38" w:rsidP="00216F38">
      <w:pPr>
        <w:pStyle w:val="NormalWeb"/>
        <w:spacing w:before="0" w:beforeAutospacing="0" w:after="120" w:afterAutospacing="0"/>
        <w:jc w:val="center"/>
        <w:rPr>
          <w:rFonts w:asciiTheme="minorHAnsi" w:hAnsiTheme="minorHAnsi" w:cstheme="minorHAnsi"/>
          <w:color w:val="000000"/>
          <w:sz w:val="27"/>
          <w:szCs w:val="27"/>
        </w:rPr>
      </w:pPr>
      <w:r w:rsidRPr="00984B55">
        <w:rPr>
          <w:rFonts w:asciiTheme="minorHAnsi" w:hAnsiTheme="minorHAnsi" w:cstheme="minorHAnsi"/>
          <w:b/>
          <w:bCs/>
          <w:color w:val="000000"/>
        </w:rPr>
        <w:t>CIRCULAR NO. 4/2007, DATED 15-6-2007</w:t>
      </w:r>
    </w:p>
    <w:p w14:paraId="145223F9"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The Income Tax Act, 1961 makes a distinction between a "capital asset" and a "trading asset".</w:t>
      </w:r>
    </w:p>
    <w:p w14:paraId="2E3ABFA8"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2. Capital asset is defined in Section 2(14) of the Act. Long-term capital assets and gains are dealt with under Section 2(29A) and Section 2(29B). Short-term capital assets and gains are dealt with under Section 2(42A) and Section 2(42B).</w:t>
      </w:r>
    </w:p>
    <w:p w14:paraId="1ED74C5A"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3. Trading asset is dealt with under Section 28 of the Act.</w:t>
      </w:r>
    </w:p>
    <w:p w14:paraId="4498D4A3"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 xml:space="preserve">4. The Central Board of Direct Taxes (CBDT) through Instruction No.1827 dated August 31, 1989 had brought to the notice of the assessing officers that there is a distinction between shares held as investment (capital asset) and shares held as stock-in-trade (trading asset). In the light of a number of judicial decisions pronounced after the issue of the above instructions, it is proposed to update the above instructions for the information of </w:t>
      </w:r>
      <w:proofErr w:type="spellStart"/>
      <w:r w:rsidRPr="00984B55">
        <w:rPr>
          <w:rFonts w:asciiTheme="minorHAnsi" w:hAnsiTheme="minorHAnsi" w:cstheme="minorHAnsi"/>
          <w:color w:val="000000"/>
        </w:rPr>
        <w:t>assessees</w:t>
      </w:r>
      <w:proofErr w:type="spellEnd"/>
      <w:r w:rsidRPr="00984B55">
        <w:rPr>
          <w:rFonts w:asciiTheme="minorHAnsi" w:hAnsiTheme="minorHAnsi" w:cstheme="minorHAnsi"/>
          <w:color w:val="000000"/>
        </w:rPr>
        <w:t xml:space="preserve"> as well as for guidance of the assessing officers.</w:t>
      </w:r>
    </w:p>
    <w:p w14:paraId="3622570B"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5. In the case of Commissioner of Income Tax (Central), Calcutta Vs Associated Industrial Development Company (P) Ltd (82 ITR 586), the Supreme Court observed that:</w:t>
      </w:r>
    </w:p>
    <w:p w14:paraId="5E721510"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"Whether a particular holding of shares is by way of investment or forms part of the stock-in-trade is a matter which is within the knowledge of the assessee who holds the shares and it should, in normal circumstances, be in a position to produce evidence from its records as to whether it has maintained any distinction between those shares which are its stock-in-trade and those which are held by way of investment."</w:t>
      </w:r>
    </w:p>
    <w:p w14:paraId="599EFF5F"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6. In the case of Commissioner of Income Tax, Bombay Vs H. Holck Larsen (160 ITR 67), the Supreme Court observed :</w:t>
      </w:r>
    </w:p>
    <w:p w14:paraId="43B7C351"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"The High Court, in our opinion, made a mistake in observing whether transactions of sale and purchase of shares were trading transactions or whether these were in the nature of investment was a question of law. This was a mixed question of law and fact."</w:t>
      </w:r>
    </w:p>
    <w:p w14:paraId="7BCCD22A"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7. The principles laid down by the Supreme Court in the above two cases afford adequate guidance to the assessing officers.</w:t>
      </w:r>
    </w:p>
    <w:p w14:paraId="7BA789FE"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8. The Authority for Advance Rulings (AAR) (288 ITR 641), referring to the decisions of the Supreme Court in several cases, has culled out the following principles :-</w:t>
      </w:r>
    </w:p>
    <w:p w14:paraId="6565D579"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w:t>
      </w:r>
      <w:proofErr w:type="spellStart"/>
      <w:r w:rsidRPr="00984B55">
        <w:rPr>
          <w:rFonts w:asciiTheme="minorHAnsi" w:hAnsiTheme="minorHAnsi" w:cstheme="minorHAnsi"/>
          <w:color w:val="000000"/>
        </w:rPr>
        <w:t>i</w:t>
      </w:r>
      <w:proofErr w:type="spellEnd"/>
      <w:r w:rsidRPr="00984B55">
        <w:rPr>
          <w:rFonts w:asciiTheme="minorHAnsi" w:hAnsiTheme="minorHAnsi" w:cstheme="minorHAnsi"/>
          <w:color w:val="000000"/>
        </w:rPr>
        <w:t>) Where a company purchases and sells shares, it must be shown that they were held as stock-in-trade and that existence of the power to purchase and sell shares in the memorandum of association is not decisive of the nature of transaction;</w:t>
      </w:r>
    </w:p>
    <w:p w14:paraId="0EBB7B12"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(ii) the substantial nature of transactions, the manner of maintaining books of accounts, the magnitude of purchases and sales and the ratio between purchases and sales and the holding would furnish a good guide to determine the nature of transactions;</w:t>
      </w:r>
    </w:p>
    <w:p w14:paraId="496D1B89"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 xml:space="preserve">(iii) ordinarily the purchase and sale of shares with the motive of earning a profit, would result in the transaction being in the nature of trade/adventure in the nature of trade; but where the object of the investment in shares of a company is to derive income by </w:t>
      </w:r>
      <w:r w:rsidRPr="00984B55">
        <w:rPr>
          <w:rFonts w:asciiTheme="minorHAnsi" w:hAnsiTheme="minorHAnsi" w:cstheme="minorHAnsi"/>
          <w:color w:val="000000"/>
        </w:rPr>
        <w:lastRenderedPageBreak/>
        <w:t>way of dividend etc. then the profits accruing by change in such investment (by sale of shares) will yield capital gain and not revenue receipt".</w:t>
      </w:r>
    </w:p>
    <w:p w14:paraId="79C620DF"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9. Dealing with the above three principles, the AAR has observed in the case of Fidelity group as under:-</w:t>
      </w:r>
    </w:p>
    <w:p w14:paraId="40E7FD81" w14:textId="77777777" w:rsidR="00216F38" w:rsidRPr="00984B55" w:rsidRDefault="00216F38" w:rsidP="00216F38">
      <w:pPr>
        <w:pStyle w:val="NormalWeb"/>
        <w:spacing w:before="0" w:beforeAutospacing="0" w:after="120" w:afterAutospacing="0"/>
        <w:ind w:left="340"/>
        <w:rPr>
          <w:rFonts w:asciiTheme="minorHAnsi" w:hAnsiTheme="minorHAnsi" w:cstheme="minorHAnsi"/>
          <w:color w:val="000000"/>
          <w:sz w:val="27"/>
          <w:szCs w:val="27"/>
        </w:rPr>
      </w:pPr>
      <w:r w:rsidRPr="00984B55">
        <w:rPr>
          <w:rFonts w:asciiTheme="minorHAnsi" w:hAnsiTheme="minorHAnsi" w:cstheme="minorHAnsi"/>
          <w:color w:val="000000"/>
        </w:rPr>
        <w:t xml:space="preserve">"We shall revert to the aforementioned principles. The first principle requires us to ascertain whether the purchase of shares by a FII in exercise of the power in the memorandum of association/trust deed was as </w:t>
      </w:r>
      <w:proofErr w:type="spellStart"/>
      <w:r w:rsidRPr="00984B55">
        <w:rPr>
          <w:rFonts w:asciiTheme="minorHAnsi" w:hAnsiTheme="minorHAnsi" w:cstheme="minorHAnsi"/>
          <w:color w:val="000000"/>
        </w:rPr>
        <w:t>stockin</w:t>
      </w:r>
      <w:proofErr w:type="spellEnd"/>
      <w:r w:rsidRPr="00984B55">
        <w:rPr>
          <w:rFonts w:asciiTheme="minorHAnsi" w:hAnsiTheme="minorHAnsi" w:cstheme="minorHAnsi"/>
          <w:color w:val="000000"/>
        </w:rPr>
        <w:t>-trade as the mere existence of the power to purchase and sell shares will not by itself be decisive of the nature of transaction. We have to verify as to how the shares were valued/held in the books of account i.e. whether they were valued as stock-in-trade at the end of the financial year for the purpose of arriving at business income or held as investment in capital assets. The second principle furnishes a guide for determining the nature of transaction by verifying whether there are substantial transactions, their magnitude, etc., maintenance of books of account and finding the ratio between purchases and sales. It will not be out of place to mention that regulation 18 of the SEBI Regulations enjoins upon every FII to keep and maintain books of account containing true and fair accounts relating to remittance of initial corpus of buying and selling and realizing capital gains on investments and accounts of remittance to India for investment in India and realizing capital gains on investment from such remittances. The third principle suggests that ordinarily purchases and sales of shares with the motive of realizing profit would lead to inference of trade/adventure in the nature of trade; where the object of the investment in shares of companies is to derive income by way of dividends etc., the transactions of purchases and sales of shares would yield capital gains and not business profits."</w:t>
      </w:r>
    </w:p>
    <w:p w14:paraId="1EF50652"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10. CBDT also wishes to emphasise that it is possible for a tax payer to have two portfolios, i.e., an investment portfolio comprising of securities which are to be treated as capital assets and a trading portfolio comprising of stock-in-trade which are to be treated as trading assets. Where an assessee has two portfolios, the assessee may have income under both heads i.e., capital gains as well as business income.</w:t>
      </w:r>
    </w:p>
    <w:p w14:paraId="39004411"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11. Assessing officers are advised that the above principles should guide them in determining whether, in a given case, the shares are held by the assessee as investment (and therefore giving rise to capital gains) or as stock-in-trade (and therefore giving rise to business profits). The assessing officers are further advised that no single principle would be decisive and the total effect of all the principles should be considered to determine whether, in a given case, the shares are held by the assessee as investment or stock-in-trade.</w:t>
      </w:r>
    </w:p>
    <w:p w14:paraId="5A401691" w14:textId="77777777" w:rsidR="00216F38" w:rsidRPr="00984B55" w:rsidRDefault="00216F38" w:rsidP="00216F38">
      <w:pPr>
        <w:pStyle w:val="NormalWeb"/>
        <w:spacing w:before="0" w:beforeAutospacing="0" w:after="120" w:afterAutospacing="0"/>
        <w:rPr>
          <w:rFonts w:asciiTheme="minorHAnsi" w:hAnsiTheme="minorHAnsi" w:cstheme="minorHAnsi"/>
          <w:color w:val="000000"/>
          <w:sz w:val="27"/>
          <w:szCs w:val="27"/>
        </w:rPr>
      </w:pPr>
      <w:r w:rsidRPr="00984B55">
        <w:rPr>
          <w:rFonts w:asciiTheme="minorHAnsi" w:hAnsiTheme="minorHAnsi" w:cstheme="minorHAnsi"/>
          <w:color w:val="000000"/>
        </w:rPr>
        <w:t>12. These instructions shall supplement the earlier Instruction no. 1827 dated August 31, 1989.</w:t>
      </w:r>
    </w:p>
    <w:p w14:paraId="174C77B1" w14:textId="77777777" w:rsidR="00216F38" w:rsidRPr="00984B55" w:rsidRDefault="00216F38">
      <w:pPr>
        <w:rPr>
          <w:rFonts w:cstheme="minorHAnsi"/>
        </w:rPr>
      </w:pPr>
    </w:p>
    <w:p w14:paraId="0ABA74FE" w14:textId="77777777" w:rsidR="00216F38" w:rsidRPr="00984B55" w:rsidRDefault="00216F38">
      <w:pPr>
        <w:rPr>
          <w:rFonts w:cstheme="minorHAnsi"/>
        </w:rPr>
      </w:pPr>
    </w:p>
    <w:p w14:paraId="27924B88" w14:textId="77777777" w:rsidR="00216F38" w:rsidRPr="00984B55" w:rsidRDefault="00216F38">
      <w:pPr>
        <w:rPr>
          <w:rFonts w:cstheme="minorHAnsi"/>
        </w:rPr>
      </w:pPr>
    </w:p>
    <w:p w14:paraId="6D01363D" w14:textId="77777777" w:rsidR="00216F38" w:rsidRPr="00984B55" w:rsidRDefault="00216F38">
      <w:pPr>
        <w:rPr>
          <w:rFonts w:cstheme="minorHAnsi"/>
        </w:rPr>
      </w:pPr>
    </w:p>
    <w:p w14:paraId="7CC5C431" w14:textId="77777777" w:rsidR="00216F38" w:rsidRPr="00984B55" w:rsidRDefault="00216F38">
      <w:pPr>
        <w:rPr>
          <w:rFonts w:cstheme="minorHAnsi"/>
        </w:rPr>
      </w:pPr>
    </w:p>
    <w:p w14:paraId="2A7BFFB2" w14:textId="77777777" w:rsidR="00216F38" w:rsidRPr="00984B55" w:rsidRDefault="00216F38">
      <w:pPr>
        <w:rPr>
          <w:rFonts w:cstheme="minorHAnsi"/>
        </w:rPr>
      </w:pPr>
    </w:p>
    <w:p w14:paraId="7D7CB15A" w14:textId="706781A0" w:rsidR="00216F38" w:rsidRPr="00984B55" w:rsidRDefault="00216F38" w:rsidP="001B3B85">
      <w:pPr>
        <w:rPr>
          <w:rFonts w:cstheme="minorHAnsi"/>
        </w:rPr>
      </w:pPr>
      <w:r w:rsidRPr="00984B55">
        <w:rPr>
          <w:rFonts w:cstheme="minorHAnsi"/>
          <w:b/>
          <w:bCs/>
          <w:color w:val="141414"/>
          <w:sz w:val="23"/>
          <w:szCs w:val="23"/>
          <w:shd w:val="clear" w:color="auto" w:fill="FEFEFE"/>
        </w:rPr>
        <w:t>Instruction No. 1827 dated 31.08.1989</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Subject : Distinction between shares held as stock-in-trade and shares held as investment - Tests For –</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The question whether a particular assessee is a trader in shares or the shares are held as capital assets sometimes gives rise to disputes and litigation. Over the years the courts have laid down the various tests or factors to be taken into account in determining this question.</w:t>
      </w:r>
      <w:r w:rsidRPr="00984B55">
        <w:rPr>
          <w:rFonts w:cstheme="minorHAnsi"/>
          <w:color w:val="141414"/>
          <w:sz w:val="23"/>
          <w:szCs w:val="23"/>
        </w:rPr>
        <w:br/>
      </w:r>
      <w:r w:rsidRPr="00984B55">
        <w:rPr>
          <w:rFonts w:cstheme="minorHAnsi"/>
          <w:color w:val="141414"/>
          <w:sz w:val="23"/>
          <w:szCs w:val="23"/>
          <w:shd w:val="clear" w:color="auto" w:fill="FEFEFE"/>
        </w:rPr>
        <w:t xml:space="preserve">2. Certain general principles in this regard were laid down by the Supreme Court in the case of </w:t>
      </w:r>
      <w:proofErr w:type="spellStart"/>
      <w:r w:rsidRPr="00984B55">
        <w:rPr>
          <w:rFonts w:cstheme="minorHAnsi"/>
          <w:color w:val="141414"/>
          <w:sz w:val="23"/>
          <w:szCs w:val="23"/>
          <w:shd w:val="clear" w:color="auto" w:fill="FEFEFE"/>
        </w:rPr>
        <w:t>G.Venkata</w:t>
      </w:r>
      <w:proofErr w:type="spellEnd"/>
      <w:r w:rsidRPr="00984B55">
        <w:rPr>
          <w:rFonts w:cstheme="minorHAnsi"/>
          <w:color w:val="141414"/>
          <w:sz w:val="23"/>
          <w:szCs w:val="23"/>
          <w:shd w:val="clear" w:color="auto" w:fill="FEFEFE"/>
        </w:rPr>
        <w:t xml:space="preserve"> Swami Naidu &amp; co. Vs. CIT (1959) 35 ITR 594. In this case the Supreme Court was dealing with a question whether the excess sum realised on the sale of certain plots was assessable as income from an adventure in the nature of business. The Supreme Court held that in deciding the character of such transaction, several factors were relevant. For instance:-</w:t>
      </w:r>
      <w:r w:rsidRPr="00984B55">
        <w:rPr>
          <w:rFonts w:cstheme="minorHAnsi"/>
          <w:color w:val="141414"/>
          <w:sz w:val="23"/>
          <w:szCs w:val="23"/>
        </w:rPr>
        <w:br/>
      </w:r>
      <w:proofErr w:type="spellStart"/>
      <w:r w:rsidRPr="00984B55">
        <w:rPr>
          <w:rFonts w:cstheme="minorHAnsi"/>
          <w:color w:val="141414"/>
          <w:sz w:val="23"/>
          <w:szCs w:val="23"/>
          <w:shd w:val="clear" w:color="auto" w:fill="FEFEFE"/>
        </w:rPr>
        <w:t>i</w:t>
      </w:r>
      <w:proofErr w:type="spellEnd"/>
      <w:r w:rsidRPr="00984B55">
        <w:rPr>
          <w:rFonts w:cstheme="minorHAnsi"/>
          <w:color w:val="141414"/>
          <w:sz w:val="23"/>
          <w:szCs w:val="23"/>
          <w:shd w:val="clear" w:color="auto" w:fill="FEFEFE"/>
        </w:rPr>
        <w:t>. Whether the purchaser was a trader and the purchase of the commodity and its resale were allied to his usual trade or business or were incidental to it.</w:t>
      </w:r>
      <w:r w:rsidRPr="00984B55">
        <w:rPr>
          <w:rFonts w:cstheme="minorHAnsi"/>
          <w:color w:val="141414"/>
          <w:sz w:val="23"/>
          <w:szCs w:val="23"/>
        </w:rPr>
        <w:br/>
      </w:r>
      <w:r w:rsidRPr="00984B55">
        <w:rPr>
          <w:rFonts w:cstheme="minorHAnsi"/>
          <w:color w:val="141414"/>
          <w:sz w:val="23"/>
          <w:szCs w:val="23"/>
          <w:shd w:val="clear" w:color="auto" w:fill="FEFEFE"/>
        </w:rPr>
        <w:t>ii. The nature and quantity of the commodity purchased and resold - if the commodity purchased is in very large quantity, it could tend to eliminate the possibility of investment for personal use, possession or enjoyment.</w:t>
      </w:r>
      <w:r w:rsidRPr="00984B55">
        <w:rPr>
          <w:rFonts w:cstheme="minorHAnsi"/>
          <w:color w:val="141414"/>
          <w:sz w:val="23"/>
          <w:szCs w:val="23"/>
        </w:rPr>
        <w:br/>
      </w:r>
      <w:r w:rsidRPr="00984B55">
        <w:rPr>
          <w:rFonts w:cstheme="minorHAnsi"/>
          <w:color w:val="141414"/>
          <w:sz w:val="23"/>
          <w:szCs w:val="23"/>
          <w:shd w:val="clear" w:color="auto" w:fill="FEFEFE"/>
        </w:rPr>
        <w:t>iii. The repetition of the transaction.</w:t>
      </w:r>
      <w:r w:rsidRPr="00984B55">
        <w:rPr>
          <w:rFonts w:cstheme="minorHAnsi"/>
          <w:color w:val="141414"/>
          <w:sz w:val="23"/>
          <w:szCs w:val="23"/>
        </w:rPr>
        <w:br/>
      </w:r>
      <w:r w:rsidRPr="00984B55">
        <w:rPr>
          <w:rFonts w:cstheme="minorHAnsi"/>
          <w:color w:val="141414"/>
          <w:sz w:val="23"/>
          <w:szCs w:val="23"/>
          <w:shd w:val="clear" w:color="auto" w:fill="FEFEFE"/>
        </w:rPr>
        <w:t>3. The Supreme court observed that the presence of all these factors may be held in the court to draw an inference that a transaction is in the nature of trade' but it is not a matter of merely counting the number of facts and circumstances pro and con what is important to consider is their distinctive character. In each case, it is the total effect of all relevant factors and circumstances that determines the character of the transaction.</w:t>
      </w:r>
      <w:r w:rsidRPr="00984B55">
        <w:rPr>
          <w:rFonts w:cstheme="minorHAnsi"/>
          <w:color w:val="141414"/>
          <w:sz w:val="23"/>
          <w:szCs w:val="23"/>
        </w:rPr>
        <w:br/>
      </w:r>
      <w:r w:rsidRPr="00984B55">
        <w:rPr>
          <w:rFonts w:cstheme="minorHAnsi"/>
          <w:color w:val="141414"/>
          <w:sz w:val="23"/>
          <w:szCs w:val="23"/>
          <w:shd w:val="clear" w:color="auto" w:fill="FEFEFE"/>
        </w:rPr>
        <w:t>4. The Supreme Court in this case also discussed the test of intention. It held that in cases where the purchase has been made solely and exclusively with the intention of resale at a profit and the purchaser has no intention of holding the property for himself or otherwise enjoying it or using it, the presence of such intention is a relevant factor and unless it is off-set by the presence of other factors, it would raise a strong presumption that a transaction is an adventure in the nature of trade.</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5. In the case of H. Mohammad &amp; Co. Vs. CIT (1977) 107 ITR 637 the Gujarat High Court observed that a stock-in-trade is something in which a trader or a business man deals, whereas his capital asset is something with which he deals. According to the High Court one of the indicators for deciding as to what is stock-in-trade is whether a particular assessee is buying or selling the goods or commodity or whether he has merely invested his money with a view to earning further income or with a view to carrying on his other business. It was further held by the High court that the distinction between stock-in-trade and investment is that of selling outright in the course of the business activity and deriving income from exploitation of one's own assets.</w:t>
      </w:r>
      <w:r w:rsidRPr="00984B55">
        <w:rPr>
          <w:rFonts w:cstheme="minorHAnsi"/>
          <w:color w:val="141414"/>
          <w:sz w:val="23"/>
          <w:szCs w:val="23"/>
        </w:rPr>
        <w:br/>
      </w:r>
      <w:r w:rsidRPr="00984B55">
        <w:rPr>
          <w:rFonts w:cstheme="minorHAnsi"/>
          <w:color w:val="141414"/>
          <w:sz w:val="23"/>
          <w:szCs w:val="23"/>
          <w:shd w:val="clear" w:color="auto" w:fill="FEFEFE"/>
        </w:rPr>
        <w:t xml:space="preserve">6. These general principles hold good in respect of shares also. However certain specific issues relevant for determining this question with reference to shares have also been decided by the courts. In the case of Sarder Indra Singh &amp; sons Ltd. Vs. CIT (1953) 24 ITR 415, the Supreme Court was dealing with the case of a company which was incorporated with the object, inter alia of </w:t>
      </w:r>
      <w:r w:rsidRPr="00984B55">
        <w:rPr>
          <w:rFonts w:cstheme="minorHAnsi"/>
          <w:color w:val="141414"/>
          <w:sz w:val="23"/>
          <w:szCs w:val="23"/>
          <w:shd w:val="clear" w:color="auto" w:fill="FEFEFE"/>
        </w:rPr>
        <w:lastRenderedPageBreak/>
        <w:t xml:space="preserve">carrying on the business of bankers, financiers, managing agents and secretaries and was also empowered to invest and deal with the monies of the company not immediately required for its business upon such securities and in such manner as might from time to time be determined. It was held by the Supreme Court in this case that to constitute business income, it was not necessary that surplus should have resulted from such a course of dealing in securities as by itself would amount to the carrying on of business or if the realisation of securities is a normal step in carrying on the </w:t>
      </w:r>
      <w:proofErr w:type="spellStart"/>
      <w:r w:rsidRPr="00984B55">
        <w:rPr>
          <w:rFonts w:cstheme="minorHAnsi"/>
          <w:color w:val="141414"/>
          <w:sz w:val="23"/>
          <w:szCs w:val="23"/>
          <w:shd w:val="clear" w:color="auto" w:fill="FEFEFE"/>
        </w:rPr>
        <w:t>assessee's</w:t>
      </w:r>
      <w:proofErr w:type="spellEnd"/>
      <w:r w:rsidRPr="00984B55">
        <w:rPr>
          <w:rFonts w:cstheme="minorHAnsi"/>
          <w:color w:val="141414"/>
          <w:sz w:val="23"/>
          <w:szCs w:val="23"/>
          <w:shd w:val="clear" w:color="auto" w:fill="FEFEFE"/>
        </w:rPr>
        <w:t xml:space="preserve"> business. The Supreme Court observed that the principle applicable in all such cases was well settled and the question always was whether the sales which produced the surplus were so connected with the carrying on of the </w:t>
      </w:r>
      <w:proofErr w:type="spellStart"/>
      <w:r w:rsidRPr="00984B55">
        <w:rPr>
          <w:rFonts w:cstheme="minorHAnsi"/>
          <w:color w:val="141414"/>
          <w:sz w:val="23"/>
          <w:szCs w:val="23"/>
          <w:shd w:val="clear" w:color="auto" w:fill="FEFEFE"/>
        </w:rPr>
        <w:t>assessees</w:t>
      </w:r>
      <w:proofErr w:type="spellEnd"/>
      <w:r w:rsidRPr="00984B55">
        <w:rPr>
          <w:rFonts w:cstheme="minorHAnsi"/>
          <w:color w:val="141414"/>
          <w:sz w:val="23"/>
          <w:szCs w:val="23"/>
          <w:shd w:val="clear" w:color="auto" w:fill="FEFEFE"/>
        </w:rPr>
        <w:t xml:space="preserve"> business that it could fairly be said that the surplus was the profit and gains of such business. On the facts of this case it was held that the surplus resulting from sale of shares and securities constituted business income.</w:t>
      </w:r>
      <w:r w:rsidRPr="00984B55">
        <w:rPr>
          <w:rFonts w:cstheme="minorHAnsi"/>
          <w:color w:val="141414"/>
          <w:sz w:val="23"/>
          <w:szCs w:val="23"/>
        </w:rPr>
        <w:br/>
      </w:r>
      <w:r w:rsidRPr="00984B55">
        <w:rPr>
          <w:rFonts w:cstheme="minorHAnsi"/>
          <w:color w:val="141414"/>
          <w:sz w:val="23"/>
          <w:szCs w:val="23"/>
          <w:shd w:val="clear" w:color="auto" w:fill="FEFEFE"/>
        </w:rPr>
        <w:t xml:space="preserve">7. The aforesaid principles laid down by the Supreme Court was followed by Andhra Pradesh High court in the case of SBH. </w:t>
      </w:r>
      <w:proofErr w:type="spellStart"/>
      <w:r w:rsidRPr="00984B55">
        <w:rPr>
          <w:rFonts w:cstheme="minorHAnsi"/>
          <w:color w:val="141414"/>
          <w:sz w:val="23"/>
          <w:szCs w:val="23"/>
          <w:shd w:val="clear" w:color="auto" w:fill="FEFEFE"/>
        </w:rPr>
        <w:t>Vs.CIT</w:t>
      </w:r>
      <w:proofErr w:type="spellEnd"/>
      <w:r w:rsidRPr="00984B55">
        <w:rPr>
          <w:rFonts w:cstheme="minorHAnsi"/>
          <w:color w:val="141414"/>
          <w:sz w:val="23"/>
          <w:szCs w:val="23"/>
          <w:shd w:val="clear" w:color="auto" w:fill="FEFEFE"/>
        </w:rPr>
        <w:t xml:space="preserve"> (1988) 151 ITR 703. The main business of the SBH was to accept deposits and to advance loans and the money constituted its stock-in-trade. The banking company has to carry on its business in accordance with the provisions of the banking regulation act, 1949. Sec.24 of the said act requires every banking company to maintain in India either in cash or in the shape of gold or in the shape of unincumbered approved securities, 20% of its total time and demand liabilities at any given point of time. It was held by the High Court that what section 24 of the said Act did was to insist on the observance of a normal prudent banking business practice. If the banking company chooses to invest the money in unincumbered approved securities it is only one mode of keeping a portion of its deposits in ready cash or readily-convertible-into-cash securities. Any income arising from the sale of such securities is, therefore closely connected with the banking business and is business income, it was concluded by the High court.</w:t>
      </w:r>
      <w:r w:rsidRPr="00984B55">
        <w:rPr>
          <w:rFonts w:cstheme="minorHAnsi"/>
          <w:color w:val="141414"/>
          <w:sz w:val="23"/>
          <w:szCs w:val="23"/>
        </w:rPr>
        <w:br/>
      </w:r>
      <w:r w:rsidRPr="00984B55">
        <w:rPr>
          <w:rFonts w:cstheme="minorHAnsi"/>
          <w:color w:val="141414"/>
          <w:sz w:val="23"/>
          <w:szCs w:val="23"/>
        </w:rPr>
        <w:br/>
      </w:r>
      <w:r w:rsidRPr="00984B55">
        <w:rPr>
          <w:rFonts w:cstheme="minorHAnsi"/>
          <w:color w:val="141414"/>
          <w:sz w:val="23"/>
          <w:szCs w:val="23"/>
          <w:shd w:val="clear" w:color="auto" w:fill="FEFEFE"/>
        </w:rPr>
        <w:t>8. In the case of Karam Chand Thapar and brothers (P) Ltd Vs. CIT (1971) 83 ITR 899 it was held by the Supreme Court that the circumstance that the assessee had shown certain shares as investment in its books as well as its balance sheet was by itself not a conclusive circumstances, though it was a relevant circumstance.</w:t>
      </w:r>
      <w:r w:rsidRPr="00984B55">
        <w:rPr>
          <w:rFonts w:cstheme="minorHAnsi"/>
          <w:color w:val="141414"/>
          <w:sz w:val="23"/>
          <w:szCs w:val="23"/>
        </w:rPr>
        <w:br/>
      </w:r>
      <w:r w:rsidRPr="00984B55">
        <w:rPr>
          <w:rFonts w:cstheme="minorHAnsi"/>
          <w:color w:val="141414"/>
          <w:sz w:val="23"/>
          <w:szCs w:val="23"/>
          <w:shd w:val="clear" w:color="auto" w:fill="FEFEFE"/>
        </w:rPr>
        <w:t>9. The decisions in the CIT Vs. Associated Industrial Development co. (1971) 82 ITR 586 (SC) and A.N. Ramaswami Chettiar Vs. CIT (1963) 48 ITR 771 (Madras) may also be referred to for guidance.</w:t>
      </w:r>
      <w:r w:rsidRPr="00984B55">
        <w:rPr>
          <w:rFonts w:cstheme="minorHAnsi"/>
          <w:color w:val="141414"/>
          <w:sz w:val="23"/>
          <w:szCs w:val="23"/>
        </w:rPr>
        <w:br/>
      </w:r>
      <w:r w:rsidRPr="00984B55">
        <w:rPr>
          <w:rFonts w:cstheme="minorHAnsi"/>
          <w:color w:val="141414"/>
          <w:sz w:val="23"/>
          <w:szCs w:val="23"/>
          <w:shd w:val="clear" w:color="auto" w:fill="FEFEFE"/>
        </w:rPr>
        <w:t>10. Although the tests laid down by the courts may help determine the issue in particular cases the decision will ultimately turn on the facts of each case.</w:t>
      </w:r>
      <w:r w:rsidRPr="00984B55">
        <w:rPr>
          <w:rFonts w:cstheme="minorHAnsi"/>
          <w:color w:val="141414"/>
          <w:sz w:val="23"/>
          <w:szCs w:val="23"/>
        </w:rPr>
        <w:br/>
      </w:r>
      <w:r w:rsidRPr="00984B55">
        <w:rPr>
          <w:rFonts w:cstheme="minorHAnsi"/>
          <w:color w:val="141414"/>
          <w:sz w:val="23"/>
          <w:szCs w:val="23"/>
          <w:shd w:val="clear" w:color="auto" w:fill="FEFEFE"/>
        </w:rPr>
        <w:t>11. These instructions may please be brought to the notice of the Assessing officers in your region.</w:t>
      </w:r>
      <w:r w:rsidRPr="00984B55">
        <w:rPr>
          <w:rFonts w:cstheme="minorHAnsi"/>
          <w:color w:val="141414"/>
          <w:sz w:val="23"/>
          <w:szCs w:val="23"/>
        </w:rPr>
        <w:br/>
      </w:r>
      <w:r w:rsidRPr="00984B55">
        <w:rPr>
          <w:rFonts w:cstheme="minorHAnsi"/>
          <w:color w:val="141414"/>
          <w:sz w:val="23"/>
          <w:szCs w:val="23"/>
          <w:shd w:val="clear" w:color="auto" w:fill="FEFEFE"/>
        </w:rPr>
        <w:t>[</w:t>
      </w:r>
      <w:proofErr w:type="spellStart"/>
      <w:r w:rsidRPr="00984B55">
        <w:rPr>
          <w:rFonts w:cstheme="minorHAnsi"/>
          <w:color w:val="141414"/>
          <w:sz w:val="23"/>
          <w:szCs w:val="23"/>
          <w:shd w:val="clear" w:color="auto" w:fill="FEFEFE"/>
        </w:rPr>
        <w:t>F.No</w:t>
      </w:r>
      <w:proofErr w:type="spellEnd"/>
      <w:r w:rsidRPr="00984B55">
        <w:rPr>
          <w:rFonts w:cstheme="minorHAnsi"/>
          <w:color w:val="141414"/>
          <w:sz w:val="23"/>
          <w:szCs w:val="23"/>
          <w:shd w:val="clear" w:color="auto" w:fill="FEFEFE"/>
        </w:rPr>
        <w:t xml:space="preserve"> 181/1/89 - IT(AI) dated 31/08/1989 from Central Board of Direct Taxes]</w:t>
      </w:r>
    </w:p>
    <w:p w14:paraId="05C799F2" w14:textId="77777777" w:rsidR="00216F38" w:rsidRPr="00984B55" w:rsidRDefault="00216F38">
      <w:pPr>
        <w:rPr>
          <w:rFonts w:cstheme="minorHAnsi"/>
        </w:rPr>
      </w:pPr>
    </w:p>
    <w:sectPr w:rsidR="00216F38" w:rsidRPr="00984B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85"/>
    <w:rsid w:val="000563DA"/>
    <w:rsid w:val="00102F17"/>
    <w:rsid w:val="001B3B85"/>
    <w:rsid w:val="001C615B"/>
    <w:rsid w:val="00216F38"/>
    <w:rsid w:val="00826C0D"/>
    <w:rsid w:val="00984B55"/>
    <w:rsid w:val="00A24D84"/>
    <w:rsid w:val="00A50362"/>
    <w:rsid w:val="00A519E6"/>
    <w:rsid w:val="00E854D3"/>
    <w:rsid w:val="00ED0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C550"/>
  <w15:chartTrackingRefBased/>
  <w15:docId w15:val="{EF62947A-297E-4298-A9EE-F9EB8B6F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6F3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339107">
      <w:bodyDiv w:val="1"/>
      <w:marLeft w:val="0"/>
      <w:marRight w:val="0"/>
      <w:marTop w:val="0"/>
      <w:marBottom w:val="0"/>
      <w:divBdr>
        <w:top w:val="none" w:sz="0" w:space="0" w:color="auto"/>
        <w:left w:val="none" w:sz="0" w:space="0" w:color="auto"/>
        <w:bottom w:val="none" w:sz="0" w:space="0" w:color="auto"/>
        <w:right w:val="none" w:sz="0" w:space="0" w:color="auto"/>
      </w:divBdr>
    </w:div>
    <w:div w:id="207588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2173</Words>
  <Characters>12389</Characters>
  <Application>Microsoft Office Word</Application>
  <DocSecurity>0</DocSecurity>
  <Lines>103</Lines>
  <Paragraphs>29</Paragraphs>
  <ScaleCrop>false</ScaleCrop>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NGIN - Commercial - Pranav</dc:creator>
  <cp:keywords/>
  <dc:description/>
  <cp:lastModifiedBy>NGIN - Commercial - Pranav</cp:lastModifiedBy>
  <cp:revision>12</cp:revision>
  <dcterms:created xsi:type="dcterms:W3CDTF">2023-06-19T07:45:00Z</dcterms:created>
  <dcterms:modified xsi:type="dcterms:W3CDTF">2023-06-19T11:07:00Z</dcterms:modified>
</cp:coreProperties>
</file>