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C5" w:rsidRPr="001C29FD" w:rsidRDefault="00A303CF" w:rsidP="00E61780">
      <w:pPr>
        <w:pStyle w:val="Title"/>
        <w:spacing w:line="276" w:lineRule="auto"/>
        <w:jc w:val="center"/>
        <w:rPr>
          <w:sz w:val="44"/>
          <w:szCs w:val="20"/>
        </w:rPr>
      </w:pPr>
      <w:r w:rsidRPr="001C29FD">
        <w:rPr>
          <w:sz w:val="44"/>
          <w:szCs w:val="20"/>
        </w:rPr>
        <w:t>CHANGE OF NAME IN THE DEMAT ACCOUNT</w:t>
      </w:r>
    </w:p>
    <w:p w:rsidR="00201C96" w:rsidRDefault="00855FB4"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 xml:space="preserve">Recently, SEBI has issued a circular </w:t>
      </w:r>
      <w:r w:rsidR="006B5185" w:rsidRPr="001C29FD">
        <w:rPr>
          <w:rFonts w:asciiTheme="majorHAnsi" w:hAnsiTheme="majorHAnsi"/>
          <w:sz w:val="20"/>
          <w:szCs w:val="20"/>
        </w:rPr>
        <w:t>N</w:t>
      </w:r>
      <w:r w:rsidR="00B5539B" w:rsidRPr="001C29FD">
        <w:rPr>
          <w:rFonts w:asciiTheme="majorHAnsi" w:hAnsiTheme="majorHAnsi"/>
          <w:sz w:val="20"/>
          <w:szCs w:val="20"/>
        </w:rPr>
        <w:t xml:space="preserve">o. </w:t>
      </w:r>
      <w:r w:rsidR="00B5539B" w:rsidRPr="001C29FD">
        <w:rPr>
          <w:rFonts w:asciiTheme="majorHAnsi" w:hAnsiTheme="majorHAnsi"/>
          <w:b/>
          <w:bCs/>
          <w:sz w:val="20"/>
          <w:szCs w:val="20"/>
        </w:rPr>
        <w:t>CIR/MRD/DP/27/2012 dated 01.11.2012</w:t>
      </w:r>
      <w:r w:rsidR="00B5539B" w:rsidRPr="001C29FD">
        <w:rPr>
          <w:rFonts w:asciiTheme="majorHAnsi" w:hAnsiTheme="majorHAnsi"/>
          <w:b/>
          <w:bCs/>
          <w:sz w:val="20"/>
          <w:szCs w:val="20"/>
        </w:rPr>
        <w:t xml:space="preserve"> </w:t>
      </w:r>
      <w:r w:rsidRPr="001C29FD">
        <w:rPr>
          <w:rFonts w:asciiTheme="majorHAnsi" w:hAnsiTheme="majorHAnsi"/>
          <w:sz w:val="20"/>
          <w:szCs w:val="20"/>
        </w:rPr>
        <w:t xml:space="preserve">regarding </w:t>
      </w:r>
      <w:r w:rsidR="004C17C3" w:rsidRPr="001C29FD">
        <w:rPr>
          <w:rFonts w:asciiTheme="majorHAnsi" w:hAnsiTheme="majorHAnsi"/>
          <w:sz w:val="20"/>
          <w:szCs w:val="20"/>
        </w:rPr>
        <w:t xml:space="preserve">to </w:t>
      </w:r>
      <w:r w:rsidRPr="001C29FD">
        <w:rPr>
          <w:rFonts w:asciiTheme="majorHAnsi" w:hAnsiTheme="majorHAnsi"/>
          <w:sz w:val="20"/>
          <w:szCs w:val="20"/>
        </w:rPr>
        <w:t>enable the, demat account holder</w:t>
      </w:r>
      <w:r w:rsidR="00B5539B" w:rsidRPr="001C29FD">
        <w:rPr>
          <w:rFonts w:asciiTheme="majorHAnsi" w:hAnsiTheme="majorHAnsi"/>
          <w:sz w:val="20"/>
          <w:szCs w:val="20"/>
        </w:rPr>
        <w:t>, those having their account with NSDL and CDSL,</w:t>
      </w:r>
      <w:r w:rsidRPr="001C29FD">
        <w:rPr>
          <w:rFonts w:asciiTheme="majorHAnsi" w:hAnsiTheme="majorHAnsi"/>
          <w:sz w:val="20"/>
          <w:szCs w:val="20"/>
        </w:rPr>
        <w:t xml:space="preserve"> can change his name in respect of his demat account. </w:t>
      </w:r>
    </w:p>
    <w:p w:rsidR="007549C5" w:rsidRPr="001C29FD" w:rsidRDefault="00201C96" w:rsidP="008A67A0">
      <w:pPr>
        <w:spacing w:line="360" w:lineRule="auto"/>
        <w:ind w:firstLine="720"/>
        <w:jc w:val="both"/>
        <w:rPr>
          <w:rFonts w:asciiTheme="majorHAnsi" w:hAnsiTheme="majorHAnsi"/>
          <w:sz w:val="20"/>
          <w:szCs w:val="20"/>
        </w:rPr>
      </w:pPr>
      <w:r w:rsidRPr="00201C96">
        <w:rPr>
          <w:rFonts w:asciiTheme="majorHAnsi" w:hAnsiTheme="majorHAnsi"/>
          <w:sz w:val="20"/>
          <w:szCs w:val="20"/>
        </w:rPr>
        <w:t>This circular is being issued in exercise of powers conferred under Section 11(1) of the Securities and</w:t>
      </w:r>
      <w:r>
        <w:rPr>
          <w:rFonts w:asciiTheme="majorHAnsi" w:hAnsiTheme="majorHAnsi"/>
          <w:sz w:val="20"/>
          <w:szCs w:val="20"/>
        </w:rPr>
        <w:t xml:space="preserve"> </w:t>
      </w:r>
      <w:r w:rsidRPr="00201C96">
        <w:rPr>
          <w:rFonts w:asciiTheme="majorHAnsi" w:hAnsiTheme="majorHAnsi"/>
          <w:sz w:val="20"/>
          <w:szCs w:val="20"/>
        </w:rPr>
        <w:t>Exchange Board of India Act, 1992 read with Section 19 of the Depositories Act, 1996 in the interests of investors in securities and to promote the development of, and to regulate the securities market.</w:t>
      </w:r>
    </w:p>
    <w:p w:rsidR="00C65483" w:rsidRPr="001C29FD" w:rsidRDefault="00C65483" w:rsidP="00CB0743">
      <w:pPr>
        <w:spacing w:line="360" w:lineRule="auto"/>
        <w:jc w:val="both"/>
        <w:rPr>
          <w:rFonts w:asciiTheme="majorHAnsi" w:hAnsiTheme="majorHAnsi"/>
          <w:b/>
          <w:sz w:val="20"/>
          <w:szCs w:val="20"/>
        </w:rPr>
      </w:pPr>
      <w:r w:rsidRPr="001C29FD">
        <w:rPr>
          <w:rFonts w:asciiTheme="majorHAnsi" w:hAnsiTheme="majorHAnsi"/>
          <w:b/>
          <w:sz w:val="20"/>
          <w:szCs w:val="20"/>
        </w:rPr>
        <w:t>Before issue of the circular</w:t>
      </w:r>
    </w:p>
    <w:p w:rsidR="00C65483" w:rsidRPr="001C29FD" w:rsidRDefault="00C65483"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Before issue of the above circular, demat account holder is unable to change his name in respect of his demat account. Even, in case he wishes to change his name, first he should close his demat account and open a fresh demat account in his new name.</w:t>
      </w:r>
    </w:p>
    <w:p w:rsidR="00C65483" w:rsidRPr="001C29FD" w:rsidRDefault="00A41949" w:rsidP="00CB0743">
      <w:pPr>
        <w:spacing w:line="360" w:lineRule="auto"/>
        <w:jc w:val="both"/>
        <w:rPr>
          <w:rFonts w:asciiTheme="majorHAnsi" w:hAnsiTheme="majorHAnsi"/>
          <w:b/>
          <w:sz w:val="20"/>
          <w:szCs w:val="20"/>
        </w:rPr>
      </w:pPr>
      <w:r w:rsidRPr="001C29FD">
        <w:rPr>
          <w:rFonts w:asciiTheme="majorHAnsi" w:hAnsiTheme="majorHAnsi"/>
          <w:b/>
          <w:sz w:val="20"/>
          <w:szCs w:val="20"/>
        </w:rPr>
        <w:t>After issue of the circular</w:t>
      </w:r>
    </w:p>
    <w:p w:rsidR="00A41949" w:rsidRPr="001C29FD" w:rsidRDefault="00A41949"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After issue of the above circular, the demat account holder can change his name in respect of his exis</w:t>
      </w:r>
      <w:r w:rsidR="00B97E89" w:rsidRPr="001C29FD">
        <w:rPr>
          <w:rFonts w:asciiTheme="majorHAnsi" w:hAnsiTheme="majorHAnsi"/>
          <w:sz w:val="20"/>
          <w:szCs w:val="20"/>
        </w:rPr>
        <w:t xml:space="preserve">ting demat account. No </w:t>
      </w:r>
      <w:r w:rsidR="00B47F77" w:rsidRPr="001C29FD">
        <w:rPr>
          <w:rFonts w:asciiTheme="majorHAnsi" w:hAnsiTheme="majorHAnsi"/>
          <w:sz w:val="20"/>
          <w:szCs w:val="20"/>
        </w:rPr>
        <w:t>needs to close the existing demat</w:t>
      </w:r>
      <w:r w:rsidR="00B97E89" w:rsidRPr="001C29FD">
        <w:rPr>
          <w:rFonts w:asciiTheme="majorHAnsi" w:hAnsiTheme="majorHAnsi"/>
          <w:sz w:val="20"/>
          <w:szCs w:val="20"/>
        </w:rPr>
        <w:t xml:space="preserve"> account and no need of open a new demat account.</w:t>
      </w:r>
    </w:p>
    <w:p w:rsidR="00CD1EC8" w:rsidRPr="001C29FD" w:rsidRDefault="00BC6042" w:rsidP="00CB0743">
      <w:pPr>
        <w:spacing w:line="360" w:lineRule="auto"/>
        <w:jc w:val="both"/>
        <w:rPr>
          <w:rFonts w:asciiTheme="majorHAnsi" w:hAnsiTheme="majorHAnsi"/>
          <w:b/>
          <w:sz w:val="20"/>
          <w:szCs w:val="20"/>
        </w:rPr>
      </w:pPr>
      <w:r w:rsidRPr="001C29FD">
        <w:rPr>
          <w:rFonts w:asciiTheme="majorHAnsi" w:hAnsiTheme="majorHAnsi"/>
          <w:b/>
          <w:sz w:val="20"/>
          <w:szCs w:val="20"/>
        </w:rPr>
        <w:t>Documents to be required to change the name</w:t>
      </w:r>
    </w:p>
    <w:p w:rsidR="00CD1EC8" w:rsidRPr="001C29FD" w:rsidRDefault="00CD1EC8"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 xml:space="preserve">For the purpose of changing name, in respect of demat </w:t>
      </w:r>
      <w:r w:rsidR="00CE0AAD" w:rsidRPr="001C29FD">
        <w:rPr>
          <w:rFonts w:asciiTheme="majorHAnsi" w:hAnsiTheme="majorHAnsi"/>
          <w:sz w:val="20"/>
          <w:szCs w:val="20"/>
        </w:rPr>
        <w:t>account;</w:t>
      </w:r>
      <w:r w:rsidRPr="001C29FD">
        <w:rPr>
          <w:rFonts w:asciiTheme="majorHAnsi" w:hAnsiTheme="majorHAnsi"/>
          <w:sz w:val="20"/>
          <w:szCs w:val="20"/>
        </w:rPr>
        <w:t xml:space="preserve"> following </w:t>
      </w:r>
      <w:r w:rsidR="00642903" w:rsidRPr="001C29FD">
        <w:rPr>
          <w:rFonts w:asciiTheme="majorHAnsi" w:hAnsiTheme="majorHAnsi"/>
          <w:sz w:val="20"/>
          <w:szCs w:val="20"/>
        </w:rPr>
        <w:t>documents</w:t>
      </w:r>
      <w:r w:rsidRPr="001C29FD">
        <w:rPr>
          <w:rFonts w:asciiTheme="majorHAnsi" w:hAnsiTheme="majorHAnsi"/>
          <w:sz w:val="20"/>
          <w:szCs w:val="20"/>
        </w:rPr>
        <w:t xml:space="preserve"> should be </w:t>
      </w:r>
      <w:r w:rsidR="00642903" w:rsidRPr="001C29FD">
        <w:rPr>
          <w:rFonts w:asciiTheme="majorHAnsi" w:hAnsiTheme="majorHAnsi"/>
          <w:sz w:val="20"/>
          <w:szCs w:val="20"/>
        </w:rPr>
        <w:t>presented along with the prescribed application</w:t>
      </w:r>
      <w:r w:rsidRPr="001C29FD">
        <w:rPr>
          <w:rFonts w:asciiTheme="majorHAnsi" w:hAnsiTheme="majorHAnsi"/>
          <w:sz w:val="20"/>
          <w:szCs w:val="20"/>
        </w:rPr>
        <w:t>:</w:t>
      </w:r>
    </w:p>
    <w:p w:rsidR="00CD1EC8" w:rsidRPr="001C29FD" w:rsidRDefault="00CD1EC8" w:rsidP="008A67A0">
      <w:pPr>
        <w:pStyle w:val="ListParagraph"/>
        <w:numPr>
          <w:ilvl w:val="0"/>
          <w:numId w:val="1"/>
        </w:numPr>
        <w:spacing w:line="360" w:lineRule="auto"/>
        <w:ind w:left="0" w:firstLine="720"/>
        <w:jc w:val="both"/>
        <w:rPr>
          <w:rFonts w:asciiTheme="majorHAnsi" w:hAnsiTheme="majorHAnsi"/>
          <w:sz w:val="20"/>
          <w:szCs w:val="20"/>
        </w:rPr>
      </w:pPr>
      <w:r w:rsidRPr="001C29FD">
        <w:rPr>
          <w:rFonts w:asciiTheme="majorHAnsi" w:hAnsiTheme="majorHAnsi"/>
          <w:sz w:val="20"/>
          <w:szCs w:val="20"/>
        </w:rPr>
        <w:t xml:space="preserve"> In case of change in name on account of marriage </w:t>
      </w:r>
    </w:p>
    <w:p w:rsidR="005924EE" w:rsidRPr="001C29FD" w:rsidRDefault="0000331B" w:rsidP="00CB0743">
      <w:pPr>
        <w:pStyle w:val="ListParagraph"/>
        <w:numPr>
          <w:ilvl w:val="2"/>
          <w:numId w:val="1"/>
        </w:numPr>
        <w:spacing w:line="360" w:lineRule="auto"/>
        <w:jc w:val="both"/>
        <w:rPr>
          <w:rFonts w:asciiTheme="majorHAnsi" w:hAnsiTheme="majorHAnsi"/>
          <w:sz w:val="20"/>
          <w:szCs w:val="20"/>
        </w:rPr>
      </w:pPr>
      <w:r w:rsidRPr="001C29FD">
        <w:rPr>
          <w:rFonts w:asciiTheme="majorHAnsi" w:hAnsiTheme="majorHAnsi"/>
          <w:sz w:val="20"/>
          <w:szCs w:val="20"/>
        </w:rPr>
        <w:t xml:space="preserve">Copy of </w:t>
      </w:r>
      <w:r w:rsidR="005924EE" w:rsidRPr="001C29FD">
        <w:rPr>
          <w:rFonts w:asciiTheme="majorHAnsi" w:hAnsiTheme="majorHAnsi"/>
          <w:sz w:val="20"/>
          <w:szCs w:val="20"/>
        </w:rPr>
        <w:t xml:space="preserve">Marriage Certificate or </w:t>
      </w:r>
    </w:p>
    <w:p w:rsidR="005924EE" w:rsidRPr="001C29FD" w:rsidRDefault="00492615" w:rsidP="00CB0743">
      <w:pPr>
        <w:pStyle w:val="ListParagraph"/>
        <w:numPr>
          <w:ilvl w:val="2"/>
          <w:numId w:val="1"/>
        </w:numPr>
        <w:spacing w:line="360" w:lineRule="auto"/>
        <w:jc w:val="both"/>
        <w:rPr>
          <w:rFonts w:asciiTheme="majorHAnsi" w:hAnsiTheme="majorHAnsi"/>
          <w:sz w:val="20"/>
          <w:szCs w:val="20"/>
        </w:rPr>
      </w:pPr>
      <w:r>
        <w:rPr>
          <w:rFonts w:asciiTheme="majorHAnsi" w:hAnsiTheme="majorHAnsi"/>
          <w:sz w:val="20"/>
          <w:szCs w:val="20"/>
        </w:rPr>
        <w:t>C</w:t>
      </w:r>
      <w:r w:rsidR="005924EE" w:rsidRPr="001C29FD">
        <w:rPr>
          <w:rFonts w:asciiTheme="majorHAnsi" w:hAnsiTheme="majorHAnsi"/>
          <w:sz w:val="20"/>
          <w:szCs w:val="20"/>
        </w:rPr>
        <w:t>opy of Passport showing husband’s name or</w:t>
      </w:r>
    </w:p>
    <w:p w:rsidR="00CD1EC8" w:rsidRPr="001C29FD" w:rsidRDefault="00492615" w:rsidP="00CB0743">
      <w:pPr>
        <w:pStyle w:val="ListParagraph"/>
        <w:numPr>
          <w:ilvl w:val="2"/>
          <w:numId w:val="1"/>
        </w:numPr>
        <w:spacing w:line="360" w:lineRule="auto"/>
        <w:jc w:val="both"/>
        <w:rPr>
          <w:rFonts w:asciiTheme="majorHAnsi" w:hAnsiTheme="majorHAnsi"/>
          <w:sz w:val="20"/>
          <w:szCs w:val="20"/>
        </w:rPr>
      </w:pPr>
      <w:r>
        <w:rPr>
          <w:rFonts w:asciiTheme="majorHAnsi" w:hAnsiTheme="majorHAnsi"/>
          <w:sz w:val="20"/>
          <w:szCs w:val="20"/>
        </w:rPr>
        <w:t>C</w:t>
      </w:r>
      <w:r w:rsidR="0000331B" w:rsidRPr="001C29FD">
        <w:rPr>
          <w:rFonts w:asciiTheme="majorHAnsi" w:hAnsiTheme="majorHAnsi"/>
          <w:sz w:val="20"/>
          <w:szCs w:val="20"/>
        </w:rPr>
        <w:t xml:space="preserve">opy of </w:t>
      </w:r>
      <w:r w:rsidR="005924EE" w:rsidRPr="001C29FD">
        <w:rPr>
          <w:rFonts w:asciiTheme="majorHAnsi" w:hAnsiTheme="majorHAnsi"/>
          <w:sz w:val="20"/>
          <w:szCs w:val="20"/>
        </w:rPr>
        <w:t>publication of name change in</w:t>
      </w:r>
      <w:r w:rsidR="005924EE" w:rsidRPr="001C29FD">
        <w:rPr>
          <w:rFonts w:asciiTheme="majorHAnsi" w:hAnsiTheme="majorHAnsi"/>
          <w:sz w:val="20"/>
          <w:szCs w:val="20"/>
        </w:rPr>
        <w:t xml:space="preserve"> </w:t>
      </w:r>
      <w:r w:rsidR="005924EE" w:rsidRPr="001C29FD">
        <w:rPr>
          <w:rFonts w:asciiTheme="majorHAnsi" w:hAnsiTheme="majorHAnsi"/>
          <w:sz w:val="20"/>
          <w:szCs w:val="20"/>
        </w:rPr>
        <w:t>official gazette</w:t>
      </w:r>
    </w:p>
    <w:p w:rsidR="00A626EE" w:rsidRPr="001C29FD" w:rsidRDefault="00A626EE" w:rsidP="008A67A0">
      <w:pPr>
        <w:pStyle w:val="ListParagraph"/>
        <w:spacing w:line="360" w:lineRule="auto"/>
        <w:ind w:left="0" w:firstLine="720"/>
        <w:jc w:val="both"/>
        <w:rPr>
          <w:rFonts w:asciiTheme="majorHAnsi" w:hAnsiTheme="majorHAnsi"/>
          <w:sz w:val="20"/>
          <w:szCs w:val="20"/>
        </w:rPr>
      </w:pPr>
    </w:p>
    <w:p w:rsidR="00CD1EC8" w:rsidRPr="001C29FD" w:rsidRDefault="00BC6042" w:rsidP="008A67A0">
      <w:pPr>
        <w:pStyle w:val="ListParagraph"/>
        <w:numPr>
          <w:ilvl w:val="0"/>
          <w:numId w:val="1"/>
        </w:numPr>
        <w:spacing w:line="360" w:lineRule="auto"/>
        <w:ind w:left="0" w:firstLine="720"/>
        <w:jc w:val="both"/>
        <w:rPr>
          <w:rFonts w:asciiTheme="majorHAnsi" w:hAnsiTheme="majorHAnsi"/>
          <w:sz w:val="20"/>
          <w:szCs w:val="20"/>
        </w:rPr>
      </w:pPr>
      <w:r w:rsidRPr="001C29FD">
        <w:rPr>
          <w:rFonts w:asciiTheme="majorHAnsi" w:hAnsiTheme="majorHAnsi"/>
          <w:sz w:val="20"/>
          <w:szCs w:val="20"/>
        </w:rPr>
        <w:t>In case of change in name on account of reasons other than marriage</w:t>
      </w:r>
    </w:p>
    <w:p w:rsidR="00A626EE" w:rsidRPr="001C29FD" w:rsidRDefault="0000331B" w:rsidP="00CB0743">
      <w:pPr>
        <w:pStyle w:val="ListParagraph"/>
        <w:numPr>
          <w:ilvl w:val="2"/>
          <w:numId w:val="1"/>
        </w:numPr>
        <w:spacing w:line="360" w:lineRule="auto"/>
        <w:jc w:val="both"/>
        <w:rPr>
          <w:rFonts w:asciiTheme="majorHAnsi" w:hAnsiTheme="majorHAnsi"/>
          <w:sz w:val="20"/>
          <w:szCs w:val="20"/>
        </w:rPr>
      </w:pPr>
      <w:r w:rsidRPr="001C29FD">
        <w:rPr>
          <w:rFonts w:asciiTheme="majorHAnsi" w:hAnsiTheme="majorHAnsi"/>
          <w:sz w:val="20"/>
          <w:szCs w:val="20"/>
        </w:rPr>
        <w:t xml:space="preserve">Copy of </w:t>
      </w:r>
      <w:r w:rsidR="00A626EE" w:rsidRPr="001C29FD">
        <w:rPr>
          <w:rFonts w:asciiTheme="majorHAnsi" w:hAnsiTheme="majorHAnsi"/>
          <w:sz w:val="20"/>
          <w:szCs w:val="20"/>
        </w:rPr>
        <w:t>Publication of name change in official gazette.</w:t>
      </w:r>
    </w:p>
    <w:p w:rsidR="00A626EE" w:rsidRPr="001C29FD" w:rsidRDefault="0000331B"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 xml:space="preserve">If, an account holder wishes to change his father name, then he should submit copy of </w:t>
      </w:r>
      <w:r w:rsidRPr="001C29FD">
        <w:rPr>
          <w:rFonts w:asciiTheme="majorHAnsi" w:hAnsiTheme="majorHAnsi"/>
          <w:sz w:val="20"/>
          <w:szCs w:val="20"/>
        </w:rPr>
        <w:t>Publication of name change in official gazette</w:t>
      </w:r>
      <w:r w:rsidRPr="001C29FD">
        <w:rPr>
          <w:rFonts w:asciiTheme="majorHAnsi" w:hAnsiTheme="majorHAnsi"/>
          <w:sz w:val="20"/>
          <w:szCs w:val="20"/>
        </w:rPr>
        <w:t>.</w:t>
      </w:r>
    </w:p>
    <w:p w:rsidR="0000331B" w:rsidRPr="001C29FD" w:rsidRDefault="0000331B"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lastRenderedPageBreak/>
        <w:t xml:space="preserve">The above documents shall be present, in the form of </w:t>
      </w:r>
      <w:r w:rsidR="00105DA3" w:rsidRPr="001C29FD">
        <w:rPr>
          <w:rFonts w:asciiTheme="majorHAnsi" w:hAnsiTheme="majorHAnsi"/>
          <w:sz w:val="20"/>
          <w:szCs w:val="20"/>
        </w:rPr>
        <w:t>self-attested</w:t>
      </w:r>
      <w:r w:rsidRPr="001C29FD">
        <w:rPr>
          <w:rFonts w:asciiTheme="majorHAnsi" w:hAnsiTheme="majorHAnsi"/>
          <w:sz w:val="20"/>
          <w:szCs w:val="20"/>
        </w:rPr>
        <w:t xml:space="preserve"> by the account holder along with the prescribed application.</w:t>
      </w:r>
      <w:r w:rsidR="007C17C7" w:rsidRPr="001C29FD">
        <w:rPr>
          <w:rFonts w:asciiTheme="majorHAnsi" w:hAnsiTheme="majorHAnsi"/>
          <w:sz w:val="20"/>
          <w:szCs w:val="20"/>
        </w:rPr>
        <w:t xml:space="preserve"> He should </w:t>
      </w:r>
      <w:r w:rsidR="00105DA3" w:rsidRPr="001C29FD">
        <w:rPr>
          <w:rFonts w:asciiTheme="majorHAnsi" w:hAnsiTheme="majorHAnsi"/>
          <w:sz w:val="20"/>
          <w:szCs w:val="20"/>
        </w:rPr>
        <w:t>show</w:t>
      </w:r>
      <w:r w:rsidR="007C17C7" w:rsidRPr="001C29FD">
        <w:rPr>
          <w:rFonts w:asciiTheme="majorHAnsi" w:hAnsiTheme="majorHAnsi"/>
          <w:sz w:val="20"/>
          <w:szCs w:val="20"/>
        </w:rPr>
        <w:t xml:space="preserve"> original documents for verification at the time of submit the application for change of his name. </w:t>
      </w:r>
    </w:p>
    <w:p w:rsidR="0000331B" w:rsidRPr="001C29FD" w:rsidRDefault="00823136" w:rsidP="00CF384D">
      <w:pPr>
        <w:spacing w:line="360" w:lineRule="auto"/>
        <w:jc w:val="both"/>
        <w:rPr>
          <w:rFonts w:asciiTheme="majorHAnsi" w:hAnsiTheme="majorHAnsi"/>
          <w:b/>
          <w:sz w:val="20"/>
          <w:szCs w:val="20"/>
        </w:rPr>
      </w:pPr>
      <w:r w:rsidRPr="001C29FD">
        <w:rPr>
          <w:rFonts w:asciiTheme="majorHAnsi" w:hAnsiTheme="majorHAnsi"/>
          <w:b/>
          <w:sz w:val="20"/>
          <w:szCs w:val="20"/>
        </w:rPr>
        <w:t xml:space="preserve">Duty of the Depositary Participants </w:t>
      </w:r>
      <w:r w:rsidR="00B23D66" w:rsidRPr="001C29FD">
        <w:rPr>
          <w:rFonts w:asciiTheme="majorHAnsi" w:hAnsiTheme="majorHAnsi"/>
          <w:b/>
          <w:sz w:val="20"/>
          <w:szCs w:val="20"/>
        </w:rPr>
        <w:t>[DP</w:t>
      </w:r>
      <w:r w:rsidR="00105DA3">
        <w:rPr>
          <w:rFonts w:asciiTheme="majorHAnsi" w:hAnsiTheme="majorHAnsi"/>
          <w:b/>
          <w:sz w:val="20"/>
          <w:szCs w:val="20"/>
        </w:rPr>
        <w:t>s</w:t>
      </w:r>
      <w:r w:rsidR="00B23D66" w:rsidRPr="001C29FD">
        <w:rPr>
          <w:rFonts w:asciiTheme="majorHAnsi" w:hAnsiTheme="majorHAnsi"/>
          <w:b/>
          <w:sz w:val="20"/>
          <w:szCs w:val="20"/>
        </w:rPr>
        <w:t>]</w:t>
      </w:r>
    </w:p>
    <w:p w:rsidR="00823136" w:rsidRPr="001C29FD" w:rsidRDefault="00F325B8"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The Depository Participants (DPs) shall collect the self-attested copies of above documents and maintain the same in their records after verifying with the original document.</w:t>
      </w:r>
    </w:p>
    <w:p w:rsidR="00324B87" w:rsidRPr="001C29FD" w:rsidRDefault="00324B87" w:rsidP="00CF384D">
      <w:pPr>
        <w:spacing w:line="360" w:lineRule="auto"/>
        <w:jc w:val="both"/>
        <w:rPr>
          <w:rFonts w:asciiTheme="majorHAnsi" w:hAnsiTheme="majorHAnsi"/>
          <w:b/>
          <w:sz w:val="20"/>
          <w:szCs w:val="20"/>
        </w:rPr>
      </w:pPr>
      <w:r w:rsidRPr="001C29FD">
        <w:rPr>
          <w:rFonts w:asciiTheme="majorHAnsi" w:hAnsiTheme="majorHAnsi"/>
          <w:b/>
          <w:sz w:val="20"/>
          <w:szCs w:val="20"/>
        </w:rPr>
        <w:t>Duty of the Depositar</w:t>
      </w:r>
      <w:r w:rsidRPr="001C29FD">
        <w:rPr>
          <w:rFonts w:asciiTheme="majorHAnsi" w:hAnsiTheme="majorHAnsi"/>
          <w:b/>
          <w:sz w:val="20"/>
          <w:szCs w:val="20"/>
        </w:rPr>
        <w:t>ies</w:t>
      </w:r>
    </w:p>
    <w:p w:rsidR="00105DA3" w:rsidRDefault="00105DA3" w:rsidP="008A67A0">
      <w:pPr>
        <w:pStyle w:val="ListParagraph"/>
        <w:spacing w:line="360" w:lineRule="auto"/>
        <w:ind w:left="0" w:firstLine="720"/>
        <w:jc w:val="both"/>
        <w:rPr>
          <w:rFonts w:asciiTheme="majorHAnsi" w:hAnsiTheme="majorHAnsi"/>
          <w:sz w:val="20"/>
          <w:szCs w:val="20"/>
        </w:rPr>
      </w:pPr>
      <w:r>
        <w:rPr>
          <w:rFonts w:asciiTheme="majorHAnsi" w:hAnsiTheme="majorHAnsi"/>
          <w:sz w:val="20"/>
          <w:szCs w:val="20"/>
        </w:rPr>
        <w:t>Presently, in India only two depositories are providing the demat account</w:t>
      </w:r>
      <w:r w:rsidR="000D2B41">
        <w:rPr>
          <w:rFonts w:asciiTheme="majorHAnsi" w:hAnsiTheme="majorHAnsi"/>
          <w:sz w:val="20"/>
          <w:szCs w:val="20"/>
        </w:rPr>
        <w:t>s</w:t>
      </w:r>
      <w:r>
        <w:rPr>
          <w:rFonts w:asciiTheme="majorHAnsi" w:hAnsiTheme="majorHAnsi"/>
          <w:sz w:val="20"/>
          <w:szCs w:val="20"/>
        </w:rPr>
        <w:t xml:space="preserve"> to the </w:t>
      </w:r>
      <w:r w:rsidR="004B7E0D">
        <w:rPr>
          <w:rFonts w:asciiTheme="majorHAnsi" w:hAnsiTheme="majorHAnsi"/>
          <w:sz w:val="20"/>
          <w:szCs w:val="20"/>
        </w:rPr>
        <w:t>publics</w:t>
      </w:r>
      <w:r>
        <w:rPr>
          <w:rFonts w:asciiTheme="majorHAnsi" w:hAnsiTheme="majorHAnsi"/>
          <w:sz w:val="20"/>
          <w:szCs w:val="20"/>
        </w:rPr>
        <w:t xml:space="preserve">. They are National Securities and Depositories of India [NSDL] and Central Depositories Services of India [CDSL]. </w:t>
      </w:r>
    </w:p>
    <w:p w:rsidR="00E61780" w:rsidRDefault="00E61780" w:rsidP="008A67A0">
      <w:pPr>
        <w:pStyle w:val="ListParagraph"/>
        <w:spacing w:line="360" w:lineRule="auto"/>
        <w:ind w:left="0" w:firstLine="720"/>
        <w:jc w:val="both"/>
        <w:rPr>
          <w:rFonts w:asciiTheme="majorHAnsi" w:hAnsiTheme="majorHAnsi"/>
          <w:sz w:val="20"/>
          <w:szCs w:val="20"/>
        </w:rPr>
      </w:pPr>
    </w:p>
    <w:p w:rsidR="00105DA3" w:rsidRDefault="00105DA3" w:rsidP="008A67A0">
      <w:pPr>
        <w:pStyle w:val="ListParagraph"/>
        <w:spacing w:line="360" w:lineRule="auto"/>
        <w:ind w:left="0" w:firstLine="720"/>
        <w:jc w:val="both"/>
        <w:rPr>
          <w:rFonts w:asciiTheme="majorHAnsi" w:hAnsiTheme="majorHAnsi"/>
          <w:sz w:val="20"/>
          <w:szCs w:val="20"/>
        </w:rPr>
      </w:pPr>
      <w:r>
        <w:rPr>
          <w:rFonts w:asciiTheme="majorHAnsi" w:hAnsiTheme="majorHAnsi"/>
          <w:sz w:val="20"/>
          <w:szCs w:val="20"/>
        </w:rPr>
        <w:t>For the purpose of implement the above circular, SEBI has directed the depositories -</w:t>
      </w:r>
    </w:p>
    <w:p w:rsidR="00324B87" w:rsidRPr="001C29FD" w:rsidRDefault="00105DA3" w:rsidP="00CB0743">
      <w:pPr>
        <w:pStyle w:val="ListParagraph"/>
        <w:numPr>
          <w:ilvl w:val="0"/>
          <w:numId w:val="3"/>
        </w:numPr>
        <w:spacing w:line="360" w:lineRule="auto"/>
        <w:jc w:val="both"/>
        <w:rPr>
          <w:rFonts w:asciiTheme="majorHAnsi" w:hAnsiTheme="majorHAnsi"/>
          <w:sz w:val="20"/>
          <w:szCs w:val="20"/>
        </w:rPr>
      </w:pPr>
      <w:r>
        <w:rPr>
          <w:rFonts w:asciiTheme="majorHAnsi" w:hAnsiTheme="majorHAnsi"/>
          <w:sz w:val="20"/>
          <w:szCs w:val="20"/>
        </w:rPr>
        <w:t>To i</w:t>
      </w:r>
      <w:r w:rsidR="00324B87" w:rsidRPr="001C29FD">
        <w:rPr>
          <w:rFonts w:asciiTheme="majorHAnsi" w:hAnsiTheme="majorHAnsi"/>
          <w:sz w:val="20"/>
          <w:szCs w:val="20"/>
        </w:rPr>
        <w:t xml:space="preserve">mplement the above provisions within three months from the date of issue of </w:t>
      </w:r>
      <w:r w:rsidR="00B23D66" w:rsidRPr="001C29FD">
        <w:rPr>
          <w:rFonts w:asciiTheme="majorHAnsi" w:hAnsiTheme="majorHAnsi"/>
          <w:sz w:val="20"/>
          <w:szCs w:val="20"/>
        </w:rPr>
        <w:t>above</w:t>
      </w:r>
      <w:r w:rsidR="00324B87" w:rsidRPr="001C29FD">
        <w:rPr>
          <w:rFonts w:asciiTheme="majorHAnsi" w:hAnsiTheme="majorHAnsi"/>
          <w:sz w:val="20"/>
          <w:szCs w:val="20"/>
        </w:rPr>
        <w:t xml:space="preserve"> circular.</w:t>
      </w:r>
    </w:p>
    <w:p w:rsidR="00324B87" w:rsidRPr="001C29FD" w:rsidRDefault="00105DA3" w:rsidP="00CB0743">
      <w:pPr>
        <w:pStyle w:val="ListParagraph"/>
        <w:numPr>
          <w:ilvl w:val="0"/>
          <w:numId w:val="3"/>
        </w:numPr>
        <w:spacing w:line="360" w:lineRule="auto"/>
        <w:jc w:val="both"/>
        <w:rPr>
          <w:rFonts w:asciiTheme="majorHAnsi" w:hAnsiTheme="majorHAnsi"/>
          <w:sz w:val="20"/>
          <w:szCs w:val="20"/>
        </w:rPr>
      </w:pPr>
      <w:r>
        <w:rPr>
          <w:rFonts w:asciiTheme="majorHAnsi" w:hAnsiTheme="majorHAnsi"/>
          <w:sz w:val="20"/>
          <w:szCs w:val="20"/>
        </w:rPr>
        <w:t>To e</w:t>
      </w:r>
      <w:r w:rsidR="00523228" w:rsidRPr="001C29FD">
        <w:rPr>
          <w:rFonts w:asciiTheme="majorHAnsi" w:hAnsiTheme="majorHAnsi"/>
          <w:sz w:val="20"/>
          <w:szCs w:val="20"/>
        </w:rPr>
        <w:t>nsure that they will have the system to keep audit trail of the name change in the Beneficiary Owner [BO] account similar to that of address change or any other change of coordinates.</w:t>
      </w:r>
    </w:p>
    <w:p w:rsidR="00523228" w:rsidRPr="001C29FD" w:rsidRDefault="00105DA3" w:rsidP="00CB0743">
      <w:pPr>
        <w:pStyle w:val="ListParagraph"/>
        <w:numPr>
          <w:ilvl w:val="0"/>
          <w:numId w:val="3"/>
        </w:numPr>
        <w:spacing w:line="360" w:lineRule="auto"/>
        <w:jc w:val="both"/>
        <w:rPr>
          <w:rFonts w:asciiTheme="majorHAnsi" w:hAnsiTheme="majorHAnsi"/>
          <w:sz w:val="20"/>
          <w:szCs w:val="20"/>
        </w:rPr>
      </w:pPr>
      <w:r>
        <w:rPr>
          <w:rFonts w:asciiTheme="majorHAnsi" w:hAnsiTheme="majorHAnsi"/>
          <w:sz w:val="20"/>
          <w:szCs w:val="20"/>
        </w:rPr>
        <w:t xml:space="preserve">To </w:t>
      </w:r>
      <w:r w:rsidR="00523228" w:rsidRPr="001C29FD">
        <w:rPr>
          <w:rFonts w:asciiTheme="majorHAnsi" w:hAnsiTheme="majorHAnsi"/>
          <w:sz w:val="20"/>
          <w:szCs w:val="20"/>
        </w:rPr>
        <w:t>make amendments to the relevant Bye-Laws, Business Rules and DP Operating Instructions for the</w:t>
      </w:r>
      <w:r w:rsidR="00523228" w:rsidRPr="001C29FD">
        <w:rPr>
          <w:rFonts w:asciiTheme="majorHAnsi" w:hAnsiTheme="majorHAnsi"/>
          <w:sz w:val="20"/>
          <w:szCs w:val="20"/>
        </w:rPr>
        <w:t xml:space="preserve"> </w:t>
      </w:r>
      <w:r w:rsidR="00523228" w:rsidRPr="001C29FD">
        <w:rPr>
          <w:rFonts w:asciiTheme="majorHAnsi" w:hAnsiTheme="majorHAnsi"/>
          <w:sz w:val="20"/>
          <w:szCs w:val="20"/>
        </w:rPr>
        <w:t>implementation of the above decision, as may be applicable or necessary</w:t>
      </w:r>
    </w:p>
    <w:p w:rsidR="00523228" w:rsidRPr="001C29FD" w:rsidRDefault="00105DA3" w:rsidP="00CB0743">
      <w:pPr>
        <w:pStyle w:val="ListParagraph"/>
        <w:numPr>
          <w:ilvl w:val="0"/>
          <w:numId w:val="3"/>
        </w:numPr>
        <w:spacing w:line="360" w:lineRule="auto"/>
        <w:jc w:val="both"/>
        <w:rPr>
          <w:rFonts w:asciiTheme="majorHAnsi" w:hAnsiTheme="majorHAnsi"/>
          <w:sz w:val="20"/>
          <w:szCs w:val="20"/>
        </w:rPr>
      </w:pPr>
      <w:r>
        <w:rPr>
          <w:rFonts w:asciiTheme="majorHAnsi" w:hAnsiTheme="majorHAnsi"/>
          <w:sz w:val="20"/>
          <w:szCs w:val="20"/>
        </w:rPr>
        <w:t xml:space="preserve">To </w:t>
      </w:r>
      <w:r w:rsidR="00523228" w:rsidRPr="001C29FD">
        <w:rPr>
          <w:rFonts w:asciiTheme="majorHAnsi" w:hAnsiTheme="majorHAnsi"/>
          <w:sz w:val="20"/>
          <w:szCs w:val="20"/>
        </w:rPr>
        <w:t xml:space="preserve">bring the provisions of </w:t>
      </w:r>
      <w:r w:rsidR="00B23D66" w:rsidRPr="001C29FD">
        <w:rPr>
          <w:rFonts w:asciiTheme="majorHAnsi" w:hAnsiTheme="majorHAnsi"/>
          <w:sz w:val="20"/>
          <w:szCs w:val="20"/>
        </w:rPr>
        <w:t>above</w:t>
      </w:r>
      <w:r w:rsidR="00523228" w:rsidRPr="001C29FD">
        <w:rPr>
          <w:rFonts w:asciiTheme="majorHAnsi" w:hAnsiTheme="majorHAnsi"/>
          <w:sz w:val="20"/>
          <w:szCs w:val="20"/>
        </w:rPr>
        <w:t xml:space="preserve"> circular to the notice of the DPs and also to disseminate the same on their</w:t>
      </w:r>
      <w:r w:rsidR="00523228" w:rsidRPr="001C29FD">
        <w:rPr>
          <w:rFonts w:asciiTheme="majorHAnsi" w:hAnsiTheme="majorHAnsi"/>
          <w:sz w:val="20"/>
          <w:szCs w:val="20"/>
        </w:rPr>
        <w:t xml:space="preserve"> </w:t>
      </w:r>
      <w:r w:rsidR="00523228" w:rsidRPr="001C29FD">
        <w:rPr>
          <w:rFonts w:asciiTheme="majorHAnsi" w:hAnsiTheme="majorHAnsi"/>
          <w:sz w:val="20"/>
          <w:szCs w:val="20"/>
        </w:rPr>
        <w:t>website</w:t>
      </w:r>
    </w:p>
    <w:p w:rsidR="00F325B8" w:rsidRPr="001C29FD" w:rsidRDefault="007C17C7" w:rsidP="00EC79A6">
      <w:pPr>
        <w:spacing w:line="360" w:lineRule="auto"/>
        <w:jc w:val="both"/>
        <w:rPr>
          <w:rFonts w:asciiTheme="majorHAnsi" w:hAnsiTheme="majorHAnsi"/>
          <w:b/>
          <w:sz w:val="20"/>
          <w:szCs w:val="20"/>
        </w:rPr>
      </w:pPr>
      <w:r w:rsidRPr="001C29FD">
        <w:rPr>
          <w:rFonts w:asciiTheme="majorHAnsi" w:hAnsiTheme="majorHAnsi"/>
          <w:b/>
          <w:sz w:val="20"/>
          <w:szCs w:val="20"/>
        </w:rPr>
        <w:t>Fee</w:t>
      </w:r>
    </w:p>
    <w:p w:rsidR="007C17C7" w:rsidRDefault="007C17C7" w:rsidP="008A67A0">
      <w:pPr>
        <w:spacing w:line="360" w:lineRule="auto"/>
        <w:ind w:firstLine="720"/>
        <w:jc w:val="both"/>
        <w:rPr>
          <w:rFonts w:asciiTheme="majorHAnsi" w:hAnsiTheme="majorHAnsi"/>
          <w:sz w:val="20"/>
          <w:szCs w:val="20"/>
        </w:rPr>
      </w:pPr>
      <w:r w:rsidRPr="001C29FD">
        <w:rPr>
          <w:rFonts w:asciiTheme="majorHAnsi" w:hAnsiTheme="majorHAnsi"/>
          <w:sz w:val="20"/>
          <w:szCs w:val="20"/>
        </w:rPr>
        <w:t>As of now, SEBI has not prescribed any fee for change of name.</w:t>
      </w:r>
    </w:p>
    <w:p w:rsidR="00EC79A6" w:rsidRPr="00EC79A6" w:rsidRDefault="00EC79A6" w:rsidP="00EC79A6">
      <w:pPr>
        <w:spacing w:line="360" w:lineRule="auto"/>
        <w:jc w:val="both"/>
        <w:rPr>
          <w:rFonts w:asciiTheme="majorHAnsi" w:hAnsiTheme="majorHAnsi"/>
          <w:b/>
          <w:sz w:val="20"/>
          <w:szCs w:val="20"/>
        </w:rPr>
      </w:pPr>
      <w:r w:rsidRPr="00EC79A6">
        <w:rPr>
          <w:rFonts w:asciiTheme="majorHAnsi" w:hAnsiTheme="majorHAnsi"/>
          <w:b/>
          <w:sz w:val="20"/>
          <w:szCs w:val="20"/>
        </w:rPr>
        <w:t>To whom it beneficial</w:t>
      </w:r>
    </w:p>
    <w:p w:rsidR="00EC79A6" w:rsidRDefault="00EC79A6" w:rsidP="008A67A0">
      <w:pPr>
        <w:spacing w:line="360" w:lineRule="auto"/>
        <w:ind w:firstLine="720"/>
        <w:jc w:val="both"/>
        <w:rPr>
          <w:rFonts w:asciiTheme="majorHAnsi" w:hAnsiTheme="majorHAnsi"/>
          <w:sz w:val="20"/>
          <w:szCs w:val="20"/>
        </w:rPr>
      </w:pPr>
      <w:r>
        <w:rPr>
          <w:rFonts w:asciiTheme="majorHAnsi" w:hAnsiTheme="majorHAnsi"/>
          <w:sz w:val="20"/>
          <w:szCs w:val="20"/>
        </w:rPr>
        <w:t>It is more beneficial to</w:t>
      </w:r>
      <w:r w:rsidR="0064410D">
        <w:rPr>
          <w:rFonts w:asciiTheme="majorHAnsi" w:hAnsiTheme="majorHAnsi"/>
          <w:sz w:val="20"/>
          <w:szCs w:val="20"/>
        </w:rPr>
        <w:t xml:space="preserve"> married women</w:t>
      </w:r>
      <w:r>
        <w:rPr>
          <w:rFonts w:asciiTheme="majorHAnsi" w:hAnsiTheme="majorHAnsi"/>
          <w:sz w:val="20"/>
          <w:szCs w:val="20"/>
        </w:rPr>
        <w:t xml:space="preserve"> especially those are open a demat account before marriage and subsequently after marriage wants to change or modify her name in the records of Depositories.</w:t>
      </w:r>
    </w:p>
    <w:p w:rsidR="0064410D" w:rsidRDefault="0064410D" w:rsidP="008A67A0">
      <w:pPr>
        <w:spacing w:line="360" w:lineRule="auto"/>
        <w:ind w:firstLine="720"/>
        <w:jc w:val="both"/>
        <w:rPr>
          <w:rFonts w:asciiTheme="majorHAnsi" w:hAnsiTheme="majorHAnsi"/>
          <w:sz w:val="20"/>
          <w:szCs w:val="20"/>
        </w:rPr>
      </w:pPr>
      <w:r>
        <w:rPr>
          <w:rFonts w:asciiTheme="majorHAnsi" w:hAnsiTheme="majorHAnsi"/>
          <w:sz w:val="20"/>
          <w:szCs w:val="20"/>
        </w:rPr>
        <w:t>Rarely, it help</w:t>
      </w:r>
      <w:r w:rsidR="00B43D96">
        <w:rPr>
          <w:rFonts w:asciiTheme="majorHAnsi" w:hAnsiTheme="majorHAnsi"/>
          <w:sz w:val="20"/>
          <w:szCs w:val="20"/>
        </w:rPr>
        <w:t>s</w:t>
      </w:r>
      <w:r>
        <w:rPr>
          <w:rFonts w:asciiTheme="majorHAnsi" w:hAnsiTheme="majorHAnsi"/>
          <w:sz w:val="20"/>
          <w:szCs w:val="20"/>
        </w:rPr>
        <w:t xml:space="preserve"> to other</w:t>
      </w:r>
      <w:r w:rsidR="00B43D96">
        <w:rPr>
          <w:rFonts w:asciiTheme="majorHAnsi" w:hAnsiTheme="majorHAnsi"/>
          <w:sz w:val="20"/>
          <w:szCs w:val="20"/>
        </w:rPr>
        <w:t>s</w:t>
      </w:r>
      <w:r>
        <w:rPr>
          <w:rFonts w:asciiTheme="majorHAnsi" w:hAnsiTheme="majorHAnsi"/>
          <w:sz w:val="20"/>
          <w:szCs w:val="20"/>
        </w:rPr>
        <w:t xml:space="preserve"> also, if they require </w:t>
      </w:r>
      <w:proofErr w:type="gramStart"/>
      <w:r>
        <w:rPr>
          <w:rFonts w:asciiTheme="majorHAnsi" w:hAnsiTheme="majorHAnsi"/>
          <w:sz w:val="20"/>
          <w:szCs w:val="20"/>
        </w:rPr>
        <w:t>to change or modify</w:t>
      </w:r>
      <w:proofErr w:type="gramEnd"/>
      <w:r>
        <w:rPr>
          <w:rFonts w:asciiTheme="majorHAnsi" w:hAnsiTheme="majorHAnsi"/>
          <w:sz w:val="20"/>
          <w:szCs w:val="20"/>
        </w:rPr>
        <w:t xml:space="preserve"> their </w:t>
      </w:r>
      <w:r w:rsidR="00E03592">
        <w:rPr>
          <w:rFonts w:asciiTheme="majorHAnsi" w:hAnsiTheme="majorHAnsi"/>
          <w:sz w:val="20"/>
          <w:szCs w:val="20"/>
        </w:rPr>
        <w:t xml:space="preserve">name or </w:t>
      </w:r>
      <w:r>
        <w:rPr>
          <w:rFonts w:asciiTheme="majorHAnsi" w:hAnsiTheme="majorHAnsi"/>
          <w:sz w:val="20"/>
          <w:szCs w:val="20"/>
        </w:rPr>
        <w:t>surname</w:t>
      </w:r>
      <w:r w:rsidR="00E03592">
        <w:rPr>
          <w:rFonts w:asciiTheme="majorHAnsi" w:hAnsiTheme="majorHAnsi"/>
          <w:sz w:val="20"/>
          <w:szCs w:val="20"/>
        </w:rPr>
        <w:t>.</w:t>
      </w:r>
    </w:p>
    <w:p w:rsidR="00C37852" w:rsidRDefault="00C37852" w:rsidP="008A67A0">
      <w:pPr>
        <w:spacing w:line="360" w:lineRule="auto"/>
        <w:ind w:firstLine="720"/>
        <w:jc w:val="both"/>
        <w:rPr>
          <w:rFonts w:asciiTheme="majorHAnsi" w:hAnsiTheme="majorHAnsi"/>
          <w:sz w:val="20"/>
          <w:szCs w:val="20"/>
        </w:rPr>
      </w:pPr>
    </w:p>
    <w:p w:rsidR="00C37852" w:rsidRDefault="00C37852" w:rsidP="008A67A0">
      <w:pPr>
        <w:spacing w:line="360" w:lineRule="auto"/>
        <w:ind w:firstLine="720"/>
        <w:jc w:val="both"/>
        <w:rPr>
          <w:rFonts w:asciiTheme="majorHAnsi" w:hAnsiTheme="majorHAnsi"/>
          <w:sz w:val="20"/>
          <w:szCs w:val="20"/>
        </w:rPr>
      </w:pPr>
    </w:p>
    <w:p w:rsidR="00C37852" w:rsidRPr="00C37852" w:rsidRDefault="00C37852" w:rsidP="008A67A0">
      <w:pPr>
        <w:spacing w:line="360" w:lineRule="auto"/>
        <w:ind w:firstLine="720"/>
        <w:jc w:val="both"/>
        <w:rPr>
          <w:rFonts w:asciiTheme="majorHAnsi" w:hAnsiTheme="majorHAnsi"/>
          <w:b/>
          <w:sz w:val="20"/>
          <w:szCs w:val="20"/>
        </w:rPr>
      </w:pPr>
      <w:r w:rsidRPr="00C37852">
        <w:rPr>
          <w:rFonts w:asciiTheme="majorHAnsi" w:hAnsiTheme="majorHAnsi"/>
          <w:b/>
          <w:sz w:val="20"/>
          <w:szCs w:val="20"/>
        </w:rPr>
        <w:lastRenderedPageBreak/>
        <w:t>The full text of the above circular read as follows:</w:t>
      </w:r>
    </w:p>
    <w:p w:rsidR="00C37852" w:rsidRDefault="00C37852" w:rsidP="008A67A0">
      <w:pPr>
        <w:spacing w:line="360" w:lineRule="auto"/>
        <w:ind w:firstLine="720"/>
        <w:jc w:val="both"/>
        <w:rPr>
          <w:rFonts w:asciiTheme="majorHAnsi" w:hAnsiTheme="majorHAnsi"/>
          <w:sz w:val="20"/>
          <w:szCs w:val="20"/>
        </w:rPr>
      </w:pPr>
    </w:p>
    <w:p w:rsidR="00C37852" w:rsidRPr="00267557" w:rsidRDefault="00C37852" w:rsidP="00C37852">
      <w:pPr>
        <w:jc w:val="center"/>
        <w:rPr>
          <w:b/>
          <w:bCs/>
          <w:sz w:val="32"/>
          <w:szCs w:val="32"/>
        </w:rPr>
      </w:pPr>
      <w:r w:rsidRPr="00267557">
        <w:rPr>
          <w:b/>
          <w:bCs/>
          <w:sz w:val="32"/>
          <w:szCs w:val="32"/>
        </w:rPr>
        <w:t>Change of Name in the Beneficial</w:t>
      </w:r>
    </w:p>
    <w:p w:rsidR="00C37852" w:rsidRPr="00267557" w:rsidRDefault="00C37852" w:rsidP="00C37852">
      <w:pPr>
        <w:jc w:val="center"/>
        <w:rPr>
          <w:b/>
          <w:bCs/>
        </w:rPr>
      </w:pPr>
      <w:r w:rsidRPr="00267557">
        <w:rPr>
          <w:b/>
          <w:bCs/>
        </w:rPr>
        <w:t>Owner (BO) Account</w:t>
      </w:r>
    </w:p>
    <w:p w:rsidR="00C37852" w:rsidRPr="00267557" w:rsidRDefault="00C37852" w:rsidP="00C37852">
      <w:pPr>
        <w:jc w:val="center"/>
        <w:rPr>
          <w:b/>
          <w:bCs/>
        </w:rPr>
      </w:pPr>
      <w:r w:rsidRPr="00267557">
        <w:rPr>
          <w:b/>
          <w:bCs/>
        </w:rPr>
        <w:t>[Issued by the Securities and Exchange Board of India vide CIR/MRD/DP/27/2012 dated 01.11.2012.]</w:t>
      </w:r>
    </w:p>
    <w:p w:rsidR="00C37852" w:rsidRDefault="00C37852" w:rsidP="00C37852">
      <w:pPr>
        <w:jc w:val="both"/>
      </w:pPr>
      <w:r>
        <w:t>1. In order to simplify the procedure of change of name in individual Beneficial Owner’s (BO) account, it has been decided that an individual BO may be allowed to change his/ her name, subject to the submission of following documents at the time of change of name of the individual in the BO account.</w:t>
      </w:r>
    </w:p>
    <w:p w:rsidR="00C37852" w:rsidRDefault="00C37852" w:rsidP="00C37852">
      <w:pPr>
        <w:jc w:val="both"/>
      </w:pPr>
      <w:r>
        <w:t>i. In case of change in name on account of marriage following documents shall be submitted:</w:t>
      </w:r>
    </w:p>
    <w:p w:rsidR="00C37852" w:rsidRDefault="00C37852" w:rsidP="00C37852">
      <w:pPr>
        <w:jc w:val="both"/>
      </w:pPr>
      <w:proofErr w:type="gramStart"/>
      <w:r>
        <w:t>a</w:t>
      </w:r>
      <w:proofErr w:type="gramEnd"/>
      <w:r>
        <w:t>. Marriage Certificate or copy of Passport showing husband’s name or publication of name change in</w:t>
      </w:r>
    </w:p>
    <w:p w:rsidR="00C37852" w:rsidRDefault="00C37852" w:rsidP="00C37852">
      <w:pPr>
        <w:jc w:val="both"/>
      </w:pPr>
      <w:proofErr w:type="gramStart"/>
      <w:r>
        <w:t>official</w:t>
      </w:r>
      <w:proofErr w:type="gramEnd"/>
      <w:r>
        <w:t xml:space="preserve"> gazette.</w:t>
      </w:r>
    </w:p>
    <w:p w:rsidR="00C37852" w:rsidRDefault="00C37852" w:rsidP="00C37852">
      <w:pPr>
        <w:jc w:val="both"/>
      </w:pPr>
      <w:proofErr w:type="gramStart"/>
      <w:r>
        <w:t>ii</w:t>
      </w:r>
      <w:proofErr w:type="gramEnd"/>
      <w:r>
        <w:t>. In case of change in name on account of reasons other than marriage</w:t>
      </w:r>
    </w:p>
    <w:p w:rsidR="00C37852" w:rsidRDefault="00C37852" w:rsidP="00C37852">
      <w:pPr>
        <w:jc w:val="both"/>
      </w:pPr>
      <w:r>
        <w:t>a. Publication of name change in official gazette.</w:t>
      </w:r>
    </w:p>
    <w:p w:rsidR="00C37852" w:rsidRDefault="00C37852" w:rsidP="00C37852">
      <w:pPr>
        <w:jc w:val="both"/>
      </w:pPr>
      <w:proofErr w:type="gramStart"/>
      <w:r>
        <w:t>iii</w:t>
      </w:r>
      <w:proofErr w:type="gramEnd"/>
      <w:r>
        <w:t>. In case of change in father’s name</w:t>
      </w:r>
    </w:p>
    <w:p w:rsidR="00C37852" w:rsidRDefault="00C37852" w:rsidP="00C37852">
      <w:pPr>
        <w:jc w:val="both"/>
      </w:pPr>
      <w:r>
        <w:t>a. Publication of name change in official gazette.</w:t>
      </w:r>
    </w:p>
    <w:p w:rsidR="00C37852" w:rsidRDefault="00C37852" w:rsidP="00C37852">
      <w:pPr>
        <w:jc w:val="both"/>
      </w:pPr>
      <w:r>
        <w:t xml:space="preserve">2. The Depository Participants (DPs) shall collect the self-attested copies of above documents and maintain the same in their records after verifying with the original document. </w:t>
      </w:r>
    </w:p>
    <w:p w:rsidR="00C37852" w:rsidRDefault="00C37852" w:rsidP="00C37852">
      <w:pPr>
        <w:jc w:val="both"/>
      </w:pPr>
      <w:r>
        <w:t>3. The Depositories are directed to</w:t>
      </w:r>
    </w:p>
    <w:p w:rsidR="00C37852" w:rsidRDefault="00C37852" w:rsidP="00C37852">
      <w:pPr>
        <w:jc w:val="both"/>
      </w:pPr>
      <w:proofErr w:type="gramStart"/>
      <w:r>
        <w:t>i</w:t>
      </w:r>
      <w:proofErr w:type="gramEnd"/>
      <w:r>
        <w:t>. implement the above provisions within three months from the date of issue of this circular.</w:t>
      </w:r>
    </w:p>
    <w:p w:rsidR="00C37852" w:rsidRDefault="00C37852" w:rsidP="00C37852">
      <w:pPr>
        <w:jc w:val="both"/>
      </w:pPr>
      <w:r>
        <w:t xml:space="preserve">ii. </w:t>
      </w:r>
      <w:proofErr w:type="gramStart"/>
      <w:r>
        <w:t>ensure</w:t>
      </w:r>
      <w:proofErr w:type="gramEnd"/>
      <w:r>
        <w:t xml:space="preserve"> that they will have the system to keep audit trail of the name change in the BO account similar to that of address change or any other change of coordinates;</w:t>
      </w:r>
    </w:p>
    <w:p w:rsidR="00C37852" w:rsidRDefault="00C37852" w:rsidP="00C37852">
      <w:pPr>
        <w:jc w:val="both"/>
      </w:pPr>
      <w:r>
        <w:t xml:space="preserve">iii. </w:t>
      </w:r>
      <w:proofErr w:type="gramStart"/>
      <w:r>
        <w:t>make</w:t>
      </w:r>
      <w:proofErr w:type="gramEnd"/>
      <w:r>
        <w:t xml:space="preserve"> amendments to the relevant Bye-Laws, Business Rules and DP Operating Instructions for the</w:t>
      </w:r>
    </w:p>
    <w:p w:rsidR="00C37852" w:rsidRDefault="00C37852" w:rsidP="00C37852">
      <w:pPr>
        <w:jc w:val="both"/>
      </w:pPr>
      <w:proofErr w:type="gramStart"/>
      <w:r>
        <w:t>implementation</w:t>
      </w:r>
      <w:proofErr w:type="gramEnd"/>
      <w:r>
        <w:t xml:space="preserve"> of the above decision, as may be applicable or necessary;</w:t>
      </w:r>
    </w:p>
    <w:p w:rsidR="00C37852" w:rsidRDefault="00C37852" w:rsidP="00C37852">
      <w:pPr>
        <w:jc w:val="both"/>
      </w:pPr>
      <w:r>
        <w:t xml:space="preserve">iv. </w:t>
      </w:r>
      <w:proofErr w:type="gramStart"/>
      <w:r>
        <w:t>bring</w:t>
      </w:r>
      <w:proofErr w:type="gramEnd"/>
      <w:r>
        <w:t xml:space="preserve"> the provisions of this circular to the notice of the DPs and also to disseminate the same on their</w:t>
      </w:r>
    </w:p>
    <w:p w:rsidR="00C37852" w:rsidRDefault="00C37852" w:rsidP="00C37852">
      <w:pPr>
        <w:jc w:val="both"/>
      </w:pPr>
      <w:proofErr w:type="gramStart"/>
      <w:r>
        <w:t>website</w:t>
      </w:r>
      <w:proofErr w:type="gramEnd"/>
      <w:r>
        <w:t>.</w:t>
      </w:r>
    </w:p>
    <w:p w:rsidR="00C37852" w:rsidRDefault="00C37852" w:rsidP="00C37852">
      <w:pPr>
        <w:jc w:val="both"/>
      </w:pPr>
      <w:r>
        <w:lastRenderedPageBreak/>
        <w:t>4. This circular is being issued in exercise of powers conferred under Section 11(1) of the Securities and</w:t>
      </w:r>
    </w:p>
    <w:p w:rsidR="00C37852" w:rsidRDefault="00C37852" w:rsidP="00C37852">
      <w:pPr>
        <w:jc w:val="both"/>
      </w:pPr>
      <w:r>
        <w:t>Exchange Board of India Act, 1992 read with Section 19 of the Depositories Act, 1996 in the interests of investors in securities and to promote the development of, and to regulate the securities market.</w:t>
      </w:r>
    </w:p>
    <w:p w:rsidR="00C37852" w:rsidRDefault="00C37852" w:rsidP="00C37852">
      <w:pPr>
        <w:jc w:val="both"/>
      </w:pPr>
      <w:proofErr w:type="spellStart"/>
      <w:r>
        <w:t>Maninder</w:t>
      </w:r>
      <w:proofErr w:type="spellEnd"/>
      <w:r>
        <w:t xml:space="preserve"> </w:t>
      </w:r>
      <w:proofErr w:type="spellStart"/>
      <w:r>
        <w:t>Cheema</w:t>
      </w:r>
      <w:bookmarkStart w:id="0" w:name="_GoBack"/>
      <w:bookmarkEnd w:id="0"/>
      <w:proofErr w:type="spellEnd"/>
    </w:p>
    <w:p w:rsidR="00C37852" w:rsidRDefault="00C37852" w:rsidP="00C37852">
      <w:pPr>
        <w:jc w:val="both"/>
      </w:pPr>
      <w:r>
        <w:t>Deputy General Manager</w:t>
      </w:r>
    </w:p>
    <w:p w:rsidR="00C37852" w:rsidRPr="001C29FD" w:rsidRDefault="00C37852" w:rsidP="008A67A0">
      <w:pPr>
        <w:spacing w:line="360" w:lineRule="auto"/>
        <w:ind w:firstLine="720"/>
        <w:jc w:val="both"/>
        <w:rPr>
          <w:rFonts w:asciiTheme="majorHAnsi" w:hAnsiTheme="majorHAnsi"/>
          <w:sz w:val="20"/>
          <w:szCs w:val="20"/>
        </w:rPr>
      </w:pPr>
    </w:p>
    <w:sectPr w:rsidR="00C37852" w:rsidRPr="001C29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45" w:rsidRDefault="00432745" w:rsidP="00497E9E">
      <w:pPr>
        <w:spacing w:after="0" w:line="240" w:lineRule="auto"/>
      </w:pPr>
      <w:r>
        <w:separator/>
      </w:r>
    </w:p>
  </w:endnote>
  <w:endnote w:type="continuationSeparator" w:id="0">
    <w:p w:rsidR="00432745" w:rsidRDefault="00432745" w:rsidP="0049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2873"/>
      <w:gridCol w:w="6703"/>
    </w:tblGrid>
    <w:tr w:rsidR="00497E9E">
      <w:trPr>
        <w:trHeight w:val="360"/>
      </w:trPr>
      <w:tc>
        <w:tcPr>
          <w:tcW w:w="1500" w:type="pct"/>
          <w:shd w:val="clear" w:color="auto" w:fill="8064A2" w:themeFill="accent4"/>
        </w:tcPr>
        <w:p w:rsidR="00497E9E" w:rsidRPr="00497E9E" w:rsidRDefault="00497E9E">
          <w:pPr>
            <w:pStyle w:val="Footer"/>
            <w:rPr>
              <w:b/>
              <w:color w:val="FFFFFF" w:themeColor="background1"/>
            </w:rPr>
          </w:pPr>
          <w:r w:rsidRPr="00497E9E">
            <w:rPr>
              <w:b/>
            </w:rPr>
            <w:fldChar w:fldCharType="begin"/>
          </w:r>
          <w:r w:rsidRPr="00497E9E">
            <w:rPr>
              <w:b/>
            </w:rPr>
            <w:instrText xml:space="preserve"> PAGE   \* MERGEFORMAT </w:instrText>
          </w:r>
          <w:r w:rsidRPr="00497E9E">
            <w:rPr>
              <w:b/>
            </w:rPr>
            <w:fldChar w:fldCharType="separate"/>
          </w:r>
          <w:r w:rsidR="00C37852" w:rsidRPr="00C37852">
            <w:rPr>
              <w:b/>
              <w:noProof/>
              <w:color w:val="FFFFFF" w:themeColor="background1"/>
            </w:rPr>
            <w:t>4</w:t>
          </w:r>
          <w:r w:rsidRPr="00497E9E">
            <w:rPr>
              <w:b/>
              <w:noProof/>
              <w:color w:val="FFFFFF" w:themeColor="background1"/>
            </w:rPr>
            <w:fldChar w:fldCharType="end"/>
          </w:r>
        </w:p>
      </w:tc>
      <w:tc>
        <w:tcPr>
          <w:tcW w:w="3500" w:type="pct"/>
        </w:tcPr>
        <w:p w:rsidR="00497E9E" w:rsidRPr="00497E9E" w:rsidRDefault="00497E9E" w:rsidP="00497E9E">
          <w:pPr>
            <w:pStyle w:val="Footer"/>
            <w:jc w:val="center"/>
            <w:rPr>
              <w:b/>
              <w:sz w:val="24"/>
            </w:rPr>
          </w:pPr>
          <w:r w:rsidRPr="00497E9E">
            <w:rPr>
              <w:b/>
              <w:sz w:val="24"/>
            </w:rPr>
            <w:t>CA. SHIVA SHANKARA R. SHETTY</w:t>
          </w:r>
        </w:p>
        <w:p w:rsidR="00497E9E" w:rsidRPr="00497E9E" w:rsidRDefault="00497E9E" w:rsidP="00497E9E">
          <w:pPr>
            <w:pStyle w:val="Footer"/>
            <w:jc w:val="center"/>
            <w:rPr>
              <w:b/>
              <w:sz w:val="20"/>
            </w:rPr>
          </w:pPr>
          <w:r w:rsidRPr="00497E9E">
            <w:rPr>
              <w:b/>
              <w:sz w:val="20"/>
            </w:rPr>
            <w:t>CHARTERED ACCOUNTANT</w:t>
          </w:r>
        </w:p>
        <w:p w:rsidR="00497E9E" w:rsidRPr="00497E9E" w:rsidRDefault="00497E9E" w:rsidP="00497E9E">
          <w:pPr>
            <w:pStyle w:val="Footer"/>
            <w:jc w:val="center"/>
            <w:rPr>
              <w:b/>
              <w:sz w:val="20"/>
            </w:rPr>
          </w:pPr>
          <w:r w:rsidRPr="00497E9E">
            <w:rPr>
              <w:b/>
              <w:sz w:val="20"/>
            </w:rPr>
            <w:t>Mobile: 9035846043</w:t>
          </w:r>
        </w:p>
        <w:p w:rsidR="00497E9E" w:rsidRPr="00497E9E" w:rsidRDefault="00497E9E" w:rsidP="00497E9E">
          <w:pPr>
            <w:pStyle w:val="Footer"/>
            <w:jc w:val="center"/>
            <w:rPr>
              <w:b/>
              <w:sz w:val="20"/>
            </w:rPr>
          </w:pPr>
          <w:r w:rsidRPr="00497E9E">
            <w:rPr>
              <w:b/>
              <w:sz w:val="20"/>
            </w:rPr>
            <w:t xml:space="preserve">Email: </w:t>
          </w:r>
          <w:hyperlink r:id="rId1" w:history="1">
            <w:r w:rsidRPr="00497E9E">
              <w:rPr>
                <w:rStyle w:val="Hyperlink"/>
                <w:b/>
                <w:sz w:val="20"/>
              </w:rPr>
              <w:t>ca.srshetty@icai.org</w:t>
            </w:r>
          </w:hyperlink>
        </w:p>
        <w:p w:rsidR="00497E9E" w:rsidRDefault="00497E9E" w:rsidP="00497E9E">
          <w:pPr>
            <w:pStyle w:val="Footer"/>
            <w:jc w:val="center"/>
          </w:pPr>
          <w:r w:rsidRPr="00497E9E">
            <w:rPr>
              <w:b/>
              <w:sz w:val="20"/>
            </w:rPr>
            <w:t>www.casrshetty228359.in</w:t>
          </w:r>
        </w:p>
      </w:tc>
    </w:tr>
  </w:tbl>
  <w:p w:rsidR="00497E9E" w:rsidRDefault="00497E9E" w:rsidP="0049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45" w:rsidRDefault="00432745" w:rsidP="00497E9E">
      <w:pPr>
        <w:spacing w:after="0" w:line="240" w:lineRule="auto"/>
      </w:pPr>
      <w:r>
        <w:separator/>
      </w:r>
    </w:p>
  </w:footnote>
  <w:footnote w:type="continuationSeparator" w:id="0">
    <w:p w:rsidR="00432745" w:rsidRDefault="00432745" w:rsidP="00497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2550"/>
    <w:multiLevelType w:val="hybridMultilevel"/>
    <w:tmpl w:val="3A36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F276D"/>
    <w:multiLevelType w:val="hybridMultilevel"/>
    <w:tmpl w:val="DAC44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AFD4D0F"/>
    <w:multiLevelType w:val="hybridMultilevel"/>
    <w:tmpl w:val="FFDC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C5"/>
    <w:rsid w:val="0000331B"/>
    <w:rsid w:val="000D2B41"/>
    <w:rsid w:val="00105DA3"/>
    <w:rsid w:val="001643BB"/>
    <w:rsid w:val="00187EC4"/>
    <w:rsid w:val="001C29FD"/>
    <w:rsid w:val="00201C96"/>
    <w:rsid w:val="00324B87"/>
    <w:rsid w:val="00432745"/>
    <w:rsid w:val="00492615"/>
    <w:rsid w:val="00497E9E"/>
    <w:rsid w:val="004B7E0D"/>
    <w:rsid w:val="004C17C3"/>
    <w:rsid w:val="00523228"/>
    <w:rsid w:val="005924EE"/>
    <w:rsid w:val="0060683E"/>
    <w:rsid w:val="00642903"/>
    <w:rsid w:val="0064410D"/>
    <w:rsid w:val="006B5185"/>
    <w:rsid w:val="007549C5"/>
    <w:rsid w:val="007C17C7"/>
    <w:rsid w:val="007C1E18"/>
    <w:rsid w:val="00823136"/>
    <w:rsid w:val="00855FB4"/>
    <w:rsid w:val="008A67A0"/>
    <w:rsid w:val="0091734A"/>
    <w:rsid w:val="00A303CF"/>
    <w:rsid w:val="00A41949"/>
    <w:rsid w:val="00A626EE"/>
    <w:rsid w:val="00B23D66"/>
    <w:rsid w:val="00B43D96"/>
    <w:rsid w:val="00B47F77"/>
    <w:rsid w:val="00B5539B"/>
    <w:rsid w:val="00B97E89"/>
    <w:rsid w:val="00BC6042"/>
    <w:rsid w:val="00C37852"/>
    <w:rsid w:val="00C65483"/>
    <w:rsid w:val="00CB0743"/>
    <w:rsid w:val="00CD1EC8"/>
    <w:rsid w:val="00CD4466"/>
    <w:rsid w:val="00CE0AAD"/>
    <w:rsid w:val="00CF384D"/>
    <w:rsid w:val="00E03592"/>
    <w:rsid w:val="00E61780"/>
    <w:rsid w:val="00EC79A6"/>
    <w:rsid w:val="00F325B8"/>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0A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0AB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D1EC8"/>
    <w:pPr>
      <w:ind w:left="720"/>
      <w:contextualSpacing/>
    </w:pPr>
  </w:style>
  <w:style w:type="paragraph" w:styleId="Header">
    <w:name w:val="header"/>
    <w:basedOn w:val="Normal"/>
    <w:link w:val="HeaderChar"/>
    <w:uiPriority w:val="99"/>
    <w:unhideWhenUsed/>
    <w:rsid w:val="0049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9E"/>
  </w:style>
  <w:style w:type="paragraph" w:styleId="Footer">
    <w:name w:val="footer"/>
    <w:basedOn w:val="Normal"/>
    <w:link w:val="FooterChar"/>
    <w:uiPriority w:val="99"/>
    <w:unhideWhenUsed/>
    <w:rsid w:val="0049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9E"/>
  </w:style>
  <w:style w:type="character" w:styleId="Hyperlink">
    <w:name w:val="Hyperlink"/>
    <w:basedOn w:val="DefaultParagraphFont"/>
    <w:uiPriority w:val="99"/>
    <w:unhideWhenUsed/>
    <w:rsid w:val="00497E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0A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0AB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D1EC8"/>
    <w:pPr>
      <w:ind w:left="720"/>
      <w:contextualSpacing/>
    </w:pPr>
  </w:style>
  <w:style w:type="paragraph" w:styleId="Header">
    <w:name w:val="header"/>
    <w:basedOn w:val="Normal"/>
    <w:link w:val="HeaderChar"/>
    <w:uiPriority w:val="99"/>
    <w:unhideWhenUsed/>
    <w:rsid w:val="0049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9E"/>
  </w:style>
  <w:style w:type="paragraph" w:styleId="Footer">
    <w:name w:val="footer"/>
    <w:basedOn w:val="Normal"/>
    <w:link w:val="FooterChar"/>
    <w:uiPriority w:val="99"/>
    <w:unhideWhenUsed/>
    <w:rsid w:val="0049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9E"/>
  </w:style>
  <w:style w:type="character" w:styleId="Hyperlink">
    <w:name w:val="Hyperlink"/>
    <w:basedOn w:val="DefaultParagraphFont"/>
    <w:uiPriority w:val="99"/>
    <w:unhideWhenUsed/>
    <w:rsid w:val="00497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srshetty@ic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SHANKARA R SHETTY</dc:creator>
  <cp:lastModifiedBy>SHIVA SHANKARA R SHETTY</cp:lastModifiedBy>
  <cp:revision>43</cp:revision>
  <dcterms:created xsi:type="dcterms:W3CDTF">2013-03-14T11:12:00Z</dcterms:created>
  <dcterms:modified xsi:type="dcterms:W3CDTF">2013-03-14T12:06:00Z</dcterms:modified>
</cp:coreProperties>
</file>