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360"/>
      </w:tblGrid>
      <w:tr w:rsidR="005D0449" w:rsidRPr="005D0449" w:rsidTr="005D0449">
        <w:trPr>
          <w:tblCellSpacing w:w="0" w:type="dxa"/>
        </w:trPr>
        <w:tc>
          <w:tcPr>
            <w:tcW w:w="9360" w:type="dxa"/>
            <w:shd w:val="clear" w:color="auto" w:fill="FFFFFF"/>
            <w:hideMark/>
          </w:tcPr>
          <w:tbl>
            <w:tblPr>
              <w:tblW w:w="5000" w:type="pct"/>
              <w:tblCellSpacing w:w="0" w:type="dxa"/>
              <w:tblCellMar>
                <w:left w:w="0" w:type="dxa"/>
                <w:right w:w="0" w:type="dxa"/>
              </w:tblCellMar>
              <w:tblLook w:val="04A0"/>
            </w:tblPr>
            <w:tblGrid>
              <w:gridCol w:w="9330"/>
            </w:tblGrid>
            <w:tr w:rsidR="005D0449" w:rsidRPr="005D0449">
              <w:trPr>
                <w:tblCellSpacing w:w="0" w:type="dxa"/>
              </w:trPr>
              <w:tc>
                <w:tcPr>
                  <w:tcW w:w="0" w:type="auto"/>
                  <w:tcBorders>
                    <w:top w:val="single" w:sz="12" w:space="0" w:color="E5E1C4"/>
                    <w:left w:val="single" w:sz="12" w:space="0" w:color="E5E1C4"/>
                    <w:bottom w:val="single" w:sz="12" w:space="0" w:color="E5E1C4"/>
                    <w:right w:val="single" w:sz="12" w:space="0" w:color="E5E1C4"/>
                  </w:tcBorders>
                  <w:hideMark/>
                </w:tcPr>
                <w:tbl>
                  <w:tblPr>
                    <w:tblW w:w="5000" w:type="pct"/>
                    <w:tblCellSpacing w:w="0" w:type="dxa"/>
                    <w:tblCellMar>
                      <w:left w:w="0" w:type="dxa"/>
                      <w:right w:w="0" w:type="dxa"/>
                    </w:tblCellMar>
                    <w:tblLook w:val="04A0"/>
                  </w:tblPr>
                  <w:tblGrid>
                    <w:gridCol w:w="9270"/>
                  </w:tblGrid>
                  <w:tr w:rsidR="005D0449" w:rsidRPr="005D0449">
                    <w:trPr>
                      <w:tblCellSpacing w:w="0" w:type="dxa"/>
                    </w:trPr>
                    <w:tc>
                      <w:tcPr>
                        <w:tcW w:w="0" w:type="auto"/>
                        <w:hideMark/>
                      </w:tcPr>
                      <w:tbl>
                        <w:tblPr>
                          <w:tblW w:w="5000" w:type="pct"/>
                          <w:tblCellSpacing w:w="0" w:type="dxa"/>
                          <w:tblCellMar>
                            <w:left w:w="0" w:type="dxa"/>
                            <w:right w:w="0" w:type="dxa"/>
                          </w:tblCellMar>
                          <w:tblLook w:val="04A0"/>
                        </w:tblPr>
                        <w:tblGrid>
                          <w:gridCol w:w="9270"/>
                        </w:tblGrid>
                        <w:tr w:rsidR="005D0449" w:rsidRPr="005D0449">
                          <w:trPr>
                            <w:tblCellSpacing w:w="0" w:type="dxa"/>
                          </w:trPr>
                          <w:tc>
                            <w:tcPr>
                              <w:tcW w:w="0" w:type="auto"/>
                              <w:tcMar>
                                <w:top w:w="0" w:type="dxa"/>
                                <w:left w:w="150" w:type="dxa"/>
                                <w:bottom w:w="0" w:type="dxa"/>
                                <w:right w:w="150" w:type="dxa"/>
                              </w:tcMar>
                              <w:hideMark/>
                            </w:tcPr>
                            <w:tbl>
                              <w:tblPr>
                                <w:tblW w:w="5000" w:type="pct"/>
                                <w:tblCellSpacing w:w="0" w:type="dxa"/>
                                <w:tblCellMar>
                                  <w:left w:w="0" w:type="dxa"/>
                                  <w:right w:w="0" w:type="dxa"/>
                                </w:tblCellMar>
                                <w:tblLook w:val="04A0"/>
                              </w:tblPr>
                              <w:tblGrid>
                                <w:gridCol w:w="8970"/>
                              </w:tblGrid>
                              <w:tr w:rsidR="005D0449" w:rsidRPr="005D0449">
                                <w:trPr>
                                  <w:tblCellSpacing w:w="0" w:type="dxa"/>
                                </w:trPr>
                                <w:tc>
                                  <w:tcPr>
                                    <w:tcW w:w="0" w:type="auto"/>
                                    <w:vAlign w:val="center"/>
                                    <w:hideMark/>
                                  </w:tcPr>
                                  <w:p w:rsidR="005D0449" w:rsidRPr="005D0449" w:rsidRDefault="005D0449" w:rsidP="005D0449">
                                    <w:pPr>
                                      <w:spacing w:before="100" w:beforeAutospacing="1" w:after="100" w:afterAutospacing="1" w:line="240" w:lineRule="auto"/>
                                      <w:jc w:val="both"/>
                                      <w:rPr>
                                        <w:rFonts w:ascii="Times New Roman" w:eastAsia="Times New Roman" w:hAnsi="Times New Roman" w:cs="Times New Roman"/>
                                        <w:b/>
                                        <w:sz w:val="24"/>
                                        <w:szCs w:val="24"/>
                                        <w:u w:val="single"/>
                                      </w:rPr>
                                    </w:pPr>
                                    <w:r w:rsidRPr="005D0449">
                                      <w:rPr>
                                        <w:rFonts w:ascii="Times New Roman" w:eastAsia="Times New Roman" w:hAnsi="Times New Roman" w:cs="Times New Roman"/>
                                        <w:b/>
                                        <w:sz w:val="24"/>
                                        <w:szCs w:val="24"/>
                                        <w:u w:val="single"/>
                                      </w:rPr>
                                      <w:t xml:space="preserve">MUTUAL  FUND GLOSSARY : </w:t>
                                    </w:r>
                                  </w:p>
                                </w:tc>
                              </w:tr>
                            </w:tbl>
                            <w:p w:rsidR="005D0449" w:rsidRPr="005D0449" w:rsidRDefault="005D0449" w:rsidP="005D0449">
                              <w:pPr>
                                <w:spacing w:after="0" w:line="240" w:lineRule="auto"/>
                                <w:rPr>
                                  <w:rFonts w:ascii="Arial" w:eastAsia="Times New Roman" w:hAnsi="Arial" w:cs="Arial"/>
                                  <w:sz w:val="17"/>
                                  <w:szCs w:val="17"/>
                                  <w:u w:val="single"/>
                                </w:rPr>
                              </w:pPr>
                            </w:p>
                          </w:tc>
                        </w:tr>
                      </w:tbl>
                      <w:p w:rsidR="005D0449" w:rsidRPr="005D0449" w:rsidRDefault="005D0449" w:rsidP="005D0449">
                        <w:pPr>
                          <w:spacing w:after="0" w:line="240" w:lineRule="auto"/>
                          <w:rPr>
                            <w:rFonts w:ascii="Arial" w:eastAsia="Times New Roman" w:hAnsi="Arial" w:cs="Arial"/>
                            <w:sz w:val="17"/>
                            <w:szCs w:val="17"/>
                            <w:u w:val="single"/>
                          </w:rPr>
                        </w:pPr>
                      </w:p>
                    </w:tc>
                  </w:tr>
                </w:tbl>
                <w:p w:rsidR="005D0449" w:rsidRPr="005D0449" w:rsidRDefault="005D0449" w:rsidP="005D0449">
                  <w:pPr>
                    <w:spacing w:after="0" w:line="240" w:lineRule="auto"/>
                    <w:rPr>
                      <w:rFonts w:ascii="Arial" w:eastAsia="Times New Roman" w:hAnsi="Arial" w:cs="Arial"/>
                      <w:sz w:val="17"/>
                      <w:szCs w:val="17"/>
                    </w:rPr>
                  </w:pPr>
                </w:p>
              </w:tc>
            </w:tr>
          </w:tbl>
          <w:p w:rsidR="005D0449" w:rsidRPr="005D0449" w:rsidRDefault="005D0449" w:rsidP="005D0449">
            <w:pPr>
              <w:spacing w:after="0" w:line="240" w:lineRule="auto"/>
              <w:rPr>
                <w:rFonts w:ascii="Arial" w:eastAsia="Times New Roman" w:hAnsi="Arial" w:cs="Arial"/>
                <w:sz w:val="17"/>
                <w:szCs w:val="17"/>
              </w:rPr>
            </w:pPr>
          </w:p>
        </w:tc>
      </w:tr>
      <w:tr w:rsidR="005D0449" w:rsidRPr="005D0449" w:rsidTr="005D0449">
        <w:trPr>
          <w:tblCellSpacing w:w="0" w:type="dxa"/>
        </w:trPr>
        <w:tc>
          <w:tcPr>
            <w:tcW w:w="0" w:type="auto"/>
            <w:shd w:val="clear" w:color="auto" w:fill="FFFFFF"/>
            <w:vAlign w:val="center"/>
            <w:hideMark/>
          </w:tcPr>
          <w:p w:rsidR="005D0449" w:rsidRPr="005D0449" w:rsidRDefault="005D0449" w:rsidP="005D0449">
            <w:pPr>
              <w:spacing w:after="0" w:line="240" w:lineRule="auto"/>
              <w:rPr>
                <w:rFonts w:ascii="Arial" w:eastAsia="Times New Roman" w:hAnsi="Arial" w:cs="Arial"/>
                <w:sz w:val="17"/>
                <w:szCs w:val="17"/>
              </w:rPr>
            </w:pPr>
          </w:p>
        </w:tc>
      </w:tr>
      <w:tr w:rsidR="005D0449" w:rsidRPr="005D0449" w:rsidTr="005D0449">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tblPr>
            <w:tblGrid>
              <w:gridCol w:w="9330"/>
            </w:tblGrid>
            <w:tr w:rsidR="005D0449" w:rsidRPr="005D0449">
              <w:trPr>
                <w:tblCellSpacing w:w="0" w:type="dxa"/>
              </w:trPr>
              <w:tc>
                <w:tcPr>
                  <w:tcW w:w="0" w:type="auto"/>
                  <w:tcBorders>
                    <w:top w:val="single" w:sz="12" w:space="0" w:color="E5E1C4"/>
                    <w:left w:val="single" w:sz="12" w:space="0" w:color="E5E1C4"/>
                    <w:bottom w:val="single" w:sz="12" w:space="0" w:color="E5E1C4"/>
                    <w:right w:val="single" w:sz="12" w:space="0" w:color="E5E1C4"/>
                  </w:tcBorders>
                  <w:hideMark/>
                </w:tcPr>
                <w:tbl>
                  <w:tblPr>
                    <w:tblW w:w="5000" w:type="pct"/>
                    <w:tblCellSpacing w:w="0" w:type="dxa"/>
                    <w:tblCellMar>
                      <w:left w:w="0" w:type="dxa"/>
                      <w:right w:w="0" w:type="dxa"/>
                    </w:tblCellMar>
                    <w:tblLook w:val="04A0"/>
                  </w:tblPr>
                  <w:tblGrid>
                    <w:gridCol w:w="9270"/>
                  </w:tblGrid>
                  <w:tr w:rsidR="005D0449" w:rsidRPr="005D0449">
                    <w:trPr>
                      <w:tblCellSpacing w:w="0" w:type="dxa"/>
                    </w:trPr>
                    <w:tc>
                      <w:tcPr>
                        <w:tcW w:w="0" w:type="auto"/>
                        <w:hideMark/>
                      </w:tcPr>
                      <w:tbl>
                        <w:tblPr>
                          <w:tblW w:w="5000" w:type="pct"/>
                          <w:tblCellSpacing w:w="0" w:type="dxa"/>
                          <w:tblCellMar>
                            <w:left w:w="0" w:type="dxa"/>
                            <w:right w:w="0" w:type="dxa"/>
                          </w:tblCellMar>
                          <w:tblLook w:val="04A0"/>
                        </w:tblPr>
                        <w:tblGrid>
                          <w:gridCol w:w="9270"/>
                        </w:tblGrid>
                        <w:tr w:rsidR="005D0449" w:rsidRPr="005D0449">
                          <w:trPr>
                            <w:tblCellSpacing w:w="0" w:type="dxa"/>
                          </w:trPr>
                          <w:tc>
                            <w:tcPr>
                              <w:tcW w:w="0" w:type="auto"/>
                              <w:tcMar>
                                <w:top w:w="0" w:type="dxa"/>
                                <w:left w:w="150" w:type="dxa"/>
                                <w:bottom w:w="0" w:type="dxa"/>
                                <w:right w:w="150" w:type="dxa"/>
                              </w:tcMar>
                              <w:hideMark/>
                            </w:tcPr>
                            <w:tbl>
                              <w:tblPr>
                                <w:tblW w:w="5000" w:type="pct"/>
                                <w:tblCellSpacing w:w="0" w:type="dxa"/>
                                <w:tblCellMar>
                                  <w:left w:w="0" w:type="dxa"/>
                                  <w:right w:w="0" w:type="dxa"/>
                                </w:tblCellMar>
                                <w:tblLook w:val="04A0"/>
                              </w:tblPr>
                              <w:tblGrid>
                                <w:gridCol w:w="8970"/>
                              </w:tblGrid>
                              <w:tr w:rsidR="005D0449" w:rsidRPr="005D0449">
                                <w:trPr>
                                  <w:tblCellSpacing w:w="0" w:type="dxa"/>
                                </w:trPr>
                                <w:tc>
                                  <w:tcPr>
                                    <w:tcW w:w="0" w:type="auto"/>
                                    <w:vAlign w:val="center"/>
                                    <w:hideMark/>
                                  </w:tcPr>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A</w:t>
                                    </w:r>
                                  </w:p>
                                  <w:tbl>
                                    <w:tblPr>
                                      <w:tblW w:w="4462" w:type="pct"/>
                                      <w:jc w:val="center"/>
                                      <w:tblCellSpacing w:w="15" w:type="dxa"/>
                                      <w:tblCellMar>
                                        <w:left w:w="0" w:type="dxa"/>
                                        <w:right w:w="0" w:type="dxa"/>
                                      </w:tblCellMar>
                                      <w:tblLook w:val="04A0"/>
                                    </w:tblPr>
                                    <w:tblGrid>
                                      <w:gridCol w:w="8005"/>
                                    </w:tblGrid>
                                    <w:tr w:rsidR="005D0449" w:rsidRPr="005D0449" w:rsidTr="005D0449">
                                      <w:trPr>
                                        <w:trHeight w:val="170"/>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p>
                                      </w:tc>
                                    </w:tr>
                                  </w:tbl>
                                  <w:p w:rsidR="005D0449" w:rsidRPr="005D0449" w:rsidRDefault="005D0449" w:rsidP="005D0449">
                                    <w:pPr>
                                      <w:spacing w:before="100" w:beforeAutospacing="1" w:after="100" w:afterAutospacing="1" w:line="240" w:lineRule="auto"/>
                                      <w:outlineLvl w:val="4"/>
                                      <w:rPr>
                                        <w:rFonts w:ascii="Arial" w:eastAsia="Times New Roman" w:hAnsi="Arial" w:cs="Arial"/>
                                        <w:b/>
                                        <w:bCs/>
                                        <w:i/>
                                        <w:color w:val="000000" w:themeColor="text1"/>
                                        <w:sz w:val="24"/>
                                        <w:szCs w:val="24"/>
                                      </w:rPr>
                                    </w:pPr>
                                    <w:r w:rsidRPr="005D0449">
                                      <w:rPr>
                                        <w:rFonts w:ascii="Arial" w:eastAsia="Times New Roman" w:hAnsi="Arial" w:cs="Arial"/>
                                        <w:b/>
                                        <w:bCs/>
                                        <w:i/>
                                        <w:color w:val="000000" w:themeColor="text1"/>
                                        <w:sz w:val="24"/>
                                        <w:szCs w:val="24"/>
                                      </w:rPr>
                                      <w:t>Active Portfolio Management</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It is a systematic and proactive approach to investment that involves the constant review of the portfolio of the fund. The basic objective behind such investing style is to beat the market. This investing style is based on the argument that markets are not efficient and at any point of time there is always a scope to earn abnormal profits through an active investment style.  </w:t>
                                    </w:r>
                                  </w:p>
                                  <w:p w:rsidR="005D0449" w:rsidRPr="005D0449" w:rsidRDefault="005D0449" w:rsidP="005D0449">
                                    <w:pPr>
                                      <w:spacing w:before="100" w:beforeAutospacing="1" w:after="100" w:afterAutospacing="1" w:line="240" w:lineRule="auto"/>
                                      <w:rPr>
                                        <w:rFonts w:ascii="Arial" w:eastAsia="Times New Roman" w:hAnsi="Arial" w:cs="Arial"/>
                                        <w:i/>
                                        <w:color w:val="000000" w:themeColor="text1"/>
                                        <w:sz w:val="24"/>
                                        <w:szCs w:val="24"/>
                                      </w:rPr>
                                    </w:pPr>
                                    <w:r w:rsidRPr="005D0449">
                                      <w:rPr>
                                        <w:rFonts w:ascii="Arial" w:eastAsia="Times New Roman" w:hAnsi="Arial" w:cs="Arial"/>
                                        <w:b/>
                                        <w:bCs/>
                                        <w:i/>
                                        <w:color w:val="000000" w:themeColor="text1"/>
                                        <w:sz w:val="24"/>
                                        <w:szCs w:val="24"/>
                                      </w:rPr>
                                      <w:t>Alpha</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Alpha measures the performance of fund managers .If alpha is positive it means that fund manager is able to generate excess returns compared to expected return. If alpha is negative fund manager is under performing.  </w:t>
                                    </w:r>
                                  </w:p>
                                  <w:p w:rsidR="005D0449" w:rsidRPr="005D0449" w:rsidRDefault="005D0449" w:rsidP="005D0449">
                                    <w:pPr>
                                      <w:spacing w:before="100" w:beforeAutospacing="1" w:after="100" w:afterAutospacing="1" w:line="240" w:lineRule="auto"/>
                                      <w:rPr>
                                        <w:rFonts w:ascii="Arial" w:eastAsia="Times New Roman" w:hAnsi="Arial" w:cs="Arial"/>
                                        <w:i/>
                                        <w:color w:val="000000" w:themeColor="text1"/>
                                        <w:sz w:val="24"/>
                                        <w:szCs w:val="24"/>
                                      </w:rPr>
                                    </w:pPr>
                                    <w:r w:rsidRPr="005D0449">
                                      <w:rPr>
                                        <w:rFonts w:ascii="Arial" w:eastAsia="Times New Roman" w:hAnsi="Arial" w:cs="Arial"/>
                                        <w:b/>
                                        <w:bCs/>
                                        <w:i/>
                                        <w:color w:val="000000" w:themeColor="text1"/>
                                        <w:sz w:val="24"/>
                                        <w:szCs w:val="24"/>
                                      </w:rPr>
                                      <w:t>Annualized Return</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 xml:space="preserve">This refers to the return that a fund can generate within a period of one year. For the fund whose returns are not available for one year, the returns of the fund can be annualized. </w:t>
                                    </w:r>
                                    <w:proofErr w:type="spellStart"/>
                                    <w:r w:rsidRPr="005D0449">
                                      <w:rPr>
                                        <w:rFonts w:ascii="Arial" w:eastAsia="Times New Roman" w:hAnsi="Arial" w:cs="Arial"/>
                                        <w:color w:val="000000" w:themeColor="text1"/>
                                        <w:sz w:val="24"/>
                                        <w:szCs w:val="24"/>
                                      </w:rPr>
                                      <w:t>Annualised</w:t>
                                    </w:r>
                                    <w:proofErr w:type="spellEnd"/>
                                    <w:r w:rsidRPr="005D0449">
                                      <w:rPr>
                                        <w:rFonts w:ascii="Arial" w:eastAsia="Times New Roman" w:hAnsi="Arial" w:cs="Arial"/>
                                        <w:color w:val="000000" w:themeColor="text1"/>
                                        <w:sz w:val="24"/>
                                        <w:szCs w:val="24"/>
                                      </w:rPr>
                                      <w:t xml:space="preserve"> returns are widely used to measure the performance of a fund.  </w:t>
                                    </w:r>
                                  </w:p>
                                  <w:p w:rsidR="005D0449" w:rsidRPr="005D0449" w:rsidRDefault="005D0449" w:rsidP="005D0449">
                                    <w:pPr>
                                      <w:spacing w:before="100" w:beforeAutospacing="1" w:after="100" w:afterAutospacing="1" w:line="240" w:lineRule="auto"/>
                                      <w:rPr>
                                        <w:rFonts w:ascii="Arial" w:eastAsia="Times New Roman" w:hAnsi="Arial" w:cs="Arial"/>
                                        <w:i/>
                                        <w:color w:val="000000" w:themeColor="text1"/>
                                        <w:sz w:val="24"/>
                                        <w:szCs w:val="24"/>
                                      </w:rPr>
                                    </w:pPr>
                                    <w:r w:rsidRPr="005D0449">
                                      <w:rPr>
                                        <w:rFonts w:ascii="Arial" w:eastAsia="Times New Roman" w:hAnsi="Arial" w:cs="Arial"/>
                                        <w:b/>
                                        <w:bCs/>
                                        <w:i/>
                                        <w:color w:val="000000" w:themeColor="text1"/>
                                        <w:sz w:val="24"/>
                                        <w:szCs w:val="24"/>
                                      </w:rPr>
                                      <w:t>Asset Management Company (AMC)</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 xml:space="preserve">A Company registered with SEBI, which takes investment/ divestment decisions for the mutual fund, and manages the assets of the mutual fund. </w:t>
                                    </w:r>
                                    <w:proofErr w:type="spellStart"/>
                                    <w:r w:rsidRPr="005D0449">
                                      <w:rPr>
                                        <w:rFonts w:ascii="Arial" w:eastAsia="Times New Roman" w:hAnsi="Arial" w:cs="Arial"/>
                                        <w:color w:val="000000" w:themeColor="text1"/>
                                        <w:sz w:val="24"/>
                                        <w:szCs w:val="24"/>
                                      </w:rPr>
                                      <w:t>Kotak</w:t>
                                    </w:r>
                                    <w:proofErr w:type="spellEnd"/>
                                    <w:r w:rsidRPr="005D0449">
                                      <w:rPr>
                                        <w:rFonts w:ascii="Arial" w:eastAsia="Times New Roman" w:hAnsi="Arial" w:cs="Arial"/>
                                        <w:color w:val="000000" w:themeColor="text1"/>
                                        <w:sz w:val="24"/>
                                        <w:szCs w:val="24"/>
                                      </w:rPr>
                                      <w:t xml:space="preserve"> Mutual Funds, SBI Mutual Funds, ICICI Prudential Mutual Funds etc. are the various AMC's in the country.  </w:t>
                                    </w:r>
                                  </w:p>
                                  <w:p w:rsidR="005D0449" w:rsidRPr="005D0449" w:rsidRDefault="005D0449" w:rsidP="005D0449">
                                    <w:pPr>
                                      <w:spacing w:before="100" w:beforeAutospacing="1" w:after="100" w:afterAutospacing="1" w:line="240" w:lineRule="auto"/>
                                      <w:rPr>
                                        <w:rFonts w:ascii="Arial" w:eastAsia="Times New Roman" w:hAnsi="Arial" w:cs="Arial"/>
                                        <w:i/>
                                        <w:color w:val="000000" w:themeColor="text1"/>
                                        <w:sz w:val="24"/>
                                        <w:szCs w:val="24"/>
                                      </w:rPr>
                                    </w:pPr>
                                    <w:r w:rsidRPr="005D0449">
                                      <w:rPr>
                                        <w:rFonts w:ascii="Arial" w:eastAsia="Times New Roman" w:hAnsi="Arial" w:cs="Arial"/>
                                        <w:b/>
                                        <w:bCs/>
                                        <w:i/>
                                        <w:color w:val="000000" w:themeColor="text1"/>
                                        <w:sz w:val="24"/>
                                        <w:szCs w:val="24"/>
                                      </w:rPr>
                                      <w:t>Asset Allocation</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Asset Allocation involves the allocation of the total corpus or fund available with the Mutual Funds to different class of assets like equities, bonds, derivatives etc. The asset allocation is done in keeping the objective of the scheme into consideration.  </w:t>
                                    </w:r>
                                  </w:p>
                                  <w:tbl>
                                    <w:tblPr>
                                      <w:tblW w:w="5000" w:type="pct"/>
                                      <w:jc w:val="center"/>
                                      <w:tblCellSpacing w:w="15" w:type="dxa"/>
                                      <w:tblCellMar>
                                        <w:left w:w="0" w:type="dxa"/>
                                        <w:right w:w="0" w:type="dxa"/>
                                      </w:tblCellMar>
                                      <w:tblLook w:val="04A0"/>
                                    </w:tblPr>
                                    <w:tblGrid>
                                      <w:gridCol w:w="8970"/>
                                    </w:tblGrid>
                                    <w:tr w:rsidR="005D0449" w:rsidRPr="005D0449">
                                      <w:trPr>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B</w:t>
                                          </w:r>
                                        </w:p>
                                      </w:tc>
                                    </w:tr>
                                  </w:tbl>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Balanced fund</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 xml:space="preserve">Balanced fund is the fund that invests in equity, bond and money market instruments. This fund is made for those investors who seek both capital </w:t>
                                    </w:r>
                                    <w:r w:rsidRPr="005D0449">
                                      <w:rPr>
                                        <w:rFonts w:ascii="Arial" w:eastAsia="Times New Roman" w:hAnsi="Arial" w:cs="Arial"/>
                                        <w:color w:val="000000" w:themeColor="text1"/>
                                        <w:sz w:val="24"/>
                                        <w:szCs w:val="24"/>
                                      </w:rPr>
                                      <w:lastRenderedPageBreak/>
                                      <w:t>appreciation and regular income.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Bottom-up Investing</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 xml:space="preserve">Bottom-up investing is a strategy in which investor concentrates only on a specific stock or a company irrelevant of in which industry/ sector the investment takes place. They consider only those stocks whose fundamentals are very strong regardless of </w:t>
                                    </w:r>
                                    <w:proofErr w:type="spellStart"/>
                                    <w:r w:rsidRPr="005D0449">
                                      <w:rPr>
                                        <w:rFonts w:ascii="Arial" w:eastAsia="Times New Roman" w:hAnsi="Arial" w:cs="Arial"/>
                                        <w:color w:val="000000" w:themeColor="text1"/>
                                        <w:sz w:val="24"/>
                                        <w:szCs w:val="24"/>
                                      </w:rPr>
                                      <w:t>macro economic</w:t>
                                    </w:r>
                                    <w:proofErr w:type="spellEnd"/>
                                    <w:r w:rsidRPr="005D0449">
                                      <w:rPr>
                                        <w:rFonts w:ascii="Arial" w:eastAsia="Times New Roman" w:hAnsi="Arial" w:cs="Arial"/>
                                        <w:color w:val="000000" w:themeColor="text1"/>
                                        <w:sz w:val="24"/>
                                        <w:szCs w:val="24"/>
                                      </w:rPr>
                                      <w:t xml:space="preserve"> variables.</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C</w:t>
                                    </w:r>
                                    <w:r w:rsidRPr="005D0449">
                                      <w:rPr>
                                        <w:rFonts w:ascii="Arial" w:eastAsia="Times New Roman" w:hAnsi="Arial" w:cs="Arial"/>
                                        <w:color w:val="000000" w:themeColor="text1"/>
                                        <w:sz w:val="24"/>
                                        <w:szCs w:val="24"/>
                                      </w:rPr>
                                      <w:t>  </w:t>
                                    </w:r>
                                  </w:p>
                                  <w:tbl>
                                    <w:tblPr>
                                      <w:tblW w:w="5000" w:type="pct"/>
                                      <w:jc w:val="center"/>
                                      <w:tblCellSpacing w:w="15" w:type="dxa"/>
                                      <w:tblCellMar>
                                        <w:left w:w="0" w:type="dxa"/>
                                        <w:right w:w="0" w:type="dxa"/>
                                      </w:tblCellMar>
                                      <w:tblLook w:val="04A0"/>
                                    </w:tblPr>
                                    <w:tblGrid>
                                      <w:gridCol w:w="8970"/>
                                    </w:tblGrid>
                                    <w:tr w:rsidR="005D0449" w:rsidRPr="005D0449">
                                      <w:trPr>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p>
                                      </w:tc>
                                    </w:tr>
                                  </w:tbl>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Closed-ended fund</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This refers to the type of fund where investors have to commit their money for a particular period of time. The units of the fund can be availed from the fund house only during the NFO period, after which the units of the fund can be purchased from the market. Closed-ended funds have to be necessarily listed on recognized stock exchanges and an investor can exit from the fund at any point of time.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Contingent Deferred Sales Charge (CDSC)</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Exit load imposed by certain funds on shares redeemed within a specific period of purchase. Generally longer the holding period, smaller will be the exit load. Similarly, shorter the holding period, higher will be the exit load.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Corpus</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This refers to the total deployable funds available with a mutual fund at any point of time. This is also termed as AUM (Asset Under Management).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Custodian</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The bank or trust company that maintains a mutual fund's assets, including its portfolio of securities or some record of them. The custodian provides safekeeping of securities and has no role in portfolio management.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D</w:t>
                                    </w:r>
                                  </w:p>
                                  <w:tbl>
                                    <w:tblPr>
                                      <w:tblW w:w="5000" w:type="pct"/>
                                      <w:jc w:val="center"/>
                                      <w:tblCellSpacing w:w="15" w:type="dxa"/>
                                      <w:tblCellMar>
                                        <w:left w:w="0" w:type="dxa"/>
                                        <w:right w:w="0" w:type="dxa"/>
                                      </w:tblCellMar>
                                      <w:tblLook w:val="04A0"/>
                                    </w:tblPr>
                                    <w:tblGrid>
                                      <w:gridCol w:w="8970"/>
                                    </w:tblGrid>
                                    <w:tr w:rsidR="005D0449" w:rsidRPr="005D0449">
                                      <w:trPr>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p>
                                      </w:tc>
                                    </w:tr>
                                  </w:tbl>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Dated Security</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It is a type of long term debt instrument redeemable on a fixed date.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Default Risk</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lastRenderedPageBreak/>
                                      <w:t>There is always a risk that the issuer of a fixed income security may not be able to make timely payment of interest and repayment of principal. It is also referred to as credit risk.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Debt fund</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A fund invests its corpus in debt securities like Government securities, treasury Bills, corporate Bonds etc. yielding steady returns. These funds carry low returns, as the risk involved is low. These funds are generally preferred by investors with low risk appetite and who need regular returns from their investment.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Dematerialization</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It is the process of converting the physical shares into Electronic form. SEBI had made it mandatory to get the shares dematerialized. In this process the investor opens an account with a Depository Participant (DP) and the holdings of the investor is shown in this account.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Depository Participant</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 xml:space="preserve">An authorized entity that is involved in dematerialization of shares and maintaining </w:t>
                                    </w:r>
                                    <w:proofErr w:type="spellStart"/>
                                    <w:proofErr w:type="gramStart"/>
                                    <w:r w:rsidRPr="005D0449">
                                      <w:rPr>
                                        <w:rFonts w:ascii="Arial" w:eastAsia="Times New Roman" w:hAnsi="Arial" w:cs="Arial"/>
                                        <w:color w:val="000000" w:themeColor="text1"/>
                                        <w:sz w:val="24"/>
                                        <w:szCs w:val="24"/>
                                      </w:rPr>
                                      <w:t>demat</w:t>
                                    </w:r>
                                    <w:proofErr w:type="spellEnd"/>
                                    <w:proofErr w:type="gramEnd"/>
                                    <w:r w:rsidRPr="005D0449">
                                      <w:rPr>
                                        <w:rFonts w:ascii="Arial" w:eastAsia="Times New Roman" w:hAnsi="Arial" w:cs="Arial"/>
                                        <w:color w:val="000000" w:themeColor="text1"/>
                                        <w:sz w:val="24"/>
                                        <w:szCs w:val="24"/>
                                      </w:rPr>
                                      <w:t xml:space="preserve"> accounts of the investors.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Distributor</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An individual or a corporation serving as principal underwriter of a mutual fund's units, buying shares directly from the fund, and reselling them to other investors like retailer and institutional.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Diversification</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This refers to the risk management investment strategy of not putting all eggs in one basket. With the help of diversification i.e. by putting fund across various avenues, overall risk of the portfolio can be reduced to a great extent. This strategy is widely used in risk management.</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E</w:t>
                                    </w:r>
                                  </w:p>
                                  <w:tbl>
                                    <w:tblPr>
                                      <w:tblW w:w="5000" w:type="pct"/>
                                      <w:jc w:val="center"/>
                                      <w:tblCellSpacing w:w="15" w:type="dxa"/>
                                      <w:tblCellMar>
                                        <w:left w:w="0" w:type="dxa"/>
                                        <w:right w:w="0" w:type="dxa"/>
                                      </w:tblCellMar>
                                      <w:tblLook w:val="04A0"/>
                                    </w:tblPr>
                                    <w:tblGrid>
                                      <w:gridCol w:w="8970"/>
                                    </w:tblGrid>
                                    <w:tr w:rsidR="005D0449" w:rsidRPr="005D0449">
                                      <w:trPr>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p>
                                      </w:tc>
                                    </w:tr>
                                  </w:tbl>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Efficient Portfolio</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A portfolio that ensures maximum return for a given level of risk or a minimum level of risk for an expected return. There are various theories available to construct an efficient portfolio.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Entry Load</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lastRenderedPageBreak/>
                                      <w:t>When an investor purchases units of the mutual fund scheme an initial amount charged by a fund for its administrative expenses or for paying commissions to brokers. This charge is termed as the entry load. Entry load is levied as a percentage of NAV. (Also see exit load).  </w:t>
                                    </w:r>
                                  </w:p>
                                  <w:p w:rsidR="005D0449" w:rsidRPr="005D0449" w:rsidRDefault="005D0449" w:rsidP="005D0449">
                                    <w:pPr>
                                      <w:spacing w:before="100" w:beforeAutospacing="1" w:after="100" w:afterAutospacing="1" w:line="240" w:lineRule="auto"/>
                                      <w:outlineLvl w:val="2"/>
                                      <w:rPr>
                                        <w:rFonts w:ascii="Arial" w:eastAsia="Times New Roman" w:hAnsi="Arial" w:cs="Arial"/>
                                        <w:b/>
                                        <w:bCs/>
                                        <w:color w:val="000000" w:themeColor="text1"/>
                                        <w:sz w:val="24"/>
                                        <w:szCs w:val="24"/>
                                      </w:rPr>
                                    </w:pPr>
                                    <w:r w:rsidRPr="005D0449">
                                      <w:rPr>
                                        <w:rFonts w:ascii="Arial" w:eastAsia="Times New Roman" w:hAnsi="Arial" w:cs="Arial"/>
                                        <w:b/>
                                        <w:bCs/>
                                        <w:color w:val="000000" w:themeColor="text1"/>
                                        <w:sz w:val="24"/>
                                        <w:szCs w:val="24"/>
                                      </w:rPr>
                                      <w:t>Equity fund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This refers to the funds that invest primarily in equity and equity related instruments with an objective to provide capital appreciation.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Exit Load</w:t>
                                    </w:r>
                                    <w:r w:rsidRPr="005D0449">
                                      <w:rPr>
                                        <w:rFonts w:ascii="Arial" w:eastAsia="Times New Roman" w:hAnsi="Arial" w:cs="Arial"/>
                                        <w:color w:val="000000" w:themeColor="text1"/>
                                        <w:sz w:val="24"/>
                                        <w:szCs w:val="24"/>
                                      </w:rPr>
                                      <w:t> </w:t>
                                    </w:r>
                                    <w:r w:rsidRPr="005D0449">
                                      <w:rPr>
                                        <w:rFonts w:ascii="Tahoma" w:eastAsia="Times New Roman" w:hAnsi="Tahoma" w:cs="Tahoma"/>
                                        <w:color w:val="000000" w:themeColor="text1"/>
                                        <w:sz w:val="24"/>
                                        <w:szCs w:val="24"/>
                                      </w:rPr>
                                      <w:t>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When an investor wants to withdraw his or her money back from the fund, a kind of redemption charge that the investor is required to pay. The idea behind the levy of such charges is to discourage investors from making an exit from the fund. Exit load is levied as a percentage of NAV. (Also see entry load).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Expense Ratio</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It is the ratio of total expenses to net assets of the fund. Total expenses include management fees, the cost of shareholder mailings and other administrative expenses. A low expense ratio means that the fund is able to maintain the fund at low expenses. As the size of the fund increases, the expense ratio decreases</w:t>
                                    </w:r>
                                    <w:r w:rsidRPr="005D0449">
                                      <w:rPr>
                                        <w:rFonts w:ascii="Tahoma" w:eastAsia="Times New Roman" w:hAnsi="Tahoma" w:cs="Tahoma"/>
                                        <w:color w:val="000000" w:themeColor="text1"/>
                                        <w:sz w:val="24"/>
                                        <w:szCs w:val="24"/>
                                      </w:rPr>
                                      <w:t>.</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F</w:t>
                                    </w:r>
                                    <w:r w:rsidRPr="005D0449">
                                      <w:rPr>
                                        <w:rFonts w:ascii="Arial" w:eastAsia="Times New Roman" w:hAnsi="Arial" w:cs="Arial"/>
                                        <w:color w:val="000000" w:themeColor="text1"/>
                                        <w:sz w:val="24"/>
                                        <w:szCs w:val="24"/>
                                      </w:rPr>
                                      <w:t>  </w:t>
                                    </w:r>
                                  </w:p>
                                  <w:tbl>
                                    <w:tblPr>
                                      <w:tblW w:w="5000" w:type="pct"/>
                                      <w:jc w:val="center"/>
                                      <w:tblCellSpacing w:w="15" w:type="dxa"/>
                                      <w:tblCellMar>
                                        <w:left w:w="0" w:type="dxa"/>
                                        <w:right w:w="0" w:type="dxa"/>
                                      </w:tblCellMar>
                                      <w:tblLook w:val="04A0"/>
                                    </w:tblPr>
                                    <w:tblGrid>
                                      <w:gridCol w:w="8970"/>
                                    </w:tblGrid>
                                    <w:tr w:rsidR="005D0449" w:rsidRPr="005D0449">
                                      <w:trPr>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p>
                                      </w:tc>
                                    </w:tr>
                                  </w:tbl>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Financial Pyramid</w:t>
                                    </w:r>
                                    <w:r w:rsidRPr="005D0449">
                                      <w:rPr>
                                        <w:rFonts w:ascii="Arial" w:eastAsia="Times New Roman" w:hAnsi="Arial" w:cs="Arial"/>
                                        <w:color w:val="000000" w:themeColor="text1"/>
                                        <w:sz w:val="24"/>
                                        <w:szCs w:val="24"/>
                                      </w:rPr>
                                      <w:t>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This refers to an investment plan in the shape of a pyramid structure where the safest investments are at the base and the riskiest investments at the peak.  </w:t>
                                    </w:r>
                                  </w:p>
                                  <w:p w:rsidR="005D0449" w:rsidRPr="005D0449" w:rsidRDefault="005D0449" w:rsidP="005D0449">
                                    <w:pPr>
                                      <w:spacing w:before="100" w:beforeAutospacing="1" w:after="100" w:afterAutospacing="1" w:line="240" w:lineRule="auto"/>
                                      <w:outlineLvl w:val="2"/>
                                      <w:rPr>
                                        <w:rFonts w:ascii="Arial" w:eastAsia="Times New Roman" w:hAnsi="Arial" w:cs="Arial"/>
                                        <w:b/>
                                        <w:bCs/>
                                        <w:color w:val="000000" w:themeColor="text1"/>
                                        <w:sz w:val="24"/>
                                        <w:szCs w:val="24"/>
                                      </w:rPr>
                                    </w:pPr>
                                    <w:r w:rsidRPr="005D0449">
                                      <w:rPr>
                                        <w:rFonts w:ascii="Arial" w:eastAsia="Times New Roman" w:hAnsi="Arial" w:cs="Arial"/>
                                        <w:b/>
                                        <w:bCs/>
                                        <w:color w:val="000000" w:themeColor="text1"/>
                                        <w:sz w:val="24"/>
                                        <w:szCs w:val="24"/>
                                      </w:rPr>
                                      <w:t>Fixed Income Security</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A type of security that pays fixed interest at regular intervals of time ranging from month to a year. These securities include gilt-edged securities, bonds (taxable as well as tax-free), preference shares and debentures. Since there is low risk as compared to the equity, there is no or little scope of capital appreciation.</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Fund Manager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A professional manager appointed by the Asset Management Company (AMC) to invest money in accordance with the objective of the scheme.</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G</w:t>
                                    </w:r>
                                  </w:p>
                                  <w:tbl>
                                    <w:tblPr>
                                      <w:tblW w:w="5000" w:type="pct"/>
                                      <w:jc w:val="center"/>
                                      <w:tblCellSpacing w:w="15" w:type="dxa"/>
                                      <w:tblCellMar>
                                        <w:left w:w="0" w:type="dxa"/>
                                        <w:right w:w="0" w:type="dxa"/>
                                      </w:tblCellMar>
                                      <w:tblLook w:val="04A0"/>
                                    </w:tblPr>
                                    <w:tblGrid>
                                      <w:gridCol w:w="8970"/>
                                    </w:tblGrid>
                                    <w:tr w:rsidR="005D0449" w:rsidRPr="005D0449">
                                      <w:trPr>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p>
                                      </w:tc>
                                    </w:tr>
                                  </w:tbl>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Gilt-edged Security</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These are the securities issued by the Government usually at a low interest rate. These are considered as the safest investments, as the government security is free from default risk.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Gilt fund</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This refers to the funds that invest mainly in government securities and treasury bills. The objective here is the safety of principal and adequate liquidity.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I</w:t>
                                    </w:r>
                                    <w:r w:rsidRPr="005D0449">
                                      <w:rPr>
                                        <w:rFonts w:ascii="Arial" w:eastAsia="Times New Roman" w:hAnsi="Arial" w:cs="Arial"/>
                                        <w:color w:val="000000" w:themeColor="text1"/>
                                        <w:sz w:val="24"/>
                                        <w:szCs w:val="24"/>
                                      </w:rPr>
                                      <w:t>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The objective of such fund is to provide a regular income to the investors by investing in fixed income securities like debentures, bonds, and high dividend shares. The fund pays dividends to the investors out of its earnings.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Index Fund</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 xml:space="preserve">This refers to the fund that at any point of time has same composition of asset as that of its benchmark. These funds rigorously follow their benchmark. These come under the passive investment style. Such an investment style believes that the market is efficient and all the information </w:t>
                                    </w:r>
                                    <w:proofErr w:type="gramStart"/>
                                    <w:r w:rsidRPr="005D0449">
                                      <w:rPr>
                                        <w:rFonts w:ascii="Arial" w:eastAsia="Times New Roman" w:hAnsi="Arial" w:cs="Arial"/>
                                        <w:color w:val="000000" w:themeColor="text1"/>
                                        <w:sz w:val="24"/>
                                        <w:szCs w:val="24"/>
                                      </w:rPr>
                                      <w:t>are</w:t>
                                    </w:r>
                                    <w:proofErr w:type="gramEnd"/>
                                    <w:r w:rsidRPr="005D0449">
                                      <w:rPr>
                                        <w:rFonts w:ascii="Arial" w:eastAsia="Times New Roman" w:hAnsi="Arial" w:cs="Arial"/>
                                        <w:color w:val="000000" w:themeColor="text1"/>
                                        <w:sz w:val="24"/>
                                        <w:szCs w:val="24"/>
                                      </w:rPr>
                                      <w:t xml:space="preserve"> fully reflected in the stock prices.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Interest Rate Risk</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The prices of a debt security are subject to the interest rate fluctuations in the market. An increase in the interest rates results in decrease in value of the bond. Therefore debt oriented mutual fund schemes; this interest rate risk affects the NAV of the fund.</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L</w:t>
                                    </w:r>
                                    <w:r w:rsidRPr="005D0449">
                                      <w:rPr>
                                        <w:rFonts w:ascii="Arial" w:eastAsia="Times New Roman" w:hAnsi="Arial" w:cs="Arial"/>
                                        <w:color w:val="000000" w:themeColor="text1"/>
                                        <w:sz w:val="24"/>
                                        <w:szCs w:val="24"/>
                                      </w:rPr>
                                      <w:t>  </w:t>
                                    </w:r>
                                  </w:p>
                                  <w:tbl>
                                    <w:tblPr>
                                      <w:tblW w:w="5000" w:type="pct"/>
                                      <w:jc w:val="center"/>
                                      <w:tblCellSpacing w:w="15" w:type="dxa"/>
                                      <w:tblCellMar>
                                        <w:left w:w="0" w:type="dxa"/>
                                        <w:right w:w="0" w:type="dxa"/>
                                      </w:tblCellMar>
                                      <w:tblLook w:val="04A0"/>
                                    </w:tblPr>
                                    <w:tblGrid>
                                      <w:gridCol w:w="8970"/>
                                    </w:tblGrid>
                                    <w:tr w:rsidR="005D0449" w:rsidRPr="005D0449">
                                      <w:trPr>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p>
                                      </w:tc>
                                    </w:tr>
                                  </w:tbl>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Liquid Fund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A fund that invests its corpus in short term instruments like call markets, treasury bills, Commercial Paper (CP), Certificate of Deposit (CD). Generally returns are very low in these funds. These funds are meant for the big corporate to park their fund for a very short period of time like one week.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Liquidity Risk</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 xml:space="preserve">The liquidity risk is involved in both type of securities i.e. fixed income security as </w:t>
                                    </w:r>
                                    <w:r w:rsidRPr="005D0449">
                                      <w:rPr>
                                        <w:rFonts w:ascii="Arial" w:eastAsia="Times New Roman" w:hAnsi="Arial" w:cs="Arial"/>
                                        <w:color w:val="000000" w:themeColor="text1"/>
                                        <w:sz w:val="24"/>
                                        <w:szCs w:val="24"/>
                                      </w:rPr>
                                      <w:lastRenderedPageBreak/>
                                      <w:t>well as equity and refers to the situation when these securities may not be sold in the market at close to their value.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Load</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A charge is levied by the fund when an investor purchase (entry load) or sells (exit load) units in the fund.</w:t>
                                    </w:r>
                                  </w:p>
                                  <w:tbl>
                                    <w:tblPr>
                                      <w:tblW w:w="130" w:type="pct"/>
                                      <w:tblCellSpacing w:w="15" w:type="dxa"/>
                                      <w:tblCellMar>
                                        <w:left w:w="0" w:type="dxa"/>
                                        <w:right w:w="0" w:type="dxa"/>
                                      </w:tblCellMar>
                                      <w:tblLook w:val="04A0"/>
                                    </w:tblPr>
                                    <w:tblGrid>
                                      <w:gridCol w:w="234"/>
                                    </w:tblGrid>
                                    <w:tr w:rsidR="005D0449" w:rsidRPr="005D0449" w:rsidTr="00B05393">
                                      <w:trPr>
                                        <w:trHeight w:val="231"/>
                                        <w:tblCellSpacing w:w="15" w:type="dxa"/>
                                      </w:trPr>
                                      <w:tc>
                                        <w:tcPr>
                                          <w:tcW w:w="0" w:type="auto"/>
                                          <w:vAlign w:val="center"/>
                                          <w:hideMark/>
                                        </w:tcPr>
                                        <w:p w:rsidR="005D0449" w:rsidRPr="005D0449" w:rsidRDefault="005D0449" w:rsidP="00B05393">
                                          <w:pPr>
                                            <w:spacing w:after="0"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N</w:t>
                                          </w:r>
                                        </w:p>
                                      </w:tc>
                                    </w:tr>
                                  </w:tbl>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Net Asset Value (NAV)</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Basically NAV is refers to the price of the unit of the mutual fund and is calculated as:</w:t>
                                    </w:r>
                                    <w:r>
                                      <w:rPr>
                                        <w:rFonts w:ascii="Arial" w:eastAsia="Times New Roman" w:hAnsi="Arial" w:cs="Arial"/>
                                        <w:color w:val="000000" w:themeColor="text1"/>
                                        <w:sz w:val="24"/>
                                        <w:szCs w:val="24"/>
                                      </w:rPr>
                                      <w:t xml:space="preserve"> </w:t>
                                    </w:r>
                                    <w:r w:rsidRPr="005D0449">
                                      <w:rPr>
                                        <w:rFonts w:ascii="Arial" w:eastAsia="Times New Roman" w:hAnsi="Arial" w:cs="Arial"/>
                                        <w:color w:val="000000" w:themeColor="text1"/>
                                        <w:sz w:val="24"/>
                                        <w:szCs w:val="24"/>
                                      </w:rPr>
                                      <w:t>This is the performance indicator for a mutual fund scheme. On can buy the units of the mutual funds at the prevailing NAV plus the entry load as applicable.</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No-Load Fun</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There is a category of mutual fund schemes in which units can be purchased directly from the fund without any sales charge or brokerage. US-64 is an example of a no-load fund.</w:t>
                                    </w:r>
                                    <w:r w:rsidRPr="005D0449">
                                      <w:rPr>
                                        <w:rFonts w:ascii="Arial" w:eastAsia="Times New Roman" w:hAnsi="Arial" w:cs="Arial"/>
                                        <w:b/>
                                        <w:bCs/>
                                        <w:color w:val="000000" w:themeColor="text1"/>
                                        <w:sz w:val="24"/>
                                        <w:szCs w:val="24"/>
                                      </w:rPr>
                                      <w:t>  </w:t>
                                    </w:r>
                                  </w:p>
                                  <w:tbl>
                                    <w:tblPr>
                                      <w:tblW w:w="5000" w:type="pct"/>
                                      <w:jc w:val="center"/>
                                      <w:tblCellSpacing w:w="15" w:type="dxa"/>
                                      <w:tblCellMar>
                                        <w:left w:w="0" w:type="dxa"/>
                                        <w:right w:w="0" w:type="dxa"/>
                                      </w:tblCellMar>
                                      <w:tblLook w:val="04A0"/>
                                    </w:tblPr>
                                    <w:tblGrid>
                                      <w:gridCol w:w="8970"/>
                                    </w:tblGrid>
                                    <w:tr w:rsidR="005D0449" w:rsidRPr="005D0449">
                                      <w:trPr>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P</w:t>
                                          </w:r>
                                          <w:r w:rsidRPr="005D0449">
                                            <w:rPr>
                                              <w:rFonts w:ascii="Tahoma" w:eastAsia="Times New Roman" w:hAnsi="Tahoma" w:cs="Tahoma"/>
                                              <w:color w:val="000000" w:themeColor="text1"/>
                                              <w:sz w:val="24"/>
                                              <w:szCs w:val="24"/>
                                            </w:rPr>
                                            <w:t>  </w:t>
                                          </w:r>
                                        </w:p>
                                      </w:tc>
                                    </w:tr>
                                  </w:tbl>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Passive portfolio management</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 xml:space="preserve">This investment style is exactly opposite of the active portfolio management. In this style the portfolio manager assumes that markets are efficient and all information is already </w:t>
                                    </w:r>
                                    <w:proofErr w:type="spellStart"/>
                                    <w:r w:rsidRPr="005D0449">
                                      <w:rPr>
                                        <w:rFonts w:ascii="Arial" w:eastAsia="Times New Roman" w:hAnsi="Arial" w:cs="Arial"/>
                                        <w:color w:val="000000" w:themeColor="text1"/>
                                        <w:sz w:val="24"/>
                                        <w:szCs w:val="24"/>
                                      </w:rPr>
                                      <w:t>analysed</w:t>
                                    </w:r>
                                    <w:proofErr w:type="spellEnd"/>
                                    <w:r w:rsidRPr="005D0449">
                                      <w:rPr>
                                        <w:rFonts w:ascii="Arial" w:eastAsia="Times New Roman" w:hAnsi="Arial" w:cs="Arial"/>
                                        <w:color w:val="000000" w:themeColor="text1"/>
                                        <w:sz w:val="24"/>
                                        <w:szCs w:val="24"/>
                                      </w:rPr>
                                      <w:t xml:space="preserve"> and reflected in the prices of share and there is no scope of finding any undervalued stock.</w:t>
                                    </w:r>
                                  </w:p>
                                  <w:tbl>
                                    <w:tblPr>
                                      <w:tblW w:w="5000" w:type="pct"/>
                                      <w:jc w:val="center"/>
                                      <w:tblCellSpacing w:w="15" w:type="dxa"/>
                                      <w:tblCellMar>
                                        <w:left w:w="0" w:type="dxa"/>
                                        <w:right w:w="0" w:type="dxa"/>
                                      </w:tblCellMar>
                                      <w:tblLook w:val="04A0"/>
                                    </w:tblPr>
                                    <w:tblGrid>
                                      <w:gridCol w:w="8970"/>
                                    </w:tblGrid>
                                    <w:tr w:rsidR="005D0449" w:rsidRPr="005D0449">
                                      <w:trPr>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R</w:t>
                                          </w:r>
                                        </w:p>
                                      </w:tc>
                                    </w:tr>
                                  </w:tbl>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Rating</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 xml:space="preserve">Every security in the financial market is subject to risk or </w:t>
                                    </w:r>
                                    <w:proofErr w:type="spellStart"/>
                                    <w:r w:rsidRPr="005D0449">
                                      <w:rPr>
                                        <w:rFonts w:ascii="Arial" w:eastAsia="Times New Roman" w:hAnsi="Arial" w:cs="Arial"/>
                                        <w:color w:val="000000" w:themeColor="text1"/>
                                        <w:sz w:val="24"/>
                                        <w:szCs w:val="24"/>
                                      </w:rPr>
                                      <w:t>infact</w:t>
                                    </w:r>
                                    <w:proofErr w:type="spellEnd"/>
                                    <w:r w:rsidRPr="005D0449">
                                      <w:rPr>
                                        <w:rFonts w:ascii="Arial" w:eastAsia="Times New Roman" w:hAnsi="Arial" w:cs="Arial"/>
                                        <w:color w:val="000000" w:themeColor="text1"/>
                                        <w:sz w:val="24"/>
                                        <w:szCs w:val="24"/>
                                      </w:rPr>
                                      <w:t xml:space="preserve"> a plethora of risks. It is very difficult for an investor to evaluate risk. There are certain agencies engaged in providing credit rating to the securities issued by the various issuers. The rating is done specific to the security. </w:t>
                                    </w:r>
                                    <w:proofErr w:type="spellStart"/>
                                    <w:r w:rsidRPr="005D0449">
                                      <w:rPr>
                                        <w:rFonts w:ascii="Arial" w:eastAsia="Times New Roman" w:hAnsi="Arial" w:cs="Arial"/>
                                        <w:color w:val="000000" w:themeColor="text1"/>
                                        <w:sz w:val="24"/>
                                        <w:szCs w:val="24"/>
                                      </w:rPr>
                                      <w:t>Crisil</w:t>
                                    </w:r>
                                    <w:proofErr w:type="spellEnd"/>
                                    <w:r w:rsidRPr="005D0449">
                                      <w:rPr>
                                        <w:rFonts w:ascii="Arial" w:eastAsia="Times New Roman" w:hAnsi="Arial" w:cs="Arial"/>
                                        <w:color w:val="000000" w:themeColor="text1"/>
                                        <w:sz w:val="24"/>
                                        <w:szCs w:val="24"/>
                                      </w:rPr>
                                      <w:t xml:space="preserve">, </w:t>
                                    </w:r>
                                    <w:proofErr w:type="spellStart"/>
                                    <w:r w:rsidRPr="005D0449">
                                      <w:rPr>
                                        <w:rFonts w:ascii="Arial" w:eastAsia="Times New Roman" w:hAnsi="Arial" w:cs="Arial"/>
                                        <w:color w:val="000000" w:themeColor="text1"/>
                                        <w:sz w:val="24"/>
                                        <w:szCs w:val="24"/>
                                      </w:rPr>
                                      <w:t>Icra</w:t>
                                    </w:r>
                                    <w:proofErr w:type="spellEnd"/>
                                    <w:r w:rsidRPr="005D0449">
                                      <w:rPr>
                                        <w:rFonts w:ascii="Arial" w:eastAsia="Times New Roman" w:hAnsi="Arial" w:cs="Arial"/>
                                        <w:color w:val="000000" w:themeColor="text1"/>
                                        <w:sz w:val="24"/>
                                        <w:szCs w:val="24"/>
                                      </w:rPr>
                                      <w:t>, Care are some of the credit rating agencies.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 xml:space="preserve">Record </w:t>
                                    </w:r>
                                    <w:proofErr w:type="gramStart"/>
                                    <w:r w:rsidRPr="005D0449">
                                      <w:rPr>
                                        <w:rFonts w:ascii="Arial" w:eastAsia="Times New Roman" w:hAnsi="Arial" w:cs="Arial"/>
                                        <w:b/>
                                        <w:bCs/>
                                        <w:color w:val="000000" w:themeColor="text1"/>
                                        <w:sz w:val="24"/>
                                        <w:szCs w:val="24"/>
                                      </w:rPr>
                                      <w:t>Date</w:t>
                                    </w:r>
                                    <w:r w:rsidR="00B05393">
                                      <w:rPr>
                                        <w:rFonts w:ascii="Arial" w:eastAsia="Times New Roman" w:hAnsi="Arial" w:cs="Arial"/>
                                        <w:b/>
                                        <w:bCs/>
                                        <w:color w:val="000000" w:themeColor="text1"/>
                                        <w:sz w:val="24"/>
                                        <w:szCs w:val="24"/>
                                      </w:rPr>
                                      <w:t xml:space="preserve"> :</w:t>
                                    </w:r>
                                    <w:proofErr w:type="gramEnd"/>
                                    <w:r w:rsidR="00B05393">
                                      <w:rPr>
                                        <w:rFonts w:ascii="Arial" w:eastAsia="Times New Roman" w:hAnsi="Arial" w:cs="Arial"/>
                                        <w:b/>
                                        <w:bCs/>
                                        <w:color w:val="000000" w:themeColor="text1"/>
                                        <w:sz w:val="24"/>
                                        <w:szCs w:val="24"/>
                                      </w:rPr>
                                      <w:t xml:space="preserve">   </w:t>
                                    </w:r>
                                    <w:r w:rsidRPr="005D0449">
                                      <w:rPr>
                                        <w:rFonts w:ascii="Arial" w:eastAsia="Times New Roman" w:hAnsi="Arial" w:cs="Arial"/>
                                        <w:color w:val="000000" w:themeColor="text1"/>
                                        <w:sz w:val="24"/>
                                        <w:szCs w:val="24"/>
                                      </w:rPr>
                                      <w:t>It is the date announced by the mutual fund, which is a cut-off date for receiving corporate benefits like dividends, rights, bonus etc. Only investors whose names appear in the AMC registers on that date are eligible for the said benefits.</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lastRenderedPageBreak/>
                                      <w:t>Reinvestment Plan</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It is a plan where the earnings of a mutual fund scheme are not returned to the investors but get reinvested back in the fund. Upon increase in NAV the investor gets the capital appreciation.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Reinvestment Risk</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This type of the risk is inherent in fixed income securities and arises due to interest rate change as a result of which the interest received on these instruments can't be reinvested in higher interest bearing instruments.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Rupee Cost Averaging</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This refers to the regular investment of an equal amount of money at equal intervals of time. This is an important tool with the help of which an investor can decrease its cost of purchase to a great extent.</w:t>
                                    </w:r>
                                  </w:p>
                                  <w:tbl>
                                    <w:tblPr>
                                      <w:tblW w:w="5000" w:type="pct"/>
                                      <w:jc w:val="center"/>
                                      <w:tblCellSpacing w:w="15" w:type="dxa"/>
                                      <w:tblCellMar>
                                        <w:left w:w="0" w:type="dxa"/>
                                        <w:right w:w="0" w:type="dxa"/>
                                      </w:tblCellMar>
                                      <w:tblLook w:val="04A0"/>
                                    </w:tblPr>
                                    <w:tblGrid>
                                      <w:gridCol w:w="8970"/>
                                    </w:tblGrid>
                                    <w:tr w:rsidR="005D0449" w:rsidRPr="005D0449">
                                      <w:trPr>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S</w:t>
                                          </w:r>
                                          <w:r>
                                            <w:rPr>
                                              <w:rFonts w:ascii="Arial" w:eastAsia="Times New Roman" w:hAnsi="Arial" w:cs="Arial"/>
                                              <w:b/>
                                              <w:bCs/>
                                              <w:color w:val="000000" w:themeColor="text1"/>
                                              <w:sz w:val="24"/>
                                              <w:szCs w:val="24"/>
                                            </w:rPr>
                                            <w:t xml:space="preserve"> </w:t>
                                          </w:r>
                                        </w:p>
                                      </w:tc>
                                    </w:tr>
                                  </w:tbl>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Sector fund</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 xml:space="preserve">The corpus of the fund can be invested in the stocks of a particular sector. For example any </w:t>
                                    </w:r>
                                    <w:proofErr w:type="spellStart"/>
                                    <w:r w:rsidRPr="005D0449">
                                      <w:rPr>
                                        <w:rFonts w:ascii="Arial" w:eastAsia="Times New Roman" w:hAnsi="Arial" w:cs="Arial"/>
                                        <w:color w:val="000000" w:themeColor="text1"/>
                                        <w:sz w:val="24"/>
                                        <w:szCs w:val="24"/>
                                      </w:rPr>
                                      <w:t>pharma</w:t>
                                    </w:r>
                                    <w:proofErr w:type="spellEnd"/>
                                    <w:r w:rsidRPr="005D0449">
                                      <w:rPr>
                                        <w:rFonts w:ascii="Arial" w:eastAsia="Times New Roman" w:hAnsi="Arial" w:cs="Arial"/>
                                        <w:color w:val="000000" w:themeColor="text1"/>
                                        <w:sz w:val="24"/>
                                        <w:szCs w:val="24"/>
                                      </w:rPr>
                                      <w:t xml:space="preserve"> fund will invest its fund only in the companies of the </w:t>
                                    </w:r>
                                    <w:proofErr w:type="spellStart"/>
                                    <w:r w:rsidRPr="005D0449">
                                      <w:rPr>
                                        <w:rFonts w:ascii="Arial" w:eastAsia="Times New Roman" w:hAnsi="Arial" w:cs="Arial"/>
                                        <w:color w:val="000000" w:themeColor="text1"/>
                                        <w:sz w:val="24"/>
                                        <w:szCs w:val="24"/>
                                      </w:rPr>
                                      <w:t>pharma</w:t>
                                    </w:r>
                                    <w:proofErr w:type="spellEnd"/>
                                    <w:r w:rsidRPr="005D0449">
                                      <w:rPr>
                                        <w:rFonts w:ascii="Arial" w:eastAsia="Times New Roman" w:hAnsi="Arial" w:cs="Arial"/>
                                        <w:color w:val="000000" w:themeColor="text1"/>
                                        <w:sz w:val="24"/>
                                        <w:szCs w:val="24"/>
                                      </w:rPr>
                                      <w:t xml:space="preserve"> sector. </w:t>
                                    </w:r>
                                    <w:r w:rsidRPr="005D0449">
                                      <w:rPr>
                                        <w:rFonts w:ascii="Arial" w:eastAsia="Times New Roman" w:hAnsi="Arial" w:cs="Arial"/>
                                        <w:b/>
                                        <w:bCs/>
                                        <w:color w:val="000000" w:themeColor="text1"/>
                                        <w:sz w:val="24"/>
                                        <w:szCs w:val="24"/>
                                      </w:rPr>
                                      <w:t>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Sponsor</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Sponsor of the Asset Management Company (AMC) is the parent organization that contributes the initial capital of the AMC. For example State Bank of India is the sponsor for SBI Mutual Fund.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Systematic Investment Plans</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 xml:space="preserve">Systematic Investment Plans provide the benefits of low cost of purchase by, instead of putting a lump sum amount, investing a pre-specified amount in a scheme at pre-specified intervals at </w:t>
                                    </w:r>
                                    <w:proofErr w:type="spellStart"/>
                                    <w:r w:rsidRPr="005D0449">
                                      <w:rPr>
                                        <w:rFonts w:ascii="Arial" w:eastAsia="Times New Roman" w:hAnsi="Arial" w:cs="Arial"/>
                                        <w:color w:val="000000" w:themeColor="text1"/>
                                        <w:sz w:val="24"/>
                                        <w:szCs w:val="24"/>
                                      </w:rPr>
                                      <w:t>then</w:t>
                                    </w:r>
                                    <w:proofErr w:type="spellEnd"/>
                                    <w:r w:rsidRPr="005D0449">
                                      <w:rPr>
                                        <w:rFonts w:ascii="Arial" w:eastAsia="Times New Roman" w:hAnsi="Arial" w:cs="Arial"/>
                                        <w:color w:val="000000" w:themeColor="text1"/>
                                        <w:sz w:val="24"/>
                                        <w:szCs w:val="24"/>
                                      </w:rPr>
                                      <w:t xml:space="preserve"> prevailing NAV. Entry load is applicable as per the scheme.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Systematic Withdrawal Plans</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Nowadays, mutual fund offer systematic withdrawal facility whereby investor can withdraw pre specified money from their investments. This ensures the regular inflow to the investors.</w:t>
                                    </w:r>
                                    <w:r w:rsidRPr="005D0449">
                                      <w:rPr>
                                        <w:rFonts w:ascii="Arial" w:eastAsia="Times New Roman" w:hAnsi="Arial" w:cs="Arial"/>
                                        <w:b/>
                                        <w:bCs/>
                                        <w:color w:val="000000" w:themeColor="text1"/>
                                        <w:sz w:val="24"/>
                                        <w:szCs w:val="24"/>
                                      </w:rPr>
                                      <w:t>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Switching</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lastRenderedPageBreak/>
                                      <w:t>This refers to the transferring from one scheme to another in a group of schemes of the same Mutual Fund, if rules so permit. A switching may or may not involve the loads.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Systematic Risk</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This is that part of the total risk that is posed by the factors that are beyond the control of the company. This also termed as the market risk and is essentially non-diversified in nature. This risk is caused by macro level factors like inflation, interest rates, budget announcements political unrest, weather conditions, general state of economy etc.  </w:t>
                                    </w:r>
                                  </w:p>
                                  <w:tbl>
                                    <w:tblPr>
                                      <w:tblW w:w="50" w:type="pct"/>
                                      <w:jc w:val="center"/>
                                      <w:tblCellSpacing w:w="15" w:type="dxa"/>
                                      <w:tblCellMar>
                                        <w:left w:w="0" w:type="dxa"/>
                                        <w:right w:w="0" w:type="dxa"/>
                                      </w:tblCellMar>
                                      <w:tblLook w:val="04A0"/>
                                    </w:tblPr>
                                    <w:tblGrid>
                                      <w:gridCol w:w="207"/>
                                    </w:tblGrid>
                                    <w:tr w:rsidR="005D0449" w:rsidRPr="005D0449" w:rsidTr="00B05393">
                                      <w:trPr>
                                        <w:trHeight w:val="231"/>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T</w:t>
                                          </w:r>
                                        </w:p>
                                      </w:tc>
                                    </w:tr>
                                  </w:tbl>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Tax saving fund</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proofErr w:type="gramStart"/>
                                    <w:r w:rsidRPr="005D0449">
                                      <w:rPr>
                                        <w:rFonts w:ascii="Arial" w:eastAsia="Times New Roman" w:hAnsi="Arial" w:cs="Arial"/>
                                        <w:color w:val="000000" w:themeColor="text1"/>
                                        <w:sz w:val="24"/>
                                        <w:szCs w:val="24"/>
                                      </w:rPr>
                                      <w:t>Investment in these funds allow</w:t>
                                    </w:r>
                                    <w:proofErr w:type="gramEnd"/>
                                    <w:r w:rsidRPr="005D0449">
                                      <w:rPr>
                                        <w:rFonts w:ascii="Arial" w:eastAsia="Times New Roman" w:hAnsi="Arial" w:cs="Arial"/>
                                        <w:color w:val="000000" w:themeColor="text1"/>
                                        <w:sz w:val="24"/>
                                        <w:szCs w:val="24"/>
                                      </w:rPr>
                                      <w:t xml:space="preserve"> the investors to claim a rebate under the Income tax Act. Generally these funds carry a lock-in period with them in order to claim such rebate.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Transfer Agents</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Professional firms which maintain the records of unit holders of the AMC.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Treasury Bills</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These are bills of exchange having short term maturity issued by the Reserve Bank of </w:t>
                                    </w:r>
                                    <w:proofErr w:type="gramStart"/>
                                    <w:r w:rsidRPr="005D0449">
                                      <w:rPr>
                                        <w:rFonts w:ascii="Arial" w:eastAsia="Times New Roman" w:hAnsi="Arial" w:cs="Arial"/>
                                        <w:color w:val="000000" w:themeColor="text1"/>
                                        <w:sz w:val="24"/>
                                        <w:szCs w:val="24"/>
                                      </w:rPr>
                                      <w:t>India .</w:t>
                                    </w:r>
                                    <w:proofErr w:type="gramEnd"/>
                                    <w:r w:rsidRPr="005D0449">
                                      <w:rPr>
                                        <w:rFonts w:ascii="Arial" w:eastAsia="Times New Roman" w:hAnsi="Arial" w:cs="Arial"/>
                                        <w:color w:val="000000" w:themeColor="text1"/>
                                        <w:sz w:val="24"/>
                                        <w:szCs w:val="24"/>
                                      </w:rPr>
                                      <w:t xml:space="preserve"> These securities are guaranteed by the Govt. of India and hence carry low or no risk and therefore returns are also low. These are also termed as T-Bill.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Trustee</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 xml:space="preserve">Trustee is usually a company (corporate body) or a Board of Trustees (body of individuals). The main responsibility of the Trustee is to safeguard the interest of the unit holders and inter alia ensure that the AMC functions in the interest of investors and in accordance with the Securities and Exchange Board of India (Mutual Funds) Regulations, 1996, the provisions of the Trust Deed and the Offer Documents of the respective Schemes. </w:t>
                                    </w:r>
                                    <w:proofErr w:type="spellStart"/>
                                    <w:r w:rsidRPr="005D0449">
                                      <w:rPr>
                                        <w:rFonts w:ascii="Arial" w:eastAsia="Times New Roman" w:hAnsi="Arial" w:cs="Arial"/>
                                        <w:color w:val="000000" w:themeColor="text1"/>
                                        <w:sz w:val="24"/>
                                        <w:szCs w:val="24"/>
                                      </w:rPr>
                                      <w:t>Atleast</w:t>
                                    </w:r>
                                    <w:proofErr w:type="spellEnd"/>
                                    <w:r w:rsidRPr="005D0449">
                                      <w:rPr>
                                        <w:rFonts w:ascii="Arial" w:eastAsia="Times New Roman" w:hAnsi="Arial" w:cs="Arial"/>
                                        <w:color w:val="000000" w:themeColor="text1"/>
                                        <w:sz w:val="24"/>
                                        <w:szCs w:val="24"/>
                                      </w:rPr>
                                      <w:t xml:space="preserve"> 2/3rd directors of the Trustee are independent directors who are not associated with the Sponsor in any manner.  </w:t>
                                    </w:r>
                                  </w:p>
                                  <w:tbl>
                                    <w:tblPr>
                                      <w:tblW w:w="5000" w:type="pct"/>
                                      <w:jc w:val="center"/>
                                      <w:tblCellSpacing w:w="15" w:type="dxa"/>
                                      <w:tblCellMar>
                                        <w:left w:w="0" w:type="dxa"/>
                                        <w:right w:w="0" w:type="dxa"/>
                                      </w:tblCellMar>
                                      <w:tblLook w:val="04A0"/>
                                    </w:tblPr>
                                    <w:tblGrid>
                                      <w:gridCol w:w="8970"/>
                                    </w:tblGrid>
                                    <w:tr w:rsidR="005D0449" w:rsidRPr="005D0449">
                                      <w:trPr>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U</w:t>
                                          </w:r>
                                        </w:p>
                                      </w:tc>
                                    </w:tr>
                                  </w:tbl>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Unsystematic Risk</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 xml:space="preserve">This is the part of the total risk that is peculiar to a particular company. This risk </w:t>
                                    </w:r>
                                    <w:r w:rsidRPr="005D0449">
                                      <w:rPr>
                                        <w:rFonts w:ascii="Arial" w:eastAsia="Times New Roman" w:hAnsi="Arial" w:cs="Arial"/>
                                        <w:color w:val="000000" w:themeColor="text1"/>
                                        <w:sz w:val="24"/>
                                        <w:szCs w:val="24"/>
                                      </w:rPr>
                                      <w:lastRenderedPageBreak/>
                                      <w:t xml:space="preserve">could arise due to company specific factors like operational factors, financial distress, </w:t>
                                    </w:r>
                                    <w:proofErr w:type="spellStart"/>
                                    <w:r w:rsidRPr="005D0449">
                                      <w:rPr>
                                        <w:rFonts w:ascii="Arial" w:eastAsia="Times New Roman" w:hAnsi="Arial" w:cs="Arial"/>
                                        <w:color w:val="000000" w:themeColor="text1"/>
                                        <w:sz w:val="24"/>
                                        <w:szCs w:val="24"/>
                                      </w:rPr>
                                      <w:t>labour</w:t>
                                    </w:r>
                                    <w:proofErr w:type="spellEnd"/>
                                    <w:r w:rsidRPr="005D0449">
                                      <w:rPr>
                                        <w:rFonts w:ascii="Arial" w:eastAsia="Times New Roman" w:hAnsi="Arial" w:cs="Arial"/>
                                        <w:color w:val="000000" w:themeColor="text1"/>
                                        <w:sz w:val="24"/>
                                        <w:szCs w:val="24"/>
                                      </w:rPr>
                                      <w:t xml:space="preserve"> turnover etc. This type of risk can be reduced to a great extent with the help of diversification.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V</w:t>
                                    </w:r>
                                  </w:p>
                                  <w:tbl>
                                    <w:tblPr>
                                      <w:tblW w:w="5000" w:type="pct"/>
                                      <w:jc w:val="center"/>
                                      <w:tblCellSpacing w:w="15" w:type="dxa"/>
                                      <w:tblCellMar>
                                        <w:left w:w="0" w:type="dxa"/>
                                        <w:right w:w="0" w:type="dxa"/>
                                      </w:tblCellMar>
                                      <w:tblLook w:val="04A0"/>
                                    </w:tblPr>
                                    <w:tblGrid>
                                      <w:gridCol w:w="8970"/>
                                    </w:tblGrid>
                                    <w:tr w:rsidR="005D0449" w:rsidRPr="005D0449">
                                      <w:trPr>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p>
                                      </w:tc>
                                    </w:tr>
                                  </w:tbl>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Value Investment</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This refers to the investment style that attempts to pick those stocks that are traded below the intrinsic value and hence considered as the undervalued.  </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Vulture Fund</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color w:val="000000" w:themeColor="text1"/>
                                        <w:sz w:val="24"/>
                                        <w:szCs w:val="24"/>
                                      </w:rPr>
                                      <w:t>It is a fund that takes over the Non Performing Assets (NPAs) of banks or financial institutions at a discount and issues pass-through certificates to the investors. This usually carries a low rate of returns.  </w:t>
                                    </w:r>
                                  </w:p>
                                  <w:p w:rsidR="005D0449" w:rsidRPr="005D0449" w:rsidRDefault="005D0449" w:rsidP="005D0449">
                                    <w:pPr>
                                      <w:spacing w:before="100" w:beforeAutospacing="1" w:after="100" w:afterAutospacing="1" w:line="240" w:lineRule="auto"/>
                                      <w:rPr>
                                        <w:rFonts w:ascii="Arial" w:eastAsia="Times New Roman" w:hAnsi="Arial" w:cs="Arial"/>
                                        <w:color w:val="000000" w:themeColor="text1"/>
                                        <w:sz w:val="24"/>
                                        <w:szCs w:val="24"/>
                                      </w:rPr>
                                    </w:pPr>
                                    <w:r w:rsidRPr="005D0449">
                                      <w:rPr>
                                        <w:rFonts w:ascii="Arial" w:eastAsia="Times New Roman" w:hAnsi="Arial" w:cs="Arial"/>
                                        <w:b/>
                                        <w:bCs/>
                                        <w:color w:val="000000" w:themeColor="text1"/>
                                        <w:sz w:val="24"/>
                                        <w:szCs w:val="24"/>
                                      </w:rPr>
                                      <w:t>Z</w:t>
                                    </w:r>
                                  </w:p>
                                  <w:tbl>
                                    <w:tblPr>
                                      <w:tblW w:w="5000" w:type="pct"/>
                                      <w:jc w:val="center"/>
                                      <w:tblCellSpacing w:w="15" w:type="dxa"/>
                                      <w:tblCellMar>
                                        <w:left w:w="0" w:type="dxa"/>
                                        <w:right w:w="0" w:type="dxa"/>
                                      </w:tblCellMar>
                                      <w:tblLook w:val="04A0"/>
                                    </w:tblPr>
                                    <w:tblGrid>
                                      <w:gridCol w:w="8970"/>
                                    </w:tblGrid>
                                    <w:tr w:rsidR="005D0449" w:rsidRPr="005D0449">
                                      <w:trPr>
                                        <w:tblCellSpacing w:w="15" w:type="dxa"/>
                                        <w:jc w:val="center"/>
                                      </w:trPr>
                                      <w:tc>
                                        <w:tcPr>
                                          <w:tcW w:w="0" w:type="auto"/>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p>
                                      </w:tc>
                                    </w:tr>
                                  </w:tbl>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b/>
                                        <w:bCs/>
                                        <w:color w:val="000000" w:themeColor="text1"/>
                                        <w:sz w:val="24"/>
                                        <w:szCs w:val="24"/>
                                      </w:rPr>
                                      <w:t>Zero Coupon Bond</w:t>
                                    </w:r>
                                  </w:p>
                                  <w:p w:rsidR="005D0449" w:rsidRPr="005D0449" w:rsidRDefault="005D0449" w:rsidP="005D044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D0449">
                                      <w:rPr>
                                        <w:rFonts w:ascii="Arial" w:eastAsia="Times New Roman" w:hAnsi="Arial" w:cs="Arial"/>
                                        <w:color w:val="000000" w:themeColor="text1"/>
                                        <w:sz w:val="24"/>
                                        <w:szCs w:val="24"/>
                                      </w:rPr>
                                      <w:t>This is a kind of debt instrument that does not carry any interest or coupon attach to it. Rather it is sold at a heavy discount to the face value and provides a capital appreciation to the investor at the time of redemption. The difference between the discounted price and the maturity value represents the gain to the investor.</w:t>
                                    </w:r>
                                  </w:p>
                                </w:tc>
                              </w:tr>
                            </w:tbl>
                            <w:p w:rsidR="005D0449" w:rsidRPr="005D0449" w:rsidRDefault="005D0449" w:rsidP="005D0449">
                              <w:pPr>
                                <w:spacing w:after="0" w:line="240" w:lineRule="auto"/>
                                <w:rPr>
                                  <w:rFonts w:ascii="Arial" w:eastAsia="Times New Roman" w:hAnsi="Arial" w:cs="Arial"/>
                                  <w:color w:val="000000" w:themeColor="text1"/>
                                  <w:sz w:val="24"/>
                                  <w:szCs w:val="24"/>
                                </w:rPr>
                              </w:pPr>
                            </w:p>
                          </w:tc>
                        </w:tr>
                      </w:tbl>
                      <w:p w:rsidR="005D0449" w:rsidRPr="005D0449" w:rsidRDefault="005D0449" w:rsidP="005D0449">
                        <w:pPr>
                          <w:spacing w:after="0" w:line="240" w:lineRule="auto"/>
                          <w:rPr>
                            <w:rFonts w:ascii="Arial" w:eastAsia="Times New Roman" w:hAnsi="Arial" w:cs="Arial"/>
                            <w:color w:val="000000" w:themeColor="text1"/>
                            <w:sz w:val="24"/>
                            <w:szCs w:val="24"/>
                          </w:rPr>
                        </w:pPr>
                      </w:p>
                    </w:tc>
                  </w:tr>
                </w:tbl>
                <w:p w:rsidR="005D0449" w:rsidRPr="005D0449" w:rsidRDefault="005D0449" w:rsidP="005D0449">
                  <w:pPr>
                    <w:spacing w:after="0" w:line="240" w:lineRule="auto"/>
                    <w:rPr>
                      <w:rFonts w:ascii="Arial" w:eastAsia="Times New Roman" w:hAnsi="Arial" w:cs="Arial"/>
                      <w:color w:val="000000" w:themeColor="text1"/>
                      <w:sz w:val="24"/>
                      <w:szCs w:val="24"/>
                    </w:rPr>
                  </w:pPr>
                </w:p>
              </w:tc>
            </w:tr>
          </w:tbl>
          <w:p w:rsidR="005D0449" w:rsidRPr="005D0449" w:rsidRDefault="005D0449" w:rsidP="005D0449">
            <w:pPr>
              <w:spacing w:after="0" w:line="240" w:lineRule="auto"/>
              <w:rPr>
                <w:rFonts w:ascii="Arial" w:eastAsia="Times New Roman" w:hAnsi="Arial" w:cs="Arial"/>
                <w:color w:val="000000" w:themeColor="text1"/>
                <w:sz w:val="24"/>
                <w:szCs w:val="24"/>
              </w:rPr>
            </w:pPr>
          </w:p>
        </w:tc>
      </w:tr>
      <w:tr w:rsidR="005D0449" w:rsidRPr="005D0449" w:rsidTr="005D0449">
        <w:trPr>
          <w:tblCellSpacing w:w="0" w:type="dxa"/>
        </w:trPr>
        <w:tc>
          <w:tcPr>
            <w:tcW w:w="0" w:type="auto"/>
            <w:shd w:val="clear" w:color="auto" w:fill="FFFFFF"/>
            <w:vAlign w:val="center"/>
            <w:hideMark/>
          </w:tcPr>
          <w:p w:rsidR="005D0449" w:rsidRPr="005D0449" w:rsidRDefault="005D0449" w:rsidP="005D0449">
            <w:pPr>
              <w:spacing w:after="0" w:line="240" w:lineRule="auto"/>
              <w:rPr>
                <w:rFonts w:ascii="Arial" w:eastAsia="Times New Roman" w:hAnsi="Arial" w:cs="Arial"/>
                <w:color w:val="000000" w:themeColor="text1"/>
                <w:sz w:val="24"/>
                <w:szCs w:val="24"/>
              </w:rPr>
            </w:pPr>
          </w:p>
        </w:tc>
      </w:tr>
    </w:tbl>
    <w:p w:rsidR="003C72B6" w:rsidRPr="005D0449" w:rsidRDefault="00967193" w:rsidP="005D0449">
      <w:pPr>
        <w:rPr>
          <w:color w:val="000000" w:themeColor="text1"/>
          <w:sz w:val="24"/>
          <w:szCs w:val="24"/>
        </w:rPr>
      </w:pPr>
    </w:p>
    <w:sectPr w:rsidR="003C72B6" w:rsidRPr="005D0449" w:rsidSect="008D6F19">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193" w:rsidRDefault="00967193" w:rsidP="005D0449">
      <w:pPr>
        <w:spacing w:after="0" w:line="240" w:lineRule="auto"/>
      </w:pPr>
      <w:r>
        <w:separator/>
      </w:r>
    </w:p>
  </w:endnote>
  <w:endnote w:type="continuationSeparator" w:id="0">
    <w:p w:rsidR="00967193" w:rsidRDefault="00967193" w:rsidP="005D04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193" w:rsidRDefault="00967193" w:rsidP="005D0449">
      <w:pPr>
        <w:spacing w:after="0" w:line="240" w:lineRule="auto"/>
      </w:pPr>
      <w:r>
        <w:separator/>
      </w:r>
    </w:p>
  </w:footnote>
  <w:footnote w:type="continuationSeparator" w:id="0">
    <w:p w:rsidR="00967193" w:rsidRDefault="00967193" w:rsidP="005D04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EE20286FDF32476E9DFE1CCE36E07AAB"/>
      </w:placeholder>
      <w:dataBinding w:prefixMappings="xmlns:ns0='http://schemas.openxmlformats.org/package/2006/metadata/core-properties' xmlns:ns1='http://purl.org/dc/elements/1.1/'" w:xpath="/ns0:coreProperties[1]/ns1:title[1]" w:storeItemID="{6C3C8BC8-F283-45AE-878A-BAB7291924A1}"/>
      <w:text/>
    </w:sdtPr>
    <w:sdtContent>
      <w:p w:rsidR="005D0449" w:rsidRDefault="00CC6576">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MUTUAL </w:t>
        </w:r>
        <w:proofErr w:type="gramStart"/>
        <w:r>
          <w:rPr>
            <w:rFonts w:asciiTheme="majorHAnsi" w:eastAsiaTheme="majorEastAsia" w:hAnsiTheme="majorHAnsi" w:cstheme="majorBidi"/>
            <w:sz w:val="32"/>
            <w:szCs w:val="32"/>
          </w:rPr>
          <w:t>FUND  GLOSSARY</w:t>
        </w:r>
        <w:proofErr w:type="gramEnd"/>
      </w:p>
    </w:sdtContent>
  </w:sdt>
  <w:p w:rsidR="005D0449" w:rsidRDefault="005D044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D0449"/>
    <w:rsid w:val="000E1643"/>
    <w:rsid w:val="005D0449"/>
    <w:rsid w:val="008D6F19"/>
    <w:rsid w:val="00967193"/>
    <w:rsid w:val="00B05393"/>
    <w:rsid w:val="00B85A4B"/>
    <w:rsid w:val="00CC6576"/>
    <w:rsid w:val="00E566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F19"/>
  </w:style>
  <w:style w:type="paragraph" w:styleId="Heading3">
    <w:name w:val="heading 3"/>
    <w:basedOn w:val="Normal"/>
    <w:link w:val="Heading3Char"/>
    <w:uiPriority w:val="9"/>
    <w:qFormat/>
    <w:rsid w:val="005D04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5D044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D0449"/>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5D044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D0449"/>
    <w:rPr>
      <w:color w:val="0000FF"/>
      <w:u w:val="single"/>
    </w:rPr>
  </w:style>
  <w:style w:type="character" w:customStyle="1" w:styleId="topback">
    <w:name w:val="topback"/>
    <w:basedOn w:val="DefaultParagraphFont"/>
    <w:rsid w:val="005D0449"/>
  </w:style>
  <w:style w:type="character" w:customStyle="1" w:styleId="apple-converted-space">
    <w:name w:val="apple-converted-space"/>
    <w:basedOn w:val="DefaultParagraphFont"/>
    <w:rsid w:val="005D0449"/>
  </w:style>
  <w:style w:type="character" w:customStyle="1" w:styleId="glosseryheads">
    <w:name w:val="glosseryheads"/>
    <w:basedOn w:val="DefaultParagraphFont"/>
    <w:rsid w:val="005D0449"/>
  </w:style>
  <w:style w:type="paragraph" w:styleId="BodyText2">
    <w:name w:val="Body Text 2"/>
    <w:basedOn w:val="Normal"/>
    <w:link w:val="BodyText2Char"/>
    <w:uiPriority w:val="99"/>
    <w:semiHidden/>
    <w:unhideWhenUsed/>
    <w:rsid w:val="005D04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5D0449"/>
    <w:rPr>
      <w:rFonts w:ascii="Times New Roman" w:eastAsia="Times New Roman" w:hAnsi="Times New Roman" w:cs="Times New Roman"/>
      <w:sz w:val="24"/>
      <w:szCs w:val="24"/>
    </w:rPr>
  </w:style>
  <w:style w:type="paragraph" w:styleId="NormalWeb">
    <w:name w:val="Normal (Web)"/>
    <w:basedOn w:val="Normal"/>
    <w:uiPriority w:val="99"/>
    <w:semiHidden/>
    <w:unhideWhenUsed/>
    <w:rsid w:val="005D044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5D04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5D0449"/>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5D04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semiHidden/>
    <w:rsid w:val="005D044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0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449"/>
    <w:rPr>
      <w:rFonts w:ascii="Tahoma" w:hAnsi="Tahoma" w:cs="Tahoma"/>
      <w:sz w:val="16"/>
      <w:szCs w:val="16"/>
    </w:rPr>
  </w:style>
  <w:style w:type="paragraph" w:styleId="Header">
    <w:name w:val="header"/>
    <w:basedOn w:val="Normal"/>
    <w:link w:val="HeaderChar"/>
    <w:uiPriority w:val="99"/>
    <w:unhideWhenUsed/>
    <w:rsid w:val="005D04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449"/>
  </w:style>
  <w:style w:type="paragraph" w:styleId="Footer">
    <w:name w:val="footer"/>
    <w:basedOn w:val="Normal"/>
    <w:link w:val="FooterChar"/>
    <w:uiPriority w:val="99"/>
    <w:semiHidden/>
    <w:unhideWhenUsed/>
    <w:rsid w:val="005D044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D0449"/>
  </w:style>
</w:styles>
</file>

<file path=word/webSettings.xml><?xml version="1.0" encoding="utf-8"?>
<w:webSettings xmlns:r="http://schemas.openxmlformats.org/officeDocument/2006/relationships" xmlns:w="http://schemas.openxmlformats.org/wordprocessingml/2006/main">
  <w:divs>
    <w:div w:id="1901355625">
      <w:bodyDiv w:val="1"/>
      <w:marLeft w:val="0"/>
      <w:marRight w:val="0"/>
      <w:marTop w:val="0"/>
      <w:marBottom w:val="0"/>
      <w:divBdr>
        <w:top w:val="none" w:sz="0" w:space="0" w:color="auto"/>
        <w:left w:val="none" w:sz="0" w:space="0" w:color="auto"/>
        <w:bottom w:val="none" w:sz="0" w:space="0" w:color="auto"/>
        <w:right w:val="none" w:sz="0" w:space="0" w:color="auto"/>
      </w:divBdr>
    </w:div>
    <w:div w:id="2110852453">
      <w:bodyDiv w:val="1"/>
      <w:marLeft w:val="0"/>
      <w:marRight w:val="0"/>
      <w:marTop w:val="0"/>
      <w:marBottom w:val="0"/>
      <w:divBdr>
        <w:top w:val="none" w:sz="0" w:space="0" w:color="auto"/>
        <w:left w:val="none" w:sz="0" w:space="0" w:color="auto"/>
        <w:bottom w:val="none" w:sz="0" w:space="0" w:color="auto"/>
        <w:right w:val="none" w:sz="0" w:space="0" w:color="auto"/>
      </w:divBdr>
    </w:div>
    <w:div w:id="214534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20286FDF32476E9DFE1CCE36E07AAB"/>
        <w:category>
          <w:name w:val="General"/>
          <w:gallery w:val="placeholder"/>
        </w:category>
        <w:types>
          <w:type w:val="bbPlcHdr"/>
        </w:types>
        <w:behaviors>
          <w:behavior w:val="content"/>
        </w:behaviors>
        <w:guid w:val="{28C6E205-987B-4F83-A3A0-3E5AE2232B9B}"/>
      </w:docPartPr>
      <w:docPartBody>
        <w:p w:rsidR="00000000" w:rsidRDefault="00861EB4" w:rsidP="00861EB4">
          <w:pPr>
            <w:pStyle w:val="EE20286FDF32476E9DFE1CCE36E07AA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61EB4"/>
    <w:rsid w:val="00861EB4"/>
    <w:rsid w:val="00AA5B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20286FDF32476E9DFE1CCE36E07AAB">
    <w:name w:val="EE20286FDF32476E9DFE1CCE36E07AAB"/>
    <w:rsid w:val="00861EB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2131</Words>
  <Characters>12152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FUND  GLOSSARY</dc:title>
  <dc:creator>STUDENT</dc:creator>
  <cp:lastModifiedBy>STUDENT</cp:lastModifiedBy>
  <cp:revision>4</cp:revision>
  <dcterms:created xsi:type="dcterms:W3CDTF">2012-08-20T14:07:00Z</dcterms:created>
  <dcterms:modified xsi:type="dcterms:W3CDTF">2012-08-20T14:07:00Z</dcterms:modified>
</cp:coreProperties>
</file>