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13A" w:rsidRDefault="00EF183F" w:rsidP="00EF183F">
      <w:pPr>
        <w:jc w:val="center"/>
      </w:pPr>
      <w:r>
        <w:rPr>
          <w:noProof/>
          <w:color w:val="0000FF"/>
        </w:rPr>
        <w:drawing>
          <wp:anchor distT="0" distB="0" distL="114300" distR="114300" simplePos="0" relativeHeight="251658240" behindDoc="0" locked="0" layoutInCell="1" allowOverlap="1">
            <wp:simplePos x="0" y="0"/>
            <wp:positionH relativeFrom="column">
              <wp:posOffset>2133600</wp:posOffset>
            </wp:positionH>
            <wp:positionV relativeFrom="paragraph">
              <wp:posOffset>-161925</wp:posOffset>
            </wp:positionV>
            <wp:extent cx="1685925" cy="1685925"/>
            <wp:effectExtent l="19050" t="0" r="9525" b="0"/>
            <wp:wrapSquare wrapText="bothSides"/>
            <wp:docPr id="1" name="Picture 1" descr="http://images.moneycontrol.com/images/PF_images/pehla_kadam_new.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moneycontrol.com/images/PF_images/pehla_kadam_new.gif">
                      <a:hlinkClick r:id="rId5"/>
                    </pic:cNvPr>
                    <pic:cNvPicPr>
                      <a:picLocks noChangeAspect="1" noChangeArrowheads="1"/>
                    </pic:cNvPicPr>
                  </pic:nvPicPr>
                  <pic:blipFill>
                    <a:blip r:embed="rId6"/>
                    <a:srcRect/>
                    <a:stretch>
                      <a:fillRect/>
                    </a:stretch>
                  </pic:blipFill>
                  <pic:spPr bwMode="auto">
                    <a:xfrm>
                      <a:off x="0" y="0"/>
                      <a:ext cx="1685925" cy="1685925"/>
                    </a:xfrm>
                    <a:prstGeom prst="rect">
                      <a:avLst/>
                    </a:prstGeom>
                    <a:noFill/>
                    <a:ln w="9525">
                      <a:noFill/>
                      <a:miter lim="800000"/>
                      <a:headEnd/>
                      <a:tailEnd/>
                    </a:ln>
                  </pic:spPr>
                </pic:pic>
              </a:graphicData>
            </a:graphic>
          </wp:anchor>
        </w:drawing>
      </w:r>
    </w:p>
    <w:p w:rsidR="00EF183F" w:rsidRDefault="00EF183F" w:rsidP="00EF183F">
      <w:pPr>
        <w:spacing w:after="0" w:line="420" w:lineRule="auto"/>
        <w:rPr>
          <w:rFonts w:ascii="Arial" w:eastAsia="Times New Roman" w:hAnsi="Arial" w:cs="Arial"/>
          <w:b/>
          <w:bCs/>
          <w:color w:val="D53500"/>
          <w:sz w:val="18"/>
          <w:szCs w:val="18"/>
        </w:rPr>
      </w:pPr>
      <w:bookmarkStart w:id="0" w:name="markets"/>
    </w:p>
    <w:p w:rsidR="00EF183F" w:rsidRDefault="00EF183F" w:rsidP="00EF183F">
      <w:pPr>
        <w:spacing w:after="0" w:line="420" w:lineRule="auto"/>
        <w:rPr>
          <w:rFonts w:ascii="Arial" w:eastAsia="Times New Roman" w:hAnsi="Arial" w:cs="Arial"/>
          <w:b/>
          <w:bCs/>
          <w:color w:val="D53500"/>
          <w:sz w:val="18"/>
          <w:szCs w:val="18"/>
        </w:rPr>
      </w:pPr>
    </w:p>
    <w:p w:rsidR="00EF183F" w:rsidRDefault="00EF183F" w:rsidP="00EF183F">
      <w:pPr>
        <w:spacing w:after="0" w:line="420" w:lineRule="auto"/>
        <w:rPr>
          <w:rFonts w:ascii="Arial" w:eastAsia="Times New Roman" w:hAnsi="Arial" w:cs="Arial"/>
          <w:b/>
          <w:bCs/>
          <w:color w:val="D53500"/>
          <w:sz w:val="18"/>
          <w:szCs w:val="18"/>
        </w:rPr>
      </w:pPr>
    </w:p>
    <w:p w:rsidR="00EF183F" w:rsidRDefault="00EF183F" w:rsidP="00EF183F">
      <w:pPr>
        <w:spacing w:after="0" w:line="420" w:lineRule="auto"/>
        <w:rPr>
          <w:rFonts w:ascii="Arial" w:eastAsia="Times New Roman" w:hAnsi="Arial" w:cs="Arial"/>
          <w:b/>
          <w:bCs/>
          <w:color w:val="D53500"/>
          <w:sz w:val="18"/>
          <w:szCs w:val="18"/>
        </w:rPr>
      </w:pPr>
    </w:p>
    <w:p w:rsidR="00EF183F" w:rsidRDefault="00EF183F" w:rsidP="00EF183F">
      <w:pPr>
        <w:spacing w:after="0" w:line="420" w:lineRule="auto"/>
        <w:rPr>
          <w:rFonts w:ascii="Arial" w:eastAsia="Times New Roman" w:hAnsi="Arial" w:cs="Arial"/>
          <w:b/>
          <w:bCs/>
          <w:color w:val="D53500"/>
          <w:sz w:val="18"/>
          <w:szCs w:val="18"/>
        </w:rPr>
      </w:pPr>
    </w:p>
    <w:p w:rsidR="00EF183F" w:rsidRDefault="00EF183F" w:rsidP="00EF183F">
      <w:pPr>
        <w:spacing w:after="0" w:line="420" w:lineRule="auto"/>
        <w:rPr>
          <w:rFonts w:ascii="Arial" w:eastAsia="Times New Roman" w:hAnsi="Arial" w:cs="Arial"/>
          <w:b/>
          <w:bCs/>
          <w:color w:val="D53500"/>
          <w:sz w:val="18"/>
          <w:szCs w:val="18"/>
        </w:rPr>
      </w:pPr>
    </w:p>
    <w:p w:rsidR="00EF183F" w:rsidRPr="00EF183F" w:rsidRDefault="00EF183F" w:rsidP="00EF183F">
      <w:pPr>
        <w:spacing w:after="0" w:line="420" w:lineRule="auto"/>
        <w:rPr>
          <w:rFonts w:ascii="Arial" w:eastAsia="Times New Roman" w:hAnsi="Arial" w:cs="Arial"/>
          <w:color w:val="000000"/>
          <w:sz w:val="18"/>
          <w:szCs w:val="18"/>
        </w:rPr>
      </w:pPr>
      <w:r w:rsidRPr="00EF183F">
        <w:rPr>
          <w:rFonts w:ascii="Arial" w:eastAsia="Times New Roman" w:hAnsi="Arial" w:cs="Arial"/>
          <w:b/>
          <w:bCs/>
          <w:color w:val="D53500"/>
          <w:sz w:val="18"/>
          <w:szCs w:val="18"/>
        </w:rPr>
        <w:t>1. What are Markets?</w:t>
      </w:r>
      <w:r w:rsidRPr="00EF183F">
        <w:rPr>
          <w:rFonts w:ascii="Arial" w:eastAsia="Times New Roman" w:hAnsi="Arial" w:cs="Arial"/>
          <w:color w:val="D53500"/>
          <w:sz w:val="18"/>
          <w:szCs w:val="18"/>
        </w:rPr>
        <w:t xml:space="preserve"> </w:t>
      </w:r>
      <w:bookmarkEnd w:id="0"/>
      <w:r w:rsidRPr="00EF183F">
        <w:rPr>
          <w:rFonts w:ascii="Arial" w:eastAsia="Times New Roman" w:hAnsi="Arial" w:cs="Arial"/>
          <w:color w:val="000000"/>
          <w:sz w:val="18"/>
          <w:szCs w:val="18"/>
        </w:rPr>
        <w:br/>
        <w:t xml:space="preserve">A stock market is a market for the trading of company stock/ shares, and derivatives. This includes securities listed on a stock exchange as well as those only traded privately. Market is a place where buyers and sellers of securities can enter into transactions to purchase and sell shares, bonds, debentures etc. </w:t>
      </w:r>
    </w:p>
    <w:p w:rsidR="00EF183F" w:rsidRPr="00EF183F" w:rsidRDefault="00EF183F" w:rsidP="00EF183F">
      <w:pPr>
        <w:numPr>
          <w:ilvl w:val="0"/>
          <w:numId w:val="3"/>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b/>
          <w:bCs/>
          <w:color w:val="000000"/>
          <w:sz w:val="18"/>
          <w:szCs w:val="18"/>
        </w:rPr>
        <w:t>1.1 Primary markets</w:t>
      </w:r>
      <w:proofErr w:type="gramStart"/>
      <w:r w:rsidRPr="00EF183F">
        <w:rPr>
          <w:rFonts w:ascii="Arial" w:eastAsia="Times New Roman" w:hAnsi="Arial" w:cs="Arial"/>
          <w:b/>
          <w:bCs/>
          <w:color w:val="000000"/>
          <w:sz w:val="18"/>
          <w:szCs w:val="18"/>
        </w:rPr>
        <w:t>:</w:t>
      </w:r>
      <w:proofErr w:type="gramEnd"/>
      <w:r w:rsidRPr="00EF183F">
        <w:rPr>
          <w:rFonts w:ascii="Arial" w:eastAsia="Times New Roman" w:hAnsi="Arial" w:cs="Arial"/>
          <w:color w:val="000000"/>
          <w:sz w:val="18"/>
          <w:szCs w:val="18"/>
        </w:rPr>
        <w:br/>
        <w:t xml:space="preserve">The primary market is that part of the capital markets that deals with the issuance of new securities. </w:t>
      </w:r>
      <w:r>
        <w:rPr>
          <w:rFonts w:ascii="Arial" w:eastAsia="Times New Roman" w:hAnsi="Arial" w:cs="Arial"/>
          <w:color w:val="000000"/>
          <w:sz w:val="18"/>
          <w:szCs w:val="18"/>
        </w:rPr>
        <w:br/>
      </w:r>
      <w:r w:rsidRPr="00EF183F">
        <w:rPr>
          <w:rFonts w:ascii="Arial" w:eastAsia="Times New Roman" w:hAnsi="Arial" w:cs="Arial"/>
          <w:color w:val="000000"/>
          <w:sz w:val="18"/>
          <w:szCs w:val="18"/>
        </w:rPr>
        <w:t xml:space="preserve">The primary market is that part of the capital markets that deals with the issuance of new securities. Companies, governments or public sector institutions can obtain funding through the sale of a new stock or bond issue. This is typically done through a syndicate of securities dealers. The process of selling new issues to investors is called underwriting. In the case of a new stock issue, this sale is an initial public offering (IPO) </w:t>
      </w:r>
      <w:r w:rsidRPr="00EF183F">
        <w:rPr>
          <w:rFonts w:ascii="Arial" w:eastAsia="Times New Roman" w:hAnsi="Arial" w:cs="Arial"/>
          <w:color w:val="000000"/>
          <w:sz w:val="18"/>
          <w:szCs w:val="18"/>
        </w:rPr>
        <w:br/>
      </w:r>
      <w:r w:rsidRPr="00EF183F">
        <w:rPr>
          <w:rFonts w:ascii="Arial" w:eastAsia="Times New Roman" w:hAnsi="Arial" w:cs="Arial"/>
          <w:color w:val="000000"/>
          <w:sz w:val="18"/>
          <w:szCs w:val="18"/>
        </w:rPr>
        <w:br/>
      </w:r>
      <w:proofErr w:type="gramStart"/>
      <w:r w:rsidRPr="00EF183F">
        <w:rPr>
          <w:rFonts w:ascii="Arial" w:eastAsia="Times New Roman" w:hAnsi="Arial" w:cs="Arial"/>
          <w:b/>
          <w:bCs/>
          <w:color w:val="000000"/>
          <w:sz w:val="18"/>
          <w:szCs w:val="18"/>
        </w:rPr>
        <w:t>What</w:t>
      </w:r>
      <w:proofErr w:type="gramEnd"/>
      <w:r w:rsidRPr="00EF183F">
        <w:rPr>
          <w:rFonts w:ascii="Arial" w:eastAsia="Times New Roman" w:hAnsi="Arial" w:cs="Arial"/>
          <w:b/>
          <w:bCs/>
          <w:color w:val="000000"/>
          <w:sz w:val="18"/>
          <w:szCs w:val="18"/>
        </w:rPr>
        <w:t xml:space="preserve"> are the types of issues in primary market?</w:t>
      </w:r>
      <w:r w:rsidRPr="00EF183F">
        <w:rPr>
          <w:rFonts w:ascii="Arial" w:eastAsia="Times New Roman" w:hAnsi="Arial" w:cs="Arial"/>
          <w:color w:val="000000"/>
          <w:sz w:val="18"/>
          <w:szCs w:val="18"/>
        </w:rPr>
        <w:t xml:space="preserve"> </w:t>
      </w:r>
      <w:r w:rsidRPr="00EF183F">
        <w:rPr>
          <w:rFonts w:ascii="Arial" w:eastAsia="Times New Roman" w:hAnsi="Arial" w:cs="Arial"/>
          <w:color w:val="000000"/>
          <w:sz w:val="18"/>
          <w:szCs w:val="18"/>
        </w:rPr>
        <w:br/>
        <w:t xml:space="preserve">Primary market Issues can be classified into four types. </w:t>
      </w:r>
    </w:p>
    <w:p w:rsidR="00EF183F" w:rsidRPr="00EF183F" w:rsidRDefault="00EF183F" w:rsidP="00EF183F">
      <w:pPr>
        <w:numPr>
          <w:ilvl w:val="1"/>
          <w:numId w:val="3"/>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color w:val="000000"/>
          <w:sz w:val="18"/>
          <w:szCs w:val="18"/>
        </w:rPr>
        <w:t xml:space="preserve">Initial Public Offer </w:t>
      </w:r>
    </w:p>
    <w:p w:rsidR="00EF183F" w:rsidRPr="00EF183F" w:rsidRDefault="00EF183F" w:rsidP="00EF183F">
      <w:pPr>
        <w:numPr>
          <w:ilvl w:val="1"/>
          <w:numId w:val="3"/>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color w:val="000000"/>
          <w:sz w:val="18"/>
          <w:szCs w:val="18"/>
        </w:rPr>
        <w:t xml:space="preserve">Follow on Offer </w:t>
      </w:r>
    </w:p>
    <w:p w:rsidR="00EF183F" w:rsidRPr="00EF183F" w:rsidRDefault="00EF183F" w:rsidP="00EF183F">
      <w:pPr>
        <w:numPr>
          <w:ilvl w:val="1"/>
          <w:numId w:val="3"/>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color w:val="000000"/>
          <w:sz w:val="18"/>
          <w:szCs w:val="18"/>
        </w:rPr>
        <w:t xml:space="preserve">Rights Issue </w:t>
      </w:r>
    </w:p>
    <w:p w:rsidR="00EF183F" w:rsidRDefault="00EF183F" w:rsidP="00EF183F">
      <w:pPr>
        <w:numPr>
          <w:ilvl w:val="1"/>
          <w:numId w:val="3"/>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color w:val="000000"/>
          <w:sz w:val="18"/>
          <w:szCs w:val="18"/>
        </w:rPr>
        <w:t xml:space="preserve">Preferential Issue </w:t>
      </w:r>
    </w:p>
    <w:p w:rsidR="00DB57BF" w:rsidRPr="00DB57BF" w:rsidRDefault="00EF183F" w:rsidP="00DB57BF">
      <w:pPr>
        <w:spacing w:line="420" w:lineRule="auto"/>
        <w:rPr>
          <w:rFonts w:ascii="Arial" w:eastAsia="Times New Roman" w:hAnsi="Arial" w:cs="Arial"/>
          <w:color w:val="000000"/>
          <w:sz w:val="18"/>
          <w:szCs w:val="18"/>
        </w:rPr>
      </w:pPr>
      <w:r>
        <w:rPr>
          <w:rFonts w:ascii="Arial" w:hAnsi="Arial" w:cs="Arial"/>
          <w:b/>
          <w:bCs/>
          <w:color w:val="D53500"/>
          <w:sz w:val="18"/>
          <w:szCs w:val="18"/>
        </w:rPr>
        <w:t>Introduction to Primary Markets</w:t>
      </w:r>
      <w:r>
        <w:rPr>
          <w:rFonts w:ascii="Arial" w:hAnsi="Arial" w:cs="Arial"/>
          <w:b/>
          <w:bCs/>
          <w:color w:val="D53500"/>
          <w:sz w:val="18"/>
          <w:szCs w:val="18"/>
        </w:rPr>
        <w:br/>
      </w:r>
      <w:proofErr w:type="gramStart"/>
      <w:r>
        <w:rPr>
          <w:rFonts w:ascii="Arial" w:hAnsi="Arial" w:cs="Arial"/>
          <w:color w:val="000000"/>
          <w:sz w:val="18"/>
          <w:szCs w:val="18"/>
        </w:rPr>
        <w:t>Most</w:t>
      </w:r>
      <w:proofErr w:type="gramEnd"/>
      <w:r>
        <w:rPr>
          <w:rFonts w:ascii="Arial" w:hAnsi="Arial" w:cs="Arial"/>
          <w:color w:val="000000"/>
          <w:sz w:val="18"/>
          <w:szCs w:val="18"/>
        </w:rPr>
        <w:t xml:space="preserve"> listed companies are usually started privately by their promoter(s). However, the promoters’ capital and the borrowings from banks and financial institutions may not be sufficient for setting up or running the business over a long term. So, companies invite the public to contribute towards the equity and issue shares to individual investors. The way to invite the public to subscribe to the share capital of the company is through a ‘Public Issue’. Once this is done, the company allots shares to the applicants as per the prescribed guidelines laid down by SEBI.</w:t>
      </w:r>
      <w:r>
        <w:rPr>
          <w:rFonts w:ascii="Arial" w:hAnsi="Arial" w:cs="Arial"/>
          <w:color w:val="000000"/>
          <w:sz w:val="18"/>
          <w:szCs w:val="18"/>
        </w:rPr>
        <w:br/>
      </w:r>
      <w:r>
        <w:rPr>
          <w:rFonts w:ascii="Arial" w:hAnsi="Arial" w:cs="Arial"/>
          <w:color w:val="000000"/>
          <w:sz w:val="18"/>
          <w:szCs w:val="18"/>
        </w:rPr>
        <w:br/>
        <w:t xml:space="preserve">The Primary Market is, hence, the market that provides a channel for the sale of new securities to issuers, which may can be the Government or </w:t>
      </w:r>
      <w:proofErr w:type="spellStart"/>
      <w:r>
        <w:rPr>
          <w:rFonts w:ascii="Arial" w:hAnsi="Arial" w:cs="Arial"/>
          <w:color w:val="000000"/>
          <w:sz w:val="18"/>
          <w:szCs w:val="18"/>
        </w:rPr>
        <w:t>corporates</w:t>
      </w:r>
      <w:proofErr w:type="spellEnd"/>
      <w:r>
        <w:rPr>
          <w:rFonts w:ascii="Arial" w:hAnsi="Arial" w:cs="Arial"/>
          <w:color w:val="000000"/>
          <w:sz w:val="18"/>
          <w:szCs w:val="18"/>
        </w:rPr>
        <w:t xml:space="preserve">, to raise resources to meet their fund raising requirements. The securities may be issued at face value, or at a discount/premium and may take a variety of forms such as equity, debt etc. They may </w:t>
      </w:r>
      <w:r>
        <w:rPr>
          <w:rFonts w:ascii="Arial" w:hAnsi="Arial" w:cs="Arial"/>
          <w:color w:val="000000"/>
          <w:sz w:val="18"/>
          <w:szCs w:val="18"/>
        </w:rPr>
        <w:lastRenderedPageBreak/>
        <w:t>be issued in the domestic and/or international market.</w:t>
      </w:r>
      <w:r>
        <w:rPr>
          <w:rFonts w:ascii="Arial" w:hAnsi="Arial" w:cs="Arial"/>
          <w:color w:val="000000"/>
          <w:sz w:val="18"/>
          <w:szCs w:val="18"/>
        </w:rPr>
        <w:br/>
      </w:r>
      <w:r>
        <w:rPr>
          <w:rFonts w:ascii="Arial" w:hAnsi="Arial" w:cs="Arial"/>
          <w:b/>
          <w:bCs/>
          <w:color w:val="000000"/>
          <w:sz w:val="18"/>
          <w:szCs w:val="18"/>
        </w:rPr>
        <w:t xml:space="preserve">Issue at Face Value: </w:t>
      </w:r>
      <w:r>
        <w:rPr>
          <w:rFonts w:ascii="Arial" w:hAnsi="Arial" w:cs="Arial"/>
          <w:color w:val="000000"/>
          <w:sz w:val="18"/>
          <w:szCs w:val="18"/>
        </w:rPr>
        <w:br/>
        <w:t xml:space="preserve">The nominal value of the share, assigned to it by the issuer, is called the Face Value or Par Value. It is the original cost shown on the share certificate and the extent to which the shareholder is liable to the company. In case of equity shares, the value is generally quite small; for instance Rs 1, Rs 2, Rs 5, Rs 10 etc. Hence, if shares are offered at this value then it is said they are being offered at Face Value or at Par. </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000000"/>
          <w:sz w:val="18"/>
          <w:szCs w:val="18"/>
        </w:rPr>
        <w:t xml:space="preserve">Issue at a premium or at a discount: </w:t>
      </w:r>
      <w:r>
        <w:rPr>
          <w:rFonts w:ascii="Arial" w:hAnsi="Arial" w:cs="Arial"/>
          <w:color w:val="000000"/>
          <w:sz w:val="18"/>
          <w:szCs w:val="18"/>
        </w:rPr>
        <w:br/>
        <w:t>When shares are offered at more than the Face Value, then it is said that the issue is at a premium. The premium is the amount charged over the Face Value. Conversely, if shares are offered at a price lower than Face Value, then the issue is at a discount. The difference between the Face Value and the Offer Price is the discount.</w:t>
      </w:r>
      <w:r w:rsidR="00DB57BF">
        <w:rPr>
          <w:rFonts w:ascii="Arial" w:hAnsi="Arial" w:cs="Arial"/>
          <w:color w:val="000000"/>
          <w:sz w:val="18"/>
          <w:szCs w:val="18"/>
        </w:rPr>
        <w:br/>
      </w:r>
      <w:r w:rsidR="00DB57BF" w:rsidRPr="00DB57BF">
        <w:rPr>
          <w:rFonts w:ascii="Arial" w:eastAsia="Times New Roman" w:hAnsi="Arial" w:cs="Arial"/>
          <w:b/>
          <w:bCs/>
          <w:color w:val="D53500"/>
          <w:sz w:val="18"/>
          <w:szCs w:val="18"/>
        </w:rPr>
        <w:t xml:space="preserve">Initial Public Offer (IPO): </w:t>
      </w:r>
      <w:r w:rsidR="00DB57BF" w:rsidRPr="00DB57BF">
        <w:rPr>
          <w:rFonts w:ascii="Arial" w:eastAsia="Times New Roman" w:hAnsi="Arial" w:cs="Arial"/>
          <w:color w:val="000000"/>
          <w:sz w:val="18"/>
          <w:szCs w:val="18"/>
        </w:rPr>
        <w:br/>
        <w:t xml:space="preserve">When an unlisted company makes either a fresh issue of securities or an offer for sale of its existing securities or both, for the first time to the public, the issue is called as an Initial Public Offer. </w:t>
      </w:r>
      <w:r w:rsidR="00DB57BF" w:rsidRPr="00DB57BF">
        <w:rPr>
          <w:rFonts w:ascii="Arial" w:eastAsia="Times New Roman" w:hAnsi="Arial" w:cs="Arial"/>
          <w:color w:val="000000"/>
          <w:sz w:val="18"/>
          <w:szCs w:val="18"/>
        </w:rPr>
        <w:br/>
      </w:r>
      <w:r w:rsidR="00DB57BF" w:rsidRPr="00DB57BF">
        <w:rPr>
          <w:rFonts w:ascii="Arial" w:eastAsia="Times New Roman" w:hAnsi="Arial" w:cs="Arial"/>
          <w:color w:val="000000"/>
          <w:sz w:val="18"/>
          <w:szCs w:val="18"/>
        </w:rPr>
        <w:br/>
      </w:r>
      <w:r w:rsidR="00DB57BF" w:rsidRPr="00DB57BF">
        <w:rPr>
          <w:rFonts w:ascii="Arial" w:eastAsia="Times New Roman" w:hAnsi="Arial" w:cs="Arial"/>
          <w:b/>
          <w:bCs/>
          <w:color w:val="D53500"/>
          <w:sz w:val="18"/>
          <w:szCs w:val="18"/>
        </w:rPr>
        <w:t xml:space="preserve">Follow </w:t>
      </w:r>
      <w:proofErr w:type="gramStart"/>
      <w:r w:rsidR="00DB57BF" w:rsidRPr="00DB57BF">
        <w:rPr>
          <w:rFonts w:ascii="Arial" w:eastAsia="Times New Roman" w:hAnsi="Arial" w:cs="Arial"/>
          <w:b/>
          <w:bCs/>
          <w:color w:val="D53500"/>
          <w:sz w:val="18"/>
          <w:szCs w:val="18"/>
        </w:rPr>
        <w:t>On</w:t>
      </w:r>
      <w:proofErr w:type="gramEnd"/>
      <w:r w:rsidR="00DB57BF" w:rsidRPr="00DB57BF">
        <w:rPr>
          <w:rFonts w:ascii="Arial" w:eastAsia="Times New Roman" w:hAnsi="Arial" w:cs="Arial"/>
          <w:b/>
          <w:bCs/>
          <w:color w:val="D53500"/>
          <w:sz w:val="18"/>
          <w:szCs w:val="18"/>
        </w:rPr>
        <w:t xml:space="preserve"> Public Offer (FPO): </w:t>
      </w:r>
      <w:r w:rsidR="00DB57BF" w:rsidRPr="00DB57BF">
        <w:rPr>
          <w:rFonts w:ascii="Arial" w:eastAsia="Times New Roman" w:hAnsi="Arial" w:cs="Arial"/>
          <w:color w:val="000000"/>
          <w:sz w:val="18"/>
          <w:szCs w:val="18"/>
        </w:rPr>
        <w:br/>
        <w:t xml:space="preserve">When an already listed company makes either a fresh issue of securities to the public or an offer for sale of existing shares to the public, through an offer document, it is referred to as Follow on Offer (FPO). </w:t>
      </w:r>
      <w:r w:rsidR="00DB57BF" w:rsidRPr="00DB57BF">
        <w:rPr>
          <w:rFonts w:ascii="Arial" w:eastAsia="Times New Roman" w:hAnsi="Arial" w:cs="Arial"/>
          <w:color w:val="000000"/>
          <w:sz w:val="18"/>
          <w:szCs w:val="18"/>
        </w:rPr>
        <w:br/>
      </w:r>
      <w:r w:rsidR="00DB57BF" w:rsidRPr="00DB57BF">
        <w:rPr>
          <w:rFonts w:ascii="Arial" w:eastAsia="Times New Roman" w:hAnsi="Arial" w:cs="Arial"/>
          <w:color w:val="000000"/>
          <w:sz w:val="18"/>
          <w:szCs w:val="18"/>
        </w:rPr>
        <w:br/>
      </w:r>
      <w:r w:rsidR="00DB57BF" w:rsidRPr="00DB57BF">
        <w:rPr>
          <w:rFonts w:ascii="Arial" w:eastAsia="Times New Roman" w:hAnsi="Arial" w:cs="Arial"/>
          <w:b/>
          <w:bCs/>
          <w:color w:val="D53500"/>
          <w:sz w:val="18"/>
          <w:szCs w:val="18"/>
        </w:rPr>
        <w:t xml:space="preserve">Rights Issue: </w:t>
      </w:r>
      <w:r w:rsidR="00DB57BF" w:rsidRPr="00DB57BF">
        <w:rPr>
          <w:rFonts w:ascii="Arial" w:eastAsia="Times New Roman" w:hAnsi="Arial" w:cs="Arial"/>
          <w:color w:val="000000"/>
          <w:sz w:val="18"/>
          <w:szCs w:val="18"/>
        </w:rPr>
        <w:br/>
        <w:t xml:space="preserve">When a listed company proposes to issue fresh securities to its existing shareholders, as on a record date, it is called as a rights issue. The rights are normally offered in a particular ratio to the number of securities held prior to the issue. This route is best suited for companies who would like to raise capital without diluting stake of its existing shareholders. </w:t>
      </w:r>
      <w:r w:rsidR="00DB57BF" w:rsidRPr="00DB57BF">
        <w:rPr>
          <w:rFonts w:ascii="Arial" w:eastAsia="Times New Roman" w:hAnsi="Arial" w:cs="Arial"/>
          <w:color w:val="000000"/>
          <w:sz w:val="18"/>
          <w:szCs w:val="18"/>
        </w:rPr>
        <w:br/>
      </w:r>
      <w:r w:rsidR="00DB57BF" w:rsidRPr="00DB57BF">
        <w:rPr>
          <w:rFonts w:ascii="Arial" w:eastAsia="Times New Roman" w:hAnsi="Arial" w:cs="Arial"/>
          <w:color w:val="000000"/>
          <w:sz w:val="18"/>
          <w:szCs w:val="18"/>
        </w:rPr>
        <w:br/>
      </w:r>
      <w:r w:rsidR="00DB57BF" w:rsidRPr="00DB57BF">
        <w:rPr>
          <w:rFonts w:ascii="Arial" w:eastAsia="Times New Roman" w:hAnsi="Arial" w:cs="Arial"/>
          <w:b/>
          <w:bCs/>
          <w:color w:val="D53500"/>
          <w:sz w:val="18"/>
          <w:szCs w:val="18"/>
        </w:rPr>
        <w:t xml:space="preserve">A Preferential issue: </w:t>
      </w:r>
      <w:r w:rsidR="00DB57BF" w:rsidRPr="00DB57BF">
        <w:rPr>
          <w:rFonts w:ascii="Arial" w:eastAsia="Times New Roman" w:hAnsi="Arial" w:cs="Arial"/>
          <w:color w:val="000000"/>
          <w:sz w:val="18"/>
          <w:szCs w:val="18"/>
        </w:rPr>
        <w:br/>
        <w:t xml:space="preserve">A Preferential Issue is an issue of shares or of convertible securities by listed companies to a select group of persons under Section 81 of the Companies Act, 1956, that is neither a rights issue nor a public issue. This is a faster way for a company to raise equity capital. The issuer company has to comply with the Companies Act and the requirements contained in the chapter, pertaining to preferential allotment in SEBI guidelines, which inter-alia include pricing, disclosures in notice etc. </w:t>
      </w:r>
      <w:r w:rsidR="00DB57BF" w:rsidRPr="00DB57BF">
        <w:rPr>
          <w:rFonts w:ascii="Arial" w:eastAsia="Times New Roman" w:hAnsi="Arial" w:cs="Arial"/>
          <w:color w:val="000000"/>
          <w:sz w:val="18"/>
          <w:szCs w:val="18"/>
        </w:rPr>
        <w:br/>
      </w:r>
      <w:r w:rsidR="00DB57BF" w:rsidRPr="00DB57BF">
        <w:rPr>
          <w:rFonts w:ascii="Arial" w:eastAsia="Times New Roman" w:hAnsi="Arial" w:cs="Arial"/>
          <w:color w:val="000000"/>
          <w:sz w:val="18"/>
          <w:szCs w:val="18"/>
        </w:rPr>
        <w:br/>
      </w:r>
      <w:proofErr w:type="gramStart"/>
      <w:r w:rsidR="00DB57BF" w:rsidRPr="00DB57BF">
        <w:rPr>
          <w:rFonts w:ascii="Arial" w:eastAsia="Times New Roman" w:hAnsi="Arial" w:cs="Arial"/>
          <w:b/>
          <w:bCs/>
          <w:color w:val="D53500"/>
          <w:sz w:val="18"/>
          <w:szCs w:val="18"/>
        </w:rPr>
        <w:t>Who</w:t>
      </w:r>
      <w:proofErr w:type="gramEnd"/>
      <w:r w:rsidR="00DB57BF" w:rsidRPr="00DB57BF">
        <w:rPr>
          <w:rFonts w:ascii="Arial" w:eastAsia="Times New Roman" w:hAnsi="Arial" w:cs="Arial"/>
          <w:b/>
          <w:bCs/>
          <w:color w:val="D53500"/>
          <w:sz w:val="18"/>
          <w:szCs w:val="18"/>
        </w:rPr>
        <w:t xml:space="preserve"> Are The Various Intermediaries In A Public Issue? </w:t>
      </w:r>
      <w:r w:rsidR="00DB57BF" w:rsidRPr="00DB57BF">
        <w:rPr>
          <w:rFonts w:ascii="Arial" w:eastAsia="Times New Roman" w:hAnsi="Arial" w:cs="Arial"/>
          <w:color w:val="000000"/>
          <w:sz w:val="18"/>
          <w:szCs w:val="18"/>
        </w:rPr>
        <w:br/>
        <w:t xml:space="preserve">The Issuing Company has to appoint various intermediaries for the issue process. The various intermediaries involved are: </w:t>
      </w:r>
    </w:p>
    <w:p w:rsidR="00DB57BF" w:rsidRPr="00DB57BF" w:rsidRDefault="00DB57BF" w:rsidP="00DB57BF">
      <w:pPr>
        <w:numPr>
          <w:ilvl w:val="0"/>
          <w:numId w:val="5"/>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Book Running Lead Managers (BRLMs) </w:t>
      </w:r>
    </w:p>
    <w:p w:rsidR="00DB57BF" w:rsidRPr="00DB57BF" w:rsidRDefault="00DB57BF" w:rsidP="00DB57BF">
      <w:pPr>
        <w:numPr>
          <w:ilvl w:val="0"/>
          <w:numId w:val="5"/>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lastRenderedPageBreak/>
        <w:t xml:space="preserve">Bankers to the Issue </w:t>
      </w:r>
    </w:p>
    <w:p w:rsidR="00DB57BF" w:rsidRPr="00DB57BF" w:rsidRDefault="00DB57BF" w:rsidP="00DB57BF">
      <w:pPr>
        <w:numPr>
          <w:ilvl w:val="0"/>
          <w:numId w:val="5"/>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Underwriters </w:t>
      </w:r>
    </w:p>
    <w:p w:rsidR="00DB57BF" w:rsidRPr="00DB57BF" w:rsidRDefault="00DB57BF" w:rsidP="00DB57BF">
      <w:pPr>
        <w:numPr>
          <w:ilvl w:val="0"/>
          <w:numId w:val="5"/>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Registrars to the Issue etc. </w:t>
      </w:r>
    </w:p>
    <w:p w:rsidR="00DB57BF" w:rsidRPr="00DB57BF" w:rsidRDefault="00DB57BF" w:rsidP="00DB57BF">
      <w:pPr>
        <w:spacing w:after="240"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What Is The Role Of The Intermediaries? </w:t>
      </w:r>
      <w:r w:rsidRPr="00DB57BF">
        <w:rPr>
          <w:rFonts w:ascii="Arial" w:eastAsia="Times New Roman" w:hAnsi="Arial" w:cs="Arial"/>
          <w:color w:val="000000"/>
          <w:sz w:val="18"/>
          <w:szCs w:val="18"/>
        </w:rPr>
        <w:br/>
        <w:t xml:space="preserve">Book Running Lead Managers: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t xml:space="preserve">The Company issuing shares appoints the BRLM or the Lead Merchant Bankers. The role of the BRLM can be divided into two parts, viz., Pre Issue and Post Issue. The Pre Issue role includes compliance with the stipulated requirements of the SEBI and other regulatory authorities, completion of formalities for listing on the Stock Exchanges, appointing of various agencies such as advertising agencies, printers, underwriters, registrars, bankers etc.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t xml:space="preserve">Post Issue activities include management of escrow accounts, deciding the final issue price, final allotment, ensuring proper dispatch of refunds, allotment letters and ensuring that each agency is carrying out their part properly. </w:t>
      </w:r>
      <w:r w:rsidRPr="00DB57BF">
        <w:rPr>
          <w:rFonts w:ascii="Arial" w:eastAsia="Times New Roman" w:hAnsi="Arial" w:cs="Arial"/>
          <w:color w:val="000000"/>
          <w:sz w:val="18"/>
          <w:szCs w:val="18"/>
        </w:rPr>
        <w:br/>
        <w:t xml:space="preserve">B </w:t>
      </w:r>
      <w:r w:rsidRPr="00DB57BF">
        <w:rPr>
          <w:rFonts w:ascii="Arial" w:eastAsia="Times New Roman" w:hAnsi="Arial" w:cs="Arial"/>
          <w:b/>
          <w:bCs/>
          <w:color w:val="D53500"/>
          <w:sz w:val="18"/>
          <w:szCs w:val="18"/>
        </w:rPr>
        <w:t xml:space="preserve">Bankers to the Issue: </w:t>
      </w:r>
      <w:r w:rsidRPr="00DB57BF">
        <w:rPr>
          <w:rFonts w:ascii="Arial" w:eastAsia="Times New Roman" w:hAnsi="Arial" w:cs="Arial"/>
          <w:color w:val="000000"/>
          <w:sz w:val="18"/>
          <w:szCs w:val="18"/>
        </w:rPr>
        <w:br/>
        <w:t xml:space="preserve">Bankers to the issue, as the name suggests, carry out all the activities of ensuring that the funds are collected and transferred to the Escrow accounts.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Registrars to the Issue: </w:t>
      </w:r>
      <w:r w:rsidRPr="00DB57BF">
        <w:rPr>
          <w:rFonts w:ascii="Arial" w:eastAsia="Times New Roman" w:hAnsi="Arial" w:cs="Arial"/>
          <w:color w:val="000000"/>
          <w:sz w:val="18"/>
          <w:szCs w:val="18"/>
        </w:rPr>
        <w:br/>
        <w:t xml:space="preserve">The Registrar finalizes the list of eligible </w:t>
      </w:r>
      <w:proofErr w:type="spellStart"/>
      <w:r w:rsidRPr="00DB57BF">
        <w:rPr>
          <w:rFonts w:ascii="Arial" w:eastAsia="Times New Roman" w:hAnsi="Arial" w:cs="Arial"/>
          <w:color w:val="000000"/>
          <w:sz w:val="18"/>
          <w:szCs w:val="18"/>
        </w:rPr>
        <w:t>allottees</w:t>
      </w:r>
      <w:proofErr w:type="spellEnd"/>
      <w:r w:rsidRPr="00DB57BF">
        <w:rPr>
          <w:rFonts w:ascii="Arial" w:eastAsia="Times New Roman" w:hAnsi="Arial" w:cs="Arial"/>
          <w:color w:val="000000"/>
          <w:sz w:val="18"/>
          <w:szCs w:val="18"/>
        </w:rPr>
        <w:t xml:space="preserve"> after deleting invalid applications and ensures that the corporate action for crediting shares to the </w:t>
      </w:r>
      <w:proofErr w:type="spellStart"/>
      <w:r w:rsidRPr="00DB57BF">
        <w:rPr>
          <w:rFonts w:ascii="Arial" w:eastAsia="Times New Roman" w:hAnsi="Arial" w:cs="Arial"/>
          <w:color w:val="000000"/>
          <w:sz w:val="18"/>
          <w:szCs w:val="18"/>
        </w:rPr>
        <w:t>demat</w:t>
      </w:r>
      <w:proofErr w:type="spellEnd"/>
      <w:r w:rsidRPr="00DB57BF">
        <w:rPr>
          <w:rFonts w:ascii="Arial" w:eastAsia="Times New Roman" w:hAnsi="Arial" w:cs="Arial"/>
          <w:color w:val="000000"/>
          <w:sz w:val="18"/>
          <w:szCs w:val="18"/>
        </w:rPr>
        <w:t xml:space="preserve"> accounts of the applicants is done and the refund orders, where applicable, are sent.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Underwriters to the Issue: </w:t>
      </w:r>
      <w:r w:rsidRPr="00DB57BF">
        <w:rPr>
          <w:rFonts w:ascii="Arial" w:eastAsia="Times New Roman" w:hAnsi="Arial" w:cs="Arial"/>
          <w:color w:val="000000"/>
          <w:sz w:val="18"/>
          <w:szCs w:val="18"/>
        </w:rPr>
        <w:br/>
        <w:t xml:space="preserve">An investment banking firm enters into a contract with the issuer to distribute securities to the investing public. They get an Underwriting Commission for their services. In case of under subscription, they have the obligation to subscribe to the left over portion.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Underwriters to the Issue: </w:t>
      </w:r>
      <w:r w:rsidRPr="00DB57BF">
        <w:rPr>
          <w:rFonts w:ascii="Arial" w:eastAsia="Times New Roman" w:hAnsi="Arial" w:cs="Arial"/>
          <w:color w:val="000000"/>
          <w:sz w:val="18"/>
          <w:szCs w:val="18"/>
        </w:rPr>
        <w:br/>
        <w:t xml:space="preserve">An investment banking firm enters into a contract with the issuer to distribute securities to the investing public. They get an Underwriting Commission for their services. In case of under subscription, they have the obligation to subscribe to the left over portion.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Benefits &amp; Drawbacks of Investing in the Primary Market</w:t>
      </w:r>
      <w:r w:rsidRPr="00DB57BF">
        <w:rPr>
          <w:rFonts w:ascii="Arial" w:eastAsia="Times New Roman" w:hAnsi="Arial" w:cs="Arial"/>
          <w:color w:val="000000"/>
          <w:sz w:val="18"/>
          <w:szCs w:val="18"/>
        </w:rPr>
        <w:t xml:space="preserve"> </w:t>
      </w:r>
      <w:r w:rsidRPr="00DB57BF">
        <w:rPr>
          <w:rFonts w:ascii="Arial" w:eastAsia="Times New Roman" w:hAnsi="Arial" w:cs="Arial"/>
          <w:color w:val="000000"/>
          <w:sz w:val="18"/>
          <w:szCs w:val="18"/>
        </w:rPr>
        <w:br/>
        <w:t xml:space="preserve">Investing in the primary market has its own benefit and drawbacks. Some of the key benefits are: </w:t>
      </w:r>
    </w:p>
    <w:p w:rsidR="00DB57BF" w:rsidRPr="00DB57BF" w:rsidRDefault="00DB57BF" w:rsidP="00DB57BF">
      <w:pPr>
        <w:numPr>
          <w:ilvl w:val="0"/>
          <w:numId w:val="6"/>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lastRenderedPageBreak/>
        <w:t xml:space="preserve">It is safer to invest in the primary markets than in the secondary markets as the scope for manipulation of price is smaller. </w:t>
      </w:r>
    </w:p>
    <w:p w:rsidR="00DB57BF" w:rsidRPr="00DB57BF" w:rsidRDefault="00DB57BF" w:rsidP="00DB57BF">
      <w:pPr>
        <w:numPr>
          <w:ilvl w:val="0"/>
          <w:numId w:val="6"/>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The investor does not have to pay any kind of brokerage or transaction fees or any tax such as service tax, stamp duty and STT. </w:t>
      </w:r>
    </w:p>
    <w:p w:rsidR="00DB57BF" w:rsidRPr="00DB57BF" w:rsidRDefault="00DB57BF" w:rsidP="00DB57BF">
      <w:pPr>
        <w:numPr>
          <w:ilvl w:val="0"/>
          <w:numId w:val="6"/>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No need to time the market as all investors will get the shares at the same price. </w:t>
      </w:r>
    </w:p>
    <w:p w:rsidR="00DB57BF" w:rsidRPr="00DB57BF" w:rsidRDefault="00DB57BF" w:rsidP="00DB57BF">
      <w:pPr>
        <w:spacing w:after="0"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br/>
      </w:r>
      <w:r w:rsidRPr="00DB57BF">
        <w:rPr>
          <w:rFonts w:ascii="Arial" w:eastAsia="Times New Roman" w:hAnsi="Arial" w:cs="Arial"/>
          <w:b/>
          <w:bCs/>
          <w:color w:val="000000"/>
          <w:sz w:val="18"/>
          <w:szCs w:val="18"/>
        </w:rPr>
        <w:t xml:space="preserve">Some of the major drawbacks are as following: </w:t>
      </w:r>
    </w:p>
    <w:p w:rsidR="00DB57BF" w:rsidRPr="00DB57BF" w:rsidRDefault="00DB57BF" w:rsidP="00DB57BF">
      <w:pPr>
        <w:numPr>
          <w:ilvl w:val="0"/>
          <w:numId w:val="7"/>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In case of over subscription, the shares are allotted in proportionate basis. Thus, small investors hardly get any allotment in such a case. </w:t>
      </w:r>
    </w:p>
    <w:p w:rsidR="00DB57BF" w:rsidRPr="00DB57BF" w:rsidRDefault="00DB57BF" w:rsidP="00DB57BF">
      <w:pPr>
        <w:numPr>
          <w:ilvl w:val="0"/>
          <w:numId w:val="7"/>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Money is locked for a long time and the shares are allotted after a few days where as in case of purchase from the secondary market the shares are credited within three working days. </w:t>
      </w:r>
    </w:p>
    <w:p w:rsidR="00DB57BF" w:rsidRPr="00DB57BF" w:rsidRDefault="00DB57BF" w:rsidP="00DB57BF">
      <w:pPr>
        <w:spacing w:after="0"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Classification of Issue </w:t>
      </w:r>
      <w:r w:rsidRPr="00DB57BF">
        <w:rPr>
          <w:rFonts w:ascii="Arial" w:eastAsia="Times New Roman" w:hAnsi="Arial" w:cs="Arial"/>
          <w:color w:val="000000"/>
          <w:sz w:val="18"/>
          <w:szCs w:val="18"/>
        </w:rPr>
        <w:br/>
        <w:t xml:space="preserve">Procedure of arriving at the issue price: </w:t>
      </w:r>
    </w:p>
    <w:p w:rsidR="00DB57BF" w:rsidRPr="00DB57BF" w:rsidRDefault="00DB57BF" w:rsidP="00DB57BF">
      <w:pPr>
        <w:numPr>
          <w:ilvl w:val="0"/>
          <w:numId w:val="8"/>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Fixed Price </w:t>
      </w:r>
    </w:p>
    <w:p w:rsidR="00DB57BF" w:rsidRPr="00DB57BF" w:rsidRDefault="00DB57BF" w:rsidP="00DB57BF">
      <w:pPr>
        <w:numPr>
          <w:ilvl w:val="0"/>
          <w:numId w:val="8"/>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Book Building </w:t>
      </w:r>
    </w:p>
    <w:p w:rsidR="00DB57BF" w:rsidRPr="00DB57BF" w:rsidRDefault="00DB57BF" w:rsidP="00DB57BF">
      <w:pPr>
        <w:spacing w:after="0" w:line="420" w:lineRule="auto"/>
        <w:rPr>
          <w:rFonts w:ascii="Arial" w:eastAsia="Times New Roman" w:hAnsi="Arial" w:cs="Arial"/>
          <w:color w:val="000000"/>
          <w:sz w:val="18"/>
          <w:szCs w:val="18"/>
        </w:rPr>
      </w:pPr>
      <w:r w:rsidRPr="00DB57BF">
        <w:rPr>
          <w:rFonts w:ascii="Arial" w:eastAsia="Times New Roman" w:hAnsi="Arial" w:cs="Arial"/>
          <w:b/>
          <w:bCs/>
          <w:color w:val="D53500"/>
          <w:sz w:val="18"/>
          <w:szCs w:val="18"/>
        </w:rPr>
        <w:t xml:space="preserve">Fixed Price: </w:t>
      </w:r>
      <w:r w:rsidRPr="00DB57BF">
        <w:rPr>
          <w:rFonts w:ascii="Arial" w:eastAsia="Times New Roman" w:hAnsi="Arial" w:cs="Arial"/>
          <w:color w:val="000000"/>
          <w:sz w:val="18"/>
          <w:szCs w:val="18"/>
        </w:rPr>
        <w:br/>
        <w:t xml:space="preserve">Any IPO can be priced by two methods. Firstly, where the issuing company, in consultation with the BRLM, arrives at a fixed price at which it offers the shares to the public. In the second method, the company and the BRLM fix a floor and cap price for the issue. This range is called the price band. Investors are free to bid at any price in this range. The final price is determined by market forces according to the demand for the issuing company’s shares. This is called the Book Building Process.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Book Building: </w:t>
      </w:r>
      <w:r w:rsidRPr="00DB57BF">
        <w:rPr>
          <w:rFonts w:ascii="Arial" w:eastAsia="Times New Roman" w:hAnsi="Arial" w:cs="Arial"/>
          <w:color w:val="000000"/>
          <w:sz w:val="18"/>
          <w:szCs w:val="18"/>
        </w:rPr>
        <w:br/>
        <w:t xml:space="preserve">In case of a book building IPO, the offer must be open for at least three days. The BRLM declares the issue price before the allotment, which must be completed within 15 days from the closure of the IPO. The shares should get credited to the respective bidders’ </w:t>
      </w:r>
      <w:proofErr w:type="spellStart"/>
      <w:r w:rsidRPr="00DB57BF">
        <w:rPr>
          <w:rFonts w:ascii="Arial" w:eastAsia="Times New Roman" w:hAnsi="Arial" w:cs="Arial"/>
          <w:color w:val="000000"/>
          <w:sz w:val="18"/>
          <w:szCs w:val="18"/>
        </w:rPr>
        <w:t>de</w:t>
      </w:r>
      <w:proofErr w:type="spellEnd"/>
      <w:r w:rsidRPr="00DB57BF">
        <w:rPr>
          <w:rFonts w:ascii="Arial" w:eastAsia="Times New Roman" w:hAnsi="Arial" w:cs="Arial"/>
          <w:color w:val="000000"/>
          <w:sz w:val="18"/>
          <w:szCs w:val="18"/>
        </w:rPr>
        <w:t xml:space="preserve">-mat account within two working days from the date of allotment. The refund orders are also dispatched within this time.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Category of investors who can invest in an IPO: </w:t>
      </w:r>
      <w:r w:rsidRPr="00DB57BF">
        <w:rPr>
          <w:rFonts w:ascii="Arial" w:eastAsia="Times New Roman" w:hAnsi="Arial" w:cs="Arial"/>
          <w:color w:val="000000"/>
          <w:sz w:val="18"/>
          <w:szCs w:val="18"/>
        </w:rPr>
        <w:br/>
        <w:t xml:space="preserve">As far as the IPO is concerned, there are three categories of investors. </w:t>
      </w:r>
    </w:p>
    <w:p w:rsidR="00DB57BF" w:rsidRPr="00DB57BF" w:rsidRDefault="00DB57BF" w:rsidP="00DB57BF">
      <w:pPr>
        <w:numPr>
          <w:ilvl w:val="0"/>
          <w:numId w:val="9"/>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Qualified Institutional Bidders. </w:t>
      </w:r>
    </w:p>
    <w:p w:rsidR="00DB57BF" w:rsidRPr="00DB57BF" w:rsidRDefault="00DB57BF" w:rsidP="00DB57BF">
      <w:pPr>
        <w:numPr>
          <w:ilvl w:val="0"/>
          <w:numId w:val="9"/>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lastRenderedPageBreak/>
        <w:t xml:space="preserve">Non-Institutional Investors. </w:t>
      </w:r>
    </w:p>
    <w:p w:rsidR="00DB57BF" w:rsidRPr="00DB57BF" w:rsidRDefault="00DB57BF" w:rsidP="00DB57BF">
      <w:pPr>
        <w:numPr>
          <w:ilvl w:val="0"/>
          <w:numId w:val="9"/>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Retail Investors. </w:t>
      </w:r>
    </w:p>
    <w:p w:rsidR="00EF183F" w:rsidRPr="00EF183F" w:rsidRDefault="00DB57BF" w:rsidP="00DB57BF">
      <w:pPr>
        <w:spacing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Qualified Institutional Investors: </w:t>
      </w:r>
      <w:r w:rsidRPr="00DB57BF">
        <w:rPr>
          <w:rFonts w:ascii="Arial" w:eastAsia="Times New Roman" w:hAnsi="Arial" w:cs="Arial"/>
          <w:color w:val="000000"/>
          <w:sz w:val="18"/>
          <w:szCs w:val="18"/>
        </w:rPr>
        <w:br/>
        <w:t xml:space="preserve">Under this head, financial institutions such as Banks, Mutual funds, Insurance companies, Foreign Institutional investors etc. are permitted to bid for the shares. A </w:t>
      </w:r>
      <w:proofErr w:type="spellStart"/>
      <w:r w:rsidRPr="00DB57BF">
        <w:rPr>
          <w:rFonts w:ascii="Arial" w:eastAsia="Times New Roman" w:hAnsi="Arial" w:cs="Arial"/>
          <w:color w:val="000000"/>
          <w:sz w:val="18"/>
          <w:szCs w:val="18"/>
        </w:rPr>
        <w:t>mMaximum</w:t>
      </w:r>
      <w:proofErr w:type="spellEnd"/>
      <w:r w:rsidRPr="00DB57BF">
        <w:rPr>
          <w:rFonts w:ascii="Arial" w:eastAsia="Times New Roman" w:hAnsi="Arial" w:cs="Arial"/>
          <w:color w:val="000000"/>
          <w:sz w:val="18"/>
          <w:szCs w:val="18"/>
        </w:rPr>
        <w:t xml:space="preserve"> of 50% of the issue can be kept reserved for investors falling under the QIB category. Out of the 50% shares, 5% are reserved for Mutual Funds.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Non-Institutional Investors: </w:t>
      </w:r>
      <w:r w:rsidRPr="00DB57BF">
        <w:rPr>
          <w:rFonts w:ascii="Arial" w:eastAsia="Times New Roman" w:hAnsi="Arial" w:cs="Arial"/>
          <w:color w:val="000000"/>
          <w:sz w:val="18"/>
          <w:szCs w:val="18"/>
        </w:rPr>
        <w:br/>
        <w:t xml:space="preserve">Under this category, resident Indian individuals, </w:t>
      </w:r>
      <w:proofErr w:type="spellStart"/>
      <w:r w:rsidRPr="00DB57BF">
        <w:rPr>
          <w:rFonts w:ascii="Arial" w:eastAsia="Times New Roman" w:hAnsi="Arial" w:cs="Arial"/>
          <w:color w:val="000000"/>
          <w:sz w:val="18"/>
          <w:szCs w:val="18"/>
        </w:rPr>
        <w:t>HUFsS</w:t>
      </w:r>
      <w:proofErr w:type="spellEnd"/>
      <w:r w:rsidRPr="00DB57BF">
        <w:rPr>
          <w:rFonts w:ascii="Arial" w:eastAsia="Times New Roman" w:hAnsi="Arial" w:cs="Arial"/>
          <w:color w:val="000000"/>
          <w:sz w:val="18"/>
          <w:szCs w:val="18"/>
        </w:rPr>
        <w:t xml:space="preserve">, companies, corporate bodies, NRIs, societies and trusts whose application size in terms of value is more than Rs 1 </w:t>
      </w:r>
      <w:proofErr w:type="spellStart"/>
      <w:r w:rsidRPr="00DB57BF">
        <w:rPr>
          <w:rFonts w:ascii="Arial" w:eastAsia="Times New Roman" w:hAnsi="Arial" w:cs="Arial"/>
          <w:color w:val="000000"/>
          <w:sz w:val="18"/>
          <w:szCs w:val="18"/>
        </w:rPr>
        <w:t>lakh</w:t>
      </w:r>
      <w:proofErr w:type="spellEnd"/>
      <w:r w:rsidRPr="00DB57BF">
        <w:rPr>
          <w:rFonts w:ascii="Arial" w:eastAsia="Times New Roman" w:hAnsi="Arial" w:cs="Arial"/>
          <w:color w:val="000000"/>
          <w:sz w:val="18"/>
          <w:szCs w:val="18"/>
        </w:rPr>
        <w:t xml:space="preserve"> are allowed to bid. At least 15% of the total issue has to be reserved for Non-Institutional Bidders.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Retail Investors: </w:t>
      </w:r>
      <w:r w:rsidRPr="00DB57BF">
        <w:rPr>
          <w:rFonts w:ascii="Arial" w:eastAsia="Times New Roman" w:hAnsi="Arial" w:cs="Arial"/>
          <w:color w:val="000000"/>
          <w:sz w:val="18"/>
          <w:szCs w:val="18"/>
        </w:rPr>
        <w:br/>
        <w:t xml:space="preserve">Under this category, only Individuals, both Resident and NRIs along with HUFs are allowed to bid. At least 35% of the issue has to be reserved for such investors. The size in terms of value should not exceed Rs 1 </w:t>
      </w:r>
      <w:proofErr w:type="spellStart"/>
      <w:r w:rsidRPr="00DB57BF">
        <w:rPr>
          <w:rFonts w:ascii="Arial" w:eastAsia="Times New Roman" w:hAnsi="Arial" w:cs="Arial"/>
          <w:color w:val="000000"/>
          <w:sz w:val="18"/>
          <w:szCs w:val="18"/>
        </w:rPr>
        <w:t>lakh</w:t>
      </w:r>
      <w:proofErr w:type="spellEnd"/>
      <w:r w:rsidRPr="00DB57BF">
        <w:rPr>
          <w:rFonts w:ascii="Arial" w:eastAsia="Times New Roman" w:hAnsi="Arial" w:cs="Arial"/>
          <w:color w:val="000000"/>
          <w:sz w:val="18"/>
          <w:szCs w:val="18"/>
        </w:rPr>
        <w:t xml:space="preserve"> if one wants to apply under this category.</w:t>
      </w:r>
      <w:r w:rsidR="00EF183F">
        <w:rPr>
          <w:rFonts w:ascii="Arial" w:hAnsi="Arial" w:cs="Arial"/>
          <w:color w:val="000000"/>
          <w:sz w:val="18"/>
          <w:szCs w:val="18"/>
        </w:rPr>
        <w:br/>
      </w:r>
      <w:r w:rsidR="00EF183F">
        <w:rPr>
          <w:rFonts w:ascii="Arial" w:hAnsi="Arial" w:cs="Arial"/>
          <w:color w:val="000000"/>
          <w:sz w:val="18"/>
          <w:szCs w:val="18"/>
        </w:rPr>
        <w:br/>
      </w:r>
      <w:r w:rsidR="00EF183F">
        <w:rPr>
          <w:rFonts w:ascii="Arial" w:hAnsi="Arial" w:cs="Arial"/>
          <w:b/>
          <w:bCs/>
          <w:color w:val="D53500"/>
        </w:rPr>
        <w:t>How are share prices determined?</w:t>
      </w:r>
      <w:r w:rsidR="00EF183F">
        <w:rPr>
          <w:rFonts w:ascii="Arial" w:hAnsi="Arial" w:cs="Arial"/>
          <w:b/>
          <w:bCs/>
          <w:color w:val="D53500"/>
        </w:rPr>
        <w:br/>
      </w:r>
      <w:r w:rsidR="00EF183F">
        <w:rPr>
          <w:rFonts w:ascii="Arial" w:hAnsi="Arial" w:cs="Arial"/>
          <w:color w:val="000000"/>
          <w:sz w:val="18"/>
          <w:szCs w:val="18"/>
        </w:rPr>
        <w:t>The share prices, the prices at which the shares trade are determined by supply and demand. If there are more buyers than sellers, then the price will rise and if there are more sellers than buyers it will fall. In turn that supply and demand is determined by a number of other factors including</w:t>
      </w:r>
      <w:proofErr w:type="gramStart"/>
      <w:r w:rsidR="00EF183F">
        <w:rPr>
          <w:rFonts w:ascii="Arial" w:hAnsi="Arial" w:cs="Arial"/>
          <w:color w:val="000000"/>
          <w:sz w:val="18"/>
          <w:szCs w:val="18"/>
        </w:rPr>
        <w:t>:</w:t>
      </w:r>
      <w:proofErr w:type="gramEnd"/>
      <w:r w:rsidR="00EF183F">
        <w:rPr>
          <w:rFonts w:ascii="Arial" w:hAnsi="Arial" w:cs="Arial"/>
          <w:color w:val="000000"/>
          <w:sz w:val="18"/>
          <w:szCs w:val="18"/>
        </w:rPr>
        <w:br/>
      </w:r>
      <w:r w:rsidR="00EF183F" w:rsidRPr="00EF183F">
        <w:rPr>
          <w:rFonts w:ascii="Arial" w:eastAsia="Times New Roman" w:hAnsi="Arial" w:cs="Arial"/>
          <w:b/>
          <w:bCs/>
          <w:color w:val="000000"/>
          <w:sz w:val="18"/>
          <w:szCs w:val="18"/>
        </w:rPr>
        <w:t>General market sentiment</w:t>
      </w:r>
      <w:r w:rsidR="00EF183F" w:rsidRPr="00EF183F">
        <w:rPr>
          <w:rFonts w:ascii="Arial" w:eastAsia="Times New Roman" w:hAnsi="Arial" w:cs="Arial"/>
          <w:color w:val="000000"/>
          <w:sz w:val="18"/>
          <w:szCs w:val="18"/>
        </w:rPr>
        <w:t xml:space="preserve"> </w:t>
      </w:r>
    </w:p>
    <w:p w:rsidR="00EF183F" w:rsidRPr="00EF183F" w:rsidRDefault="00EF183F" w:rsidP="00EF183F">
      <w:pPr>
        <w:numPr>
          <w:ilvl w:val="0"/>
          <w:numId w:val="4"/>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color w:val="000000"/>
          <w:sz w:val="18"/>
          <w:szCs w:val="18"/>
        </w:rPr>
        <w:t xml:space="preserve">Movements on international markets </w:t>
      </w:r>
    </w:p>
    <w:p w:rsidR="00EF183F" w:rsidRPr="00EF183F" w:rsidRDefault="00EF183F" w:rsidP="00EF183F">
      <w:pPr>
        <w:numPr>
          <w:ilvl w:val="0"/>
          <w:numId w:val="4"/>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color w:val="000000"/>
          <w:sz w:val="18"/>
          <w:szCs w:val="18"/>
        </w:rPr>
        <w:t xml:space="preserve">Economic events and Government decisions </w:t>
      </w:r>
    </w:p>
    <w:p w:rsidR="00EF183F" w:rsidRPr="00EF183F" w:rsidRDefault="00EF183F" w:rsidP="00EF183F">
      <w:pPr>
        <w:numPr>
          <w:ilvl w:val="0"/>
          <w:numId w:val="4"/>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color w:val="000000"/>
          <w:sz w:val="18"/>
          <w:szCs w:val="18"/>
        </w:rPr>
        <w:t xml:space="preserve">Company news and performances </w:t>
      </w:r>
    </w:p>
    <w:p w:rsidR="00EF183F" w:rsidRPr="00EF183F" w:rsidRDefault="00EF183F" w:rsidP="00EF183F">
      <w:pPr>
        <w:numPr>
          <w:ilvl w:val="0"/>
          <w:numId w:val="4"/>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color w:val="000000"/>
          <w:sz w:val="18"/>
          <w:szCs w:val="18"/>
        </w:rPr>
        <w:t xml:space="preserve">Interest rates </w:t>
      </w:r>
    </w:p>
    <w:p w:rsidR="00EF183F" w:rsidRPr="00EF183F" w:rsidRDefault="00EF183F" w:rsidP="00EF183F">
      <w:pPr>
        <w:numPr>
          <w:ilvl w:val="0"/>
          <w:numId w:val="4"/>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color w:val="000000"/>
          <w:sz w:val="18"/>
          <w:szCs w:val="18"/>
        </w:rPr>
        <w:t xml:space="preserve">Speculation and </w:t>
      </w:r>
      <w:proofErr w:type="spellStart"/>
      <w:r w:rsidRPr="00EF183F">
        <w:rPr>
          <w:rFonts w:ascii="Arial" w:eastAsia="Times New Roman" w:hAnsi="Arial" w:cs="Arial"/>
          <w:color w:val="000000"/>
          <w:sz w:val="18"/>
          <w:szCs w:val="18"/>
        </w:rPr>
        <w:t>rumour</w:t>
      </w:r>
      <w:proofErr w:type="spellEnd"/>
      <w:r w:rsidRPr="00EF183F">
        <w:rPr>
          <w:rFonts w:ascii="Arial" w:eastAsia="Times New Roman" w:hAnsi="Arial" w:cs="Arial"/>
          <w:color w:val="000000"/>
          <w:sz w:val="18"/>
          <w:szCs w:val="18"/>
        </w:rPr>
        <w:t xml:space="preserve"> </w:t>
      </w:r>
    </w:p>
    <w:p w:rsidR="00EF183F" w:rsidRPr="00EF183F" w:rsidRDefault="00EF183F" w:rsidP="00EF183F">
      <w:pPr>
        <w:spacing w:before="100" w:beforeAutospacing="1" w:after="100" w:afterAutospacing="1" w:line="420" w:lineRule="auto"/>
        <w:rPr>
          <w:rFonts w:ascii="Arial" w:eastAsia="Times New Roman" w:hAnsi="Arial" w:cs="Arial"/>
          <w:color w:val="000000"/>
          <w:sz w:val="18"/>
          <w:szCs w:val="18"/>
        </w:rPr>
      </w:pPr>
    </w:p>
    <w:p w:rsidR="00EF183F" w:rsidRPr="00DB57BF" w:rsidRDefault="00EF183F" w:rsidP="00EF183F">
      <w:pPr>
        <w:numPr>
          <w:ilvl w:val="0"/>
          <w:numId w:val="1"/>
        </w:numPr>
        <w:spacing w:before="100" w:beforeAutospacing="1" w:after="100" w:afterAutospacing="1" w:line="420" w:lineRule="auto"/>
        <w:rPr>
          <w:rFonts w:ascii="Arial" w:eastAsia="Times New Roman" w:hAnsi="Arial" w:cs="Arial"/>
          <w:color w:val="000000"/>
          <w:sz w:val="18"/>
          <w:szCs w:val="18"/>
        </w:rPr>
      </w:pPr>
      <w:r w:rsidRPr="00EF183F">
        <w:rPr>
          <w:rFonts w:ascii="Arial" w:eastAsia="Times New Roman" w:hAnsi="Arial" w:cs="Arial"/>
          <w:b/>
          <w:bCs/>
          <w:color w:val="000000"/>
          <w:sz w:val="18"/>
          <w:szCs w:val="18"/>
        </w:rPr>
        <w:t>1.2 Secondary markets</w:t>
      </w:r>
      <w:proofErr w:type="gramStart"/>
      <w:r w:rsidRPr="00EF183F">
        <w:rPr>
          <w:rFonts w:ascii="Arial" w:eastAsia="Times New Roman" w:hAnsi="Arial" w:cs="Arial"/>
          <w:b/>
          <w:bCs/>
          <w:color w:val="000000"/>
          <w:sz w:val="18"/>
          <w:szCs w:val="18"/>
        </w:rPr>
        <w:t>:</w:t>
      </w:r>
      <w:proofErr w:type="gramEnd"/>
      <w:r w:rsidRPr="00EF183F">
        <w:rPr>
          <w:rFonts w:ascii="Arial" w:eastAsia="Times New Roman" w:hAnsi="Arial" w:cs="Arial"/>
          <w:color w:val="000000"/>
          <w:sz w:val="18"/>
          <w:szCs w:val="18"/>
        </w:rPr>
        <w:br/>
        <w:t xml:space="preserve">The </w:t>
      </w:r>
      <w:hyperlink r:id="rId7" w:history="1">
        <w:r w:rsidRPr="00EF183F">
          <w:rPr>
            <w:rFonts w:ascii="Arial" w:eastAsia="Times New Roman" w:hAnsi="Arial" w:cs="Arial"/>
            <w:b/>
            <w:bCs/>
            <w:color w:val="003399"/>
            <w:sz w:val="18"/>
          </w:rPr>
          <w:t>secondary market</w:t>
        </w:r>
      </w:hyperlink>
      <w:r w:rsidRPr="00EF183F">
        <w:rPr>
          <w:rFonts w:ascii="Arial" w:eastAsia="Times New Roman" w:hAnsi="Arial" w:cs="Arial"/>
          <w:color w:val="000000"/>
          <w:sz w:val="18"/>
          <w:szCs w:val="18"/>
        </w:rPr>
        <w:t xml:space="preserve"> is the financial market for trading of securities that have already been issued in an initial private or public offering. In the secondary market, securities are sold by and transferred from one investor or speculator to another.</w:t>
      </w:r>
      <w:r w:rsidRPr="00EF183F">
        <w:rPr>
          <w:rFonts w:ascii="Arial" w:eastAsia="Times New Roman" w:hAnsi="Arial" w:cs="Arial"/>
          <w:color w:val="000000"/>
          <w:sz w:val="18"/>
          <w:szCs w:val="18"/>
        </w:rPr>
        <w:br/>
      </w:r>
      <w:r w:rsidRPr="00EF183F">
        <w:rPr>
          <w:rFonts w:ascii="Arial" w:hAnsi="Arial" w:cs="Arial"/>
          <w:color w:val="000000"/>
          <w:sz w:val="18"/>
          <w:szCs w:val="18"/>
        </w:rPr>
        <w:lastRenderedPageBreak/>
        <w:t>The secondary market is where you can purchase securities from the seller as opposed to the issuer of such a security. Hence securities that are initially issued in the primary market by companies are traded on the secondary market.</w:t>
      </w:r>
      <w:r w:rsidRPr="00EF183F">
        <w:rPr>
          <w:rFonts w:ascii="Arial" w:hAnsi="Arial" w:cs="Arial"/>
          <w:color w:val="000000"/>
          <w:sz w:val="18"/>
          <w:szCs w:val="18"/>
        </w:rPr>
        <w:br/>
        <w:t xml:space="preserve">The secondary market comprises of broad segments such as Equity, </w:t>
      </w:r>
      <w:hyperlink r:id="rId8" w:history="1">
        <w:r w:rsidRPr="00EF183F">
          <w:rPr>
            <w:rStyle w:val="Hyperlink"/>
            <w:rFonts w:ascii="Arial" w:hAnsi="Arial" w:cs="Arial"/>
            <w:b/>
            <w:bCs/>
            <w:i/>
            <w:iCs/>
            <w:color w:val="003399"/>
            <w:sz w:val="18"/>
            <w:szCs w:val="18"/>
            <w:u w:val="none"/>
          </w:rPr>
          <w:t>Debt</w:t>
        </w:r>
      </w:hyperlink>
      <w:r w:rsidRPr="00EF183F">
        <w:rPr>
          <w:rFonts w:ascii="Arial" w:hAnsi="Arial" w:cs="Arial"/>
          <w:color w:val="000000"/>
          <w:sz w:val="18"/>
          <w:szCs w:val="18"/>
        </w:rPr>
        <w:t xml:space="preserve"> and </w:t>
      </w:r>
      <w:hyperlink r:id="rId9" w:history="1">
        <w:r w:rsidRPr="00EF183F">
          <w:rPr>
            <w:rStyle w:val="Hyperlink"/>
            <w:rFonts w:ascii="Arial" w:hAnsi="Arial" w:cs="Arial"/>
            <w:b/>
            <w:bCs/>
            <w:i/>
            <w:iCs/>
            <w:color w:val="003399"/>
            <w:sz w:val="18"/>
            <w:szCs w:val="18"/>
            <w:u w:val="none"/>
          </w:rPr>
          <w:t>Derivatives</w:t>
        </w:r>
      </w:hyperlink>
      <w:r w:rsidRPr="00EF183F">
        <w:rPr>
          <w:rFonts w:ascii="Arial" w:hAnsi="Arial" w:cs="Arial"/>
          <w:color w:val="000000"/>
          <w:sz w:val="18"/>
          <w:szCs w:val="18"/>
        </w:rPr>
        <w:t xml:space="preserve">. Equity shares are the most widely traded form of securities. There are various ways in which equity shares are issued such as IPOs, rights issues and bonuses. </w:t>
      </w:r>
      <w:r w:rsidRPr="00EF183F">
        <w:rPr>
          <w:rFonts w:ascii="Arial" w:hAnsi="Arial" w:cs="Arial"/>
          <w:color w:val="000000"/>
          <w:sz w:val="18"/>
          <w:szCs w:val="18"/>
        </w:rPr>
        <w:br/>
      </w:r>
      <w:r w:rsidRPr="00EF183F">
        <w:rPr>
          <w:rFonts w:ascii="Arial" w:hAnsi="Arial" w:cs="Arial"/>
          <w:color w:val="000000"/>
          <w:sz w:val="18"/>
          <w:szCs w:val="18"/>
        </w:rPr>
        <w:br/>
      </w:r>
      <w:r w:rsidRPr="00EF183F">
        <w:rPr>
          <w:rFonts w:ascii="Arial" w:hAnsi="Arial" w:cs="Arial"/>
          <w:b/>
          <w:bCs/>
          <w:color w:val="D53500"/>
          <w:sz w:val="18"/>
          <w:szCs w:val="18"/>
        </w:rPr>
        <w:t>Who Are The Parties To The Transactions?</w:t>
      </w:r>
      <w:r w:rsidRPr="00EF183F">
        <w:rPr>
          <w:rFonts w:ascii="Arial" w:hAnsi="Arial" w:cs="Arial"/>
          <w:color w:val="D53500"/>
          <w:sz w:val="18"/>
          <w:szCs w:val="18"/>
        </w:rPr>
        <w:t xml:space="preserve"> </w:t>
      </w:r>
      <w:r w:rsidRPr="00EF183F">
        <w:rPr>
          <w:rFonts w:ascii="Arial" w:hAnsi="Arial" w:cs="Arial"/>
          <w:color w:val="000000"/>
          <w:sz w:val="18"/>
          <w:szCs w:val="18"/>
        </w:rPr>
        <w:br/>
        <w:t xml:space="preserve">In the secondary market, there are basically three parties to a transaction. These are buyers, sellers and intermediaries between them. </w:t>
      </w:r>
      <w:r w:rsidRPr="00EF183F">
        <w:rPr>
          <w:rFonts w:ascii="Arial" w:hAnsi="Arial" w:cs="Arial"/>
          <w:color w:val="000000"/>
          <w:sz w:val="18"/>
          <w:szCs w:val="18"/>
        </w:rPr>
        <w:br/>
      </w:r>
      <w:r w:rsidRPr="00EF183F">
        <w:rPr>
          <w:rFonts w:ascii="Arial" w:hAnsi="Arial" w:cs="Arial"/>
          <w:color w:val="000000"/>
          <w:sz w:val="18"/>
          <w:szCs w:val="18"/>
        </w:rPr>
        <w:br/>
        <w:t xml:space="preserve">The first two categories consist of retail investors, high net worth individuals (HNIs), Mutual Fund Houses, </w:t>
      </w:r>
      <w:proofErr w:type="spellStart"/>
      <w:r w:rsidRPr="00EF183F">
        <w:rPr>
          <w:rFonts w:ascii="Arial" w:hAnsi="Arial" w:cs="Arial"/>
          <w:color w:val="000000"/>
          <w:sz w:val="18"/>
          <w:szCs w:val="18"/>
        </w:rPr>
        <w:t>Corporates</w:t>
      </w:r>
      <w:proofErr w:type="spellEnd"/>
      <w:r w:rsidRPr="00EF183F">
        <w:rPr>
          <w:rFonts w:ascii="Arial" w:hAnsi="Arial" w:cs="Arial"/>
          <w:color w:val="000000"/>
          <w:sz w:val="18"/>
          <w:szCs w:val="18"/>
        </w:rPr>
        <w:t xml:space="preserve"> and Institutional Investors, Foreign Institutional Investors etc.</w:t>
      </w:r>
      <w:r w:rsidRPr="00EF183F">
        <w:rPr>
          <w:rFonts w:ascii="Arial" w:hAnsi="Arial" w:cs="Arial"/>
          <w:color w:val="000000"/>
          <w:sz w:val="18"/>
          <w:szCs w:val="18"/>
        </w:rPr>
        <w:br/>
        <w:t xml:space="preserve">Retail investors are individual investors with limited access to funds. They park their surplus funds in equities to earn returns. Equity investments as an investment option for retail investors are considered to be high risk - high return proposals compared to other investment instruments like fixed deposits and post office schemes. </w:t>
      </w:r>
      <w:r w:rsidRPr="00EF183F">
        <w:rPr>
          <w:rFonts w:ascii="Arial" w:hAnsi="Arial" w:cs="Arial"/>
          <w:color w:val="000000"/>
          <w:sz w:val="18"/>
          <w:szCs w:val="18"/>
        </w:rPr>
        <w:br/>
      </w:r>
      <w:r w:rsidRPr="00EF183F">
        <w:rPr>
          <w:rFonts w:ascii="Arial" w:hAnsi="Arial" w:cs="Arial"/>
          <w:color w:val="000000"/>
          <w:sz w:val="18"/>
          <w:szCs w:val="18"/>
        </w:rPr>
        <w:br/>
        <w:t xml:space="preserve">The term ‘high net worth individual’ or HNI is used to refer to individuals and families that are affluent in their wealth holding and consequently have a higher risk profile. It’s a relative term and its comprehension differs in different financial markets and regions. </w:t>
      </w:r>
      <w:r w:rsidRPr="00EF183F">
        <w:rPr>
          <w:rFonts w:ascii="Arial" w:hAnsi="Arial" w:cs="Arial"/>
          <w:color w:val="000000"/>
          <w:sz w:val="18"/>
          <w:szCs w:val="18"/>
        </w:rPr>
        <w:br/>
      </w:r>
      <w:r w:rsidRPr="00EF183F">
        <w:rPr>
          <w:rFonts w:ascii="Arial" w:hAnsi="Arial" w:cs="Arial"/>
          <w:color w:val="000000"/>
          <w:sz w:val="18"/>
          <w:szCs w:val="18"/>
        </w:rPr>
        <w:br/>
        <w:t xml:space="preserve">Mutual funds pool up money of several investors and invest in various asset classes including equities. These returns are distributed among the investors in proportion of the Mutual Fund units held by them. This investment mode has gained a lot of popularity across the world. It is most suitable for investors who lack the skill and acumen to pick up good stocks. </w:t>
      </w:r>
      <w:r w:rsidRPr="00EF183F">
        <w:rPr>
          <w:rFonts w:ascii="Arial" w:hAnsi="Arial" w:cs="Arial"/>
          <w:color w:val="000000"/>
          <w:sz w:val="18"/>
          <w:szCs w:val="18"/>
        </w:rPr>
        <w:br/>
      </w:r>
      <w:r w:rsidRPr="00EF183F">
        <w:rPr>
          <w:rFonts w:ascii="Arial" w:hAnsi="Arial" w:cs="Arial"/>
          <w:color w:val="000000"/>
          <w:sz w:val="18"/>
          <w:szCs w:val="18"/>
        </w:rPr>
        <w:br/>
        <w:t xml:space="preserve">Foreign Institutional Investors (FIIs) are venture capital funds, pension funds, hedge funds, mutual funds and other institutions registered outside the country of the financial market in which they take an investment exposure. </w:t>
      </w:r>
      <w:r w:rsidRPr="00EF183F">
        <w:rPr>
          <w:rFonts w:ascii="Arial" w:hAnsi="Arial" w:cs="Arial"/>
          <w:color w:val="000000"/>
          <w:sz w:val="18"/>
          <w:szCs w:val="18"/>
        </w:rPr>
        <w:br/>
      </w:r>
      <w:r w:rsidRPr="00EF183F">
        <w:rPr>
          <w:rFonts w:ascii="Arial" w:hAnsi="Arial" w:cs="Arial"/>
          <w:color w:val="000000"/>
          <w:sz w:val="18"/>
          <w:szCs w:val="18"/>
        </w:rPr>
        <w:br/>
        <w:t xml:space="preserve">Mutual Funds and FIIs have gained a lot of importance as market participants as they have huge sums of money in their kitty to manage and are often instrumental in giving direction to the stock markets in the short term. Heavy buying or selling on their part plays a substantial part in market rise and fall. </w:t>
      </w:r>
      <w:r w:rsidRPr="00EF183F">
        <w:rPr>
          <w:rFonts w:ascii="Arial" w:hAnsi="Arial" w:cs="Arial"/>
          <w:color w:val="000000"/>
          <w:sz w:val="18"/>
          <w:szCs w:val="18"/>
        </w:rPr>
        <w:br/>
      </w:r>
      <w:r w:rsidRPr="00EF183F">
        <w:rPr>
          <w:rFonts w:ascii="Arial" w:hAnsi="Arial" w:cs="Arial"/>
          <w:color w:val="000000"/>
          <w:sz w:val="18"/>
          <w:szCs w:val="18"/>
        </w:rPr>
        <w:br/>
        <w:t xml:space="preserve">Intermediaries such as stockbrokers, depositories, depository participants and banks facilitate payment of money in share transactions. </w:t>
      </w:r>
      <w:r w:rsidRPr="00EF183F">
        <w:rPr>
          <w:rFonts w:ascii="Arial" w:hAnsi="Arial" w:cs="Arial"/>
          <w:color w:val="000000"/>
          <w:sz w:val="18"/>
          <w:szCs w:val="18"/>
        </w:rPr>
        <w:br/>
      </w:r>
      <w:r w:rsidRPr="00EF183F">
        <w:rPr>
          <w:rFonts w:ascii="Arial" w:hAnsi="Arial" w:cs="Arial"/>
          <w:color w:val="000000"/>
          <w:sz w:val="18"/>
          <w:szCs w:val="18"/>
        </w:rPr>
        <w:lastRenderedPageBreak/>
        <w:br/>
        <w:t xml:space="preserve">Brokerages are entities registered as members with the concerned stock exchange. In turn you, the investor, would be required to enroll with the broker. Brokers charge commission based fees for the services they offer. Sub brokers appointed by main brokers also offer the same services for a fee. </w:t>
      </w:r>
      <w:r w:rsidRPr="00EF183F">
        <w:rPr>
          <w:rFonts w:ascii="Arial" w:hAnsi="Arial" w:cs="Arial"/>
          <w:color w:val="000000"/>
          <w:sz w:val="18"/>
          <w:szCs w:val="18"/>
        </w:rPr>
        <w:br/>
      </w:r>
      <w:r w:rsidRPr="00EF183F">
        <w:rPr>
          <w:rFonts w:ascii="Arial" w:hAnsi="Arial" w:cs="Arial"/>
          <w:color w:val="000000"/>
          <w:sz w:val="18"/>
          <w:szCs w:val="18"/>
        </w:rPr>
        <w:br/>
        <w:t xml:space="preserve">Depositories hold shares for investors in electronic form. Previously shares were held in physical form meaning that there were paper share certificates for shares held. This new system of holding shares through depositories reduces paper work and time and also does away with risks associated with physical certificates such as bad delivery, fake securities etc. There are two depositories in India, the National Securities Depositories Limited (NSDL) and the Central Depositories Services Limited (CDSL). These two depositories provide service to investors through their agents termed as Depository Participants (DPs). As per SEBI regulations, Banks, Financial Institutions and SEBI registered trading members can become DPs. </w:t>
      </w:r>
      <w:r w:rsidRPr="00EF183F">
        <w:rPr>
          <w:rFonts w:ascii="Arial" w:hAnsi="Arial" w:cs="Arial"/>
          <w:color w:val="000000"/>
          <w:sz w:val="18"/>
          <w:szCs w:val="18"/>
        </w:rPr>
        <w:br/>
      </w:r>
      <w:r w:rsidRPr="00EF183F">
        <w:rPr>
          <w:rFonts w:ascii="Arial" w:hAnsi="Arial" w:cs="Arial"/>
          <w:color w:val="000000"/>
          <w:sz w:val="18"/>
          <w:szCs w:val="18"/>
        </w:rPr>
        <w:br/>
      </w:r>
      <w:r w:rsidRPr="00EF183F">
        <w:rPr>
          <w:rFonts w:ascii="Arial" w:hAnsi="Arial" w:cs="Arial"/>
          <w:b/>
          <w:bCs/>
          <w:color w:val="D53500"/>
          <w:sz w:val="18"/>
          <w:szCs w:val="18"/>
        </w:rPr>
        <w:t xml:space="preserve">How Does </w:t>
      </w:r>
      <w:proofErr w:type="gramStart"/>
      <w:r w:rsidRPr="00EF183F">
        <w:rPr>
          <w:rFonts w:ascii="Arial" w:hAnsi="Arial" w:cs="Arial"/>
          <w:b/>
          <w:bCs/>
          <w:color w:val="D53500"/>
          <w:sz w:val="18"/>
          <w:szCs w:val="18"/>
        </w:rPr>
        <w:t>The</w:t>
      </w:r>
      <w:proofErr w:type="gramEnd"/>
      <w:r w:rsidRPr="00EF183F">
        <w:rPr>
          <w:rFonts w:ascii="Arial" w:hAnsi="Arial" w:cs="Arial"/>
          <w:b/>
          <w:bCs/>
          <w:color w:val="D53500"/>
          <w:sz w:val="18"/>
          <w:szCs w:val="18"/>
        </w:rPr>
        <w:t xml:space="preserve"> Secondary Market Function?</w:t>
      </w:r>
      <w:r w:rsidRPr="00EF183F">
        <w:rPr>
          <w:rFonts w:ascii="Arial" w:hAnsi="Arial" w:cs="Arial"/>
          <w:color w:val="D53500"/>
          <w:sz w:val="18"/>
          <w:szCs w:val="18"/>
        </w:rPr>
        <w:t xml:space="preserve"> </w:t>
      </w:r>
      <w:r w:rsidRPr="00EF183F">
        <w:rPr>
          <w:rFonts w:ascii="Arial" w:hAnsi="Arial" w:cs="Arial"/>
          <w:color w:val="000000"/>
          <w:sz w:val="18"/>
          <w:szCs w:val="18"/>
        </w:rPr>
        <w:br/>
        <w:t xml:space="preserve">In order to understand how the secondary markets function we must first be apprised of certain important terms: </w:t>
      </w:r>
      <w:r w:rsidRPr="00EF183F">
        <w:rPr>
          <w:rFonts w:ascii="Arial" w:hAnsi="Arial" w:cs="Arial"/>
          <w:color w:val="000000"/>
          <w:sz w:val="18"/>
          <w:szCs w:val="18"/>
        </w:rPr>
        <w:br/>
      </w:r>
      <w:r w:rsidRPr="00EF183F">
        <w:rPr>
          <w:rFonts w:ascii="Arial" w:hAnsi="Arial" w:cs="Arial"/>
          <w:color w:val="000000"/>
          <w:sz w:val="18"/>
          <w:szCs w:val="18"/>
        </w:rPr>
        <w:br/>
      </w:r>
      <w:r w:rsidRPr="00EF183F">
        <w:rPr>
          <w:rFonts w:ascii="Arial" w:hAnsi="Arial" w:cs="Arial"/>
          <w:b/>
          <w:bCs/>
          <w:color w:val="000000"/>
          <w:sz w:val="18"/>
          <w:szCs w:val="18"/>
        </w:rPr>
        <w:t xml:space="preserve">Price: - </w:t>
      </w:r>
      <w:r w:rsidRPr="00EF183F">
        <w:rPr>
          <w:rFonts w:ascii="Arial" w:hAnsi="Arial" w:cs="Arial"/>
          <w:color w:val="000000"/>
          <w:sz w:val="18"/>
          <w:szCs w:val="18"/>
        </w:rPr>
        <w:t xml:space="preserve">The price of a stock is totally guided by the forces of demand and supply. The share prices of liquid stocks with wide participation keep changing throughout the trading hours </w:t>
      </w:r>
      <w:proofErr w:type="gramStart"/>
      <w:r w:rsidRPr="00EF183F">
        <w:rPr>
          <w:rFonts w:ascii="Arial" w:hAnsi="Arial" w:cs="Arial"/>
          <w:color w:val="000000"/>
          <w:sz w:val="18"/>
          <w:szCs w:val="18"/>
        </w:rPr>
        <w:t>They</w:t>
      </w:r>
      <w:proofErr w:type="gramEnd"/>
      <w:r w:rsidRPr="00EF183F">
        <w:rPr>
          <w:rFonts w:ascii="Arial" w:hAnsi="Arial" w:cs="Arial"/>
          <w:color w:val="000000"/>
          <w:sz w:val="18"/>
          <w:szCs w:val="18"/>
        </w:rPr>
        <w:t xml:space="preserve"> can be tracked continuously on trading screens. </w:t>
      </w:r>
      <w:r w:rsidRPr="00EF183F">
        <w:rPr>
          <w:rFonts w:ascii="Arial" w:hAnsi="Arial" w:cs="Arial"/>
          <w:color w:val="000000"/>
          <w:sz w:val="18"/>
          <w:szCs w:val="18"/>
        </w:rPr>
        <w:br/>
      </w:r>
      <w:r w:rsidRPr="00EF183F">
        <w:rPr>
          <w:rFonts w:ascii="Arial" w:hAnsi="Arial" w:cs="Arial"/>
          <w:color w:val="000000"/>
          <w:sz w:val="18"/>
          <w:szCs w:val="18"/>
        </w:rPr>
        <w:br/>
      </w:r>
      <w:r w:rsidRPr="00EF183F">
        <w:rPr>
          <w:rFonts w:ascii="Arial" w:hAnsi="Arial" w:cs="Arial"/>
          <w:b/>
          <w:bCs/>
          <w:color w:val="000000"/>
          <w:sz w:val="18"/>
          <w:szCs w:val="18"/>
        </w:rPr>
        <w:t xml:space="preserve">Circuit Filters: - </w:t>
      </w:r>
      <w:r w:rsidRPr="00EF183F">
        <w:rPr>
          <w:rFonts w:ascii="Arial" w:hAnsi="Arial" w:cs="Arial"/>
          <w:color w:val="000000"/>
          <w:sz w:val="18"/>
          <w:szCs w:val="18"/>
        </w:rPr>
        <w:t xml:space="preserve">Share prices can swing in a volatile manner on back of news or even due to rigging by operators. It is important to protect the interest of investors and guard them against major losses due to such volatile price movements. So stocks are subjected to an upper and a lower circuit. The price of the stock can move within this range only on a particular trading day </w:t>
      </w:r>
      <w:proofErr w:type="gramStart"/>
      <w:r w:rsidRPr="00EF183F">
        <w:rPr>
          <w:rFonts w:ascii="Arial" w:hAnsi="Arial" w:cs="Arial"/>
          <w:color w:val="000000"/>
          <w:sz w:val="18"/>
          <w:szCs w:val="18"/>
        </w:rPr>
        <w:t>There</w:t>
      </w:r>
      <w:proofErr w:type="gramEnd"/>
      <w:r w:rsidRPr="00EF183F">
        <w:rPr>
          <w:rFonts w:ascii="Arial" w:hAnsi="Arial" w:cs="Arial"/>
          <w:color w:val="000000"/>
          <w:sz w:val="18"/>
          <w:szCs w:val="18"/>
        </w:rPr>
        <w:t xml:space="preserve"> are various slabs like 2%, 5%, 10% and 20% circuit that different stocks are subjected to. The slabs are fixed depending on various factors like share price, retail share holding etc. </w:t>
      </w:r>
      <w:r w:rsidRPr="00EF183F">
        <w:rPr>
          <w:rFonts w:ascii="Arial" w:hAnsi="Arial" w:cs="Arial"/>
          <w:color w:val="000000"/>
          <w:sz w:val="18"/>
          <w:szCs w:val="18"/>
        </w:rPr>
        <w:br/>
      </w:r>
      <w:r w:rsidRPr="00EF183F">
        <w:rPr>
          <w:rFonts w:ascii="Arial" w:hAnsi="Arial" w:cs="Arial"/>
          <w:color w:val="000000"/>
          <w:sz w:val="18"/>
          <w:szCs w:val="18"/>
        </w:rPr>
        <w:br/>
      </w:r>
      <w:r w:rsidRPr="00EF183F">
        <w:rPr>
          <w:rFonts w:ascii="Arial" w:hAnsi="Arial" w:cs="Arial"/>
          <w:b/>
          <w:bCs/>
          <w:color w:val="000000"/>
          <w:sz w:val="18"/>
          <w:szCs w:val="18"/>
        </w:rPr>
        <w:t xml:space="preserve">Volume: - </w:t>
      </w:r>
      <w:r w:rsidRPr="00EF183F">
        <w:rPr>
          <w:rFonts w:ascii="Arial" w:hAnsi="Arial" w:cs="Arial"/>
          <w:color w:val="000000"/>
          <w:sz w:val="18"/>
          <w:szCs w:val="18"/>
        </w:rPr>
        <w:t>The term volume refers to the total number of shares traded during the day Volumes can be calculated for a particular stock, an index or even for the entire exchange.</w:t>
      </w:r>
      <w:r w:rsidRPr="00EF183F">
        <w:rPr>
          <w:rFonts w:ascii="Arial" w:hAnsi="Arial" w:cs="Arial"/>
          <w:color w:val="000000"/>
          <w:sz w:val="18"/>
          <w:szCs w:val="18"/>
        </w:rPr>
        <w:br/>
      </w:r>
      <w:r>
        <w:rPr>
          <w:rFonts w:ascii="Arial" w:hAnsi="Arial" w:cs="Arial"/>
          <w:b/>
          <w:bCs/>
          <w:color w:val="D53500"/>
        </w:rPr>
        <w:br/>
      </w:r>
      <w:r w:rsidRPr="00EF183F">
        <w:rPr>
          <w:rFonts w:ascii="Arial" w:hAnsi="Arial" w:cs="Arial"/>
          <w:b/>
          <w:bCs/>
          <w:color w:val="D53500"/>
        </w:rPr>
        <w:t>Derivatives</w:t>
      </w:r>
      <w:r>
        <w:rPr>
          <w:rFonts w:ascii="Arial" w:hAnsi="Arial" w:cs="Arial"/>
          <w:b/>
          <w:bCs/>
          <w:color w:val="D53500"/>
        </w:rPr>
        <w:t xml:space="preserve"> </w:t>
      </w:r>
      <w:r w:rsidRPr="00EF183F">
        <w:rPr>
          <w:rFonts w:ascii="Arial" w:hAnsi="Arial" w:cs="Arial"/>
          <w:b/>
          <w:bCs/>
          <w:sz w:val="20"/>
          <w:szCs w:val="20"/>
        </w:rPr>
        <w:t>(Derivatives Segment Of The Secondary Market</w:t>
      </w:r>
      <w:proofErr w:type="gramStart"/>
      <w:r w:rsidRPr="00EF183F">
        <w:rPr>
          <w:rFonts w:ascii="Arial" w:hAnsi="Arial" w:cs="Arial"/>
          <w:b/>
          <w:bCs/>
          <w:sz w:val="20"/>
          <w:szCs w:val="20"/>
        </w:rPr>
        <w:t>)</w:t>
      </w:r>
      <w:proofErr w:type="gramEnd"/>
      <w:r>
        <w:rPr>
          <w:rFonts w:ascii="Arial" w:hAnsi="Arial" w:cs="Arial"/>
          <w:b/>
          <w:bCs/>
          <w:sz w:val="20"/>
          <w:szCs w:val="20"/>
        </w:rPr>
        <w:br/>
      </w:r>
      <w:r>
        <w:rPr>
          <w:rFonts w:ascii="Arial" w:hAnsi="Arial" w:cs="Arial"/>
          <w:color w:val="000000"/>
          <w:sz w:val="18"/>
          <w:szCs w:val="18"/>
        </w:rPr>
        <w:t>A derivative is a financial instrument that derives its value from the value of an underlying asset. The underlying asset can be equity, commodities or any other asset. For the purpose of this chapter, we would restrict the scope to Equity derivatives only. Derivatives were introduced in the Indian stock market to enable investors to hedge their investments against adverse volatile price movements. However they are now commonly being used for taking speculative positions</w:t>
      </w:r>
      <w:r>
        <w:rPr>
          <w:rFonts w:ascii="Arial" w:hAnsi="Arial" w:cs="Arial"/>
          <w:color w:val="000000"/>
          <w:sz w:val="18"/>
          <w:szCs w:val="18"/>
        </w:rPr>
        <w:br/>
      </w:r>
      <w:r>
        <w:rPr>
          <w:rFonts w:ascii="Arial" w:hAnsi="Arial" w:cs="Arial"/>
          <w:color w:val="000000"/>
          <w:sz w:val="18"/>
          <w:szCs w:val="18"/>
        </w:rPr>
        <w:lastRenderedPageBreak/>
        <w:t xml:space="preserve">Broadly, </w:t>
      </w:r>
      <w:r>
        <w:rPr>
          <w:rFonts w:ascii="Arial" w:hAnsi="Arial" w:cs="Arial"/>
          <w:b/>
          <w:bCs/>
          <w:color w:val="D53500"/>
          <w:sz w:val="18"/>
          <w:szCs w:val="18"/>
        </w:rPr>
        <w:t>Futures</w:t>
      </w:r>
      <w:r>
        <w:rPr>
          <w:rFonts w:ascii="Arial" w:hAnsi="Arial" w:cs="Arial"/>
          <w:color w:val="000000"/>
          <w:sz w:val="18"/>
          <w:szCs w:val="18"/>
        </w:rPr>
        <w:t xml:space="preserve"> and </w:t>
      </w:r>
      <w:r>
        <w:rPr>
          <w:rFonts w:ascii="Arial" w:hAnsi="Arial" w:cs="Arial"/>
          <w:b/>
          <w:bCs/>
          <w:color w:val="D53500"/>
          <w:sz w:val="18"/>
          <w:szCs w:val="18"/>
        </w:rPr>
        <w:t>Options</w:t>
      </w:r>
      <w:r>
        <w:rPr>
          <w:rFonts w:ascii="Arial" w:hAnsi="Arial" w:cs="Arial"/>
          <w:color w:val="000000"/>
          <w:sz w:val="18"/>
          <w:szCs w:val="18"/>
        </w:rPr>
        <w:t xml:space="preserve"> are the derivative instruments that are traded on the two main exchanges, BSE and the NSE.</w:t>
      </w:r>
      <w:r>
        <w:rPr>
          <w:rFonts w:ascii="Arial" w:hAnsi="Arial" w:cs="Arial"/>
          <w:color w:val="000000"/>
          <w:sz w:val="18"/>
          <w:szCs w:val="18"/>
        </w:rPr>
        <w:br/>
      </w:r>
      <w:r>
        <w:rPr>
          <w:rFonts w:ascii="Arial" w:hAnsi="Arial" w:cs="Arial"/>
          <w:b/>
          <w:bCs/>
          <w:color w:val="D53500"/>
          <w:sz w:val="18"/>
          <w:szCs w:val="18"/>
        </w:rPr>
        <w:t>Futures:</w:t>
      </w:r>
      <w:r>
        <w:rPr>
          <w:rFonts w:ascii="Arial" w:hAnsi="Arial" w:cs="Arial"/>
          <w:color w:val="000000"/>
          <w:sz w:val="18"/>
          <w:szCs w:val="18"/>
        </w:rPr>
        <w:t xml:space="preserve"> - To understand the term better, let’s take an example. Nifty is trading at the level of 4000. You can buy or sell a lot of Nifty </w:t>
      </w:r>
      <w:proofErr w:type="spellStart"/>
      <w:r>
        <w:rPr>
          <w:rFonts w:ascii="Arial" w:hAnsi="Arial" w:cs="Arial"/>
          <w:color w:val="000000"/>
          <w:sz w:val="18"/>
          <w:szCs w:val="18"/>
        </w:rPr>
        <w:t>Fututres</w:t>
      </w:r>
      <w:proofErr w:type="spellEnd"/>
      <w:r>
        <w:rPr>
          <w:rFonts w:ascii="Arial" w:hAnsi="Arial" w:cs="Arial"/>
          <w:color w:val="000000"/>
          <w:sz w:val="18"/>
          <w:szCs w:val="18"/>
        </w:rPr>
        <w:t>. The lot size of Nifty futures is 100. You would be required to pay a margin of 10% of the contract value.</w:t>
      </w:r>
      <w:r>
        <w:rPr>
          <w:rFonts w:ascii="Arial" w:hAnsi="Arial" w:cs="Arial"/>
          <w:color w:val="000000"/>
          <w:sz w:val="18"/>
          <w:szCs w:val="18"/>
        </w:rPr>
        <w:br/>
        <w:t xml:space="preserve">The margin money would work out as follows: - </w:t>
      </w:r>
      <w:r>
        <w:rPr>
          <w:rFonts w:ascii="Arial" w:hAnsi="Arial" w:cs="Arial"/>
          <w:color w:val="000000"/>
          <w:sz w:val="18"/>
          <w:szCs w:val="18"/>
        </w:rPr>
        <w:br/>
      </w:r>
      <w:r>
        <w:rPr>
          <w:rFonts w:ascii="Arial" w:hAnsi="Arial" w:cs="Arial"/>
          <w:color w:val="000000"/>
          <w:sz w:val="18"/>
          <w:szCs w:val="18"/>
        </w:rPr>
        <w:br/>
        <w:t>Transaction value: 4000 × 100 (lot size) = Rs. 4</w:t>
      </w:r>
      <w:proofErr w:type="gramStart"/>
      <w:r>
        <w:rPr>
          <w:rFonts w:ascii="Arial" w:hAnsi="Arial" w:cs="Arial"/>
          <w:color w:val="000000"/>
          <w:sz w:val="18"/>
          <w:szCs w:val="18"/>
        </w:rPr>
        <w:t>,00,000</w:t>
      </w:r>
      <w:proofErr w:type="gramEnd"/>
      <w:r>
        <w:rPr>
          <w:rFonts w:ascii="Arial" w:hAnsi="Arial" w:cs="Arial"/>
          <w:color w:val="000000"/>
          <w:sz w:val="18"/>
          <w:szCs w:val="18"/>
        </w:rPr>
        <w:br/>
        <w:t>Margin Amount: 10% of 4,00,000 = Rs.40,000</w:t>
      </w:r>
      <w:r>
        <w:rPr>
          <w:rFonts w:ascii="Arial" w:hAnsi="Arial" w:cs="Arial"/>
          <w:color w:val="000000"/>
          <w:sz w:val="18"/>
          <w:szCs w:val="18"/>
        </w:rPr>
        <w:br/>
      </w:r>
      <w:r>
        <w:rPr>
          <w:rFonts w:ascii="Arial" w:hAnsi="Arial" w:cs="Arial"/>
          <w:color w:val="000000"/>
          <w:sz w:val="18"/>
          <w:szCs w:val="18"/>
        </w:rPr>
        <w:br/>
        <w:t xml:space="preserve">The lot size and margin money percentage vary for different </w:t>
      </w:r>
      <w:proofErr w:type="spellStart"/>
      <w:r>
        <w:rPr>
          <w:rFonts w:ascii="Arial" w:hAnsi="Arial" w:cs="Arial"/>
          <w:color w:val="000000"/>
          <w:sz w:val="18"/>
          <w:szCs w:val="18"/>
        </w:rPr>
        <w:t>scrips</w:t>
      </w:r>
      <w:proofErr w:type="spellEnd"/>
      <w:r>
        <w:rPr>
          <w:rFonts w:ascii="Arial" w:hAnsi="Arial" w:cs="Arial"/>
          <w:color w:val="000000"/>
          <w:sz w:val="18"/>
          <w:szCs w:val="18"/>
        </w:rPr>
        <w:t xml:space="preserve"> and contracts. We took the example of Nifty, which is an index. You can take positions in various stocks which are listed for Futures trade. On NSE, the last Thursday of every month is the expiry date. In our example, if the Nifty is trading at 4300 on the last Thursday of the month and the position is not squared off then the purchaser of the Nifty futures contract at 4000 would be a gainer by Rs.20,000 (200 × lot size100). Similarly seller of Nifty futures contract would stand to lose Rs. 20,000. </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D53500"/>
          <w:sz w:val="18"/>
          <w:szCs w:val="18"/>
        </w:rPr>
        <w:t xml:space="preserve">Options: </w:t>
      </w:r>
      <w:r>
        <w:rPr>
          <w:rFonts w:ascii="Arial" w:hAnsi="Arial" w:cs="Arial"/>
          <w:color w:val="000000"/>
          <w:sz w:val="18"/>
          <w:szCs w:val="18"/>
        </w:rPr>
        <w:t xml:space="preserve">Options are hedging/investment instruments, which allow the buyer the right but not the obligation to buy/sell the underlying stock/ index. The buyer of the option incurs a charge for this right, which is referred to as the “premium”. The option writer or seller is the other party to such a contract who earns the premium. </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D53500"/>
          <w:sz w:val="18"/>
          <w:szCs w:val="18"/>
        </w:rPr>
        <w:t xml:space="preserve">Call Option - </w:t>
      </w:r>
      <w:r>
        <w:rPr>
          <w:rFonts w:ascii="Arial" w:hAnsi="Arial" w:cs="Arial"/>
          <w:color w:val="000000"/>
          <w:sz w:val="18"/>
          <w:szCs w:val="18"/>
        </w:rPr>
        <w:t xml:space="preserve">Option to buy the stock at a specific price </w:t>
      </w:r>
      <w:r>
        <w:rPr>
          <w:rFonts w:ascii="Arial" w:hAnsi="Arial" w:cs="Arial"/>
          <w:color w:val="000000"/>
          <w:sz w:val="18"/>
          <w:szCs w:val="18"/>
        </w:rPr>
        <w:br/>
        <w:t xml:space="preserve">e.g. Mr. A buys a Nifty Call option with a strike price of 4100 at a premium of Rs.100. Mr. B, the seller of the option earns this premium of Rs.100 taking unlimited risk whereas Mr. A’s risk is limited to the premium amount of Rs.100. If at the expiry date, Nifty is trading at 4350, then Mr. A would exercise his option and earn a net amount of Rs.150. The strike price of the contract is 4100 and at the expiry, the Nifty is at 4350. So he stands gainer by Rs.250 (4350 – 4100). He however has incurred a premium of Rs.100, so his net earnings would be Rs.150 (Rs.250 – Rs.100). </w:t>
      </w:r>
      <w:r>
        <w:rPr>
          <w:rFonts w:ascii="Arial" w:hAnsi="Arial" w:cs="Arial"/>
          <w:color w:val="000000"/>
          <w:sz w:val="18"/>
          <w:szCs w:val="18"/>
        </w:rPr>
        <w:br/>
        <w:t xml:space="preserve">Now, had the Nifty fallen to 3950, </w:t>
      </w:r>
      <w:proofErr w:type="gramStart"/>
      <w:r>
        <w:rPr>
          <w:rFonts w:ascii="Arial" w:hAnsi="Arial" w:cs="Arial"/>
          <w:color w:val="000000"/>
          <w:sz w:val="18"/>
          <w:szCs w:val="18"/>
        </w:rPr>
        <w:t>then</w:t>
      </w:r>
      <w:proofErr w:type="gramEnd"/>
      <w:r>
        <w:rPr>
          <w:rFonts w:ascii="Arial" w:hAnsi="Arial" w:cs="Arial"/>
          <w:color w:val="000000"/>
          <w:sz w:val="18"/>
          <w:szCs w:val="18"/>
        </w:rPr>
        <w:t xml:space="preserve"> </w:t>
      </w:r>
      <w:proofErr w:type="spellStart"/>
      <w:r>
        <w:rPr>
          <w:rFonts w:ascii="Arial" w:hAnsi="Arial" w:cs="Arial"/>
          <w:color w:val="000000"/>
          <w:sz w:val="18"/>
          <w:szCs w:val="18"/>
        </w:rPr>
        <w:t>Mr.A</w:t>
      </w:r>
      <w:proofErr w:type="spellEnd"/>
      <w:r>
        <w:rPr>
          <w:rFonts w:ascii="Arial" w:hAnsi="Arial" w:cs="Arial"/>
          <w:color w:val="000000"/>
          <w:sz w:val="18"/>
          <w:szCs w:val="18"/>
        </w:rPr>
        <w:t xml:space="preserve"> would be a loser by only Rs.100, which is the premium amount. His Call option would not exercise and </w:t>
      </w:r>
      <w:proofErr w:type="spellStart"/>
      <w:r>
        <w:rPr>
          <w:rFonts w:ascii="Arial" w:hAnsi="Arial" w:cs="Arial"/>
          <w:color w:val="000000"/>
          <w:sz w:val="18"/>
          <w:szCs w:val="18"/>
        </w:rPr>
        <w:t>Mr.B</w:t>
      </w:r>
      <w:proofErr w:type="spellEnd"/>
      <w:r>
        <w:rPr>
          <w:rFonts w:ascii="Arial" w:hAnsi="Arial" w:cs="Arial"/>
          <w:color w:val="000000"/>
          <w:sz w:val="18"/>
          <w:szCs w:val="18"/>
        </w:rPr>
        <w:t xml:space="preserve"> would be a gainer by Rs.100. </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D53500"/>
          <w:sz w:val="18"/>
          <w:szCs w:val="18"/>
        </w:rPr>
        <w:t xml:space="preserve">Put Option - </w:t>
      </w:r>
      <w:r>
        <w:rPr>
          <w:rFonts w:ascii="Arial" w:hAnsi="Arial" w:cs="Arial"/>
          <w:color w:val="000000"/>
          <w:sz w:val="18"/>
          <w:szCs w:val="18"/>
        </w:rPr>
        <w:t>Option to sell the stock at a specified price</w:t>
      </w:r>
      <w:r>
        <w:rPr>
          <w:rFonts w:ascii="Arial" w:hAnsi="Arial" w:cs="Arial"/>
          <w:color w:val="000000"/>
          <w:sz w:val="18"/>
          <w:szCs w:val="18"/>
        </w:rPr>
        <w:br/>
        <w:t xml:space="preserve">e.g. Mr. A buys a Nifty Put option with a strike price of 4100 at a premium of Rs.100. Mr. B, the seller/writer of the option earns this premium of Rs.100 taking unlimited risk whereas Mr. A’s risk is limited to Rs.100. If at the expiry date, Nifty is trading at 3850, then Mr. A would exercise his option and earn a net amount of Rs.150. The strike price of the contract is 4100 and at the expiry, the Nifty is at 3850. So he stands gainer by Rs.250 (4100 - 3850). He however has incurred a premium of Rs.100, so his net earnings would be Rs.150 </w:t>
      </w:r>
      <w:r>
        <w:rPr>
          <w:rFonts w:ascii="Arial" w:hAnsi="Arial" w:cs="Arial"/>
          <w:color w:val="000000"/>
          <w:sz w:val="18"/>
          <w:szCs w:val="18"/>
        </w:rPr>
        <w:lastRenderedPageBreak/>
        <w:t xml:space="preserve">(Rs.250 – Rs.100). </w:t>
      </w:r>
      <w:r>
        <w:rPr>
          <w:rFonts w:ascii="Arial" w:hAnsi="Arial" w:cs="Arial"/>
          <w:color w:val="000000"/>
          <w:sz w:val="18"/>
          <w:szCs w:val="18"/>
        </w:rPr>
        <w:br/>
        <w:t xml:space="preserve">Now, had the Nifty risen to 4250, </w:t>
      </w:r>
      <w:proofErr w:type="gramStart"/>
      <w:r>
        <w:rPr>
          <w:rFonts w:ascii="Arial" w:hAnsi="Arial" w:cs="Arial"/>
          <w:color w:val="000000"/>
          <w:sz w:val="18"/>
          <w:szCs w:val="18"/>
        </w:rPr>
        <w:t>then</w:t>
      </w:r>
      <w:proofErr w:type="gramEnd"/>
      <w:r>
        <w:rPr>
          <w:rFonts w:ascii="Arial" w:hAnsi="Arial" w:cs="Arial"/>
          <w:color w:val="000000"/>
          <w:sz w:val="18"/>
          <w:szCs w:val="18"/>
        </w:rPr>
        <w:t xml:space="preserve"> </w:t>
      </w:r>
      <w:proofErr w:type="spellStart"/>
      <w:r>
        <w:rPr>
          <w:rFonts w:ascii="Arial" w:hAnsi="Arial" w:cs="Arial"/>
          <w:color w:val="000000"/>
          <w:sz w:val="18"/>
          <w:szCs w:val="18"/>
        </w:rPr>
        <w:t>Mr.A</w:t>
      </w:r>
      <w:proofErr w:type="spellEnd"/>
      <w:r>
        <w:rPr>
          <w:rFonts w:ascii="Arial" w:hAnsi="Arial" w:cs="Arial"/>
          <w:color w:val="000000"/>
          <w:sz w:val="18"/>
          <w:szCs w:val="18"/>
        </w:rPr>
        <w:t xml:space="preserve"> would be a loser by only Rs.100, which is the premium amount. His Put option would not exercise and </w:t>
      </w:r>
      <w:proofErr w:type="spellStart"/>
      <w:r>
        <w:rPr>
          <w:rFonts w:ascii="Arial" w:hAnsi="Arial" w:cs="Arial"/>
          <w:color w:val="000000"/>
          <w:sz w:val="18"/>
          <w:szCs w:val="18"/>
        </w:rPr>
        <w:t>Mr.B</w:t>
      </w:r>
      <w:proofErr w:type="spellEnd"/>
      <w:r>
        <w:rPr>
          <w:rFonts w:ascii="Arial" w:hAnsi="Arial" w:cs="Arial"/>
          <w:color w:val="000000"/>
          <w:sz w:val="18"/>
          <w:szCs w:val="18"/>
        </w:rPr>
        <w:t xml:space="preserve"> would be a gainer by Rs.100. </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D53500"/>
          <w:sz w:val="18"/>
          <w:szCs w:val="18"/>
        </w:rPr>
        <w:t xml:space="preserve">Spot </w:t>
      </w:r>
      <w:proofErr w:type="spellStart"/>
      <w:r>
        <w:rPr>
          <w:rFonts w:ascii="Arial" w:hAnsi="Arial" w:cs="Arial"/>
          <w:b/>
          <w:bCs/>
          <w:color w:val="D53500"/>
          <w:sz w:val="18"/>
          <w:szCs w:val="18"/>
        </w:rPr>
        <w:t>Mkt</w:t>
      </w:r>
      <w:proofErr w:type="spellEnd"/>
      <w:r>
        <w:rPr>
          <w:rFonts w:ascii="Arial" w:hAnsi="Arial" w:cs="Arial"/>
          <w:b/>
          <w:bCs/>
          <w:color w:val="D53500"/>
          <w:sz w:val="18"/>
          <w:szCs w:val="18"/>
        </w:rPr>
        <w:t xml:space="preserve"> Price – </w:t>
      </w:r>
      <w:r>
        <w:rPr>
          <w:rFonts w:ascii="Arial" w:hAnsi="Arial" w:cs="Arial"/>
          <w:color w:val="000000"/>
          <w:sz w:val="18"/>
          <w:szCs w:val="18"/>
        </w:rPr>
        <w:t xml:space="preserve">It is the price at which the stock is trading in the cash markets. </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D53500"/>
          <w:sz w:val="18"/>
          <w:szCs w:val="18"/>
        </w:rPr>
        <w:t xml:space="preserve">Strike Price - </w:t>
      </w:r>
      <w:r>
        <w:rPr>
          <w:rFonts w:ascii="Arial" w:hAnsi="Arial" w:cs="Arial"/>
          <w:color w:val="000000"/>
          <w:sz w:val="18"/>
          <w:szCs w:val="18"/>
        </w:rPr>
        <w:t xml:space="preserve">Specified Price at which the underlying may be purchased or sold when the option is exercised. </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D53500"/>
          <w:sz w:val="18"/>
          <w:szCs w:val="18"/>
        </w:rPr>
        <w:t xml:space="preserve">Expiry Date - </w:t>
      </w:r>
      <w:r>
        <w:rPr>
          <w:rFonts w:ascii="Arial" w:hAnsi="Arial" w:cs="Arial"/>
          <w:color w:val="000000"/>
          <w:sz w:val="18"/>
          <w:szCs w:val="18"/>
        </w:rPr>
        <w:t>Last date for exercising the option by buyer--- Last Thursday of the relevant month on NSE.</w:t>
      </w:r>
      <w:r w:rsidRPr="00EF183F">
        <w:rPr>
          <w:rFonts w:ascii="Arial" w:hAnsi="Arial" w:cs="Arial"/>
          <w:b/>
          <w:bCs/>
          <w:sz w:val="20"/>
          <w:szCs w:val="20"/>
        </w:rPr>
        <w:br/>
      </w:r>
      <w:r w:rsidR="00DB57BF">
        <w:rPr>
          <w:rFonts w:ascii="Arial" w:eastAsia="Times New Roman" w:hAnsi="Arial" w:cs="Arial"/>
          <w:color w:val="000000"/>
          <w:sz w:val="18"/>
          <w:szCs w:val="18"/>
        </w:rPr>
        <w:br/>
      </w:r>
      <w:r w:rsidR="00DB57BF">
        <w:rPr>
          <w:rFonts w:ascii="Arial" w:hAnsi="Arial" w:cs="Arial"/>
          <w:b/>
          <w:bCs/>
          <w:color w:val="D53500"/>
        </w:rPr>
        <w:t>Bonds</w:t>
      </w:r>
      <w:r w:rsidR="00DB57BF">
        <w:rPr>
          <w:rFonts w:ascii="Arial" w:hAnsi="Arial" w:cs="Arial"/>
          <w:b/>
          <w:bCs/>
          <w:color w:val="D53500"/>
        </w:rPr>
        <w:br/>
      </w:r>
      <w:proofErr w:type="gramStart"/>
      <w:r w:rsidR="00DB57BF">
        <w:rPr>
          <w:rFonts w:ascii="Arial" w:hAnsi="Arial" w:cs="Arial"/>
          <w:b/>
          <w:bCs/>
          <w:color w:val="000000"/>
          <w:sz w:val="18"/>
          <w:szCs w:val="18"/>
        </w:rPr>
        <w:t>The</w:t>
      </w:r>
      <w:proofErr w:type="gramEnd"/>
      <w:r w:rsidR="00DB57BF">
        <w:rPr>
          <w:rFonts w:ascii="Arial" w:hAnsi="Arial" w:cs="Arial"/>
          <w:b/>
          <w:bCs/>
          <w:color w:val="000000"/>
          <w:sz w:val="18"/>
          <w:szCs w:val="18"/>
        </w:rPr>
        <w:t xml:space="preserve"> debt segment of secondary market which mainly comprises of bonds.</w:t>
      </w:r>
      <w:r w:rsidR="00DB57BF">
        <w:rPr>
          <w:rFonts w:ascii="Arial" w:hAnsi="Arial" w:cs="Arial"/>
          <w:b/>
          <w:bCs/>
          <w:color w:val="000000"/>
          <w:sz w:val="18"/>
          <w:szCs w:val="18"/>
        </w:rPr>
        <w:br/>
        <w:t xml:space="preserve">Bond: - </w:t>
      </w:r>
      <w:r w:rsidR="00DB57BF">
        <w:rPr>
          <w:rFonts w:ascii="Arial" w:hAnsi="Arial" w:cs="Arial"/>
          <w:color w:val="000000"/>
          <w:sz w:val="18"/>
          <w:szCs w:val="18"/>
        </w:rPr>
        <w:t>A bond is simply a form of loan borrowed by the government, the municipality or a company. A bond purchaser who plays the role of a lender to such borrower institutions holds in return a negotiable certificate that acknowledges indebtedness of the bond issuer. Such certificates are also termed as bonds. Bonds normally are unsecured. The issuer pays the bond holder periodic interest ranging over the life of the loan.</w:t>
      </w:r>
      <w:r w:rsidR="00DB57BF">
        <w:rPr>
          <w:rFonts w:ascii="Arial" w:hAnsi="Arial" w:cs="Arial"/>
          <w:color w:val="000000"/>
          <w:sz w:val="18"/>
          <w:szCs w:val="18"/>
        </w:rPr>
        <w:br/>
      </w:r>
      <w:r w:rsidR="00DB57BF">
        <w:rPr>
          <w:rFonts w:ascii="Arial" w:hAnsi="Arial" w:cs="Arial"/>
          <w:color w:val="000000"/>
          <w:sz w:val="18"/>
          <w:szCs w:val="18"/>
        </w:rPr>
        <w:br/>
        <w:t>The secondary market for bonds in India is an over the counter market whereas the market for equities is a system-automated market. The buy orders and sell orders are electronically matched. We shall delve deeper into this in the following chapters.</w:t>
      </w:r>
      <w:r w:rsidR="00DB57BF">
        <w:rPr>
          <w:rFonts w:ascii="Arial" w:hAnsi="Arial" w:cs="Arial"/>
          <w:color w:val="000000"/>
          <w:sz w:val="18"/>
          <w:szCs w:val="18"/>
        </w:rPr>
        <w:br/>
      </w:r>
      <w:r w:rsidR="00DB57BF">
        <w:rPr>
          <w:rFonts w:ascii="Arial" w:hAnsi="Arial" w:cs="Arial"/>
          <w:color w:val="000000"/>
          <w:sz w:val="18"/>
          <w:szCs w:val="18"/>
        </w:rPr>
        <w:br/>
      </w:r>
      <w:r w:rsidR="00DB57BF">
        <w:rPr>
          <w:rFonts w:ascii="Arial" w:hAnsi="Arial" w:cs="Arial"/>
          <w:b/>
          <w:bCs/>
          <w:color w:val="D53500"/>
          <w:sz w:val="18"/>
          <w:szCs w:val="18"/>
        </w:rPr>
        <w:t>What Are The Various Types Of Bonds?</w:t>
      </w:r>
      <w:r w:rsidR="00DB57BF">
        <w:rPr>
          <w:rFonts w:ascii="Arial" w:hAnsi="Arial" w:cs="Arial"/>
          <w:color w:val="D53500"/>
          <w:sz w:val="18"/>
          <w:szCs w:val="18"/>
        </w:rPr>
        <w:t xml:space="preserve"> </w:t>
      </w:r>
      <w:r w:rsidR="00DB57BF">
        <w:rPr>
          <w:rFonts w:ascii="Arial" w:hAnsi="Arial" w:cs="Arial"/>
          <w:color w:val="000000"/>
          <w:sz w:val="18"/>
          <w:szCs w:val="18"/>
        </w:rPr>
        <w:br/>
      </w:r>
      <w:r w:rsidR="00DB57BF">
        <w:rPr>
          <w:rFonts w:ascii="Arial" w:hAnsi="Arial" w:cs="Arial"/>
          <w:b/>
          <w:bCs/>
          <w:color w:val="000000"/>
          <w:sz w:val="18"/>
          <w:szCs w:val="18"/>
        </w:rPr>
        <w:t xml:space="preserve">Zero Coupon Bond: </w:t>
      </w:r>
      <w:r w:rsidR="00DB57BF">
        <w:rPr>
          <w:rFonts w:ascii="Arial" w:hAnsi="Arial" w:cs="Arial"/>
          <w:color w:val="000000"/>
          <w:sz w:val="18"/>
          <w:szCs w:val="18"/>
        </w:rPr>
        <w:t xml:space="preserve">These are issued at a discount to the face value and at the time of redemption the bond holder is reimbursed with the face value of the bond. </w:t>
      </w:r>
      <w:r w:rsidR="00DB57BF">
        <w:rPr>
          <w:rFonts w:ascii="Arial" w:hAnsi="Arial" w:cs="Arial"/>
          <w:color w:val="000000"/>
          <w:sz w:val="18"/>
          <w:szCs w:val="18"/>
        </w:rPr>
        <w:br/>
      </w:r>
      <w:r w:rsidR="00DB57BF">
        <w:rPr>
          <w:rFonts w:ascii="Arial" w:hAnsi="Arial" w:cs="Arial"/>
          <w:color w:val="000000"/>
          <w:sz w:val="18"/>
          <w:szCs w:val="18"/>
        </w:rPr>
        <w:br/>
        <w:t xml:space="preserve">The difference between the issue price and redemption price represents the return to the holder. The holder of such bonds does not enjoy periodic interest payments. </w:t>
      </w:r>
      <w:r w:rsidR="00DB57BF">
        <w:rPr>
          <w:rFonts w:ascii="Arial" w:hAnsi="Arial" w:cs="Arial"/>
          <w:color w:val="000000"/>
          <w:sz w:val="18"/>
          <w:szCs w:val="18"/>
        </w:rPr>
        <w:br/>
      </w:r>
      <w:r w:rsidR="00DB57BF">
        <w:rPr>
          <w:rFonts w:ascii="Arial" w:hAnsi="Arial" w:cs="Arial"/>
          <w:color w:val="000000"/>
          <w:sz w:val="18"/>
          <w:szCs w:val="18"/>
        </w:rPr>
        <w:br/>
      </w:r>
      <w:r w:rsidR="00DB57BF">
        <w:rPr>
          <w:rFonts w:ascii="Arial" w:hAnsi="Arial" w:cs="Arial"/>
          <w:b/>
          <w:bCs/>
          <w:color w:val="000000"/>
          <w:sz w:val="18"/>
          <w:szCs w:val="18"/>
        </w:rPr>
        <w:t xml:space="preserve">Convertible Bond: </w:t>
      </w:r>
      <w:r w:rsidR="00DB57BF">
        <w:rPr>
          <w:rFonts w:ascii="Arial" w:hAnsi="Arial" w:cs="Arial"/>
          <w:color w:val="000000"/>
          <w:sz w:val="18"/>
          <w:szCs w:val="18"/>
        </w:rPr>
        <w:t xml:space="preserve">These bonds offer the investor the option to convert the bond into equity at a fixed conversion price </w:t>
      </w:r>
      <w:r w:rsidR="00DB57BF">
        <w:rPr>
          <w:rFonts w:ascii="Arial" w:hAnsi="Arial" w:cs="Arial"/>
          <w:color w:val="000000"/>
          <w:sz w:val="18"/>
          <w:szCs w:val="18"/>
        </w:rPr>
        <w:br/>
      </w:r>
      <w:r w:rsidR="00DB57BF">
        <w:rPr>
          <w:rFonts w:ascii="Arial" w:hAnsi="Arial" w:cs="Arial"/>
          <w:color w:val="000000"/>
          <w:sz w:val="18"/>
          <w:szCs w:val="18"/>
        </w:rPr>
        <w:br/>
      </w:r>
      <w:r w:rsidR="00DB57BF">
        <w:rPr>
          <w:rFonts w:ascii="Arial" w:hAnsi="Arial" w:cs="Arial"/>
          <w:b/>
          <w:bCs/>
          <w:color w:val="000000"/>
          <w:sz w:val="18"/>
          <w:szCs w:val="18"/>
        </w:rPr>
        <w:t xml:space="preserve">Treasury Bills: - </w:t>
      </w:r>
      <w:r w:rsidR="00DB57BF">
        <w:rPr>
          <w:rFonts w:ascii="Arial" w:hAnsi="Arial" w:cs="Arial"/>
          <w:color w:val="000000"/>
          <w:sz w:val="18"/>
          <w:szCs w:val="18"/>
        </w:rPr>
        <w:t>T-bills are short-term securities issued by the Government. They mature in one year or less time from their issue date.</w:t>
      </w:r>
    </w:p>
    <w:p w:rsidR="00DB57BF" w:rsidRDefault="00DB57BF" w:rsidP="00DB57BF">
      <w:pPr>
        <w:spacing w:before="100" w:beforeAutospacing="1" w:after="100" w:afterAutospacing="1" w:line="420" w:lineRule="auto"/>
        <w:rPr>
          <w:rFonts w:ascii="Arial" w:hAnsi="Arial" w:cs="Arial"/>
          <w:color w:val="000000"/>
          <w:sz w:val="18"/>
          <w:szCs w:val="18"/>
        </w:rPr>
      </w:pPr>
      <w:r>
        <w:rPr>
          <w:rFonts w:ascii="Arial" w:hAnsi="Arial" w:cs="Arial"/>
          <w:b/>
          <w:bCs/>
          <w:color w:val="D53500"/>
          <w:sz w:val="18"/>
          <w:szCs w:val="18"/>
        </w:rPr>
        <w:t>2. What are shares?</w:t>
      </w:r>
      <w:r>
        <w:rPr>
          <w:rFonts w:ascii="Arial" w:hAnsi="Arial" w:cs="Arial"/>
          <w:color w:val="D53500"/>
          <w:sz w:val="18"/>
          <w:szCs w:val="18"/>
        </w:rPr>
        <w:t xml:space="preserve"> </w:t>
      </w:r>
      <w:r>
        <w:rPr>
          <w:rFonts w:ascii="Arial" w:hAnsi="Arial" w:cs="Arial"/>
          <w:color w:val="000000"/>
          <w:sz w:val="18"/>
          <w:szCs w:val="18"/>
        </w:rPr>
        <w:br/>
        <w:t xml:space="preserve">A share is one of a finite number of equal portions in the capital of a company, entitling the owner to a proportion of </w:t>
      </w:r>
      <w:r>
        <w:rPr>
          <w:rFonts w:ascii="Arial" w:hAnsi="Arial" w:cs="Arial"/>
          <w:color w:val="000000"/>
          <w:sz w:val="18"/>
          <w:szCs w:val="18"/>
        </w:rPr>
        <w:lastRenderedPageBreak/>
        <w:t xml:space="preserve">distributed, non-reinvested profits known as dividends and to a portion of the value of the company in case of liquidation. Equity is a share in the ownership of a company. It represents a claim on the company’s assets and earnings. </w:t>
      </w:r>
      <w:proofErr w:type="gramStart"/>
      <w:r>
        <w:rPr>
          <w:rFonts w:ascii="Arial" w:hAnsi="Arial" w:cs="Arial"/>
          <w:color w:val="000000"/>
          <w:sz w:val="18"/>
          <w:szCs w:val="18"/>
        </w:rPr>
        <w:t>As you acquire more stock, your ownership stake in the company increases.</w:t>
      </w:r>
      <w:proofErr w:type="gramEnd"/>
      <w:r>
        <w:rPr>
          <w:rFonts w:ascii="Arial" w:hAnsi="Arial" w:cs="Arial"/>
          <w:color w:val="000000"/>
          <w:sz w:val="18"/>
          <w:szCs w:val="18"/>
        </w:rPr>
        <w:t xml:space="preserve"> The terms share, equity and stock mean the same thing and can be used interchangeably.</w:t>
      </w:r>
    </w:p>
    <w:p w:rsidR="00DB57BF" w:rsidRPr="00DB57BF" w:rsidRDefault="00DB57BF" w:rsidP="00DB57BF">
      <w:pPr>
        <w:spacing w:before="100" w:beforeAutospacing="1" w:after="100" w:afterAutospacing="1" w:line="420" w:lineRule="auto"/>
        <w:rPr>
          <w:rFonts w:ascii="Arial" w:hAnsi="Arial" w:cs="Arial"/>
          <w:b/>
          <w:bCs/>
          <w:color w:val="D53500"/>
        </w:rPr>
      </w:pPr>
      <w:r w:rsidRPr="00DB57BF">
        <w:rPr>
          <w:rFonts w:ascii="Arial" w:hAnsi="Arial" w:cs="Arial"/>
          <w:b/>
          <w:bCs/>
          <w:color w:val="D53500"/>
        </w:rPr>
        <w:t>Types of shares</w:t>
      </w:r>
    </w:p>
    <w:p w:rsidR="00DB57BF" w:rsidRPr="00EF183F" w:rsidRDefault="00DB57BF" w:rsidP="00DB57BF">
      <w:pPr>
        <w:spacing w:before="100" w:beforeAutospacing="1" w:after="100" w:afterAutospacing="1" w:line="420" w:lineRule="auto"/>
        <w:rPr>
          <w:rFonts w:ascii="Arial" w:eastAsia="Times New Roman" w:hAnsi="Arial" w:cs="Arial"/>
          <w:color w:val="000000"/>
          <w:sz w:val="18"/>
          <w:szCs w:val="18"/>
        </w:rPr>
      </w:pPr>
      <w:r w:rsidRPr="00DB57BF">
        <w:rPr>
          <w:rFonts w:ascii="Arial" w:hAnsi="Arial" w:cs="Arial"/>
          <w:b/>
          <w:color w:val="000000"/>
          <w:sz w:val="18"/>
          <w:szCs w:val="18"/>
        </w:rPr>
        <w:t>Shares</w:t>
      </w:r>
      <w:r>
        <w:rPr>
          <w:rFonts w:ascii="Arial" w:hAnsi="Arial" w:cs="Arial"/>
          <w:color w:val="000000"/>
          <w:sz w:val="18"/>
          <w:szCs w:val="18"/>
        </w:rPr>
        <w:t xml:space="preserve"> can be </w:t>
      </w:r>
      <w:r>
        <w:rPr>
          <w:rFonts w:ascii="Arial" w:hAnsi="Arial" w:cs="Arial"/>
          <w:b/>
          <w:bCs/>
          <w:color w:val="000000"/>
          <w:sz w:val="18"/>
          <w:szCs w:val="18"/>
        </w:rPr>
        <w:t>voting or non-voting</w:t>
      </w:r>
      <w:r>
        <w:rPr>
          <w:rFonts w:ascii="Arial" w:hAnsi="Arial" w:cs="Arial"/>
          <w:color w:val="000000"/>
          <w:sz w:val="18"/>
          <w:szCs w:val="18"/>
        </w:rPr>
        <w:t>, meaning they either do or do not carry the right to vote on the board of directors and corporate policy. Whether this right exists often affects the value of the share. Voting and Non-Voting shares are also known as Class A and B shares.</w:t>
      </w:r>
      <w:r>
        <w:rPr>
          <w:rFonts w:ascii="Arial" w:hAnsi="Arial" w:cs="Arial"/>
          <w:color w:val="000000"/>
          <w:sz w:val="18"/>
          <w:szCs w:val="18"/>
        </w:rPr>
        <w:br/>
        <w:t xml:space="preserve">The most common form of shares is ordinary (equity) shares. One can also buy preference shares, options and partly paid shares. </w:t>
      </w:r>
      <w:r>
        <w:rPr>
          <w:rFonts w:ascii="Arial" w:hAnsi="Arial" w:cs="Arial"/>
          <w:color w:val="000000"/>
          <w:sz w:val="18"/>
          <w:szCs w:val="18"/>
        </w:rPr>
        <w:br/>
      </w:r>
      <w:r>
        <w:rPr>
          <w:rFonts w:ascii="Arial" w:hAnsi="Arial" w:cs="Arial"/>
          <w:color w:val="000000"/>
          <w:sz w:val="18"/>
          <w:szCs w:val="18"/>
        </w:rPr>
        <w:br/>
        <w:t xml:space="preserve">There are a number of different types of shares such as ordinary or preference shares which have different properties. </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000000"/>
          <w:sz w:val="18"/>
          <w:szCs w:val="18"/>
        </w:rPr>
        <w:t>Preference shares</w:t>
      </w:r>
      <w:r>
        <w:rPr>
          <w:rFonts w:ascii="Arial" w:hAnsi="Arial" w:cs="Arial"/>
          <w:color w:val="000000"/>
          <w:sz w:val="18"/>
          <w:szCs w:val="18"/>
        </w:rPr>
        <w:t xml:space="preserve"> are those shares in a company with rights in various ways superior to those of ordinary shares; for example, priority to a fixed dividend and priority over ordinary shares in the event of the company being wound up.</w:t>
      </w:r>
      <w:r>
        <w:rPr>
          <w:rFonts w:ascii="Arial" w:hAnsi="Arial" w:cs="Arial"/>
          <w:color w:val="000000"/>
          <w:sz w:val="18"/>
          <w:szCs w:val="18"/>
        </w:rPr>
        <w:br/>
        <w:t xml:space="preserve">When a share is issued, the person applying for it must pay to the company, in cash or equivalent value, the amount of its nominal value together with any premium required by the company. Shares are fully paid when the whole amount has been received by the company. </w:t>
      </w:r>
      <w:r>
        <w:rPr>
          <w:rFonts w:ascii="Arial" w:hAnsi="Arial" w:cs="Arial"/>
          <w:color w:val="000000"/>
          <w:sz w:val="18"/>
          <w:szCs w:val="18"/>
        </w:rPr>
        <w:br/>
      </w:r>
      <w:r>
        <w:rPr>
          <w:rFonts w:ascii="Arial" w:hAnsi="Arial" w:cs="Arial"/>
          <w:color w:val="000000"/>
          <w:sz w:val="18"/>
          <w:szCs w:val="18"/>
        </w:rPr>
        <w:br/>
        <w:t xml:space="preserve">Shares may also be issued on the basis that only part of their price is to be paid initially, with the remainder being required when called for by the company. </w:t>
      </w:r>
      <w:r>
        <w:rPr>
          <w:rFonts w:ascii="Arial" w:hAnsi="Arial" w:cs="Arial"/>
          <w:color w:val="000000"/>
          <w:sz w:val="18"/>
          <w:szCs w:val="18"/>
        </w:rPr>
        <w:br/>
      </w:r>
      <w:r>
        <w:rPr>
          <w:rFonts w:ascii="Arial" w:hAnsi="Arial" w:cs="Arial"/>
          <w:color w:val="000000"/>
          <w:sz w:val="18"/>
          <w:szCs w:val="18"/>
        </w:rPr>
        <w:br/>
        <w:t>For more experienced investors, derivatives such as options and warrants provide further diversification. However, when the majority of investors invest in shares, they buy ordinary shares.</w:t>
      </w:r>
    </w:p>
    <w:p w:rsidR="00DB57BF" w:rsidRPr="00DB57BF" w:rsidRDefault="00DB57BF" w:rsidP="00DB57BF">
      <w:pPr>
        <w:spacing w:after="240" w:line="420" w:lineRule="auto"/>
        <w:rPr>
          <w:rFonts w:ascii="Arial" w:eastAsia="Times New Roman" w:hAnsi="Arial" w:cs="Arial"/>
          <w:color w:val="000000"/>
          <w:sz w:val="18"/>
          <w:szCs w:val="18"/>
        </w:rPr>
      </w:pPr>
      <w:bookmarkStart w:id="1" w:name="exchange"/>
      <w:r w:rsidRPr="00DB57BF">
        <w:rPr>
          <w:rFonts w:ascii="Arial" w:eastAsia="Times New Roman" w:hAnsi="Arial" w:cs="Arial"/>
          <w:b/>
          <w:bCs/>
          <w:color w:val="D53500"/>
          <w:sz w:val="18"/>
          <w:szCs w:val="18"/>
        </w:rPr>
        <w:t>3. What is a stock exchange?</w:t>
      </w:r>
      <w:r w:rsidRPr="00DB57BF">
        <w:rPr>
          <w:rFonts w:ascii="Arial" w:eastAsia="Times New Roman" w:hAnsi="Arial" w:cs="Arial"/>
          <w:color w:val="D53500"/>
          <w:sz w:val="18"/>
          <w:szCs w:val="18"/>
        </w:rPr>
        <w:t xml:space="preserve"> </w:t>
      </w:r>
      <w:bookmarkEnd w:id="1"/>
      <w:r w:rsidRPr="00DB57BF">
        <w:rPr>
          <w:rFonts w:ascii="Arial" w:eastAsia="Times New Roman" w:hAnsi="Arial" w:cs="Arial"/>
          <w:color w:val="000000"/>
          <w:sz w:val="18"/>
          <w:szCs w:val="18"/>
        </w:rPr>
        <w:br/>
        <w:t xml:space="preserve">A stock exchange, share market or bourse is a corporation or mutual organization which provides facilities for stock brokers and traders, to trade company stocks and other securities. Stock exchanges also provide facilities for the issue and redemption of securities as well as other financial instruments and capital events including the payment of income and dividends. The securities traded on a stock exchange include: shares issued by companies, unit trusts and other pooled investment products and bonds. To be able to trade a security on a certain stock exchange, it has to be listed there.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t xml:space="preserve">The </w:t>
      </w:r>
      <w:hyperlink r:id="rId10" w:tgtFrame="_blank" w:history="1">
        <w:proofErr w:type="gramStart"/>
        <w:r w:rsidRPr="00DB57BF">
          <w:rPr>
            <w:rFonts w:ascii="Arial" w:eastAsia="Times New Roman" w:hAnsi="Arial" w:cs="Arial"/>
            <w:b/>
            <w:bCs/>
            <w:color w:val="003399"/>
            <w:sz w:val="18"/>
          </w:rPr>
          <w:t>Bombay Stock Exchange Limited</w:t>
        </w:r>
      </w:hyperlink>
      <w:r w:rsidRPr="00DB57BF">
        <w:rPr>
          <w:rFonts w:ascii="Arial" w:eastAsia="Times New Roman" w:hAnsi="Arial" w:cs="Arial"/>
          <w:color w:val="000000"/>
          <w:sz w:val="18"/>
          <w:szCs w:val="18"/>
        </w:rPr>
        <w:t xml:space="preserve">, or </w:t>
      </w:r>
      <w:hyperlink r:id="rId11" w:tgtFrame="_blank" w:history="1">
        <w:r w:rsidRPr="00DB57BF">
          <w:rPr>
            <w:rFonts w:ascii="Arial" w:eastAsia="Times New Roman" w:hAnsi="Arial" w:cs="Arial"/>
            <w:b/>
            <w:bCs/>
            <w:color w:val="003399"/>
            <w:sz w:val="18"/>
          </w:rPr>
          <w:t>BSE</w:t>
        </w:r>
        <w:proofErr w:type="gramEnd"/>
      </w:hyperlink>
      <w:r w:rsidRPr="00DB57BF">
        <w:rPr>
          <w:rFonts w:ascii="Arial" w:eastAsia="Times New Roman" w:hAnsi="Arial" w:cs="Arial"/>
          <w:color w:val="000000"/>
          <w:sz w:val="18"/>
          <w:szCs w:val="18"/>
        </w:rPr>
        <w:t xml:space="preserve"> has a nation-wide reach with a presence in 417 cities and towns of India. Its </w:t>
      </w:r>
      <w:proofErr w:type="gramStart"/>
      <w:r w:rsidRPr="00DB57BF">
        <w:rPr>
          <w:rFonts w:ascii="Arial" w:eastAsia="Times New Roman" w:hAnsi="Arial" w:cs="Arial"/>
          <w:color w:val="000000"/>
          <w:sz w:val="18"/>
          <w:szCs w:val="18"/>
        </w:rPr>
        <w:t>index,</w:t>
      </w:r>
      <w:proofErr w:type="gramEnd"/>
      <w:r w:rsidRPr="00DB57BF">
        <w:rPr>
          <w:rFonts w:ascii="Arial" w:eastAsia="Times New Roman" w:hAnsi="Arial" w:cs="Arial"/>
          <w:color w:val="000000"/>
          <w:sz w:val="18"/>
          <w:szCs w:val="18"/>
        </w:rPr>
        <w:t xml:space="preserve"> or market indicator is known as the </w:t>
      </w:r>
      <w:proofErr w:type="spellStart"/>
      <w:r w:rsidRPr="00DB57BF">
        <w:rPr>
          <w:rFonts w:ascii="Arial" w:eastAsia="Times New Roman" w:hAnsi="Arial" w:cs="Arial"/>
          <w:color w:val="000000"/>
          <w:sz w:val="18"/>
          <w:szCs w:val="18"/>
        </w:rPr>
        <w:t>Sensex</w:t>
      </w:r>
      <w:proofErr w:type="spellEnd"/>
      <w:r w:rsidRPr="00DB57BF">
        <w:rPr>
          <w:rFonts w:ascii="Arial" w:eastAsia="Times New Roman" w:hAnsi="Arial" w:cs="Arial"/>
          <w:color w:val="000000"/>
          <w:sz w:val="18"/>
          <w:szCs w:val="18"/>
        </w:rPr>
        <w:t xml:space="preserve">. It gives a general idea regarding the movement of the </w:t>
      </w:r>
      <w:r w:rsidRPr="00DB57BF">
        <w:rPr>
          <w:rFonts w:ascii="Arial" w:eastAsia="Times New Roman" w:hAnsi="Arial" w:cs="Arial"/>
          <w:color w:val="000000"/>
          <w:sz w:val="18"/>
          <w:szCs w:val="18"/>
        </w:rPr>
        <w:lastRenderedPageBreak/>
        <w:t xml:space="preserve">stocks; whether they have gone up or have gone down. If the </w:t>
      </w:r>
      <w:proofErr w:type="spellStart"/>
      <w:r w:rsidRPr="00DB57BF">
        <w:rPr>
          <w:rFonts w:ascii="Arial" w:eastAsia="Times New Roman" w:hAnsi="Arial" w:cs="Arial"/>
          <w:color w:val="000000"/>
          <w:sz w:val="18"/>
          <w:szCs w:val="18"/>
        </w:rPr>
        <w:t>Sensex</w:t>
      </w:r>
      <w:proofErr w:type="spellEnd"/>
      <w:r w:rsidRPr="00DB57BF">
        <w:rPr>
          <w:rFonts w:ascii="Arial" w:eastAsia="Times New Roman" w:hAnsi="Arial" w:cs="Arial"/>
          <w:color w:val="000000"/>
          <w:sz w:val="18"/>
          <w:szCs w:val="18"/>
        </w:rPr>
        <w:t xml:space="preserve"> goes up, it means that the prices of the stocks of most of the major companies on the BSE have gone up.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t xml:space="preserve">The S&amp;P CNX Nifty, or simply Nifty, is the leading index for large companies on the </w:t>
      </w:r>
      <w:hyperlink r:id="rId12" w:tgtFrame="_blank" w:history="1">
        <w:r w:rsidRPr="00DB57BF">
          <w:rPr>
            <w:rFonts w:ascii="Arial" w:eastAsia="Times New Roman" w:hAnsi="Arial" w:cs="Arial"/>
            <w:b/>
            <w:bCs/>
            <w:color w:val="003399"/>
            <w:sz w:val="18"/>
          </w:rPr>
          <w:t>National Stock Exchange</w:t>
        </w:r>
      </w:hyperlink>
      <w:r w:rsidRPr="00DB57BF">
        <w:rPr>
          <w:rFonts w:ascii="Arial" w:eastAsia="Times New Roman" w:hAnsi="Arial" w:cs="Arial"/>
          <w:color w:val="000000"/>
          <w:sz w:val="18"/>
          <w:szCs w:val="18"/>
        </w:rPr>
        <w:t xml:space="preserve"> of India. It consists of 50 companies representing 24 sectors of the economy, and representing approximately 47% of the traded value of all stocks on the National Stock Exchange of India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bookmarkStart w:id="2" w:name="broker"/>
      <w:r w:rsidRPr="00DB57BF">
        <w:rPr>
          <w:rFonts w:ascii="Arial" w:eastAsia="Times New Roman" w:hAnsi="Arial" w:cs="Arial"/>
          <w:b/>
          <w:bCs/>
          <w:color w:val="D53500"/>
          <w:sz w:val="18"/>
          <w:szCs w:val="18"/>
        </w:rPr>
        <w:t>4. Who is a broker?</w:t>
      </w:r>
      <w:r w:rsidRPr="00DB57BF">
        <w:rPr>
          <w:rFonts w:ascii="Arial" w:eastAsia="Times New Roman" w:hAnsi="Arial" w:cs="Arial"/>
          <w:color w:val="D53500"/>
          <w:sz w:val="18"/>
          <w:szCs w:val="18"/>
        </w:rPr>
        <w:t xml:space="preserve"> </w:t>
      </w:r>
      <w:bookmarkEnd w:id="2"/>
      <w:r w:rsidRPr="00DB57BF">
        <w:rPr>
          <w:rFonts w:ascii="Arial" w:eastAsia="Times New Roman" w:hAnsi="Arial" w:cs="Arial"/>
          <w:color w:val="000000"/>
          <w:sz w:val="18"/>
          <w:szCs w:val="18"/>
        </w:rPr>
        <w:br/>
        <w:t xml:space="preserve">A stockbroker is person who is licensed to trade in shares. Brokers also have direct access to the </w:t>
      </w:r>
      <w:proofErr w:type="spellStart"/>
      <w:r w:rsidRPr="00DB57BF">
        <w:rPr>
          <w:rFonts w:ascii="Arial" w:eastAsia="Times New Roman" w:hAnsi="Arial" w:cs="Arial"/>
          <w:color w:val="000000"/>
          <w:sz w:val="18"/>
          <w:szCs w:val="18"/>
        </w:rPr>
        <w:t>sharemarket</w:t>
      </w:r>
      <w:proofErr w:type="spellEnd"/>
      <w:r w:rsidRPr="00DB57BF">
        <w:rPr>
          <w:rFonts w:ascii="Arial" w:eastAsia="Times New Roman" w:hAnsi="Arial" w:cs="Arial"/>
          <w:color w:val="000000"/>
          <w:sz w:val="18"/>
          <w:szCs w:val="18"/>
        </w:rPr>
        <w:t xml:space="preserve"> and can act as your agent in share transactions. For this service they charge a fee. They can also offer additional services like advice on shares, debentures, government bonds and listed property trusts and non-listed investment options (cash management trusts, property and equity trusts.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t xml:space="preserve">In addition a stock broker can plan, implement and monitor your investment portfolio, conduct research and help you optimize your returns.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bookmarkStart w:id="3" w:name="demat"/>
      <w:r w:rsidRPr="00DB57BF">
        <w:rPr>
          <w:rFonts w:ascii="Arial" w:eastAsia="Times New Roman" w:hAnsi="Arial" w:cs="Arial"/>
          <w:b/>
          <w:bCs/>
          <w:color w:val="D53500"/>
          <w:sz w:val="18"/>
          <w:szCs w:val="18"/>
        </w:rPr>
        <w:t xml:space="preserve">5. What is a </w:t>
      </w:r>
      <w:proofErr w:type="spellStart"/>
      <w:r w:rsidRPr="00DB57BF">
        <w:rPr>
          <w:rFonts w:ascii="Arial" w:eastAsia="Times New Roman" w:hAnsi="Arial" w:cs="Arial"/>
          <w:b/>
          <w:bCs/>
          <w:color w:val="D53500"/>
          <w:sz w:val="18"/>
          <w:szCs w:val="18"/>
        </w:rPr>
        <w:t>Demat</w:t>
      </w:r>
      <w:proofErr w:type="spellEnd"/>
      <w:r w:rsidRPr="00DB57BF">
        <w:rPr>
          <w:rFonts w:ascii="Arial" w:eastAsia="Times New Roman" w:hAnsi="Arial" w:cs="Arial"/>
          <w:b/>
          <w:bCs/>
          <w:color w:val="D53500"/>
          <w:sz w:val="18"/>
          <w:szCs w:val="18"/>
        </w:rPr>
        <w:t xml:space="preserve"> A/c?</w:t>
      </w:r>
      <w:r w:rsidRPr="00DB57BF">
        <w:rPr>
          <w:rFonts w:ascii="Arial" w:eastAsia="Times New Roman" w:hAnsi="Arial" w:cs="Arial"/>
          <w:color w:val="D53500"/>
          <w:sz w:val="18"/>
          <w:szCs w:val="18"/>
        </w:rPr>
        <w:t xml:space="preserve"> </w:t>
      </w:r>
      <w:bookmarkEnd w:id="3"/>
      <w:r w:rsidRPr="00DB57BF">
        <w:rPr>
          <w:rFonts w:ascii="Arial" w:eastAsia="Times New Roman" w:hAnsi="Arial" w:cs="Arial"/>
          <w:color w:val="000000"/>
          <w:sz w:val="18"/>
          <w:szCs w:val="18"/>
        </w:rPr>
        <w:br/>
        <w:t xml:space="preserve">Investors who wish to trade in the market need to have a dematerialized, or </w:t>
      </w:r>
      <w:proofErr w:type="spellStart"/>
      <w:r w:rsidRPr="00DB57BF">
        <w:rPr>
          <w:rFonts w:ascii="Arial" w:eastAsia="Times New Roman" w:hAnsi="Arial" w:cs="Arial"/>
          <w:color w:val="000000"/>
          <w:sz w:val="18"/>
          <w:szCs w:val="18"/>
        </w:rPr>
        <w:t>demat</w:t>
      </w:r>
      <w:proofErr w:type="spellEnd"/>
      <w:r w:rsidRPr="00DB57BF">
        <w:rPr>
          <w:rFonts w:ascii="Arial" w:eastAsia="Times New Roman" w:hAnsi="Arial" w:cs="Arial"/>
          <w:color w:val="000000"/>
          <w:sz w:val="18"/>
          <w:szCs w:val="18"/>
        </w:rPr>
        <w:t xml:space="preserve">, account. In India, the government has mandated two entities –National Securities Depository, or NSDL, and Central Depository Services (India), or CDSL – to be the custodian of dematerialized securities. </w:t>
      </w:r>
    </w:p>
    <w:p w:rsidR="00DB57BF" w:rsidRPr="00DB57BF" w:rsidRDefault="00DB57BF" w:rsidP="00DB57BF">
      <w:pPr>
        <w:numPr>
          <w:ilvl w:val="0"/>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b/>
          <w:bCs/>
          <w:color w:val="000000"/>
          <w:sz w:val="18"/>
          <w:szCs w:val="18"/>
        </w:rPr>
        <w:t>5.1 What do you mean by dematerialization?</w:t>
      </w:r>
      <w:r w:rsidRPr="00DB57BF">
        <w:rPr>
          <w:rFonts w:ascii="Arial" w:eastAsia="Times New Roman" w:hAnsi="Arial" w:cs="Arial"/>
          <w:color w:val="000000"/>
          <w:sz w:val="18"/>
          <w:szCs w:val="18"/>
        </w:rPr>
        <w:t xml:space="preserve"> </w:t>
      </w:r>
      <w:r w:rsidRPr="00DB57BF">
        <w:rPr>
          <w:rFonts w:ascii="Arial" w:eastAsia="Times New Roman" w:hAnsi="Arial" w:cs="Arial"/>
          <w:color w:val="000000"/>
          <w:sz w:val="18"/>
          <w:szCs w:val="18"/>
        </w:rPr>
        <w:br/>
        <w:t xml:space="preserve">Dematerialization is the process by which physical certificates of an investor are converted to an equivalent number of securities in electronic form and credited in the investor's account with its DP. </w:t>
      </w:r>
    </w:p>
    <w:p w:rsidR="00DB57BF" w:rsidRPr="00DB57BF" w:rsidRDefault="00DB57BF" w:rsidP="00DB57BF">
      <w:pPr>
        <w:numPr>
          <w:ilvl w:val="0"/>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b/>
          <w:bCs/>
          <w:color w:val="000000"/>
          <w:sz w:val="18"/>
          <w:szCs w:val="18"/>
        </w:rPr>
        <w:t xml:space="preserve">5.2 Can I </w:t>
      </w:r>
      <w:proofErr w:type="gramStart"/>
      <w:r w:rsidRPr="00DB57BF">
        <w:rPr>
          <w:rFonts w:ascii="Arial" w:eastAsia="Times New Roman" w:hAnsi="Arial" w:cs="Arial"/>
          <w:b/>
          <w:bCs/>
          <w:color w:val="000000"/>
          <w:sz w:val="18"/>
          <w:szCs w:val="18"/>
        </w:rPr>
        <w:t>dematerialize</w:t>
      </w:r>
      <w:proofErr w:type="gramEnd"/>
      <w:r w:rsidRPr="00DB57BF">
        <w:rPr>
          <w:rFonts w:ascii="Arial" w:eastAsia="Times New Roman" w:hAnsi="Arial" w:cs="Arial"/>
          <w:b/>
          <w:bCs/>
          <w:color w:val="000000"/>
          <w:sz w:val="18"/>
          <w:szCs w:val="18"/>
        </w:rPr>
        <w:t xml:space="preserve"> any share certificate?</w:t>
      </w:r>
      <w:r w:rsidRPr="00DB57BF">
        <w:rPr>
          <w:rFonts w:ascii="Arial" w:eastAsia="Times New Roman" w:hAnsi="Arial" w:cs="Arial"/>
          <w:color w:val="000000"/>
          <w:sz w:val="18"/>
          <w:szCs w:val="18"/>
        </w:rPr>
        <w:t xml:space="preserve"> </w:t>
      </w:r>
      <w:r w:rsidRPr="00DB57BF">
        <w:rPr>
          <w:rFonts w:ascii="Arial" w:eastAsia="Times New Roman" w:hAnsi="Arial" w:cs="Arial"/>
          <w:color w:val="000000"/>
          <w:sz w:val="18"/>
          <w:szCs w:val="18"/>
        </w:rPr>
        <w:br/>
        <w:t xml:space="preserve">You can </w:t>
      </w:r>
      <w:proofErr w:type="gramStart"/>
      <w:r w:rsidRPr="00DB57BF">
        <w:rPr>
          <w:rFonts w:ascii="Arial" w:eastAsia="Times New Roman" w:hAnsi="Arial" w:cs="Arial"/>
          <w:color w:val="000000"/>
          <w:sz w:val="18"/>
          <w:szCs w:val="18"/>
        </w:rPr>
        <w:t>dematerialize</w:t>
      </w:r>
      <w:proofErr w:type="gramEnd"/>
      <w:r w:rsidRPr="00DB57BF">
        <w:rPr>
          <w:rFonts w:ascii="Arial" w:eastAsia="Times New Roman" w:hAnsi="Arial" w:cs="Arial"/>
          <w:color w:val="000000"/>
          <w:sz w:val="18"/>
          <w:szCs w:val="18"/>
        </w:rPr>
        <w:t xml:space="preserve"> only those certificates that are already registered in your name and are in the list of securities admitted for dematerialization. </w:t>
      </w:r>
    </w:p>
    <w:p w:rsidR="00DB57BF" w:rsidRPr="00DB57BF" w:rsidRDefault="00DB57BF" w:rsidP="00DB57BF">
      <w:pPr>
        <w:numPr>
          <w:ilvl w:val="0"/>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b/>
          <w:bCs/>
          <w:color w:val="000000"/>
          <w:sz w:val="18"/>
          <w:szCs w:val="18"/>
        </w:rPr>
        <w:t>5.3 What is a depository?</w:t>
      </w:r>
      <w:r w:rsidRPr="00DB57BF">
        <w:rPr>
          <w:rFonts w:ascii="Arial" w:eastAsia="Times New Roman" w:hAnsi="Arial" w:cs="Arial"/>
          <w:color w:val="000000"/>
          <w:sz w:val="18"/>
          <w:szCs w:val="18"/>
        </w:rPr>
        <w:br/>
        <w:t xml:space="preserve">A depository can be compared to a bank. A depository holds securities like shares, debentures, bonds, government securities, and units, among others of investors in electronic form. A depository also provides services related to transactions in securities. </w:t>
      </w:r>
    </w:p>
    <w:p w:rsidR="00DB57BF" w:rsidRPr="00DB57BF" w:rsidRDefault="00DB57BF" w:rsidP="00DB57BF">
      <w:pPr>
        <w:numPr>
          <w:ilvl w:val="0"/>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b/>
          <w:bCs/>
          <w:color w:val="000000"/>
          <w:sz w:val="18"/>
          <w:szCs w:val="18"/>
        </w:rPr>
        <w:t>5.4 How can I avail the services of a depository?</w:t>
      </w:r>
      <w:r w:rsidRPr="00DB57BF">
        <w:rPr>
          <w:rFonts w:ascii="Arial" w:eastAsia="Times New Roman" w:hAnsi="Arial" w:cs="Arial"/>
          <w:color w:val="000000"/>
          <w:sz w:val="18"/>
          <w:szCs w:val="18"/>
        </w:rPr>
        <w:t xml:space="preserve"> </w:t>
      </w:r>
      <w:r w:rsidRPr="00DB57BF">
        <w:rPr>
          <w:rFonts w:ascii="Arial" w:eastAsia="Times New Roman" w:hAnsi="Arial" w:cs="Arial"/>
          <w:color w:val="000000"/>
          <w:sz w:val="18"/>
          <w:szCs w:val="18"/>
        </w:rPr>
        <w:br/>
        <w:t xml:space="preserve">A depository interfaces with the investors through its agents called depository participants, or DPs. If an investor wants to avail of services offered by the depository, the investor has to open an account with a DP. This is similar to opening an account with any branch of a bank in order to utilize the bank's services. </w:t>
      </w:r>
    </w:p>
    <w:p w:rsidR="00DB57BF" w:rsidRPr="00DB57BF" w:rsidRDefault="00DB57BF" w:rsidP="00DB57BF">
      <w:pPr>
        <w:numPr>
          <w:ilvl w:val="0"/>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b/>
          <w:bCs/>
          <w:color w:val="000000"/>
          <w:sz w:val="18"/>
          <w:szCs w:val="18"/>
        </w:rPr>
        <w:t xml:space="preserve">5.5 What are the benefits of opening a </w:t>
      </w:r>
      <w:proofErr w:type="spellStart"/>
      <w:r w:rsidRPr="00DB57BF">
        <w:rPr>
          <w:rFonts w:ascii="Arial" w:eastAsia="Times New Roman" w:hAnsi="Arial" w:cs="Arial"/>
          <w:b/>
          <w:bCs/>
          <w:color w:val="000000"/>
          <w:sz w:val="18"/>
          <w:szCs w:val="18"/>
        </w:rPr>
        <w:t>demat</w:t>
      </w:r>
      <w:proofErr w:type="spellEnd"/>
      <w:r w:rsidRPr="00DB57BF">
        <w:rPr>
          <w:rFonts w:ascii="Arial" w:eastAsia="Times New Roman" w:hAnsi="Arial" w:cs="Arial"/>
          <w:b/>
          <w:bCs/>
          <w:color w:val="000000"/>
          <w:sz w:val="18"/>
          <w:szCs w:val="18"/>
        </w:rPr>
        <w:t xml:space="preserve"> account? </w:t>
      </w:r>
      <w:r w:rsidRPr="00DB57BF">
        <w:rPr>
          <w:rFonts w:ascii="Arial" w:eastAsia="Times New Roman" w:hAnsi="Arial" w:cs="Arial"/>
          <w:color w:val="000000"/>
          <w:sz w:val="18"/>
          <w:szCs w:val="18"/>
        </w:rPr>
        <w:br/>
        <w:t xml:space="preserve">The benefits of opening a </w:t>
      </w:r>
      <w:proofErr w:type="spellStart"/>
      <w:r w:rsidRPr="00DB57BF">
        <w:rPr>
          <w:rFonts w:ascii="Arial" w:eastAsia="Times New Roman" w:hAnsi="Arial" w:cs="Arial"/>
          <w:color w:val="000000"/>
          <w:sz w:val="18"/>
          <w:szCs w:val="18"/>
        </w:rPr>
        <w:t>demat</w:t>
      </w:r>
      <w:proofErr w:type="spellEnd"/>
      <w:r w:rsidRPr="00DB57BF">
        <w:rPr>
          <w:rFonts w:ascii="Arial" w:eastAsia="Times New Roman" w:hAnsi="Arial" w:cs="Arial"/>
          <w:color w:val="000000"/>
          <w:sz w:val="18"/>
          <w:szCs w:val="18"/>
        </w:rPr>
        <w:t xml:space="preserve"> account are: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lastRenderedPageBreak/>
        <w:t xml:space="preserve">Immediate transfer of securities;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No stamp duty on transfer of securities;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Elimination of risks associated with physical certificates such as bad delivery, fake securities, etc.;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Reduction in paperwork involved in transfer of securities;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Reduction in transaction cost;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Nomination facility;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Change in address recorded with DP gets registered electronically with all companies in which investor holds securities eliminating the need to correspond with each of them separately;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Transmission of securities is done by DP eliminating correspondence with companies;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Convenient method of consolidation of folios/accounts;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Holding investments in equity, debt instruments and government securities in a single account; </w:t>
      </w:r>
    </w:p>
    <w:p w:rsidR="00DB57BF" w:rsidRPr="00DB57BF" w:rsidRDefault="00DB57BF" w:rsidP="00DB57BF">
      <w:pPr>
        <w:numPr>
          <w:ilvl w:val="1"/>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Automatic </w:t>
      </w:r>
      <w:proofErr w:type="gramStart"/>
      <w:r w:rsidRPr="00DB57BF">
        <w:rPr>
          <w:rFonts w:ascii="Arial" w:eastAsia="Times New Roman" w:hAnsi="Arial" w:cs="Arial"/>
          <w:color w:val="000000"/>
          <w:sz w:val="18"/>
          <w:szCs w:val="18"/>
        </w:rPr>
        <w:t xml:space="preserve">credit of shares into </w:t>
      </w:r>
      <w:proofErr w:type="spellStart"/>
      <w:r w:rsidRPr="00DB57BF">
        <w:rPr>
          <w:rFonts w:ascii="Arial" w:eastAsia="Times New Roman" w:hAnsi="Arial" w:cs="Arial"/>
          <w:color w:val="000000"/>
          <w:sz w:val="18"/>
          <w:szCs w:val="18"/>
        </w:rPr>
        <w:t>demat</w:t>
      </w:r>
      <w:proofErr w:type="spellEnd"/>
      <w:proofErr w:type="gramEnd"/>
      <w:r w:rsidRPr="00DB57BF">
        <w:rPr>
          <w:rFonts w:ascii="Arial" w:eastAsia="Times New Roman" w:hAnsi="Arial" w:cs="Arial"/>
          <w:color w:val="000000"/>
          <w:sz w:val="18"/>
          <w:szCs w:val="18"/>
        </w:rPr>
        <w:t xml:space="preserve"> account, arising out of split/consolidation/merger etc. </w:t>
      </w:r>
    </w:p>
    <w:p w:rsidR="00DB57BF" w:rsidRPr="00DB57BF" w:rsidRDefault="00DB57BF" w:rsidP="00DB57BF">
      <w:pPr>
        <w:numPr>
          <w:ilvl w:val="0"/>
          <w:numId w:val="10"/>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b/>
          <w:bCs/>
          <w:color w:val="000000"/>
          <w:sz w:val="18"/>
          <w:szCs w:val="18"/>
        </w:rPr>
        <w:t>5.6 How do I select a DP?</w:t>
      </w:r>
      <w:r w:rsidRPr="00DB57BF">
        <w:rPr>
          <w:rFonts w:ascii="Arial" w:eastAsia="Times New Roman" w:hAnsi="Arial" w:cs="Arial"/>
          <w:color w:val="000000"/>
          <w:sz w:val="18"/>
          <w:szCs w:val="18"/>
        </w:rPr>
        <w:t xml:space="preserve"> </w:t>
      </w:r>
    </w:p>
    <w:p w:rsidR="00DB57BF" w:rsidRPr="00DB57BF" w:rsidRDefault="00DB57BF" w:rsidP="00DB57BF">
      <w:pPr>
        <w:numPr>
          <w:ilvl w:val="1"/>
          <w:numId w:val="11"/>
        </w:numPr>
        <w:spacing w:before="100" w:beforeAutospacing="1" w:after="100" w:afterAutospacing="1" w:line="420" w:lineRule="auto"/>
        <w:ind w:left="1440" w:hanging="360"/>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 can select your DP to open a </w:t>
      </w:r>
      <w:proofErr w:type="spellStart"/>
      <w:r w:rsidRPr="00DB57BF">
        <w:rPr>
          <w:rFonts w:ascii="Arial" w:eastAsia="Times New Roman" w:hAnsi="Arial" w:cs="Arial"/>
          <w:color w:val="000000"/>
          <w:sz w:val="18"/>
          <w:szCs w:val="18"/>
        </w:rPr>
        <w:t>demat</w:t>
      </w:r>
      <w:proofErr w:type="spellEnd"/>
      <w:r w:rsidRPr="00DB57BF">
        <w:rPr>
          <w:rFonts w:ascii="Arial" w:eastAsia="Times New Roman" w:hAnsi="Arial" w:cs="Arial"/>
          <w:color w:val="000000"/>
          <w:sz w:val="18"/>
          <w:szCs w:val="18"/>
        </w:rPr>
        <w:t xml:space="preserve"> account just like you select a bank for opening a savings account. Some of the important factors for selection of a DP can be: </w:t>
      </w:r>
    </w:p>
    <w:p w:rsidR="00DB57BF" w:rsidRPr="00DB57BF" w:rsidRDefault="00DB57BF" w:rsidP="00DB57BF">
      <w:pPr>
        <w:numPr>
          <w:ilvl w:val="1"/>
          <w:numId w:val="11"/>
        </w:numPr>
        <w:spacing w:before="100" w:beforeAutospacing="1" w:after="100" w:afterAutospacing="1" w:line="420" w:lineRule="auto"/>
        <w:ind w:left="1440" w:hanging="360"/>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Convenience - Proximity to the office/residence, business hours. </w:t>
      </w:r>
    </w:p>
    <w:p w:rsidR="00DB57BF" w:rsidRPr="00DB57BF" w:rsidRDefault="00DB57BF" w:rsidP="00DB57BF">
      <w:pPr>
        <w:numPr>
          <w:ilvl w:val="1"/>
          <w:numId w:val="11"/>
        </w:numPr>
        <w:spacing w:before="100" w:beforeAutospacing="1" w:after="100" w:afterAutospacing="1" w:line="420" w:lineRule="auto"/>
        <w:ind w:left="1440" w:hanging="360"/>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Comfort - Reputation of the DP, past association with the organization, whether the DP is in a position to give the specific service you may need? </w:t>
      </w:r>
    </w:p>
    <w:p w:rsidR="00DB57BF" w:rsidRPr="00DB57BF" w:rsidRDefault="00DB57BF" w:rsidP="00DB57BF">
      <w:pPr>
        <w:numPr>
          <w:ilvl w:val="1"/>
          <w:numId w:val="11"/>
        </w:numPr>
        <w:spacing w:before="100" w:beforeAutospacing="1" w:after="100" w:afterAutospacing="1" w:line="420" w:lineRule="auto"/>
        <w:ind w:left="1440" w:hanging="360"/>
        <w:rPr>
          <w:rFonts w:ascii="Arial" w:eastAsia="Times New Roman" w:hAnsi="Arial" w:cs="Arial"/>
          <w:color w:val="000000"/>
          <w:sz w:val="18"/>
          <w:szCs w:val="18"/>
        </w:rPr>
      </w:pPr>
      <w:r w:rsidRPr="00DB57BF">
        <w:rPr>
          <w:rFonts w:ascii="Arial" w:eastAsia="Times New Roman" w:hAnsi="Arial" w:cs="Arial"/>
          <w:color w:val="000000"/>
          <w:sz w:val="18"/>
          <w:szCs w:val="18"/>
        </w:rPr>
        <w:t>Cost - The service charges levied by DP and the service standards.</w:t>
      </w:r>
    </w:p>
    <w:p w:rsidR="00DB57BF" w:rsidRPr="00DB57BF" w:rsidRDefault="00DB57BF" w:rsidP="00DB57BF">
      <w:pPr>
        <w:spacing w:line="420" w:lineRule="auto"/>
        <w:rPr>
          <w:rFonts w:ascii="Arial" w:eastAsia="Times New Roman" w:hAnsi="Arial" w:cs="Arial"/>
          <w:color w:val="000000"/>
          <w:sz w:val="18"/>
          <w:szCs w:val="18"/>
        </w:rPr>
      </w:pPr>
      <w:r>
        <w:rPr>
          <w:rFonts w:ascii="Arial" w:hAnsi="Arial" w:cs="Arial"/>
          <w:b/>
          <w:bCs/>
          <w:color w:val="D53500"/>
        </w:rPr>
        <w:t xml:space="preserve">Opening a </w:t>
      </w:r>
      <w:proofErr w:type="spellStart"/>
      <w:r>
        <w:rPr>
          <w:rFonts w:ascii="Arial" w:hAnsi="Arial" w:cs="Arial"/>
          <w:b/>
          <w:bCs/>
          <w:color w:val="D53500"/>
        </w:rPr>
        <w:t>Demat</w:t>
      </w:r>
      <w:proofErr w:type="spellEnd"/>
      <w:r>
        <w:rPr>
          <w:rFonts w:ascii="Arial" w:hAnsi="Arial" w:cs="Arial"/>
          <w:b/>
          <w:bCs/>
          <w:color w:val="D53500"/>
        </w:rPr>
        <w:t xml:space="preserve"> Account</w:t>
      </w:r>
      <w:r>
        <w:rPr>
          <w:rFonts w:ascii="Arial" w:hAnsi="Arial" w:cs="Arial"/>
          <w:b/>
          <w:bCs/>
          <w:color w:val="D53500"/>
        </w:rPr>
        <w:br/>
      </w:r>
      <w:r>
        <w:rPr>
          <w:rFonts w:ascii="Arial" w:hAnsi="Arial" w:cs="Arial"/>
          <w:b/>
          <w:bCs/>
          <w:color w:val="000000"/>
          <w:sz w:val="18"/>
          <w:szCs w:val="18"/>
        </w:rPr>
        <w:t>A. What are the documents that I will require?</w:t>
      </w:r>
      <w:r>
        <w:rPr>
          <w:rFonts w:ascii="Arial" w:hAnsi="Arial" w:cs="Arial"/>
          <w:b/>
          <w:bCs/>
          <w:color w:val="000000"/>
          <w:sz w:val="18"/>
          <w:szCs w:val="18"/>
        </w:rPr>
        <w:br/>
      </w:r>
      <w:r w:rsidRPr="00DB57BF">
        <w:rPr>
          <w:rFonts w:ascii="Arial" w:eastAsia="Times New Roman" w:hAnsi="Arial" w:cs="Arial"/>
          <w:b/>
          <w:bCs/>
          <w:color w:val="000000"/>
          <w:sz w:val="18"/>
          <w:szCs w:val="18"/>
        </w:rPr>
        <w:t>Proof of identity</w:t>
      </w:r>
      <w:r w:rsidRPr="00DB57BF">
        <w:rPr>
          <w:rFonts w:ascii="Arial" w:eastAsia="Times New Roman" w:hAnsi="Arial" w:cs="Arial"/>
          <w:color w:val="000000"/>
          <w:sz w:val="18"/>
          <w:szCs w:val="18"/>
        </w:rPr>
        <w:t xml:space="preserve"> (copy of any one proof): </w:t>
      </w:r>
    </w:p>
    <w:p w:rsidR="00DB57BF" w:rsidRPr="00DB57BF" w:rsidRDefault="00DB57BF" w:rsidP="00DB57BF">
      <w:pPr>
        <w:numPr>
          <w:ilvl w:val="0"/>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Passport </w:t>
      </w:r>
    </w:p>
    <w:p w:rsidR="00DB57BF" w:rsidRPr="00DB57BF" w:rsidRDefault="00DB57BF" w:rsidP="00DB57BF">
      <w:pPr>
        <w:numPr>
          <w:ilvl w:val="0"/>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Voter ID Card </w:t>
      </w:r>
    </w:p>
    <w:p w:rsidR="00DB57BF" w:rsidRPr="00DB57BF" w:rsidRDefault="00DB57BF" w:rsidP="00DB57BF">
      <w:pPr>
        <w:numPr>
          <w:ilvl w:val="0"/>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Driving license </w:t>
      </w:r>
    </w:p>
    <w:p w:rsidR="00DB57BF" w:rsidRPr="00DB57BF" w:rsidRDefault="00DB57BF" w:rsidP="00DB57BF">
      <w:pPr>
        <w:numPr>
          <w:ilvl w:val="0"/>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PAN card with photograph </w:t>
      </w:r>
    </w:p>
    <w:p w:rsidR="00DB57BF" w:rsidRPr="00DB57BF" w:rsidRDefault="00DB57BF" w:rsidP="00DB57BF">
      <w:pPr>
        <w:numPr>
          <w:ilvl w:val="0"/>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Identity card/document with applicant's photo, issued by </w:t>
      </w:r>
    </w:p>
    <w:p w:rsidR="00DB57BF" w:rsidRPr="00DB57BF" w:rsidRDefault="00DB57BF" w:rsidP="00DB57BF">
      <w:pPr>
        <w:numPr>
          <w:ilvl w:val="1"/>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Central/State government and its departments, </w:t>
      </w:r>
    </w:p>
    <w:p w:rsidR="00DB57BF" w:rsidRPr="00DB57BF" w:rsidRDefault="00DB57BF" w:rsidP="00DB57BF">
      <w:pPr>
        <w:numPr>
          <w:ilvl w:val="1"/>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Statutory/Regulatory Authorities, </w:t>
      </w:r>
    </w:p>
    <w:p w:rsidR="00DB57BF" w:rsidRPr="00DB57BF" w:rsidRDefault="00DB57BF" w:rsidP="00DB57BF">
      <w:pPr>
        <w:numPr>
          <w:ilvl w:val="1"/>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Public sector undertakings, </w:t>
      </w:r>
    </w:p>
    <w:p w:rsidR="00DB57BF" w:rsidRPr="00DB57BF" w:rsidRDefault="00DB57BF" w:rsidP="00DB57BF">
      <w:pPr>
        <w:numPr>
          <w:ilvl w:val="1"/>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Scheduled commercial banks, </w:t>
      </w:r>
    </w:p>
    <w:p w:rsidR="00DB57BF" w:rsidRPr="00DB57BF" w:rsidRDefault="00DB57BF" w:rsidP="00DB57BF">
      <w:pPr>
        <w:numPr>
          <w:ilvl w:val="1"/>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Public financial institutions, </w:t>
      </w:r>
    </w:p>
    <w:p w:rsidR="00DB57BF" w:rsidRPr="00DB57BF" w:rsidRDefault="00DB57BF" w:rsidP="00DB57BF">
      <w:pPr>
        <w:numPr>
          <w:ilvl w:val="1"/>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Colleges affiliated to universities (this is valid only till the time the applicant is a student), </w:t>
      </w:r>
    </w:p>
    <w:p w:rsidR="00DB57BF" w:rsidRPr="00DB57BF" w:rsidRDefault="00DB57BF" w:rsidP="00DB57BF">
      <w:pPr>
        <w:numPr>
          <w:ilvl w:val="1"/>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Professional bodies such as ICAI, ICWAI, ICSI, Bar Council etc, to their members; and </w:t>
      </w:r>
    </w:p>
    <w:p w:rsidR="00DB57BF" w:rsidRPr="00DB57BF" w:rsidRDefault="00DB57BF" w:rsidP="00DB57BF">
      <w:pPr>
        <w:numPr>
          <w:ilvl w:val="1"/>
          <w:numId w:val="12"/>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Credit cards/debit cards issued by banks. </w:t>
      </w:r>
    </w:p>
    <w:p w:rsidR="00DB57BF" w:rsidRPr="00DB57BF" w:rsidRDefault="00DB57BF" w:rsidP="00DB57BF">
      <w:pPr>
        <w:spacing w:after="0" w:line="420" w:lineRule="auto"/>
        <w:rPr>
          <w:rFonts w:ascii="Arial" w:eastAsia="Times New Roman" w:hAnsi="Arial" w:cs="Arial"/>
          <w:color w:val="000000"/>
          <w:sz w:val="18"/>
          <w:szCs w:val="18"/>
        </w:rPr>
      </w:pPr>
      <w:r w:rsidRPr="00DB57BF">
        <w:rPr>
          <w:rFonts w:ascii="Arial" w:eastAsia="Times New Roman" w:hAnsi="Arial" w:cs="Arial"/>
          <w:b/>
          <w:bCs/>
          <w:color w:val="000000"/>
          <w:sz w:val="18"/>
          <w:szCs w:val="18"/>
        </w:rPr>
        <w:lastRenderedPageBreak/>
        <w:t>Proof of address</w:t>
      </w:r>
      <w:r w:rsidRPr="00DB57BF">
        <w:rPr>
          <w:rFonts w:ascii="Arial" w:eastAsia="Times New Roman" w:hAnsi="Arial" w:cs="Arial"/>
          <w:color w:val="000000"/>
          <w:sz w:val="18"/>
          <w:szCs w:val="18"/>
        </w:rPr>
        <w:t xml:space="preserve"> (copy of any one proof): </w:t>
      </w:r>
    </w:p>
    <w:p w:rsidR="00DB57BF" w:rsidRPr="00DB57BF" w:rsidRDefault="00DB57BF" w:rsidP="00DB57BF">
      <w:pPr>
        <w:numPr>
          <w:ilvl w:val="0"/>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Ration card </w:t>
      </w:r>
    </w:p>
    <w:p w:rsidR="00DB57BF" w:rsidRPr="00DB57BF" w:rsidRDefault="00DB57BF" w:rsidP="00DB57BF">
      <w:pPr>
        <w:numPr>
          <w:ilvl w:val="0"/>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Passport </w:t>
      </w:r>
    </w:p>
    <w:p w:rsidR="00DB57BF" w:rsidRPr="00DB57BF" w:rsidRDefault="00DB57BF" w:rsidP="00DB57BF">
      <w:pPr>
        <w:numPr>
          <w:ilvl w:val="0"/>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Voter ID card </w:t>
      </w:r>
    </w:p>
    <w:p w:rsidR="00DB57BF" w:rsidRPr="00DB57BF" w:rsidRDefault="00DB57BF" w:rsidP="00DB57BF">
      <w:pPr>
        <w:numPr>
          <w:ilvl w:val="0"/>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Driving license </w:t>
      </w:r>
    </w:p>
    <w:p w:rsidR="00DB57BF" w:rsidRPr="00DB57BF" w:rsidRDefault="00DB57BF" w:rsidP="00DB57BF">
      <w:pPr>
        <w:numPr>
          <w:ilvl w:val="0"/>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Bank passbook </w:t>
      </w:r>
    </w:p>
    <w:p w:rsidR="00DB57BF" w:rsidRPr="00DB57BF" w:rsidRDefault="00DB57BF" w:rsidP="00DB57BF">
      <w:pPr>
        <w:numPr>
          <w:ilvl w:val="0"/>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Verified copies of electricity bills/ residence telephone bills (not more than two months old)/ Leave and license agreement/ agreement for sale. </w:t>
      </w:r>
    </w:p>
    <w:p w:rsidR="00DB57BF" w:rsidRPr="00DB57BF" w:rsidRDefault="00DB57BF" w:rsidP="00DB57BF">
      <w:pPr>
        <w:numPr>
          <w:ilvl w:val="0"/>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Self-declaration by High Court and Supreme Court judges, </w:t>
      </w:r>
    </w:p>
    <w:p w:rsidR="00DB57BF" w:rsidRPr="00DB57BF" w:rsidRDefault="00DB57BF" w:rsidP="00DB57BF">
      <w:pPr>
        <w:numPr>
          <w:ilvl w:val="0"/>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Giving the new address in respect of </w:t>
      </w:r>
      <w:proofErr w:type="gramStart"/>
      <w:r w:rsidRPr="00DB57BF">
        <w:rPr>
          <w:rFonts w:ascii="Arial" w:eastAsia="Times New Roman" w:hAnsi="Arial" w:cs="Arial"/>
          <w:color w:val="000000"/>
          <w:sz w:val="18"/>
          <w:szCs w:val="18"/>
        </w:rPr>
        <w:t>their own</w:t>
      </w:r>
      <w:proofErr w:type="gramEnd"/>
      <w:r w:rsidRPr="00DB57BF">
        <w:rPr>
          <w:rFonts w:ascii="Arial" w:eastAsia="Times New Roman" w:hAnsi="Arial" w:cs="Arial"/>
          <w:color w:val="000000"/>
          <w:sz w:val="18"/>
          <w:szCs w:val="18"/>
        </w:rPr>
        <w:t xml:space="preserve"> accounts. </w:t>
      </w:r>
    </w:p>
    <w:p w:rsidR="00DB57BF" w:rsidRPr="00DB57BF" w:rsidRDefault="00DB57BF" w:rsidP="00DB57BF">
      <w:pPr>
        <w:numPr>
          <w:ilvl w:val="0"/>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Identity card/document with address, issued by </w:t>
      </w:r>
    </w:p>
    <w:p w:rsidR="00DB57BF" w:rsidRPr="00DB57BF" w:rsidRDefault="00DB57BF" w:rsidP="00DB57BF">
      <w:pPr>
        <w:numPr>
          <w:ilvl w:val="1"/>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Central/State government and its departments, </w:t>
      </w:r>
    </w:p>
    <w:p w:rsidR="00DB57BF" w:rsidRPr="00DB57BF" w:rsidRDefault="00DB57BF" w:rsidP="00DB57BF">
      <w:pPr>
        <w:numPr>
          <w:ilvl w:val="1"/>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Statutory/Regulatory Authorities, </w:t>
      </w:r>
    </w:p>
    <w:p w:rsidR="00DB57BF" w:rsidRPr="00DB57BF" w:rsidRDefault="00DB57BF" w:rsidP="00DB57BF">
      <w:pPr>
        <w:numPr>
          <w:ilvl w:val="1"/>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Public sector undertakings, </w:t>
      </w:r>
    </w:p>
    <w:p w:rsidR="00DB57BF" w:rsidRPr="00DB57BF" w:rsidRDefault="00DB57BF" w:rsidP="00DB57BF">
      <w:pPr>
        <w:numPr>
          <w:ilvl w:val="1"/>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Scheduled commercial banks, </w:t>
      </w:r>
    </w:p>
    <w:p w:rsidR="00DB57BF" w:rsidRPr="00DB57BF" w:rsidRDefault="00DB57BF" w:rsidP="00DB57BF">
      <w:pPr>
        <w:numPr>
          <w:ilvl w:val="1"/>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Public financial institutions, </w:t>
      </w:r>
    </w:p>
    <w:p w:rsidR="00DB57BF" w:rsidRPr="00DB57BF" w:rsidRDefault="00DB57BF" w:rsidP="00DB57BF">
      <w:pPr>
        <w:numPr>
          <w:ilvl w:val="1"/>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Colleges affiliated to universities (this is valid only till the time the applicant is a student), </w:t>
      </w:r>
    </w:p>
    <w:p w:rsidR="00DB57BF" w:rsidRPr="00DB57BF" w:rsidRDefault="00DB57BF" w:rsidP="00DB57BF">
      <w:pPr>
        <w:numPr>
          <w:ilvl w:val="1"/>
          <w:numId w:val="13"/>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Professional bodies such as ICAI, ICWAI, ICSI, Bar Council etc, to their members; and </w:t>
      </w:r>
    </w:p>
    <w:p w:rsidR="00DB57BF" w:rsidRPr="00DB57BF" w:rsidRDefault="00DB57BF" w:rsidP="00DB57BF">
      <w:pPr>
        <w:spacing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br/>
      </w:r>
      <w:r w:rsidRPr="00DB57BF">
        <w:rPr>
          <w:rFonts w:ascii="Arial" w:eastAsia="Times New Roman" w:hAnsi="Arial" w:cs="Arial"/>
          <w:b/>
          <w:bCs/>
          <w:color w:val="000000"/>
          <w:sz w:val="18"/>
          <w:szCs w:val="18"/>
        </w:rPr>
        <w:t>Passport-size photograph</w:t>
      </w:r>
      <w:r w:rsidRPr="00DB57BF">
        <w:rPr>
          <w:rFonts w:ascii="Arial" w:eastAsia="Times New Roman" w:hAnsi="Arial" w:cs="Arial"/>
          <w:color w:val="000000"/>
          <w:sz w:val="18"/>
          <w:szCs w:val="18"/>
        </w:rPr>
        <w:t xml:space="preserve">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000000"/>
          <w:sz w:val="18"/>
          <w:szCs w:val="18"/>
        </w:rPr>
        <w:t>Copy of PAN card</w:t>
      </w:r>
      <w:r w:rsidRPr="00DB57BF">
        <w:rPr>
          <w:rFonts w:ascii="Arial" w:eastAsia="Times New Roman" w:hAnsi="Arial" w:cs="Arial"/>
          <w:color w:val="000000"/>
          <w:sz w:val="18"/>
          <w:szCs w:val="18"/>
        </w:rPr>
        <w:br/>
      </w:r>
      <w:proofErr w:type="gramStart"/>
      <w:r w:rsidRPr="00DB57BF">
        <w:rPr>
          <w:rFonts w:ascii="Arial" w:eastAsia="Times New Roman" w:hAnsi="Arial" w:cs="Arial"/>
          <w:color w:val="000000"/>
          <w:sz w:val="18"/>
          <w:szCs w:val="18"/>
        </w:rPr>
        <w:t>One</w:t>
      </w:r>
      <w:proofErr w:type="gramEnd"/>
      <w:r w:rsidRPr="00DB57BF">
        <w:rPr>
          <w:rFonts w:ascii="Arial" w:eastAsia="Times New Roman" w:hAnsi="Arial" w:cs="Arial"/>
          <w:color w:val="000000"/>
          <w:sz w:val="18"/>
          <w:szCs w:val="18"/>
        </w:rPr>
        <w:t xml:space="preserve"> must remember to take original documents to the DP for verification. Your DP will carry-out "in-person verification" of account holder(s) at the time of opening your account.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D53500"/>
          <w:sz w:val="20"/>
          <w:szCs w:val="20"/>
        </w:rPr>
        <w:t>B. Other Information</w:t>
      </w:r>
      <w:r w:rsidRPr="00DB57BF">
        <w:rPr>
          <w:rFonts w:ascii="Arial" w:eastAsia="Times New Roman" w:hAnsi="Arial" w:cs="Arial"/>
          <w:color w:val="000000"/>
          <w:sz w:val="18"/>
          <w:szCs w:val="18"/>
        </w:rPr>
        <w:t xml:space="preserve">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000000"/>
          <w:sz w:val="18"/>
          <w:szCs w:val="18"/>
        </w:rPr>
        <w:t>Q: How long does the dematerialization process take?</w:t>
      </w:r>
      <w:r w:rsidRPr="00DB57BF">
        <w:rPr>
          <w:rFonts w:ascii="Arial" w:eastAsia="Times New Roman" w:hAnsi="Arial" w:cs="Arial"/>
          <w:color w:val="000000"/>
          <w:sz w:val="18"/>
          <w:szCs w:val="18"/>
        </w:rPr>
        <w:br/>
        <w:t xml:space="preserve">A: Dematerialization will normally take about 30 days.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000000"/>
          <w:sz w:val="18"/>
          <w:szCs w:val="18"/>
        </w:rPr>
        <w:t xml:space="preserve">Q: Can I dematerialize my debt instruments, mutual fund units, and government securities also in my </w:t>
      </w:r>
      <w:proofErr w:type="spellStart"/>
      <w:r w:rsidRPr="00DB57BF">
        <w:rPr>
          <w:rFonts w:ascii="Arial" w:eastAsia="Times New Roman" w:hAnsi="Arial" w:cs="Arial"/>
          <w:b/>
          <w:bCs/>
          <w:color w:val="000000"/>
          <w:sz w:val="18"/>
          <w:szCs w:val="18"/>
        </w:rPr>
        <w:t>demat</w:t>
      </w:r>
      <w:proofErr w:type="spellEnd"/>
      <w:r w:rsidRPr="00DB57BF">
        <w:rPr>
          <w:rFonts w:ascii="Arial" w:eastAsia="Times New Roman" w:hAnsi="Arial" w:cs="Arial"/>
          <w:b/>
          <w:bCs/>
          <w:color w:val="000000"/>
          <w:sz w:val="18"/>
          <w:szCs w:val="18"/>
        </w:rPr>
        <w:t xml:space="preserve"> account?</w:t>
      </w:r>
      <w:r w:rsidRPr="00DB57BF">
        <w:rPr>
          <w:rFonts w:ascii="Arial" w:eastAsia="Times New Roman" w:hAnsi="Arial" w:cs="Arial"/>
          <w:color w:val="000000"/>
          <w:sz w:val="18"/>
          <w:szCs w:val="18"/>
        </w:rPr>
        <w:br/>
        <w:t xml:space="preserve">A: You can dematerialize and hold all such investments in a single </w:t>
      </w:r>
      <w:proofErr w:type="spellStart"/>
      <w:r w:rsidRPr="00DB57BF">
        <w:rPr>
          <w:rFonts w:ascii="Arial" w:eastAsia="Times New Roman" w:hAnsi="Arial" w:cs="Arial"/>
          <w:color w:val="000000"/>
          <w:sz w:val="18"/>
          <w:szCs w:val="18"/>
        </w:rPr>
        <w:t>demat</w:t>
      </w:r>
      <w:proofErr w:type="spellEnd"/>
      <w:r w:rsidRPr="00DB57BF">
        <w:rPr>
          <w:rFonts w:ascii="Arial" w:eastAsia="Times New Roman" w:hAnsi="Arial" w:cs="Arial"/>
          <w:color w:val="000000"/>
          <w:sz w:val="18"/>
          <w:szCs w:val="18"/>
        </w:rPr>
        <w:t xml:space="preserve"> account.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000000"/>
          <w:sz w:val="18"/>
          <w:szCs w:val="18"/>
        </w:rPr>
        <w:t>Q: Can my electronic holdings be converted back into certificates?</w:t>
      </w:r>
      <w:r w:rsidRPr="00DB57BF">
        <w:rPr>
          <w:rFonts w:ascii="Arial" w:eastAsia="Times New Roman" w:hAnsi="Arial" w:cs="Arial"/>
          <w:color w:val="000000"/>
          <w:sz w:val="18"/>
          <w:szCs w:val="18"/>
        </w:rPr>
        <w:br/>
        <w:t xml:space="preserve">A: If you wish to get back your securities in physical form, all you have to do is to request your DP for </w:t>
      </w:r>
      <w:proofErr w:type="spellStart"/>
      <w:r w:rsidRPr="00DB57BF">
        <w:rPr>
          <w:rFonts w:ascii="Arial" w:eastAsia="Times New Roman" w:hAnsi="Arial" w:cs="Arial"/>
          <w:color w:val="000000"/>
          <w:sz w:val="18"/>
          <w:szCs w:val="18"/>
        </w:rPr>
        <w:lastRenderedPageBreak/>
        <w:t>rematerialisation</w:t>
      </w:r>
      <w:proofErr w:type="spellEnd"/>
      <w:r w:rsidRPr="00DB57BF">
        <w:rPr>
          <w:rFonts w:ascii="Arial" w:eastAsia="Times New Roman" w:hAnsi="Arial" w:cs="Arial"/>
          <w:color w:val="000000"/>
          <w:sz w:val="18"/>
          <w:szCs w:val="18"/>
        </w:rPr>
        <w:t xml:space="preserve"> of the same. '</w:t>
      </w:r>
      <w:proofErr w:type="spellStart"/>
      <w:r w:rsidRPr="00DB57BF">
        <w:rPr>
          <w:rFonts w:ascii="Arial" w:eastAsia="Times New Roman" w:hAnsi="Arial" w:cs="Arial"/>
          <w:color w:val="000000"/>
          <w:sz w:val="18"/>
          <w:szCs w:val="18"/>
        </w:rPr>
        <w:t>Rematerialization</w:t>
      </w:r>
      <w:proofErr w:type="spellEnd"/>
      <w:r w:rsidRPr="00DB57BF">
        <w:rPr>
          <w:rFonts w:ascii="Arial" w:eastAsia="Times New Roman" w:hAnsi="Arial" w:cs="Arial"/>
          <w:color w:val="000000"/>
          <w:sz w:val="18"/>
          <w:szCs w:val="18"/>
        </w:rPr>
        <w:t>' is the term used for converting electronic holdings back into certificates. Your DP will forward your request to the depository. After verifying whether you have the necessary balance, the depository will intimate the registrar, who will print the certificates and dispatch the same to you.</w:t>
      </w:r>
      <w:r>
        <w:rPr>
          <w:rFonts w:ascii="Arial" w:eastAsia="Times New Roman" w:hAnsi="Arial" w:cs="Arial"/>
          <w:color w:val="000000"/>
          <w:sz w:val="18"/>
          <w:szCs w:val="18"/>
        </w:rPr>
        <w:br/>
      </w:r>
      <w:r w:rsidRPr="00DB57BF">
        <w:rPr>
          <w:rFonts w:ascii="Arial" w:eastAsia="Times New Roman" w:hAnsi="Arial" w:cs="Arial"/>
          <w:b/>
          <w:bCs/>
          <w:color w:val="D53500"/>
          <w:sz w:val="18"/>
          <w:szCs w:val="18"/>
        </w:rPr>
        <w:t xml:space="preserve">6. Buying and selling of </w:t>
      </w:r>
      <w:proofErr w:type="spellStart"/>
      <w:r w:rsidRPr="00DB57BF">
        <w:rPr>
          <w:rFonts w:ascii="Arial" w:eastAsia="Times New Roman" w:hAnsi="Arial" w:cs="Arial"/>
          <w:b/>
          <w:bCs/>
          <w:color w:val="D53500"/>
          <w:sz w:val="18"/>
          <w:szCs w:val="18"/>
        </w:rPr>
        <w:t>dematerialised</w:t>
      </w:r>
      <w:proofErr w:type="spellEnd"/>
      <w:r w:rsidRPr="00DB57BF">
        <w:rPr>
          <w:rFonts w:ascii="Arial" w:eastAsia="Times New Roman" w:hAnsi="Arial" w:cs="Arial"/>
          <w:b/>
          <w:bCs/>
          <w:color w:val="D53500"/>
          <w:sz w:val="18"/>
          <w:szCs w:val="18"/>
        </w:rPr>
        <w:t xml:space="preserve"> securities</w:t>
      </w:r>
      <w:r w:rsidRPr="00DB57BF">
        <w:rPr>
          <w:rFonts w:ascii="Arial" w:eastAsia="Times New Roman" w:hAnsi="Arial" w:cs="Arial"/>
          <w:color w:val="D53500"/>
          <w:sz w:val="18"/>
          <w:szCs w:val="18"/>
        </w:rPr>
        <w:t xml:space="preserve"> </w:t>
      </w:r>
      <w:r w:rsidRPr="00DB57BF">
        <w:rPr>
          <w:rFonts w:ascii="Arial" w:eastAsia="Times New Roman" w:hAnsi="Arial" w:cs="Arial"/>
          <w:color w:val="000000"/>
          <w:sz w:val="18"/>
          <w:szCs w:val="18"/>
        </w:rPr>
        <w:br/>
      </w:r>
      <w:bookmarkStart w:id="4" w:name="selling"/>
      <w:proofErr w:type="gramStart"/>
      <w:r w:rsidRPr="00DB57BF">
        <w:rPr>
          <w:rFonts w:ascii="Arial" w:eastAsia="Times New Roman" w:hAnsi="Arial" w:cs="Arial"/>
          <w:b/>
          <w:bCs/>
          <w:color w:val="000000"/>
          <w:sz w:val="18"/>
          <w:szCs w:val="18"/>
        </w:rPr>
        <w:t>What</w:t>
      </w:r>
      <w:proofErr w:type="gramEnd"/>
      <w:r w:rsidRPr="00DB57BF">
        <w:rPr>
          <w:rFonts w:ascii="Arial" w:eastAsia="Times New Roman" w:hAnsi="Arial" w:cs="Arial"/>
          <w:b/>
          <w:bCs/>
          <w:color w:val="000000"/>
          <w:sz w:val="18"/>
          <w:szCs w:val="18"/>
        </w:rPr>
        <w:t xml:space="preserve"> is the procedure for selling dematerialized securities?</w:t>
      </w:r>
      <w:r w:rsidRPr="00DB57BF">
        <w:rPr>
          <w:rFonts w:ascii="Arial" w:eastAsia="Times New Roman" w:hAnsi="Arial" w:cs="Arial"/>
          <w:color w:val="000000"/>
          <w:sz w:val="18"/>
          <w:szCs w:val="18"/>
        </w:rPr>
        <w:t xml:space="preserve"> </w:t>
      </w:r>
      <w:bookmarkEnd w:id="4"/>
      <w:r w:rsidRPr="00DB57BF">
        <w:rPr>
          <w:rFonts w:ascii="Arial" w:eastAsia="Times New Roman" w:hAnsi="Arial" w:cs="Arial"/>
          <w:color w:val="000000"/>
          <w:sz w:val="18"/>
          <w:szCs w:val="18"/>
        </w:rPr>
        <w:br/>
        <w:t xml:space="preserve">The procedure for selling dematerialized securities is very simple. After you have sold the securities, you would instruct your DP to debit your account with the number of securities sold by you and credit your broker's clearing account. This delivery instruction has to be given to your DP using the delivery instruction slips given to you by your DP at the time of opening the account. Procedure for selling securities is given here below: </w:t>
      </w:r>
    </w:p>
    <w:p w:rsidR="00DB57BF" w:rsidRPr="00DB57BF" w:rsidRDefault="00DB57BF" w:rsidP="00DB57BF">
      <w:pPr>
        <w:numPr>
          <w:ilvl w:val="0"/>
          <w:numId w:val="14"/>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 sell securities in any of the stock exchanges through a broker; </w:t>
      </w:r>
    </w:p>
    <w:p w:rsidR="00DB57BF" w:rsidRPr="00DB57BF" w:rsidRDefault="00DB57BF" w:rsidP="00DB57BF">
      <w:pPr>
        <w:numPr>
          <w:ilvl w:val="0"/>
          <w:numId w:val="14"/>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 give instruction to your DP to debit your account and credit the broker's (clearing member) account before the deadline time specified by your DP; </w:t>
      </w:r>
    </w:p>
    <w:p w:rsidR="00DB57BF" w:rsidRPr="00DB57BF" w:rsidRDefault="00DB57BF" w:rsidP="00DB57BF">
      <w:pPr>
        <w:numPr>
          <w:ilvl w:val="0"/>
          <w:numId w:val="14"/>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Before the pay-in day, your broker gives instruction to its DP for delivery to clearing corporation; </w:t>
      </w:r>
    </w:p>
    <w:p w:rsidR="00DB57BF" w:rsidRPr="00DB57BF" w:rsidRDefault="00DB57BF" w:rsidP="00DB57BF">
      <w:pPr>
        <w:numPr>
          <w:ilvl w:val="0"/>
          <w:numId w:val="14"/>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Your broker receives payment from the stock exchange (clearing corporation); </w:t>
      </w:r>
    </w:p>
    <w:p w:rsidR="00DB57BF" w:rsidRPr="00DB57BF" w:rsidRDefault="00DB57BF" w:rsidP="00DB57BF">
      <w:pPr>
        <w:numPr>
          <w:ilvl w:val="0"/>
          <w:numId w:val="14"/>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 receive payment from the broker for the sale of securities. </w:t>
      </w:r>
    </w:p>
    <w:p w:rsidR="00DB57BF" w:rsidRPr="00DB57BF" w:rsidRDefault="00DB57BF" w:rsidP="00DB57BF">
      <w:pPr>
        <w:spacing w:after="0" w:line="420" w:lineRule="auto"/>
        <w:rPr>
          <w:rFonts w:ascii="Arial" w:eastAsia="Times New Roman" w:hAnsi="Arial" w:cs="Arial"/>
          <w:color w:val="000000"/>
          <w:sz w:val="18"/>
          <w:szCs w:val="18"/>
        </w:rPr>
      </w:pPr>
      <w:bookmarkStart w:id="5" w:name="buying"/>
      <w:r w:rsidRPr="00DB57BF">
        <w:rPr>
          <w:rFonts w:ascii="Arial" w:eastAsia="Times New Roman" w:hAnsi="Arial" w:cs="Arial"/>
          <w:b/>
          <w:bCs/>
          <w:color w:val="000000"/>
          <w:sz w:val="18"/>
          <w:szCs w:val="18"/>
        </w:rPr>
        <w:t>How can I purchase dematerialized securities?</w:t>
      </w:r>
      <w:r w:rsidRPr="00DB57BF">
        <w:rPr>
          <w:rFonts w:ascii="Arial" w:eastAsia="Times New Roman" w:hAnsi="Arial" w:cs="Arial"/>
          <w:color w:val="000000"/>
          <w:sz w:val="18"/>
          <w:szCs w:val="18"/>
        </w:rPr>
        <w:t xml:space="preserve"> </w:t>
      </w:r>
      <w:bookmarkEnd w:id="5"/>
      <w:r w:rsidRPr="00DB57BF">
        <w:rPr>
          <w:rFonts w:ascii="Arial" w:eastAsia="Times New Roman" w:hAnsi="Arial" w:cs="Arial"/>
          <w:color w:val="000000"/>
          <w:sz w:val="18"/>
          <w:szCs w:val="18"/>
        </w:rPr>
        <w:br/>
        <w:t xml:space="preserve">For receiving </w:t>
      </w:r>
      <w:proofErr w:type="spellStart"/>
      <w:r w:rsidRPr="00DB57BF">
        <w:rPr>
          <w:rFonts w:ascii="Arial" w:eastAsia="Times New Roman" w:hAnsi="Arial" w:cs="Arial"/>
          <w:color w:val="000000"/>
          <w:sz w:val="18"/>
          <w:szCs w:val="18"/>
        </w:rPr>
        <w:t>demat</w:t>
      </w:r>
      <w:proofErr w:type="spellEnd"/>
      <w:r w:rsidRPr="00DB57BF">
        <w:rPr>
          <w:rFonts w:ascii="Arial" w:eastAsia="Times New Roman" w:hAnsi="Arial" w:cs="Arial"/>
          <w:color w:val="000000"/>
          <w:sz w:val="18"/>
          <w:szCs w:val="18"/>
        </w:rPr>
        <w:t xml:space="preserve"> securities you may give a one-time standing instruction to your DP. This standing instruction can be given at the time of account opening or later. Alternatively, you may choose to give separate receipt instruction every time some securities are to be received. The transactions relating to purchase of securities are summarized below: </w:t>
      </w:r>
    </w:p>
    <w:p w:rsidR="00DB57BF" w:rsidRPr="00DB57BF" w:rsidRDefault="00DB57BF" w:rsidP="00DB57BF">
      <w:pPr>
        <w:numPr>
          <w:ilvl w:val="0"/>
          <w:numId w:val="15"/>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 purchase securities through a broker; </w:t>
      </w:r>
    </w:p>
    <w:p w:rsidR="00DB57BF" w:rsidRPr="00DB57BF" w:rsidRDefault="00DB57BF" w:rsidP="00DB57BF">
      <w:pPr>
        <w:numPr>
          <w:ilvl w:val="0"/>
          <w:numId w:val="15"/>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 make payment to your broker who arranges payment to clearing corporation on the pay-in day; </w:t>
      </w:r>
    </w:p>
    <w:p w:rsidR="00DB57BF" w:rsidRPr="00DB57BF" w:rsidRDefault="00DB57BF" w:rsidP="00DB57BF">
      <w:pPr>
        <w:numPr>
          <w:ilvl w:val="0"/>
          <w:numId w:val="15"/>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Your broker receives credit of securities in its clearing account (clearing member account) on the pay-out day; </w:t>
      </w:r>
    </w:p>
    <w:p w:rsidR="00DB57BF" w:rsidRPr="00DB57BF" w:rsidRDefault="00DB57BF" w:rsidP="00DB57BF">
      <w:pPr>
        <w:numPr>
          <w:ilvl w:val="0"/>
          <w:numId w:val="15"/>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Your broker gives instructions to its DP to debit its clearing member account and credit your account; </w:t>
      </w:r>
    </w:p>
    <w:p w:rsidR="00DB57BF" w:rsidRPr="00DB57BF" w:rsidRDefault="00DB57BF" w:rsidP="00DB57BF">
      <w:pPr>
        <w:numPr>
          <w:ilvl w:val="0"/>
          <w:numId w:val="15"/>
        </w:num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t xml:space="preserve">You receive shares into your account. However, if standing instructions are not given at the time of opening the account, you will have to give 'Receipt Instructions' to your DP for receiving credit. </w:t>
      </w:r>
    </w:p>
    <w:p w:rsidR="00DB57BF" w:rsidRDefault="00DB57BF" w:rsidP="00DB57BF">
      <w:p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br/>
        <w:t xml:space="preserve">You should ensure that your broker transfers the securities from its clearing member account to your depository account, before the book closure. If the securities remain in the clearing account of the broker, the company will give corporate benefits (dividend or bonus) to the broker. In that case, you will have to collect the benefits from your broker. </w:t>
      </w:r>
      <w:r w:rsidRPr="00DB57BF">
        <w:rPr>
          <w:rFonts w:ascii="Arial" w:eastAsia="Times New Roman" w:hAnsi="Arial" w:cs="Arial"/>
          <w:color w:val="000000"/>
          <w:sz w:val="18"/>
          <w:szCs w:val="18"/>
        </w:rPr>
        <w:br/>
      </w:r>
    </w:p>
    <w:p w:rsidR="00003476" w:rsidRPr="00EF183F" w:rsidRDefault="00DB57BF" w:rsidP="00DB57BF">
      <w:pPr>
        <w:spacing w:before="100" w:beforeAutospacing="1" w:after="100" w:afterAutospacing="1" w:line="420" w:lineRule="auto"/>
        <w:rPr>
          <w:rFonts w:ascii="Arial" w:eastAsia="Times New Roman" w:hAnsi="Arial" w:cs="Arial"/>
          <w:color w:val="000000"/>
          <w:sz w:val="18"/>
          <w:szCs w:val="18"/>
        </w:rPr>
      </w:pPr>
      <w:r w:rsidRPr="00DB57BF">
        <w:rPr>
          <w:rFonts w:ascii="Arial" w:eastAsia="Times New Roman" w:hAnsi="Arial" w:cs="Arial"/>
          <w:color w:val="000000"/>
          <w:sz w:val="18"/>
          <w:szCs w:val="18"/>
        </w:rPr>
        <w:lastRenderedPageBreak/>
        <w:br/>
      </w:r>
      <w:bookmarkStart w:id="6" w:name="incomefromshares"/>
      <w:r w:rsidRPr="00DB57BF">
        <w:rPr>
          <w:rFonts w:ascii="Arial" w:eastAsia="Times New Roman" w:hAnsi="Arial" w:cs="Arial"/>
          <w:b/>
          <w:bCs/>
          <w:color w:val="D53500"/>
          <w:sz w:val="18"/>
          <w:szCs w:val="18"/>
        </w:rPr>
        <w:t>7. How to receive income from shares?</w:t>
      </w:r>
      <w:r w:rsidRPr="00DB57BF">
        <w:rPr>
          <w:rFonts w:ascii="Arial" w:eastAsia="Times New Roman" w:hAnsi="Arial" w:cs="Arial"/>
          <w:color w:val="D53500"/>
          <w:sz w:val="18"/>
          <w:szCs w:val="18"/>
        </w:rPr>
        <w:t xml:space="preserve"> </w:t>
      </w:r>
      <w:bookmarkEnd w:id="6"/>
      <w:r w:rsidRPr="00DB57BF">
        <w:rPr>
          <w:rFonts w:ascii="Arial" w:eastAsia="Times New Roman" w:hAnsi="Arial" w:cs="Arial"/>
          <w:color w:val="000000"/>
          <w:sz w:val="18"/>
          <w:szCs w:val="18"/>
        </w:rPr>
        <w:br/>
        <w:t xml:space="preserve">The income received from shares is called a dividend.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t xml:space="preserve">We invest in shares to make money – either through a share’s capital growth, i.e. the amount by which the share price increases in value over time, or through the dividends it pays to its shareholders. Dividends are payments made by companies to shareholders from their profits. Not all companies pay dividends. Dividends are usually paid twice a year and are in effect the yield from your investment. Some growth companies plough most of their profits back into generating more business rather than paying out dividends to investors.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000000"/>
          <w:sz w:val="18"/>
          <w:szCs w:val="18"/>
        </w:rPr>
        <w:t>How would I get my dividend/interest or other cash entitlements?</w:t>
      </w:r>
      <w:r w:rsidRPr="00DB57BF">
        <w:rPr>
          <w:rFonts w:ascii="Arial" w:eastAsia="Times New Roman" w:hAnsi="Arial" w:cs="Arial"/>
          <w:color w:val="000000"/>
          <w:sz w:val="18"/>
          <w:szCs w:val="18"/>
        </w:rPr>
        <w:br/>
        <w:t xml:space="preserve">The concerned company obtains the details of beneficiary holders and their holdings from the depository. The payment to the investors will be made by the company through the ECS, or Electronic Clearing Service, facility or by issuing warrants on which your bank account details are printed. The bank account details will be those, which you would have mentioned in your account opening, form or changed thereafter. </w:t>
      </w:r>
      <w:r w:rsidRPr="00DB57BF">
        <w:rPr>
          <w:rFonts w:ascii="Arial" w:eastAsia="Times New Roman" w:hAnsi="Arial" w:cs="Arial"/>
          <w:color w:val="000000"/>
          <w:sz w:val="18"/>
          <w:szCs w:val="18"/>
        </w:rPr>
        <w:br/>
      </w:r>
      <w:r w:rsidRPr="00DB57BF">
        <w:rPr>
          <w:rFonts w:ascii="Arial" w:eastAsia="Times New Roman" w:hAnsi="Arial" w:cs="Arial"/>
          <w:color w:val="000000"/>
          <w:sz w:val="18"/>
          <w:szCs w:val="18"/>
        </w:rPr>
        <w:br/>
      </w:r>
      <w:r w:rsidRPr="00DB57BF">
        <w:rPr>
          <w:rFonts w:ascii="Arial" w:eastAsia="Times New Roman" w:hAnsi="Arial" w:cs="Arial"/>
          <w:b/>
          <w:bCs/>
          <w:color w:val="000000"/>
          <w:sz w:val="18"/>
          <w:szCs w:val="18"/>
        </w:rPr>
        <w:t>How would I get my bonus shares or other non-cash entitlements?</w:t>
      </w:r>
      <w:r w:rsidRPr="00DB57BF">
        <w:rPr>
          <w:rFonts w:ascii="Arial" w:eastAsia="Times New Roman" w:hAnsi="Arial" w:cs="Arial"/>
          <w:color w:val="000000"/>
          <w:sz w:val="18"/>
          <w:szCs w:val="18"/>
        </w:rPr>
        <w:br/>
        <w:t>The concerned company obtains the details of beneficiary holders and their holdings from NSDL. Your entitlement will be credited by the company directly in your depository account.</w:t>
      </w:r>
      <w:r>
        <w:rPr>
          <w:rFonts w:ascii="Arial" w:eastAsia="Times New Roman" w:hAnsi="Arial" w:cs="Arial"/>
          <w:color w:val="000000"/>
          <w:sz w:val="18"/>
          <w:szCs w:val="18"/>
        </w:rPr>
        <w:br/>
      </w:r>
      <w:r>
        <w:rPr>
          <w:rFonts w:ascii="Arial" w:eastAsia="Times New Roman" w:hAnsi="Arial" w:cs="Arial"/>
          <w:color w:val="000000"/>
          <w:sz w:val="18"/>
          <w:szCs w:val="18"/>
        </w:rPr>
        <w:br/>
      </w:r>
      <w:bookmarkStart w:id="7" w:name="investmentdecisions"/>
      <w:r>
        <w:rPr>
          <w:rFonts w:ascii="Arial" w:hAnsi="Arial" w:cs="Arial"/>
          <w:b/>
          <w:bCs/>
          <w:color w:val="D53500"/>
          <w:sz w:val="18"/>
          <w:szCs w:val="18"/>
        </w:rPr>
        <w:t>9. How to make investment decisions?</w:t>
      </w:r>
      <w:bookmarkEnd w:id="7"/>
      <w:r>
        <w:rPr>
          <w:rFonts w:ascii="Arial" w:hAnsi="Arial" w:cs="Arial"/>
          <w:color w:val="D53500"/>
          <w:sz w:val="18"/>
          <w:szCs w:val="18"/>
        </w:rPr>
        <w:t xml:space="preserve"> </w:t>
      </w:r>
      <w:r>
        <w:rPr>
          <w:rFonts w:ascii="Arial" w:hAnsi="Arial" w:cs="Arial"/>
          <w:color w:val="000000"/>
          <w:sz w:val="18"/>
          <w:szCs w:val="18"/>
        </w:rPr>
        <w:br/>
        <w:t xml:space="preserve">The stock market has, perhaps, the most exciting investment opportunities for the investor community. At the same time, it could be unnerving and scary. In fact, equity investment has always remained a big challenge, not only for retail but institutional investors, too. Moreover, investors’ discomfort generally increases with a rise in market volatility. You will find many investors entering the market at high levels and making a quick exit as the market witnesses a correction. Unfortunately, such investors seldom think of investing in stocks again. Thus, they ignore an excellent opportunity to earn above average returns. </w:t>
      </w:r>
      <w:r>
        <w:rPr>
          <w:rFonts w:ascii="Arial" w:hAnsi="Arial" w:cs="Arial"/>
          <w:color w:val="000000"/>
          <w:sz w:val="18"/>
          <w:szCs w:val="18"/>
        </w:rPr>
        <w:br/>
      </w:r>
      <w:r>
        <w:rPr>
          <w:rFonts w:ascii="Arial" w:hAnsi="Arial" w:cs="Arial"/>
          <w:color w:val="000000"/>
          <w:sz w:val="18"/>
          <w:szCs w:val="18"/>
        </w:rPr>
        <w:br/>
        <w:t xml:space="preserve">In short, investing in equities can be a difficult proposition for retail investors. However, equity must form a part of every investor’s portfolio. The proportion could vary, depending on the investor’s age, monetary requirements, risk appetite, etc. </w:t>
      </w:r>
      <w:r>
        <w:rPr>
          <w:rFonts w:ascii="Arial" w:hAnsi="Arial" w:cs="Arial"/>
          <w:color w:val="000000"/>
          <w:sz w:val="18"/>
          <w:szCs w:val="18"/>
        </w:rPr>
        <w:br/>
      </w:r>
      <w:r>
        <w:rPr>
          <w:rFonts w:ascii="Arial" w:hAnsi="Arial" w:cs="Arial"/>
          <w:color w:val="000000"/>
          <w:sz w:val="18"/>
          <w:szCs w:val="18"/>
        </w:rPr>
        <w:br/>
      </w:r>
      <w:proofErr w:type="gramStart"/>
      <w:r>
        <w:rPr>
          <w:rFonts w:ascii="Arial" w:hAnsi="Arial" w:cs="Arial"/>
          <w:color w:val="000000"/>
          <w:sz w:val="18"/>
          <w:szCs w:val="18"/>
        </w:rPr>
        <w:t>To</w:t>
      </w:r>
      <w:proofErr w:type="gramEnd"/>
      <w:r>
        <w:rPr>
          <w:rFonts w:ascii="Arial" w:hAnsi="Arial" w:cs="Arial"/>
          <w:color w:val="000000"/>
          <w:sz w:val="18"/>
          <w:szCs w:val="18"/>
        </w:rPr>
        <w:t xml:space="preserve"> cope with volatility, it is important to have a disciplined and systematic approach to equity investment. Set your own rules and more importantly, follow them religiously. Indeed, the mantra for successful equity investment is a well thought-out, disciplined investment strategy. </w:t>
      </w:r>
      <w:r>
        <w:rPr>
          <w:rFonts w:ascii="Arial" w:hAnsi="Arial" w:cs="Arial"/>
          <w:color w:val="000000"/>
          <w:sz w:val="18"/>
          <w:szCs w:val="18"/>
        </w:rPr>
        <w:br/>
      </w:r>
      <w:r>
        <w:rPr>
          <w:rFonts w:ascii="Arial" w:hAnsi="Arial" w:cs="Arial"/>
          <w:color w:val="000000"/>
          <w:sz w:val="18"/>
          <w:szCs w:val="18"/>
        </w:rPr>
        <w:br/>
        <w:t xml:space="preserve">A long-term monetary commitment, adherence to discipline in investment and decisions based on company </w:t>
      </w:r>
      <w:r>
        <w:rPr>
          <w:rFonts w:ascii="Arial" w:hAnsi="Arial" w:cs="Arial"/>
          <w:color w:val="000000"/>
          <w:sz w:val="18"/>
          <w:szCs w:val="18"/>
        </w:rPr>
        <w:lastRenderedPageBreak/>
        <w:t>fundamentals are essential ingredients for successful equity investment.</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D53500"/>
        </w:rPr>
        <w:t xml:space="preserve">The Golden Rules </w:t>
      </w:r>
      <w:proofErr w:type="gramStart"/>
      <w:r>
        <w:rPr>
          <w:rFonts w:ascii="Arial" w:hAnsi="Arial" w:cs="Arial"/>
          <w:b/>
          <w:bCs/>
          <w:color w:val="D53500"/>
        </w:rPr>
        <w:t>For</w:t>
      </w:r>
      <w:proofErr w:type="gramEnd"/>
      <w:r>
        <w:rPr>
          <w:rFonts w:ascii="Arial" w:hAnsi="Arial" w:cs="Arial"/>
          <w:b/>
          <w:bCs/>
          <w:color w:val="D53500"/>
        </w:rPr>
        <w:t xml:space="preserve"> Investing In Equities</w:t>
      </w:r>
      <w:r>
        <w:rPr>
          <w:rFonts w:ascii="Arial" w:hAnsi="Arial" w:cs="Arial"/>
          <w:b/>
          <w:bCs/>
          <w:color w:val="D53500"/>
        </w:rPr>
        <w:br/>
      </w:r>
    </w:p>
    <w:tbl>
      <w:tblPr>
        <w:tblW w:w="5000" w:type="pct"/>
        <w:tblCellSpacing w:w="0" w:type="dxa"/>
        <w:tblCellMar>
          <w:left w:w="0" w:type="dxa"/>
          <w:right w:w="0" w:type="dxa"/>
        </w:tblCellMar>
        <w:tblLook w:val="04A0"/>
      </w:tblPr>
      <w:tblGrid>
        <w:gridCol w:w="9360"/>
      </w:tblGrid>
      <w:tr w:rsidR="00003476" w:rsidRPr="00003476" w:rsidTr="00003476">
        <w:trPr>
          <w:tblCellSpacing w:w="0" w:type="dxa"/>
        </w:trPr>
        <w:tc>
          <w:tcPr>
            <w:tcW w:w="5000" w:type="pct"/>
            <w:hideMark/>
          </w:tcPr>
          <w:tbl>
            <w:tblPr>
              <w:tblW w:w="11670" w:type="dxa"/>
              <w:jc w:val="center"/>
              <w:tblCellSpacing w:w="0" w:type="dxa"/>
              <w:tblCellMar>
                <w:left w:w="0" w:type="dxa"/>
                <w:right w:w="0" w:type="dxa"/>
              </w:tblCellMar>
              <w:tblLook w:val="04A0"/>
            </w:tblPr>
            <w:tblGrid>
              <w:gridCol w:w="11300"/>
              <w:gridCol w:w="154"/>
              <w:gridCol w:w="216"/>
            </w:tblGrid>
            <w:tr w:rsidR="00003476" w:rsidRPr="00003476">
              <w:trPr>
                <w:tblCellSpacing w:w="0" w:type="dxa"/>
                <w:jc w:val="center"/>
              </w:trPr>
              <w:tc>
                <w:tcPr>
                  <w:tcW w:w="11010" w:type="dxa"/>
                  <w:shd w:val="clear" w:color="auto" w:fill="FFFFFF"/>
                  <w:hideMark/>
                </w:tcPr>
                <w:tbl>
                  <w:tblPr>
                    <w:tblW w:w="11010" w:type="dxa"/>
                    <w:tblCellSpacing w:w="0" w:type="dxa"/>
                    <w:shd w:val="clear" w:color="auto" w:fill="FFFFFF"/>
                    <w:tblCellMar>
                      <w:left w:w="0" w:type="dxa"/>
                      <w:right w:w="0" w:type="dxa"/>
                    </w:tblCellMar>
                    <w:tblLook w:val="04A0"/>
                  </w:tblPr>
                  <w:tblGrid>
                    <w:gridCol w:w="11010"/>
                  </w:tblGrid>
                  <w:tr w:rsidR="00003476" w:rsidRPr="00003476">
                    <w:trPr>
                      <w:tblCellSpacing w:w="0" w:type="dxa"/>
                    </w:trPr>
                    <w:tc>
                      <w:tcPr>
                        <w:tcW w:w="10860" w:type="dxa"/>
                        <w:shd w:val="clear" w:color="auto" w:fill="FFFFFF"/>
                        <w:hideMark/>
                      </w:tcPr>
                      <w:tbl>
                        <w:tblPr>
                          <w:tblW w:w="6390" w:type="dxa"/>
                          <w:tblCellSpacing w:w="0" w:type="dxa"/>
                          <w:tblBorders>
                            <w:top w:val="single" w:sz="6" w:space="0" w:color="C8C8C8"/>
                            <w:left w:val="single" w:sz="6" w:space="0" w:color="C8C8C8"/>
                            <w:right w:val="single" w:sz="6" w:space="0" w:color="C8C8C8"/>
                          </w:tblBorders>
                          <w:tblCellMar>
                            <w:left w:w="0" w:type="dxa"/>
                            <w:right w:w="0" w:type="dxa"/>
                          </w:tblCellMar>
                          <w:tblLook w:val="04A0"/>
                        </w:tblPr>
                        <w:tblGrid>
                          <w:gridCol w:w="150"/>
                          <w:gridCol w:w="300"/>
                          <w:gridCol w:w="5770"/>
                          <w:gridCol w:w="149"/>
                          <w:gridCol w:w="21"/>
                        </w:tblGrid>
                        <w:tr w:rsidR="00003476" w:rsidRPr="00003476">
                          <w:trPr>
                            <w:trHeight w:val="300"/>
                            <w:tblCellSpacing w:w="0" w:type="dxa"/>
                          </w:trPr>
                          <w:tc>
                            <w:tcPr>
                              <w:tcW w:w="0" w:type="auto"/>
                              <w:gridSpan w:val="5"/>
                              <w:shd w:val="clear" w:color="auto" w:fill="C8C8C8"/>
                              <w:vAlign w:val="center"/>
                              <w:hideMark/>
                            </w:tcPr>
                            <w:p w:rsidR="00003476" w:rsidRPr="00003476" w:rsidRDefault="00003476" w:rsidP="00003476">
                              <w:pPr>
                                <w:spacing w:after="0" w:line="240" w:lineRule="auto"/>
                                <w:ind w:left="1312"/>
                                <w:rPr>
                                  <w:rFonts w:ascii="Arial" w:eastAsia="Times New Roman" w:hAnsi="Arial" w:cs="Arial"/>
                                  <w:color w:val="003399"/>
                                  <w:sz w:val="18"/>
                                  <w:szCs w:val="18"/>
                                </w:rPr>
                              </w:pPr>
                              <w:r w:rsidRPr="00003476">
                                <w:rPr>
                                  <w:rFonts w:ascii="Arial" w:eastAsia="Times New Roman" w:hAnsi="Arial" w:cs="Arial"/>
                                  <w:b/>
                                  <w:bCs/>
                                  <w:color w:val="003399"/>
                                  <w:sz w:val="18"/>
                                  <w:szCs w:val="18"/>
                                </w:rPr>
                                <w:t>Zurich Axioms</w:t>
                              </w:r>
                            </w:p>
                          </w:tc>
                        </w:tr>
                        <w:tr w:rsidR="00003476" w:rsidRPr="00003476">
                          <w:trPr>
                            <w:trHeight w:val="75"/>
                            <w:tblCellSpacing w:w="0" w:type="dxa"/>
                          </w:trPr>
                          <w:tc>
                            <w:tcPr>
                              <w:tcW w:w="0" w:type="auto"/>
                              <w:gridSpan w:val="5"/>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39" name="Picture 139"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First Major Axiom: </w:t>
                              </w:r>
                              <w:r w:rsidRPr="00003476">
                                <w:rPr>
                                  <w:rFonts w:ascii="Arial" w:eastAsia="Times New Roman" w:hAnsi="Arial" w:cs="Arial"/>
                                  <w:b/>
                                  <w:bCs/>
                                  <w:color w:val="003399"/>
                                  <w:sz w:val="18"/>
                                  <w:szCs w:val="18"/>
                                </w:rPr>
                                <w:t>ON RISK</w:t>
                              </w:r>
                              <w:r w:rsidRPr="00003476">
                                <w:rPr>
                                  <w:rFonts w:ascii="Arial" w:eastAsia="Times New Roman" w:hAnsi="Arial" w:cs="Arial"/>
                                  <w:color w:val="003399"/>
                                  <w:sz w:val="18"/>
                                  <w:szCs w:val="18"/>
                                </w:rPr>
                                <w:t xml:space="preserve"> </w:t>
                              </w:r>
                              <w:r w:rsidRPr="00003476">
                                <w:rPr>
                                  <w:rFonts w:ascii="Arial" w:eastAsia="Times New Roman" w:hAnsi="Arial" w:cs="Arial"/>
                                  <w:color w:val="003399"/>
                                  <w:sz w:val="18"/>
                                  <w:szCs w:val="18"/>
                                </w:rPr>
                                <w:br/>
                                <w:t xml:space="preserve">Worry is not a sickness but a sign of </w:t>
                              </w:r>
                              <w:proofErr w:type="spellStart"/>
                              <w:r w:rsidRPr="00003476">
                                <w:rPr>
                                  <w:rFonts w:ascii="Arial" w:eastAsia="Times New Roman" w:hAnsi="Arial" w:cs="Arial"/>
                                  <w:color w:val="003399"/>
                                  <w:sz w:val="18"/>
                                  <w:szCs w:val="18"/>
                                </w:rPr>
                                <w:t>health.If</w:t>
                              </w:r>
                              <w:proofErr w:type="spellEnd"/>
                              <w:r w:rsidRPr="00003476">
                                <w:rPr>
                                  <w:rFonts w:ascii="Arial" w:eastAsia="Times New Roman" w:hAnsi="Arial" w:cs="Arial"/>
                                  <w:color w:val="003399"/>
                                  <w:sz w:val="18"/>
                                  <w:szCs w:val="18"/>
                                </w:rPr>
                                <w:t xml:space="preserve"> you are not worried, you are not risking enough.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5"/>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r>
                      </w:tbl>
                      <w:p w:rsidR="00003476" w:rsidRPr="00003476" w:rsidRDefault="00003476" w:rsidP="00003476">
                        <w:pPr>
                          <w:spacing w:after="0" w:line="420" w:lineRule="auto"/>
                          <w:rPr>
                            <w:rFonts w:ascii="Arial" w:eastAsia="Times New Roman" w:hAnsi="Arial" w:cs="Arial"/>
                            <w:color w:val="000000"/>
                            <w:sz w:val="18"/>
                            <w:szCs w:val="18"/>
                          </w:rPr>
                        </w:pPr>
                      </w:p>
                    </w:tc>
                  </w:tr>
                </w:tbl>
                <w:p w:rsidR="00003476" w:rsidRPr="00003476" w:rsidRDefault="00003476" w:rsidP="00003476">
                  <w:pPr>
                    <w:spacing w:after="0" w:line="240" w:lineRule="auto"/>
                    <w:rPr>
                      <w:rFonts w:ascii="Times New Roman" w:eastAsia="Times New Roman" w:hAnsi="Times New Roman" w:cs="Times New Roman"/>
                      <w:sz w:val="24"/>
                      <w:szCs w:val="24"/>
                    </w:rPr>
                  </w:pPr>
                </w:p>
              </w:tc>
              <w:tc>
                <w:tcPr>
                  <w:tcW w:w="150" w:type="dxa"/>
                  <w:shd w:val="clear" w:color="auto" w:fill="FFFFFF"/>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180" w:type="dxa"/>
                  <w:shd w:val="clear" w:color="auto" w:fill="FFFFFF"/>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4300" cy="257175"/>
                        <wp:effectExtent l="19050" t="0" r="0" b="0"/>
                        <wp:docPr id="140" name="Picture 140" descr="http://images.moneycontrol.com/images/PF_images/white_R_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images.moneycontrol.com/images/PF_images/white_R_curve.gif"/>
                                <pic:cNvPicPr>
                                  <a:picLocks noChangeAspect="1" noChangeArrowheads="1"/>
                                </pic:cNvPicPr>
                              </pic:nvPicPr>
                              <pic:blipFill>
                                <a:blip r:embed="rId14"/>
                                <a:srcRect/>
                                <a:stretch>
                                  <a:fillRect/>
                                </a:stretch>
                              </pic:blipFill>
                              <pic:spPr bwMode="auto">
                                <a:xfrm>
                                  <a:off x="0" y="0"/>
                                  <a:ext cx="114300" cy="257175"/>
                                </a:xfrm>
                                <a:prstGeom prst="rect">
                                  <a:avLst/>
                                </a:prstGeom>
                                <a:noFill/>
                                <a:ln w="9525">
                                  <a:noFill/>
                                  <a:miter lim="800000"/>
                                  <a:headEnd/>
                                  <a:tailEnd/>
                                </a:ln>
                              </pic:spPr>
                            </pic:pic>
                          </a:graphicData>
                        </a:graphic>
                      </wp:inline>
                    </w:drawing>
                  </w:r>
                </w:p>
              </w:tc>
            </w:tr>
          </w:tbl>
          <w:p w:rsidR="00003476" w:rsidRPr="00003476" w:rsidRDefault="00003476" w:rsidP="00003476">
            <w:pPr>
              <w:spacing w:after="0" w:line="240" w:lineRule="auto"/>
              <w:jc w:val="center"/>
              <w:rPr>
                <w:rFonts w:ascii="Times New Roman" w:eastAsia="Times New Roman" w:hAnsi="Times New Roman" w:cs="Times New Roman"/>
                <w:sz w:val="24"/>
                <w:szCs w:val="24"/>
              </w:rPr>
            </w:pPr>
          </w:p>
        </w:tc>
      </w:tr>
    </w:tbl>
    <w:p w:rsidR="00003476" w:rsidRPr="00003476" w:rsidRDefault="00003476" w:rsidP="00003476">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9360"/>
      </w:tblGrid>
      <w:tr w:rsidR="00003476" w:rsidRPr="00003476" w:rsidTr="00003476">
        <w:trPr>
          <w:tblCellSpacing w:w="0" w:type="dxa"/>
        </w:trPr>
        <w:tc>
          <w:tcPr>
            <w:tcW w:w="5000" w:type="pct"/>
            <w:vAlign w:val="center"/>
            <w:hideMark/>
          </w:tcPr>
          <w:tbl>
            <w:tblPr>
              <w:tblW w:w="11670" w:type="dxa"/>
              <w:jc w:val="center"/>
              <w:tblCellSpacing w:w="0" w:type="dxa"/>
              <w:tblBorders>
                <w:left w:val="single" w:sz="6" w:space="0" w:color="F7F7F7"/>
                <w:bottom w:val="single" w:sz="6" w:space="0" w:color="F7F7F7"/>
                <w:right w:val="single" w:sz="6" w:space="0" w:color="F7F7F7"/>
              </w:tblBorders>
              <w:tblCellMar>
                <w:left w:w="0" w:type="dxa"/>
                <w:right w:w="0" w:type="dxa"/>
              </w:tblCellMar>
              <w:tblLook w:val="04A0"/>
            </w:tblPr>
            <w:tblGrid>
              <w:gridCol w:w="185"/>
              <w:gridCol w:w="154"/>
              <w:gridCol w:w="11331"/>
            </w:tblGrid>
            <w:tr w:rsidR="00003476" w:rsidRPr="00003476">
              <w:trPr>
                <w:tblCellSpacing w:w="0" w:type="dxa"/>
                <w:jc w:val="center"/>
              </w:trPr>
              <w:tc>
                <w:tcPr>
                  <w:tcW w:w="180" w:type="dxa"/>
                  <w:shd w:val="clear" w:color="auto" w:fill="FFFFFF"/>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150" w:type="dxa"/>
                  <w:shd w:val="clear" w:color="auto" w:fill="FFFFFF"/>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11010" w:type="dxa"/>
                  <w:shd w:val="clear" w:color="auto" w:fill="FFFFFF"/>
                  <w:hideMark/>
                </w:tcPr>
                <w:tbl>
                  <w:tblPr>
                    <w:tblW w:w="11010" w:type="dxa"/>
                    <w:tblCellSpacing w:w="0" w:type="dxa"/>
                    <w:shd w:val="clear" w:color="auto" w:fill="FFFFFF"/>
                    <w:tblCellMar>
                      <w:left w:w="0" w:type="dxa"/>
                      <w:right w:w="0" w:type="dxa"/>
                    </w:tblCellMar>
                    <w:tblLook w:val="04A0"/>
                  </w:tblPr>
                  <w:tblGrid>
                    <w:gridCol w:w="206"/>
                    <w:gridCol w:w="10804"/>
                  </w:tblGrid>
                  <w:tr w:rsidR="00003476" w:rsidRPr="00003476">
                    <w:trPr>
                      <w:tblCellSpacing w:w="0" w:type="dxa"/>
                    </w:trPr>
                    <w:tc>
                      <w:tcPr>
                        <w:tcW w:w="150" w:type="dxa"/>
                        <w:shd w:val="clear" w:color="auto" w:fill="FFFFFF"/>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7860" w:type="dxa"/>
                        <w:shd w:val="clear" w:color="auto" w:fill="FFFFFF"/>
                        <w:hideMark/>
                      </w:tcPr>
                      <w:tbl>
                        <w:tblPr>
                          <w:tblW w:w="6390" w:type="dxa"/>
                          <w:tblCellSpacing w:w="0" w:type="dxa"/>
                          <w:tblBorders>
                            <w:left w:val="single" w:sz="6" w:space="0" w:color="C8C8C8"/>
                            <w:bottom w:val="single" w:sz="6" w:space="0" w:color="C8C8C8"/>
                            <w:right w:val="single" w:sz="6" w:space="0" w:color="C8C8C8"/>
                          </w:tblBorders>
                          <w:tblCellMar>
                            <w:left w:w="0" w:type="dxa"/>
                            <w:right w:w="0" w:type="dxa"/>
                          </w:tblCellMar>
                          <w:tblLook w:val="04A0"/>
                        </w:tblPr>
                        <w:tblGrid>
                          <w:gridCol w:w="150"/>
                          <w:gridCol w:w="299"/>
                          <w:gridCol w:w="5771"/>
                          <w:gridCol w:w="149"/>
                          <w:gridCol w:w="21"/>
                        </w:tblGrid>
                        <w:tr w:rsidR="00003476" w:rsidRPr="00003476">
                          <w:trPr>
                            <w:trHeight w:val="75"/>
                            <w:tblCellSpacing w:w="0" w:type="dxa"/>
                          </w:trPr>
                          <w:tc>
                            <w:tcPr>
                              <w:tcW w:w="0" w:type="auto"/>
                              <w:gridSpan w:val="5"/>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41" name="Picture 141"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Second Major Axiom: </w:t>
                              </w:r>
                              <w:r w:rsidRPr="00003476">
                                <w:rPr>
                                  <w:rFonts w:ascii="Arial" w:eastAsia="Times New Roman" w:hAnsi="Arial" w:cs="Arial"/>
                                  <w:b/>
                                  <w:bCs/>
                                  <w:color w:val="003399"/>
                                  <w:sz w:val="18"/>
                                  <w:szCs w:val="18"/>
                                </w:rPr>
                                <w:t>ON GREED</w:t>
                              </w:r>
                              <w:r w:rsidRPr="00003476">
                                <w:rPr>
                                  <w:rFonts w:ascii="Arial" w:eastAsia="Times New Roman" w:hAnsi="Arial" w:cs="Arial"/>
                                  <w:color w:val="003399"/>
                                  <w:sz w:val="18"/>
                                  <w:szCs w:val="18"/>
                                </w:rPr>
                                <w:br/>
                                <w:t xml:space="preserve">Always take your profit too soon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42" name="Picture 142"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Third Major Axiom: </w:t>
                              </w:r>
                              <w:r w:rsidRPr="00003476">
                                <w:rPr>
                                  <w:rFonts w:ascii="Arial" w:eastAsia="Times New Roman" w:hAnsi="Arial" w:cs="Arial"/>
                                  <w:b/>
                                  <w:bCs/>
                                  <w:color w:val="003399"/>
                                  <w:sz w:val="18"/>
                                  <w:szCs w:val="18"/>
                                </w:rPr>
                                <w:t>ON HOPE</w:t>
                              </w:r>
                              <w:r w:rsidRPr="00003476">
                                <w:rPr>
                                  <w:rFonts w:ascii="Arial" w:eastAsia="Times New Roman" w:hAnsi="Arial" w:cs="Arial"/>
                                  <w:color w:val="003399"/>
                                  <w:sz w:val="18"/>
                                  <w:szCs w:val="18"/>
                                </w:rPr>
                                <w:t xml:space="preserve"> </w:t>
                              </w:r>
                              <w:r w:rsidRPr="00003476">
                                <w:rPr>
                                  <w:rFonts w:ascii="Arial" w:eastAsia="Times New Roman" w:hAnsi="Arial" w:cs="Arial"/>
                                  <w:color w:val="003399"/>
                                  <w:sz w:val="18"/>
                                  <w:szCs w:val="18"/>
                                </w:rPr>
                                <w:br/>
                                <w:t xml:space="preserve">When the ship starts to sink, don't pray. Jump.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43" name="Picture 143"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Fourth Major Axiom: </w:t>
                              </w:r>
                              <w:r w:rsidRPr="00003476">
                                <w:rPr>
                                  <w:rFonts w:ascii="Arial" w:eastAsia="Times New Roman" w:hAnsi="Arial" w:cs="Arial"/>
                                  <w:b/>
                                  <w:bCs/>
                                  <w:color w:val="003399"/>
                                  <w:sz w:val="18"/>
                                  <w:szCs w:val="18"/>
                                </w:rPr>
                                <w:t>ON FORECASTS</w:t>
                              </w:r>
                              <w:r w:rsidRPr="00003476">
                                <w:rPr>
                                  <w:rFonts w:ascii="Arial" w:eastAsia="Times New Roman" w:hAnsi="Arial" w:cs="Arial"/>
                                  <w:color w:val="003399"/>
                                  <w:sz w:val="18"/>
                                  <w:szCs w:val="18"/>
                                </w:rPr>
                                <w:t xml:space="preserve"> </w:t>
                              </w:r>
                              <w:r w:rsidRPr="00003476">
                                <w:rPr>
                                  <w:rFonts w:ascii="Arial" w:eastAsia="Times New Roman" w:hAnsi="Arial" w:cs="Arial"/>
                                  <w:color w:val="003399"/>
                                  <w:sz w:val="18"/>
                                  <w:szCs w:val="18"/>
                                </w:rPr>
                                <w:br/>
                                <w:t xml:space="preserve">Human </w:t>
                              </w:r>
                              <w:proofErr w:type="spellStart"/>
                              <w:r w:rsidRPr="00003476">
                                <w:rPr>
                                  <w:rFonts w:ascii="Arial" w:eastAsia="Times New Roman" w:hAnsi="Arial" w:cs="Arial"/>
                                  <w:color w:val="003399"/>
                                  <w:sz w:val="18"/>
                                  <w:szCs w:val="18"/>
                                </w:rPr>
                                <w:t>behaviour</w:t>
                              </w:r>
                              <w:proofErr w:type="spellEnd"/>
                              <w:r w:rsidRPr="00003476">
                                <w:rPr>
                                  <w:rFonts w:ascii="Arial" w:eastAsia="Times New Roman" w:hAnsi="Arial" w:cs="Arial"/>
                                  <w:color w:val="003399"/>
                                  <w:sz w:val="18"/>
                                  <w:szCs w:val="18"/>
                                </w:rPr>
                                <w:t xml:space="preserve"> cannot be predicted. Distrust anyone who claims to know the future, however dimly.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44" name="Picture 144"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Fifth Major Axiom: </w:t>
                              </w:r>
                              <w:r w:rsidRPr="00003476">
                                <w:rPr>
                                  <w:rFonts w:ascii="Arial" w:eastAsia="Times New Roman" w:hAnsi="Arial" w:cs="Arial"/>
                                  <w:b/>
                                  <w:bCs/>
                                  <w:color w:val="003399"/>
                                  <w:sz w:val="18"/>
                                  <w:szCs w:val="18"/>
                                </w:rPr>
                                <w:t>ON PATTERNS</w:t>
                              </w:r>
                              <w:r w:rsidRPr="00003476">
                                <w:rPr>
                                  <w:rFonts w:ascii="Arial" w:eastAsia="Times New Roman" w:hAnsi="Arial" w:cs="Arial"/>
                                  <w:color w:val="003399"/>
                                  <w:sz w:val="18"/>
                                  <w:szCs w:val="18"/>
                                </w:rPr>
                                <w:t xml:space="preserve"> </w:t>
                              </w:r>
                              <w:r w:rsidRPr="00003476">
                                <w:rPr>
                                  <w:rFonts w:ascii="Arial" w:eastAsia="Times New Roman" w:hAnsi="Arial" w:cs="Arial"/>
                                  <w:color w:val="003399"/>
                                  <w:sz w:val="18"/>
                                  <w:szCs w:val="18"/>
                                </w:rPr>
                                <w:br/>
                                <w:t xml:space="preserve">Chaos is not dangerous until it begins to look orderly.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45" name="Picture 145"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Sixth Major Axiom: </w:t>
                              </w:r>
                              <w:r w:rsidRPr="00003476">
                                <w:rPr>
                                  <w:rFonts w:ascii="Arial" w:eastAsia="Times New Roman" w:hAnsi="Arial" w:cs="Arial"/>
                                  <w:b/>
                                  <w:bCs/>
                                  <w:color w:val="003399"/>
                                  <w:sz w:val="18"/>
                                  <w:szCs w:val="18"/>
                                </w:rPr>
                                <w:t>ON MOBILITY</w:t>
                              </w:r>
                              <w:r w:rsidRPr="00003476">
                                <w:rPr>
                                  <w:rFonts w:ascii="Arial" w:eastAsia="Times New Roman" w:hAnsi="Arial" w:cs="Arial"/>
                                  <w:color w:val="003399"/>
                                  <w:sz w:val="18"/>
                                  <w:szCs w:val="18"/>
                                </w:rPr>
                                <w:br/>
                                <w:t xml:space="preserve">Avoid putting down roots. They impede motion.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46" name="Picture 146"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Seventh Major Axiom: </w:t>
                              </w:r>
                              <w:r w:rsidRPr="00003476">
                                <w:rPr>
                                  <w:rFonts w:ascii="Arial" w:eastAsia="Times New Roman" w:hAnsi="Arial" w:cs="Arial"/>
                                  <w:b/>
                                  <w:bCs/>
                                  <w:color w:val="003399"/>
                                  <w:sz w:val="18"/>
                                  <w:szCs w:val="18"/>
                                </w:rPr>
                                <w:t>ON INTUITION</w:t>
                              </w:r>
                              <w:r w:rsidRPr="00003476">
                                <w:rPr>
                                  <w:rFonts w:ascii="Arial" w:eastAsia="Times New Roman" w:hAnsi="Arial" w:cs="Arial"/>
                                  <w:color w:val="003399"/>
                                  <w:sz w:val="18"/>
                                  <w:szCs w:val="18"/>
                                </w:rPr>
                                <w:t xml:space="preserve"> </w:t>
                              </w:r>
                              <w:r w:rsidRPr="00003476">
                                <w:rPr>
                                  <w:rFonts w:ascii="Arial" w:eastAsia="Times New Roman" w:hAnsi="Arial" w:cs="Arial"/>
                                  <w:color w:val="003399"/>
                                  <w:sz w:val="18"/>
                                  <w:szCs w:val="18"/>
                                </w:rPr>
                                <w:br/>
                                <w:t xml:space="preserve">A hunch can be trusted if it can be explained.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47" name="Picture 147"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Eighth Major Axiom: </w:t>
                              </w:r>
                              <w:r w:rsidRPr="00003476">
                                <w:rPr>
                                  <w:rFonts w:ascii="Arial" w:eastAsia="Times New Roman" w:hAnsi="Arial" w:cs="Arial"/>
                                  <w:b/>
                                  <w:bCs/>
                                  <w:color w:val="003399"/>
                                  <w:sz w:val="18"/>
                                  <w:szCs w:val="18"/>
                                </w:rPr>
                                <w:t>ON RELIGION AND THE OCCULT</w:t>
                              </w:r>
                              <w:r w:rsidRPr="00003476">
                                <w:rPr>
                                  <w:rFonts w:ascii="Arial" w:eastAsia="Times New Roman" w:hAnsi="Arial" w:cs="Arial"/>
                                  <w:color w:val="003399"/>
                                  <w:sz w:val="18"/>
                                  <w:szCs w:val="18"/>
                                </w:rPr>
                                <w:br/>
                                <w:t xml:space="preserve">It is unlikely that God's plan for the universe includes making you rich.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48" name="Picture 148"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Ninth Major Axiom: </w:t>
                              </w:r>
                              <w:r w:rsidRPr="00003476">
                                <w:rPr>
                                  <w:rFonts w:ascii="Arial" w:eastAsia="Times New Roman" w:hAnsi="Arial" w:cs="Arial"/>
                                  <w:b/>
                                  <w:bCs/>
                                  <w:color w:val="003399"/>
                                  <w:sz w:val="18"/>
                                  <w:szCs w:val="18"/>
                                </w:rPr>
                                <w:t>ON OPTIMISM AND PESSIMISM</w:t>
                              </w:r>
                              <w:r w:rsidRPr="00003476">
                                <w:rPr>
                                  <w:rFonts w:ascii="Arial" w:eastAsia="Times New Roman" w:hAnsi="Arial" w:cs="Arial"/>
                                  <w:color w:val="003399"/>
                                  <w:sz w:val="18"/>
                                  <w:szCs w:val="18"/>
                                </w:rPr>
                                <w:t xml:space="preserve"> </w:t>
                              </w:r>
                              <w:r w:rsidRPr="00003476">
                                <w:rPr>
                                  <w:rFonts w:ascii="Arial" w:eastAsia="Times New Roman" w:hAnsi="Arial" w:cs="Arial"/>
                                  <w:color w:val="003399"/>
                                  <w:sz w:val="18"/>
                                  <w:szCs w:val="18"/>
                                </w:rPr>
                                <w:br/>
                                <w:t xml:space="preserve">Optimism means expecting the best, but confidence means knowing how you will handle the worst. Never make a move if you are merely optimistic.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49" name="Picture 149"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Tenth Major Axiom: </w:t>
                              </w:r>
                              <w:r w:rsidRPr="00003476">
                                <w:rPr>
                                  <w:rFonts w:ascii="Arial" w:eastAsia="Times New Roman" w:hAnsi="Arial" w:cs="Arial"/>
                                  <w:b/>
                                  <w:bCs/>
                                  <w:color w:val="003399"/>
                                  <w:sz w:val="18"/>
                                  <w:szCs w:val="18"/>
                                </w:rPr>
                                <w:t>ON CONSENSUS</w:t>
                              </w:r>
                              <w:r w:rsidRPr="00003476">
                                <w:rPr>
                                  <w:rFonts w:ascii="Arial" w:eastAsia="Times New Roman" w:hAnsi="Arial" w:cs="Arial"/>
                                  <w:color w:val="003399"/>
                                  <w:sz w:val="18"/>
                                  <w:szCs w:val="18"/>
                                </w:rPr>
                                <w:br/>
                                <w:t xml:space="preserve">Disregard the majority opinion. It is probably wrong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50" name="Picture 150"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Eleventh Major Axiom: </w:t>
                              </w:r>
                              <w:r w:rsidRPr="00003476">
                                <w:rPr>
                                  <w:rFonts w:ascii="Arial" w:eastAsia="Times New Roman" w:hAnsi="Arial" w:cs="Arial"/>
                                  <w:b/>
                                  <w:bCs/>
                                  <w:color w:val="003399"/>
                                  <w:sz w:val="18"/>
                                  <w:szCs w:val="18"/>
                                </w:rPr>
                                <w:t>ON STUBBORNNESS</w:t>
                              </w:r>
                              <w:r w:rsidRPr="00003476">
                                <w:rPr>
                                  <w:rFonts w:ascii="Arial" w:eastAsia="Times New Roman" w:hAnsi="Arial" w:cs="Arial"/>
                                  <w:color w:val="003399"/>
                                  <w:sz w:val="18"/>
                                  <w:szCs w:val="18"/>
                                </w:rPr>
                                <w:br/>
                                <w:t xml:space="preserve">If it doesn't pay off the first time, forget it. </w:t>
                              </w:r>
                            </w:p>
                          </w:tc>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rHeight w:val="75"/>
                            <w:tblCellSpacing w:w="0" w:type="dxa"/>
                          </w:trPr>
                          <w:tc>
                            <w:tcPr>
                              <w:tcW w:w="0" w:type="auto"/>
                              <w:gridSpan w:val="3"/>
                              <w:vAlign w:val="center"/>
                              <w:hideMark/>
                            </w:tcPr>
                            <w:p w:rsidR="00003476" w:rsidRPr="00003476" w:rsidRDefault="00003476" w:rsidP="00003476">
                              <w:pPr>
                                <w:spacing w:after="0" w:line="240" w:lineRule="auto"/>
                                <w:rPr>
                                  <w:rFonts w:ascii="Times New Roman" w:eastAsia="Times New Roman" w:hAnsi="Times New Roman" w:cs="Times New Roman"/>
                                  <w:sz w:val="8"/>
                                  <w:szCs w:val="24"/>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r w:rsidR="00003476" w:rsidRPr="00003476">
                          <w:trPr>
                            <w:tblCellSpacing w:w="0" w:type="dxa"/>
                          </w:trPr>
                          <w:tc>
                            <w:tcPr>
                              <w:tcW w:w="150" w:type="dxa"/>
                              <w:vAlign w:val="center"/>
                              <w:hideMark/>
                            </w:tcPr>
                            <w:p w:rsidR="00003476" w:rsidRPr="00003476" w:rsidRDefault="00003476" w:rsidP="00003476">
                              <w:pPr>
                                <w:spacing w:after="0" w:line="240" w:lineRule="auto"/>
                                <w:rPr>
                                  <w:rFonts w:ascii="Times New Roman" w:eastAsia="Times New Roman" w:hAnsi="Times New Roman" w:cs="Times New Roman"/>
                                  <w:sz w:val="24"/>
                                  <w:szCs w:val="24"/>
                                </w:rPr>
                              </w:pPr>
                            </w:p>
                          </w:tc>
                          <w:tc>
                            <w:tcPr>
                              <w:tcW w:w="300" w:type="dxa"/>
                              <w:hideMark/>
                            </w:tcPr>
                            <w:p w:rsidR="00003476" w:rsidRPr="00003476" w:rsidRDefault="00003476" w:rsidP="000034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 cy="76200"/>
                                    <wp:effectExtent l="19050" t="0" r="0" b="0"/>
                                    <wp:docPr id="151" name="Picture 151" descr="http://images.moneycontrol.com/images/PF_images/table_bul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images.moneycontrol.com/images/PF_images/table_bullet.gif"/>
                                            <pic:cNvPicPr>
                                              <a:picLocks noChangeAspect="1" noChangeArrowheads="1"/>
                                            </pic:cNvPicPr>
                                          </pic:nvPicPr>
                                          <pic:blipFill>
                                            <a:blip r:embed="rId13"/>
                                            <a:srcRect/>
                                            <a:stretch>
                                              <a:fillRect/>
                                            </a:stretch>
                                          </pic:blipFill>
                                          <pic:spPr bwMode="auto">
                                            <a:xfrm>
                                              <a:off x="0" y="0"/>
                                              <a:ext cx="95250" cy="76200"/>
                                            </a:xfrm>
                                            <a:prstGeom prst="rect">
                                              <a:avLst/>
                                            </a:prstGeom>
                                            <a:noFill/>
                                            <a:ln w="9525">
                                              <a:noFill/>
                                              <a:miter lim="800000"/>
                                              <a:headEnd/>
                                              <a:tailEnd/>
                                            </a:ln>
                                          </pic:spPr>
                                        </pic:pic>
                                      </a:graphicData>
                                    </a:graphic>
                                  </wp:inline>
                                </w:drawing>
                              </w:r>
                            </w:p>
                          </w:tc>
                          <w:tc>
                            <w:tcPr>
                              <w:tcW w:w="5790" w:type="dxa"/>
                              <w:hideMark/>
                            </w:tcPr>
                            <w:p w:rsidR="00003476" w:rsidRPr="00003476" w:rsidRDefault="00003476" w:rsidP="00003476">
                              <w:pPr>
                                <w:spacing w:after="0" w:line="240" w:lineRule="auto"/>
                                <w:rPr>
                                  <w:rFonts w:ascii="Arial" w:eastAsia="Times New Roman" w:hAnsi="Arial" w:cs="Arial"/>
                                  <w:color w:val="003399"/>
                                  <w:sz w:val="18"/>
                                  <w:szCs w:val="18"/>
                                </w:rPr>
                              </w:pPr>
                              <w:r w:rsidRPr="00003476">
                                <w:rPr>
                                  <w:rFonts w:ascii="Arial" w:eastAsia="Times New Roman" w:hAnsi="Arial" w:cs="Arial"/>
                                  <w:color w:val="003399"/>
                                  <w:sz w:val="18"/>
                                  <w:szCs w:val="18"/>
                                </w:rPr>
                                <w:t xml:space="preserve">The Twelfth Major Axiom: </w:t>
                              </w:r>
                              <w:r w:rsidRPr="00003476">
                                <w:rPr>
                                  <w:rFonts w:ascii="Arial" w:eastAsia="Times New Roman" w:hAnsi="Arial" w:cs="Arial"/>
                                  <w:b/>
                                  <w:bCs/>
                                  <w:color w:val="003399"/>
                                  <w:sz w:val="18"/>
                                  <w:szCs w:val="18"/>
                                </w:rPr>
                                <w:t>ON PLANNING</w:t>
                              </w:r>
                              <w:r w:rsidRPr="00003476">
                                <w:rPr>
                                  <w:rFonts w:ascii="Arial" w:eastAsia="Times New Roman" w:hAnsi="Arial" w:cs="Arial"/>
                                  <w:color w:val="003399"/>
                                  <w:sz w:val="18"/>
                                  <w:szCs w:val="18"/>
                                </w:rPr>
                                <w:br/>
                                <w:t xml:space="preserve">Long-range plans engender the dangerous belief that the future is under control. It is important never to take your own long-range plans, or other people's, seriously. </w:t>
                              </w: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c>
                            <w:tcPr>
                              <w:tcW w:w="0" w:type="auto"/>
                              <w:vAlign w:val="center"/>
                              <w:hideMark/>
                            </w:tcPr>
                            <w:p w:rsidR="00003476" w:rsidRPr="00003476" w:rsidRDefault="00003476" w:rsidP="00003476">
                              <w:pPr>
                                <w:spacing w:after="0" w:line="240" w:lineRule="auto"/>
                                <w:rPr>
                                  <w:rFonts w:ascii="Times New Roman" w:eastAsia="Times New Roman" w:hAnsi="Times New Roman" w:cs="Times New Roman"/>
                                  <w:sz w:val="20"/>
                                  <w:szCs w:val="20"/>
                                </w:rPr>
                              </w:pPr>
                            </w:p>
                          </w:tc>
                        </w:tr>
                      </w:tbl>
                      <w:p w:rsidR="00003476" w:rsidRPr="00003476" w:rsidRDefault="00003476" w:rsidP="00003476">
                        <w:pPr>
                          <w:spacing w:after="0" w:line="420" w:lineRule="auto"/>
                          <w:rPr>
                            <w:rFonts w:ascii="Arial" w:eastAsia="Times New Roman" w:hAnsi="Arial" w:cs="Arial"/>
                            <w:color w:val="000000"/>
                            <w:sz w:val="18"/>
                            <w:szCs w:val="18"/>
                          </w:rPr>
                        </w:pPr>
                      </w:p>
                    </w:tc>
                  </w:tr>
                </w:tbl>
                <w:p w:rsidR="00003476" w:rsidRPr="00003476" w:rsidRDefault="00003476" w:rsidP="00003476">
                  <w:pPr>
                    <w:spacing w:after="0" w:line="240" w:lineRule="auto"/>
                    <w:rPr>
                      <w:rFonts w:ascii="Times New Roman" w:eastAsia="Times New Roman" w:hAnsi="Times New Roman" w:cs="Times New Roman"/>
                      <w:sz w:val="24"/>
                      <w:szCs w:val="24"/>
                    </w:rPr>
                  </w:pPr>
                </w:p>
              </w:tc>
            </w:tr>
          </w:tbl>
          <w:p w:rsidR="00003476" w:rsidRPr="00003476" w:rsidRDefault="00003476" w:rsidP="00003476">
            <w:pPr>
              <w:spacing w:after="0" w:line="240" w:lineRule="auto"/>
              <w:jc w:val="center"/>
              <w:rPr>
                <w:rFonts w:ascii="Times New Roman" w:eastAsia="Times New Roman" w:hAnsi="Times New Roman" w:cs="Times New Roman"/>
                <w:sz w:val="24"/>
                <w:szCs w:val="24"/>
              </w:rPr>
            </w:pPr>
          </w:p>
        </w:tc>
      </w:tr>
    </w:tbl>
    <w:p w:rsidR="00EF183F" w:rsidRDefault="00EF183F" w:rsidP="00DB57BF">
      <w:pPr>
        <w:spacing w:before="100" w:beforeAutospacing="1" w:after="100" w:afterAutospacing="1" w:line="420" w:lineRule="auto"/>
        <w:rPr>
          <w:rFonts w:ascii="Arial" w:eastAsia="Times New Roman" w:hAnsi="Arial" w:cs="Arial"/>
          <w:color w:val="000000"/>
          <w:sz w:val="18"/>
          <w:szCs w:val="18"/>
        </w:rPr>
      </w:pP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Pr>
          <w:rFonts w:ascii="Arial" w:hAnsi="Arial" w:cs="Arial"/>
          <w:b/>
          <w:bCs/>
          <w:color w:val="D53500"/>
        </w:rPr>
        <w:t>FAQs</w:t>
      </w:r>
      <w:r>
        <w:rPr>
          <w:rFonts w:ascii="Arial" w:hAnsi="Arial" w:cs="Arial"/>
          <w:b/>
          <w:bCs/>
          <w:color w:val="D53500"/>
        </w:rPr>
        <w:br/>
      </w:r>
      <w:proofErr w:type="gramStart"/>
      <w:r w:rsidRPr="00003476">
        <w:rPr>
          <w:rFonts w:ascii="Arial" w:eastAsia="Times New Roman" w:hAnsi="Arial" w:cs="Arial"/>
          <w:b/>
          <w:bCs/>
          <w:color w:val="000000"/>
          <w:sz w:val="18"/>
          <w:szCs w:val="18"/>
        </w:rPr>
        <w:t>What</w:t>
      </w:r>
      <w:proofErr w:type="gramEnd"/>
      <w:r w:rsidRPr="00003476">
        <w:rPr>
          <w:rFonts w:ascii="Arial" w:eastAsia="Times New Roman" w:hAnsi="Arial" w:cs="Arial"/>
          <w:b/>
          <w:bCs/>
          <w:color w:val="000000"/>
          <w:sz w:val="18"/>
          <w:szCs w:val="18"/>
        </w:rPr>
        <w:t xml:space="preserve"> is SEBI’s Role in an Issue?</w:t>
      </w:r>
      <w:r w:rsidRPr="00003476">
        <w:rPr>
          <w:rFonts w:ascii="Arial" w:eastAsia="Times New Roman" w:hAnsi="Arial" w:cs="Arial"/>
          <w:color w:val="000000"/>
          <w:sz w:val="18"/>
          <w:szCs w:val="18"/>
        </w:rPr>
        <w:br/>
        <w:t xml:space="preserve">Any company making a public issue or a listed company making a rights issue of value of more than Rs.50 </w:t>
      </w:r>
      <w:proofErr w:type="spellStart"/>
      <w:r w:rsidRPr="00003476">
        <w:rPr>
          <w:rFonts w:ascii="Arial" w:eastAsia="Times New Roman" w:hAnsi="Arial" w:cs="Arial"/>
          <w:color w:val="000000"/>
          <w:sz w:val="18"/>
          <w:szCs w:val="18"/>
        </w:rPr>
        <w:t>lakhs</w:t>
      </w:r>
      <w:proofErr w:type="spellEnd"/>
      <w:r w:rsidRPr="00003476">
        <w:rPr>
          <w:rFonts w:ascii="Arial" w:eastAsia="Times New Roman" w:hAnsi="Arial" w:cs="Arial"/>
          <w:color w:val="000000"/>
          <w:sz w:val="18"/>
          <w:szCs w:val="18"/>
        </w:rPr>
        <w:t xml:space="preserve"> is required to file a draft offer document with SEBI for its observations. The company can proceed further on the issue only after getting observations from SEBI. The validity period of SEBI’s observation letter is three months only </w:t>
      </w:r>
      <w:proofErr w:type="spellStart"/>
      <w:r w:rsidRPr="00003476">
        <w:rPr>
          <w:rFonts w:ascii="Arial" w:eastAsia="Times New Roman" w:hAnsi="Arial" w:cs="Arial"/>
          <w:color w:val="000000"/>
          <w:sz w:val="18"/>
          <w:szCs w:val="18"/>
        </w:rPr>
        <w:t>ie</w:t>
      </w:r>
      <w:proofErr w:type="spellEnd"/>
      <w:r w:rsidRPr="00003476">
        <w:rPr>
          <w:rFonts w:ascii="Arial" w:eastAsia="Times New Roman" w:hAnsi="Arial" w:cs="Arial"/>
          <w:color w:val="000000"/>
          <w:sz w:val="18"/>
          <w:szCs w:val="18"/>
        </w:rPr>
        <w:t xml:space="preserve">. </w:t>
      </w:r>
      <w:proofErr w:type="gramStart"/>
      <w:r w:rsidRPr="00003476">
        <w:rPr>
          <w:rFonts w:ascii="Arial" w:eastAsia="Times New Roman" w:hAnsi="Arial" w:cs="Arial"/>
          <w:color w:val="000000"/>
          <w:sz w:val="18"/>
          <w:szCs w:val="18"/>
        </w:rPr>
        <w:t>the</w:t>
      </w:r>
      <w:proofErr w:type="gramEnd"/>
      <w:r w:rsidRPr="00003476">
        <w:rPr>
          <w:rFonts w:ascii="Arial" w:eastAsia="Times New Roman" w:hAnsi="Arial" w:cs="Arial"/>
          <w:color w:val="000000"/>
          <w:sz w:val="18"/>
          <w:szCs w:val="18"/>
        </w:rPr>
        <w:t xml:space="preserve"> company has to open its issue within three months period.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lastRenderedPageBreak/>
        <w:t>Where can I get a form for applying/ bidding for the shares?</w:t>
      </w:r>
      <w:r w:rsidRPr="00003476">
        <w:rPr>
          <w:rFonts w:ascii="Arial" w:eastAsia="Times New Roman" w:hAnsi="Arial" w:cs="Arial"/>
          <w:color w:val="000000"/>
          <w:sz w:val="18"/>
          <w:szCs w:val="18"/>
        </w:rPr>
        <w:br/>
        <w:t xml:space="preserve">The form for applying/bidding of shares is available with all syndicate members, collection centers, the brokers to the issue and the bankers to the issue.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 xml:space="preserve">Is it compulsory for me to have a </w:t>
      </w:r>
      <w:proofErr w:type="spellStart"/>
      <w:r w:rsidRPr="00003476">
        <w:rPr>
          <w:rFonts w:ascii="Arial" w:eastAsia="Times New Roman" w:hAnsi="Arial" w:cs="Arial"/>
          <w:b/>
          <w:bCs/>
          <w:color w:val="000000"/>
          <w:sz w:val="18"/>
          <w:szCs w:val="18"/>
        </w:rPr>
        <w:t>Demat</w:t>
      </w:r>
      <w:proofErr w:type="spellEnd"/>
      <w:r w:rsidRPr="00003476">
        <w:rPr>
          <w:rFonts w:ascii="Arial" w:eastAsia="Times New Roman" w:hAnsi="Arial" w:cs="Arial"/>
          <w:b/>
          <w:bCs/>
          <w:color w:val="000000"/>
          <w:sz w:val="18"/>
          <w:szCs w:val="18"/>
        </w:rPr>
        <w:t xml:space="preserve"> Account?</w:t>
      </w:r>
      <w:r w:rsidRPr="00003476">
        <w:rPr>
          <w:rFonts w:ascii="Arial" w:eastAsia="Times New Roman" w:hAnsi="Arial" w:cs="Arial"/>
          <w:color w:val="000000"/>
          <w:sz w:val="18"/>
          <w:szCs w:val="18"/>
        </w:rPr>
        <w:t xml:space="preserve"> </w:t>
      </w:r>
      <w:r w:rsidRPr="00003476">
        <w:rPr>
          <w:rFonts w:ascii="Arial" w:eastAsia="Times New Roman" w:hAnsi="Arial" w:cs="Arial"/>
          <w:color w:val="000000"/>
          <w:sz w:val="18"/>
          <w:szCs w:val="18"/>
        </w:rPr>
        <w:br/>
        <w:t xml:space="preserve">As per the requirement, all the public issues of size in excess of Rs.10 </w:t>
      </w:r>
      <w:proofErr w:type="spellStart"/>
      <w:r w:rsidRPr="00003476">
        <w:rPr>
          <w:rFonts w:ascii="Arial" w:eastAsia="Times New Roman" w:hAnsi="Arial" w:cs="Arial"/>
          <w:color w:val="000000"/>
          <w:sz w:val="18"/>
          <w:szCs w:val="18"/>
        </w:rPr>
        <w:t>crore</w:t>
      </w:r>
      <w:proofErr w:type="spellEnd"/>
      <w:r w:rsidRPr="00003476">
        <w:rPr>
          <w:rFonts w:ascii="Arial" w:eastAsia="Times New Roman" w:hAnsi="Arial" w:cs="Arial"/>
          <w:color w:val="000000"/>
          <w:sz w:val="18"/>
          <w:szCs w:val="18"/>
        </w:rPr>
        <w:t xml:space="preserve">, are </w:t>
      </w:r>
      <w:proofErr w:type="gramStart"/>
      <w:r w:rsidRPr="00003476">
        <w:rPr>
          <w:rFonts w:ascii="Arial" w:eastAsia="Times New Roman" w:hAnsi="Arial" w:cs="Arial"/>
          <w:color w:val="000000"/>
          <w:sz w:val="18"/>
          <w:szCs w:val="18"/>
        </w:rPr>
        <w:t>to</w:t>
      </w:r>
      <w:proofErr w:type="gramEnd"/>
      <w:r w:rsidRPr="00003476">
        <w:rPr>
          <w:rFonts w:ascii="Arial" w:eastAsia="Times New Roman" w:hAnsi="Arial" w:cs="Arial"/>
          <w:color w:val="000000"/>
          <w:sz w:val="18"/>
          <w:szCs w:val="18"/>
        </w:rPr>
        <w:t xml:space="preserve"> made compulsorily in the </w:t>
      </w:r>
      <w:proofErr w:type="spellStart"/>
      <w:r w:rsidRPr="00003476">
        <w:rPr>
          <w:rFonts w:ascii="Arial" w:eastAsia="Times New Roman" w:hAnsi="Arial" w:cs="Arial"/>
          <w:color w:val="000000"/>
          <w:sz w:val="18"/>
          <w:szCs w:val="18"/>
        </w:rPr>
        <w:t>demat</w:t>
      </w:r>
      <w:proofErr w:type="spellEnd"/>
      <w:r w:rsidRPr="00003476">
        <w:rPr>
          <w:rFonts w:ascii="Arial" w:eastAsia="Times New Roman" w:hAnsi="Arial" w:cs="Arial"/>
          <w:color w:val="000000"/>
          <w:sz w:val="18"/>
          <w:szCs w:val="18"/>
        </w:rPr>
        <w:t xml:space="preserve"> more. Thus, if an investor chooses to apply for an issue that is being made in a compulsory </w:t>
      </w:r>
      <w:proofErr w:type="spellStart"/>
      <w:r w:rsidRPr="00003476">
        <w:rPr>
          <w:rFonts w:ascii="Arial" w:eastAsia="Times New Roman" w:hAnsi="Arial" w:cs="Arial"/>
          <w:color w:val="000000"/>
          <w:sz w:val="18"/>
          <w:szCs w:val="18"/>
        </w:rPr>
        <w:t>demat</w:t>
      </w:r>
      <w:proofErr w:type="spellEnd"/>
      <w:r w:rsidRPr="00003476">
        <w:rPr>
          <w:rFonts w:ascii="Arial" w:eastAsia="Times New Roman" w:hAnsi="Arial" w:cs="Arial"/>
          <w:color w:val="000000"/>
          <w:sz w:val="18"/>
          <w:szCs w:val="18"/>
        </w:rPr>
        <w:t xml:space="preserve"> mode, he has to have a </w:t>
      </w:r>
      <w:proofErr w:type="spellStart"/>
      <w:r w:rsidRPr="00003476">
        <w:rPr>
          <w:rFonts w:ascii="Arial" w:eastAsia="Times New Roman" w:hAnsi="Arial" w:cs="Arial"/>
          <w:color w:val="000000"/>
          <w:sz w:val="18"/>
          <w:szCs w:val="18"/>
        </w:rPr>
        <w:t>demat</w:t>
      </w:r>
      <w:proofErr w:type="spellEnd"/>
      <w:r w:rsidRPr="00003476">
        <w:rPr>
          <w:rFonts w:ascii="Arial" w:eastAsia="Times New Roman" w:hAnsi="Arial" w:cs="Arial"/>
          <w:color w:val="000000"/>
          <w:sz w:val="18"/>
          <w:szCs w:val="18"/>
        </w:rPr>
        <w:t xml:space="preserve"> account and has the responsibility to put the correct DP ID and Client ID details in the bid/application forms.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What are the dos and don’ts for bidding / applying in the issue?</w:t>
      </w:r>
      <w:r w:rsidRPr="00003476">
        <w:rPr>
          <w:rFonts w:ascii="Arial" w:eastAsia="Times New Roman" w:hAnsi="Arial" w:cs="Arial"/>
          <w:color w:val="000000"/>
          <w:sz w:val="18"/>
          <w:szCs w:val="18"/>
        </w:rPr>
        <w:br/>
        <w:t xml:space="preserve">The investors are generally advised to study all the material facts pertaining to the issue including the risk factors before considering any investment. They are strongly warned against any ‘tips’ or relying on news obtained through unofficial means.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How many days is the issue open?</w:t>
      </w:r>
      <w:r w:rsidRPr="00003476">
        <w:rPr>
          <w:rFonts w:ascii="Arial" w:eastAsia="Times New Roman" w:hAnsi="Arial" w:cs="Arial"/>
          <w:color w:val="000000"/>
          <w:sz w:val="18"/>
          <w:szCs w:val="18"/>
        </w:rPr>
        <w:br/>
        <w:t xml:space="preserve">As per Clause 8.8.1, Subscription list for public issues shall be kept open for at least 3 working days and not more than 10 working days. In case of Book built issues, the minimum and maximum period for which bidding will be open is 3–7 working days extendable by 3 days in case of a revision in the price band. The public issue made by an infrastructure company, satisfying the requirements in Clause 2.4.1 (iii) of Chapter II may be kept open for a maximum period of 21 working days. As per clause 8.8.2., Rights issues shall be kept open for at least 30 days and not more than 60 days.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Can I change/revise my bid?</w:t>
      </w:r>
      <w:r w:rsidRPr="00003476">
        <w:rPr>
          <w:rFonts w:ascii="Arial" w:eastAsia="Times New Roman" w:hAnsi="Arial" w:cs="Arial"/>
          <w:color w:val="000000"/>
          <w:sz w:val="18"/>
          <w:szCs w:val="18"/>
        </w:rPr>
        <w:br/>
        <w:t xml:space="preserve">Yes. The investor can change or revise the quantity or price in the bid using the form for changing/revising the bid that is available along with the application form. However, the entire process of changing of revising the bids shall be completed within the date of closure of the issue.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Which are the reliable sources for me to get information about response to issues?</w:t>
      </w:r>
      <w:r w:rsidRPr="00003476">
        <w:rPr>
          <w:rFonts w:ascii="Arial" w:eastAsia="Times New Roman" w:hAnsi="Arial" w:cs="Arial"/>
          <w:color w:val="000000"/>
          <w:sz w:val="18"/>
          <w:szCs w:val="18"/>
        </w:rPr>
        <w:br/>
        <w:t xml:space="preserve">In the case of book-built issues, the exchanges (BSE/NSE) display the data regarding the bids obtained (on a consolidated basis between both these exchanges). The data regarding the bids is also available </w:t>
      </w:r>
      <w:proofErr w:type="spellStart"/>
      <w:r w:rsidRPr="00003476">
        <w:rPr>
          <w:rFonts w:ascii="Arial" w:eastAsia="Times New Roman" w:hAnsi="Arial" w:cs="Arial"/>
          <w:color w:val="000000"/>
          <w:sz w:val="18"/>
          <w:szCs w:val="18"/>
        </w:rPr>
        <w:t>categorywise</w:t>
      </w:r>
      <w:proofErr w:type="spellEnd"/>
      <w:r w:rsidRPr="00003476">
        <w:rPr>
          <w:rFonts w:ascii="Arial" w:eastAsia="Times New Roman" w:hAnsi="Arial" w:cs="Arial"/>
          <w:color w:val="000000"/>
          <w:sz w:val="18"/>
          <w:szCs w:val="18"/>
        </w:rPr>
        <w:t xml:space="preserve">. After the price has been determined on the basis of bidding, the statutory public advertisement containing, inter alia, the price as well as a table showing the number of securities and the amount payable by an investor, based on the price determined, is issued.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How do I know if I am allotted the shares? And by what timeframe will I get a refund if I am not allotted?</w:t>
      </w:r>
      <w:r w:rsidRPr="00003476">
        <w:rPr>
          <w:rFonts w:ascii="Arial" w:eastAsia="Times New Roman" w:hAnsi="Arial" w:cs="Arial"/>
          <w:color w:val="000000"/>
          <w:sz w:val="18"/>
          <w:szCs w:val="18"/>
        </w:rPr>
        <w:br/>
        <w:t xml:space="preserve">The investor is entitled to receive a Confirmatory Allotment Note (CAN) in case he has been allotted shares within 15 days from the date of closure of a book Built issue. The registrar has to ensure that the </w:t>
      </w:r>
      <w:proofErr w:type="spellStart"/>
      <w:r w:rsidRPr="00003476">
        <w:rPr>
          <w:rFonts w:ascii="Arial" w:eastAsia="Times New Roman" w:hAnsi="Arial" w:cs="Arial"/>
          <w:color w:val="000000"/>
          <w:sz w:val="18"/>
          <w:szCs w:val="18"/>
        </w:rPr>
        <w:t>demat</w:t>
      </w:r>
      <w:proofErr w:type="spellEnd"/>
      <w:r w:rsidRPr="00003476">
        <w:rPr>
          <w:rFonts w:ascii="Arial" w:eastAsia="Times New Roman" w:hAnsi="Arial" w:cs="Arial"/>
          <w:color w:val="000000"/>
          <w:sz w:val="18"/>
          <w:szCs w:val="18"/>
        </w:rPr>
        <w:t xml:space="preserve"> credit or refund as applicable is completed within 15 days of the closure of the book built issue.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How long will it take after the issue for the shares to get listed?</w:t>
      </w:r>
      <w:r w:rsidRPr="00003476">
        <w:rPr>
          <w:rFonts w:ascii="Arial" w:eastAsia="Times New Roman" w:hAnsi="Arial" w:cs="Arial"/>
          <w:color w:val="000000"/>
          <w:sz w:val="18"/>
          <w:szCs w:val="18"/>
        </w:rPr>
        <w:t xml:space="preserve"> </w:t>
      </w:r>
      <w:r w:rsidRPr="00003476">
        <w:rPr>
          <w:rFonts w:ascii="Arial" w:eastAsia="Times New Roman" w:hAnsi="Arial" w:cs="Arial"/>
          <w:color w:val="000000"/>
          <w:sz w:val="18"/>
          <w:szCs w:val="18"/>
        </w:rPr>
        <w:br/>
        <w:t xml:space="preserve">The listing on the stock exchanges is done within 7 days from the finalization of the issue. Ideally, it would </w:t>
      </w:r>
      <w:r w:rsidRPr="00003476">
        <w:rPr>
          <w:rFonts w:ascii="Arial" w:eastAsia="Times New Roman" w:hAnsi="Arial" w:cs="Arial"/>
          <w:color w:val="000000"/>
          <w:sz w:val="18"/>
          <w:szCs w:val="18"/>
        </w:rPr>
        <w:lastRenderedPageBreak/>
        <w:t xml:space="preserve">be around 3 weeks after the closure of the book built issue. In case of fixed price issue, it would be around 37 days after closure of the issue.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What is the recourse available to the investor in case of issue complaints?</w:t>
      </w:r>
      <w:r w:rsidRPr="00003476">
        <w:rPr>
          <w:rFonts w:ascii="Arial" w:eastAsia="Times New Roman" w:hAnsi="Arial" w:cs="Arial"/>
          <w:color w:val="000000"/>
          <w:sz w:val="18"/>
          <w:szCs w:val="18"/>
        </w:rPr>
        <w:br/>
        <w:t xml:space="preserve">Most of the issue complaints pertain to non-receipt of refund or allotment, or delay in receipt of refund or allotment and payment of interest thereon. These complaints shall be made to the post issue Lead Manager, who in turn will take up the matter with registrar to redress the complaints. In case the investor does not receive any reply within a reasonable time, investor may complain to SEBI, Office of investors Assistance.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How will the investor confirm that bonus/rights entitlement is credited into the account?</w:t>
      </w:r>
      <w:r w:rsidRPr="00003476">
        <w:rPr>
          <w:rFonts w:ascii="Arial" w:eastAsia="Times New Roman" w:hAnsi="Arial" w:cs="Arial"/>
          <w:color w:val="000000"/>
          <w:sz w:val="18"/>
          <w:szCs w:val="18"/>
        </w:rPr>
        <w:br/>
        <w:t xml:space="preserve">An allotment advice will be sent by the issuer for bonus/rights entitlement. The transaction statement given by the </w:t>
      </w:r>
      <w:proofErr w:type="gramStart"/>
      <w:r w:rsidRPr="00003476">
        <w:rPr>
          <w:rFonts w:ascii="Arial" w:eastAsia="Times New Roman" w:hAnsi="Arial" w:cs="Arial"/>
          <w:color w:val="000000"/>
          <w:sz w:val="18"/>
          <w:szCs w:val="18"/>
        </w:rPr>
        <w:t>DP,</w:t>
      </w:r>
      <w:proofErr w:type="gramEnd"/>
      <w:r w:rsidRPr="00003476">
        <w:rPr>
          <w:rFonts w:ascii="Arial" w:eastAsia="Times New Roman" w:hAnsi="Arial" w:cs="Arial"/>
          <w:color w:val="000000"/>
          <w:sz w:val="18"/>
          <w:szCs w:val="18"/>
        </w:rPr>
        <w:t xml:space="preserve"> will also show the bonus/rights credit into the account. The quantity shown in the advice and transaction statement should match. </w:t>
      </w:r>
    </w:p>
    <w:p w:rsidR="00003476" w:rsidRPr="00003476" w:rsidRDefault="00003476" w:rsidP="00003476">
      <w:pPr>
        <w:numPr>
          <w:ilvl w:val="0"/>
          <w:numId w:val="16"/>
        </w:numPr>
        <w:spacing w:before="100" w:beforeAutospacing="1" w:after="100" w:afterAutospacing="1" w:line="420" w:lineRule="auto"/>
        <w:rPr>
          <w:rFonts w:ascii="Arial" w:eastAsia="Times New Roman" w:hAnsi="Arial" w:cs="Arial"/>
          <w:color w:val="000000"/>
          <w:sz w:val="18"/>
          <w:szCs w:val="18"/>
        </w:rPr>
      </w:pPr>
      <w:r w:rsidRPr="00003476">
        <w:rPr>
          <w:rFonts w:ascii="Arial" w:eastAsia="Times New Roman" w:hAnsi="Arial" w:cs="Arial"/>
          <w:b/>
          <w:bCs/>
          <w:color w:val="000000"/>
          <w:sz w:val="18"/>
          <w:szCs w:val="18"/>
        </w:rPr>
        <w:t>What will happen if my DP goes bankrupt or stops operation?</w:t>
      </w:r>
      <w:r w:rsidRPr="00003476">
        <w:rPr>
          <w:rFonts w:ascii="Arial" w:eastAsia="Times New Roman" w:hAnsi="Arial" w:cs="Arial"/>
          <w:color w:val="000000"/>
          <w:sz w:val="18"/>
          <w:szCs w:val="18"/>
        </w:rPr>
        <w:br/>
        <w:t xml:space="preserve">In a rare event of your DP going bankrupt or closing its operations, the interests of the investors will be fully protected. In such situation, the investor will be given an option of either transferring the securities to a new DP or rematerialize the securities </w:t>
      </w:r>
    </w:p>
    <w:p w:rsidR="00003476" w:rsidRPr="00003476" w:rsidRDefault="00003476" w:rsidP="00003476">
      <w:pPr>
        <w:spacing w:before="100" w:beforeAutospacing="1" w:after="100" w:afterAutospacing="1"/>
        <w:rPr>
          <w:rFonts w:ascii="Times New Roman" w:eastAsia="Times New Roman" w:hAnsi="Times New Roman" w:cs="Times New Roman"/>
          <w:sz w:val="24"/>
          <w:szCs w:val="24"/>
        </w:rPr>
      </w:pPr>
      <w:r>
        <w:t>IPO FAQs</w:t>
      </w:r>
      <w:r>
        <w:br/>
      </w: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an Initial Public Offering?</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Initial Public Offering (IPO) is when an unlisted company makes either a fresh issue of securities or an offer for sale of its existing securities or both for the first time to the public. This paves way for listing and trading of the issuer’s securities.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 Follow on Public Offering?</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 follow on public offering (FPO) is when an already listed company makes either a fresh issue of securities to the public or an offer for sale to the public, through an offer document. An offer for sale in such scenario is allowed only if it is made to satisfy listing or continuous listing obligations.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 Rights Issue?</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Rights Issue (RI) is when a listed company which proposes to issue fresh securities to its existing shareholders as on a record date. The rights are normally offered in a particular ratio to the number of securities held prior to the issue. This route is best suited for companies who would like to raise capital without diluting stake of its existing shareholders unless they do not intend to subscribe to their entitlements.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 Preferential Issue?</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 preferential issue is an issue of shares or of convertible securities by listed companies to a select group of persons under Section 81 of the Companies Act, 1956 which is neither a rights issue nor a public issue. This is a faster way for a company to raise equity capital. The issuer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Arial" w:cs="Arial"/>
          <w:sz w:val="18"/>
          <w:szCs w:val="24"/>
        </w:rPr>
        <w:lastRenderedPageBreak/>
        <w:t>company</w:t>
      </w:r>
      <w:proofErr w:type="gramEnd"/>
      <w:r w:rsidRPr="00003476">
        <w:rPr>
          <w:rFonts w:ascii="Arial" w:eastAsia="Times New Roman" w:hAnsi="Arial" w:cs="Arial"/>
          <w:sz w:val="18"/>
          <w:szCs w:val="24"/>
        </w:rPr>
        <w:t xml:space="preserve"> has to comply with the Companies Act and the requirements contained in Chapter pertaining to preferential allotment in SEBI (DIP) guidelines which inter-alia include pricing, disclosures in notice etc.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SEBI’s Role in an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Any company making a public issue or a listed company making a rights issue of value of more than Rs.50 </w:t>
      </w:r>
      <w:proofErr w:type="spellStart"/>
      <w:r w:rsidRPr="00003476">
        <w:rPr>
          <w:rFonts w:ascii="Arial" w:eastAsia="Times New Roman" w:hAnsi="Arial" w:cs="Arial"/>
          <w:sz w:val="18"/>
          <w:szCs w:val="24"/>
        </w:rPr>
        <w:t>lakhs</w:t>
      </w:r>
      <w:proofErr w:type="spellEnd"/>
      <w:r w:rsidRPr="00003476">
        <w:rPr>
          <w:rFonts w:ascii="Arial" w:eastAsia="Times New Roman" w:hAnsi="Arial" w:cs="Arial"/>
          <w:sz w:val="18"/>
          <w:szCs w:val="24"/>
        </w:rPr>
        <w:t xml:space="preserve"> is required to file a draft offer document with SEBI for its observations. The company can proceed further on the issue only after getting observations from SEBI. The validity period of SEBI’s observation letter is three months only </w:t>
      </w:r>
      <w:proofErr w:type="spellStart"/>
      <w:r w:rsidRPr="00003476">
        <w:rPr>
          <w:rFonts w:ascii="Arial" w:eastAsia="Times New Roman" w:hAnsi="Arial" w:cs="Arial"/>
          <w:sz w:val="18"/>
          <w:szCs w:val="24"/>
        </w:rPr>
        <w:t>ie</w:t>
      </w:r>
      <w:proofErr w:type="spellEnd"/>
      <w:r w:rsidRPr="00003476">
        <w:rPr>
          <w:rFonts w:ascii="Arial" w:eastAsia="Times New Roman" w:hAnsi="Arial" w:cs="Arial"/>
          <w:sz w:val="18"/>
          <w:szCs w:val="24"/>
        </w:rPr>
        <w:t xml:space="preserve">. </w:t>
      </w:r>
      <w:proofErr w:type="gramStart"/>
      <w:r w:rsidRPr="00003476">
        <w:rPr>
          <w:rFonts w:ascii="Arial" w:eastAsia="Times New Roman" w:hAnsi="Arial" w:cs="Arial"/>
          <w:sz w:val="18"/>
          <w:szCs w:val="24"/>
        </w:rPr>
        <w:t>the</w:t>
      </w:r>
      <w:proofErr w:type="gramEnd"/>
      <w:r w:rsidRPr="00003476">
        <w:rPr>
          <w:rFonts w:ascii="Arial" w:eastAsia="Times New Roman" w:hAnsi="Arial" w:cs="Arial"/>
          <w:sz w:val="18"/>
          <w:szCs w:val="24"/>
        </w:rPr>
        <w:t xml:space="preserve"> company has to open its issue within three months period.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Does</w:t>
      </w:r>
      <w:proofErr w:type="gramEnd"/>
      <w:r w:rsidRPr="00003476">
        <w:rPr>
          <w:rFonts w:ascii="Arial" w:eastAsia="Times New Roman" w:hAnsi="Arial" w:cs="Arial"/>
          <w:b/>
          <w:bCs/>
          <w:sz w:val="18"/>
          <w:szCs w:val="24"/>
        </w:rPr>
        <w:t xml:space="preserve"> it mean that SEBI recommends an issue?</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SEBI does not recommend any issue nor does take any responsibility either for the financial soundness of any scheme or the project for which the issue is proposed to be made or for the correctness of the statements made or opinions expressed in the offer document.</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Does</w:t>
      </w:r>
      <w:proofErr w:type="gramEnd"/>
      <w:r w:rsidRPr="00003476">
        <w:rPr>
          <w:rFonts w:ascii="Arial" w:eastAsia="Times New Roman" w:hAnsi="Arial" w:cs="Arial"/>
          <w:b/>
          <w:bCs/>
          <w:sz w:val="18"/>
          <w:szCs w:val="24"/>
        </w:rPr>
        <w:t xml:space="preserve"> SEBI approve the contents of the issue?</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It is to be distinctly understood that submission of offer document to SEBI should not in any way be deemed or construed that the same has been cleared or approved by SEBI. The Lead manager certifies that the disclosures made in the offer document are generally adequate and are in conformity with SEBI guidelines for disclosures and investor protection in force for the time being. This requirement is to facilitate investors to take an informed decision for making investment in the proposed issue.</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Does</w:t>
      </w:r>
      <w:proofErr w:type="gramEnd"/>
      <w:r w:rsidRPr="00003476">
        <w:rPr>
          <w:rFonts w:ascii="Arial" w:eastAsia="Times New Roman" w:hAnsi="Arial" w:cs="Arial"/>
          <w:b/>
          <w:bCs/>
          <w:sz w:val="18"/>
          <w:szCs w:val="24"/>
        </w:rPr>
        <w:t xml:space="preserve"> SEBI tag make my money safe?</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The investors should make an informed decision purely by themselves based on the contents disclosed in the offer documents. SEBI does not associate itself with any issue/issuer and should in no way be construed as a guarantee for the funds that the investor proposes to invest through the issue. However, the investors are generally advised to study all the material facts pertaining to the issue including the risk factors before considering any investment. They are strongly warned against any ‘tips’ or news through unofficial means.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are Disclosures and Investor protection guidelines?</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r w:rsidRPr="00003476">
        <w:rPr>
          <w:rFonts w:ascii="Arial" w:eastAsia="Times New Roman" w:hAnsi="Arial" w:cs="Arial"/>
          <w:sz w:val="18"/>
          <w:szCs w:val="24"/>
        </w:rPr>
        <w:t>The primary issuances are governed by SEBI in terms of SEBI (Disclosures and Investor protection) guidelines. SEBI framed its DIP guidelines in 1992. Many amendments have been carried out in the same in line with the market dynamics and requirements. In 2000, SEBI issued “Securities and Exchange Board of India (Disclosure and Investor Protection) Guidelines, 2000” which is compilation of all circulars organized in chapter forms. These guidelines and amendments thereon are issued by SEBI India under section 11 of the Securities and Exchange Board of India Act, 1992. SEBI (Disclosure and investor protection) guidelines 2000 are in short called DIP guidelines. It provides a comprehensive framework for issuances buy the companies.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How</w:t>
      </w:r>
      <w:proofErr w:type="gramEnd"/>
      <w:r w:rsidRPr="00003476">
        <w:rPr>
          <w:rFonts w:ascii="Arial" w:eastAsia="Times New Roman" w:hAnsi="Arial" w:cs="Arial"/>
          <w:b/>
          <w:bCs/>
          <w:sz w:val="18"/>
          <w:szCs w:val="24"/>
        </w:rPr>
        <w:t xml:space="preserve"> does SEBI ensure compliance with Disclosures and Investor protection?</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lastRenderedPageBreak/>
        <w:t>The Merchant Banker are the specialized intermediaries who are required to do due diligence and ensure that all the requirements of DIP are complied with while submitting the draft offer document to SEBI. Any non compliance on their part, attract penal action from SEBI, in terms of SEBI (Merchant Bankers) Regulations. The draft offer document filed by Merchant Banker is also placed on the website for public comments. Officials of SEBI at various levels examine the compliance with DIP guidelines and ensure that all necessary material information is disclosed in the draft offer documents.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With</w:t>
      </w:r>
      <w:proofErr w:type="gramEnd"/>
      <w:r w:rsidRPr="00003476">
        <w:rPr>
          <w:rFonts w:ascii="Arial" w:eastAsia="Times New Roman" w:hAnsi="Arial" w:cs="Arial"/>
          <w:sz w:val="18"/>
          <w:szCs w:val="24"/>
        </w:rPr>
        <w:t xml:space="preserve"> the presence of the Central Listing Authority, what would be the role of SEBI in the processing of Offer documents for an issue?</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Central Listing </w:t>
      </w:r>
      <w:proofErr w:type="gramStart"/>
      <w:r w:rsidRPr="00003476">
        <w:rPr>
          <w:rFonts w:ascii="Arial" w:eastAsia="Times New Roman" w:hAnsi="Arial" w:cs="Arial"/>
          <w:sz w:val="18"/>
          <w:szCs w:val="24"/>
        </w:rPr>
        <w:t>Authority’s ,</w:t>
      </w:r>
      <w:proofErr w:type="gramEnd"/>
      <w:r w:rsidRPr="00003476">
        <w:rPr>
          <w:rFonts w:ascii="Arial" w:eastAsia="Times New Roman" w:hAnsi="Arial" w:cs="Arial"/>
          <w:sz w:val="18"/>
          <w:szCs w:val="24"/>
        </w:rPr>
        <w:t xml:space="preserve"> CLA, functions have been detailed under Regulation 8 of SEBI (Central Listing Authority) Regulations, 2003 (CLA Regulations) issued on August 21, 2003 and amended up to October 14, 2003. In brief, it covers processing applications for letter precedent to listing </w:t>
      </w:r>
      <w:proofErr w:type="spellStart"/>
      <w:r w:rsidRPr="00003476">
        <w:rPr>
          <w:rFonts w:ascii="Arial" w:eastAsia="Times New Roman" w:hAnsi="Arial" w:cs="Arial"/>
          <w:sz w:val="18"/>
          <w:szCs w:val="24"/>
        </w:rPr>
        <w:t>fromapplicants</w:t>
      </w:r>
      <w:proofErr w:type="spellEnd"/>
      <w:r w:rsidRPr="00003476">
        <w:rPr>
          <w:rFonts w:ascii="Arial" w:eastAsia="Times New Roman" w:hAnsi="Arial" w:cs="Arial"/>
          <w:sz w:val="18"/>
          <w:szCs w:val="24"/>
        </w:rPr>
        <w:t>; to make recommendations to the Board on issues pertaining to the protection of the interest of the investors in securities and development and regulation of the securities market, including the listing agreements, listing conditions and disclosures to be made in offer documents; and; to undertake any other functions as may be delegated to it by the Board from time to time. SEBI as the regulator of the securities market examines all the policy matters pertaining to issues and will continue to do so even during the existence of the CLA. Since the CLA is not yet operational, the reply to this question would be updated thereafter.</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the difference between an offer document, Red Herring Prospectus, a prospectus and an abridged prospectus? What does it mean when someone says “draft offer doc”?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b/>
          <w:bCs/>
          <w:sz w:val="18"/>
          <w:szCs w:val="24"/>
        </w:rPr>
        <w:t>“Offer document”</w:t>
      </w:r>
      <w:r w:rsidRPr="00003476">
        <w:rPr>
          <w:rFonts w:ascii="Arial" w:eastAsia="Times New Roman" w:hAnsi="Arial" w:cs="Arial"/>
          <w:sz w:val="18"/>
          <w:szCs w:val="24"/>
        </w:rPr>
        <w:t xml:space="preserve"> means Prospectus in case of a public issue or offer for sale and Letter of Offer in case of a rights issue, which is filed Registrar of Companies (ROC) and Stock Exchanges. An offer document covers all the relevant information to help an investor to make his/her investment decision. “Draft Offer document” means the offer document in draft stage. The draft offer documents are filed with SEBI, </w:t>
      </w:r>
      <w:proofErr w:type="spellStart"/>
      <w:r w:rsidRPr="00003476">
        <w:rPr>
          <w:rFonts w:ascii="Arial" w:eastAsia="Times New Roman" w:hAnsi="Arial" w:cs="Arial"/>
          <w:sz w:val="18"/>
          <w:szCs w:val="24"/>
        </w:rPr>
        <w:t>atleast</w:t>
      </w:r>
      <w:proofErr w:type="spellEnd"/>
      <w:r w:rsidRPr="00003476">
        <w:rPr>
          <w:rFonts w:ascii="Arial" w:eastAsia="Times New Roman" w:hAnsi="Arial" w:cs="Arial"/>
          <w:sz w:val="18"/>
          <w:szCs w:val="24"/>
        </w:rPr>
        <w:t xml:space="preserve"> 21 days prior to the filing of the Offer Document with ROC/ SEs. SEBI may specifies changes, if any, in the draft Offer Document and the issuer or the Lead Merchant banker shall carry out such changes in the draft offer document before filing the Offer Document with ROC/ SEs. The Draft Offer document is available on the SEBI website for public comments for a period of 21 days from the filing of the Draft Offer Document with SEBI.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 Red Herring Prospectus?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b/>
          <w:bCs/>
          <w:sz w:val="18"/>
          <w:szCs w:val="24"/>
        </w:rPr>
        <w:t>Red Herring Prospectus</w:t>
      </w:r>
      <w:r w:rsidRPr="00003476">
        <w:rPr>
          <w:rFonts w:ascii="Arial" w:eastAsia="Times New Roman" w:hAnsi="Arial" w:cs="Arial"/>
          <w:sz w:val="18"/>
          <w:szCs w:val="24"/>
        </w:rPr>
        <w:t xml:space="preserve"> is a prospectus, which does not have details of either price or number of shares being offered, or the amount of issue. This means that in case price is not disclosed, the number of shares and the upper and lower price bands are disclosed. On the other hand, an issuer can state the issue size and the number of shares are determined later. An RHP for and FPO can be filed with the </w:t>
      </w:r>
      <w:proofErr w:type="spellStart"/>
      <w:r w:rsidRPr="00003476">
        <w:rPr>
          <w:rFonts w:ascii="Arial" w:eastAsia="Times New Roman" w:hAnsi="Arial" w:cs="Arial"/>
          <w:sz w:val="18"/>
          <w:szCs w:val="24"/>
        </w:rPr>
        <w:t>RoC</w:t>
      </w:r>
      <w:proofErr w:type="spellEnd"/>
      <w:r w:rsidRPr="00003476">
        <w:rPr>
          <w:rFonts w:ascii="Arial" w:eastAsia="Times New Roman" w:hAnsi="Arial" w:cs="Arial"/>
          <w:sz w:val="18"/>
          <w:szCs w:val="24"/>
        </w:rPr>
        <w:t xml:space="preserve"> without the price band and the issuer, in such a case will notify the floor price or a price band by way of an advertisement one day prior to the opening of the issue. In the case of book-built issues, it is a process of price discovery and the price cannot be determined until the bidding process is completed. Hence, such details are not shown in the Red Herring prospectus filed with ROC in terms of the provisions of the Companies Act. Only on completion of the bidding process, the details of the final price are included in the offer document. The offer document filed thereafter with ROC is called a prospectus.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an Abridged Prospectus?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b/>
          <w:bCs/>
          <w:sz w:val="18"/>
          <w:szCs w:val="24"/>
        </w:rPr>
        <w:t>Abridged Prospectus</w:t>
      </w:r>
      <w:r w:rsidRPr="00003476">
        <w:rPr>
          <w:rFonts w:ascii="Arial" w:eastAsia="Times New Roman" w:hAnsi="Arial" w:cs="Arial"/>
          <w:sz w:val="18"/>
          <w:szCs w:val="24"/>
        </w:rPr>
        <w:t xml:space="preserve"> means the memorandum as prescribed in Form 2A under sub-section (3) of section 56 of the Companies Act, 1956. It contains all the salient features of a prospectus. It accompanies the application form of public issues.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lastRenderedPageBreak/>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does one mean by Lock-in?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Lock-in indicates a freeze on the shares. SEBI (DIP) Guidelines have stipulated lock-in requirements on shares of promoters mainly to ensure that the promoters or main </w:t>
      </w:r>
      <w:proofErr w:type="gramStart"/>
      <w:r w:rsidRPr="00003476">
        <w:rPr>
          <w:rFonts w:ascii="Arial" w:eastAsia="Times New Roman" w:hAnsi="Arial" w:cs="Arial"/>
          <w:sz w:val="18"/>
          <w:szCs w:val="24"/>
        </w:rPr>
        <w:t>persons</w:t>
      </w:r>
      <w:proofErr w:type="gramEnd"/>
      <w:r w:rsidRPr="00003476">
        <w:rPr>
          <w:rFonts w:ascii="Arial" w:eastAsia="Times New Roman" w:hAnsi="Arial" w:cs="Arial"/>
          <w:sz w:val="18"/>
          <w:szCs w:val="24"/>
        </w:rPr>
        <w:t xml:space="preserve"> who are controlling the company, shall continue to hold some minimum percentage in the company after the public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How</w:t>
      </w:r>
      <w:proofErr w:type="gramEnd"/>
      <w:r w:rsidRPr="00003476">
        <w:rPr>
          <w:rFonts w:ascii="Arial" w:eastAsia="Times New Roman" w:hAnsi="Arial" w:cs="Arial"/>
          <w:sz w:val="18"/>
          <w:szCs w:val="24"/>
        </w:rPr>
        <w:t xml:space="preserve"> the word Promoter has been defined?</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promoter has been defined as a person or persons who are in over-all control of the company, who are instrumental in the formulation of a plan or </w:t>
      </w:r>
      <w:proofErr w:type="spellStart"/>
      <w:r w:rsidRPr="00003476">
        <w:rPr>
          <w:rFonts w:ascii="Arial" w:eastAsia="Times New Roman" w:hAnsi="Arial" w:cs="Arial"/>
          <w:sz w:val="18"/>
          <w:szCs w:val="24"/>
        </w:rPr>
        <w:t>programme</w:t>
      </w:r>
      <w:proofErr w:type="spellEnd"/>
      <w:r w:rsidRPr="00003476">
        <w:rPr>
          <w:rFonts w:ascii="Arial" w:eastAsia="Times New Roman" w:hAnsi="Arial" w:cs="Arial"/>
          <w:sz w:val="18"/>
          <w:szCs w:val="24"/>
        </w:rPr>
        <w:t xml:space="preserve"> pursuant to which the securities are offered to the public and those named in the prospectus as promoters(s). It may be noted that a director / officer of the issuer company or person, if they are acting as such merely in their professional capacity are not be included in the definition of a promoter.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'Promoter Group' includes the promoter, an immediate relative of the promoter (i.e. any spouse of that person, or any parent, brother, sister or child of </w:t>
      </w:r>
      <w:proofErr w:type="spellStart"/>
      <w:r w:rsidRPr="00003476">
        <w:rPr>
          <w:rFonts w:ascii="Arial" w:eastAsia="Times New Roman" w:hAnsi="Arial" w:cs="Arial"/>
          <w:sz w:val="18"/>
          <w:szCs w:val="24"/>
        </w:rPr>
        <w:t>theperson</w:t>
      </w:r>
      <w:proofErr w:type="spellEnd"/>
      <w:r w:rsidRPr="00003476">
        <w:rPr>
          <w:rFonts w:ascii="Arial" w:eastAsia="Times New Roman" w:hAnsi="Arial" w:cs="Arial"/>
          <w:sz w:val="18"/>
          <w:szCs w:val="24"/>
        </w:rPr>
        <w:t xml:space="preserve"> or of the spouse). In case promoter is a company, a subsidiary or holding company of that company; any company in which the promoter holds 10% or more of the equity capital or which holds 10% or more of the equity capital of the Promoter; any company in which a group of individuals or companies or combinations thereof who holds 20% or more of the equity capital in that company also holds 20% or more of the equity capital of the issuer company.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In case the promoter is an individual, any company in which 10% or more of the share capital is held by the promoter or an immediate relative of the promoter' or a firm or HUF in which the 'Promoter' or any one or more of his immediate relative is a member; any company in which a company specified in (</w:t>
      </w:r>
      <w:proofErr w:type="spellStart"/>
      <w:r w:rsidRPr="00003476">
        <w:rPr>
          <w:rFonts w:ascii="Arial" w:eastAsia="Times New Roman" w:hAnsi="Arial" w:cs="Arial"/>
          <w:sz w:val="18"/>
          <w:szCs w:val="24"/>
        </w:rPr>
        <w:t>i</w:t>
      </w:r>
      <w:proofErr w:type="spellEnd"/>
      <w:r w:rsidRPr="00003476">
        <w:rPr>
          <w:rFonts w:ascii="Arial" w:eastAsia="Times New Roman" w:hAnsi="Arial" w:cs="Arial"/>
          <w:sz w:val="18"/>
          <w:szCs w:val="24"/>
        </w:rPr>
        <w:t>) above, holds 10% or more, of the share capital; any HUF or firm in which the aggregate share of the promoter and his immediate relatives is equal to or more than 10% of the total, and all persons whose shareholding is aggregated for the purpose of disclosing in the prospectus "shareholding of the promoter group".</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Who</w:t>
      </w:r>
      <w:proofErr w:type="gramEnd"/>
      <w:r w:rsidRPr="00003476">
        <w:rPr>
          <w:rFonts w:ascii="Arial" w:eastAsia="Times New Roman" w:hAnsi="Arial" w:cs="Arial"/>
          <w:sz w:val="18"/>
          <w:szCs w:val="24"/>
        </w:rPr>
        <w:t xml:space="preserve"> decides the price of an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Indian primary market ushered in an era of free pricing in 1992. Following this, the guidelines have provided that the issuer in consultation with Merchant Banker shall decide the price. There is no price formula stipulated by SEBI. SEBI does not play any role in price fixation. The company and merchant banker are however required to give full disclosures of the parameters which they had considered while deciding the issue price. There are two types of issues one where company and LM fix a price (called fixed price) and other, where the company and LM stipulate a floor price or a price band and leave it to market forces to determine the final price (price discovery through book building process).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Fixed Price offers?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An issuer company is allowed to freely price the issue. The basis of issue price is disclosed in the offer document where the issuer discloses in detail about the qualitative and quantitative factors justifying the issue price. The Issuer company can mention a price band of 20% (cap in the price band should not be more than 20% of the floor price) in the Draft offer documents filed with SEBI and actual price can be determined at a later date before filing of the final offer document with SEBI / ROCs.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lastRenderedPageBreak/>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does “price discovery through book building process” mean?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“Book Building” means a process undertaken by which a demand for the securities proposed to be issued by a body corporate is elicited and built up and the price for the securities is assessed on the basis of the bids obtained for the quantum of securities offered for subscription by the issuer. This method provides an opportunity to the market to discover price for securities.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How</w:t>
      </w:r>
      <w:proofErr w:type="gramEnd"/>
      <w:r w:rsidRPr="00003476">
        <w:rPr>
          <w:rFonts w:ascii="Arial" w:eastAsia="Times New Roman" w:hAnsi="Arial" w:cs="Arial"/>
          <w:sz w:val="18"/>
          <w:szCs w:val="24"/>
        </w:rPr>
        <w:t xml:space="preserve"> does Book Building work?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Book building is a process of price discovery. Hence, the Red Herring prospectus does not contain a price. Instead, the red herring prospectus contains either the floor price of the securities offered through it or a price band along with the range within which the bids can move. The applicants bid for the shares quoting the price and the quantity that they would like to bid at. Only the retail investors have the option of bidding at ‘cut-off’. After the bidding process is complete, the ‘cut-off’ price is arrived at on the lines of Dutch auction. The basis of Allotment (Refer Q. 15.j) is then finalized and letters allotment/refund is undertaken. The final prospectus with all the details including the final issue price and the issue size is </w:t>
      </w:r>
      <w:proofErr w:type="spellStart"/>
      <w:r w:rsidRPr="00003476">
        <w:rPr>
          <w:rFonts w:ascii="Arial" w:eastAsia="Times New Roman" w:hAnsi="Arial" w:cs="Arial"/>
          <w:sz w:val="18"/>
          <w:szCs w:val="24"/>
        </w:rPr>
        <w:t>filed</w:t>
      </w:r>
      <w:proofErr w:type="spellEnd"/>
      <w:r w:rsidRPr="00003476">
        <w:rPr>
          <w:rFonts w:ascii="Arial" w:eastAsia="Times New Roman" w:hAnsi="Arial" w:cs="Arial"/>
          <w:sz w:val="18"/>
          <w:szCs w:val="24"/>
        </w:rPr>
        <w:t xml:space="preserve"> with ROC, thus completing the issue process.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a price band?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red herring prospectus may contain either the floor price for the securities or a price band within which the investors can bid. The spread between the floor and the cap of the price band shall not be more than 20%. In other words, it means that the cap should not be more than 120% of the floor price. The price band can have a revision and such a revision in the price band shall be widely disseminated by informing the stock exchanges, by issuing press release and also indicating the change on the relevant website and the terminals of the syndicate members. In case the price band is revised, the bidding period shall be extended for a further period of three days, subject to the total bidding period not exceeding thirteen days.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Who</w:t>
      </w:r>
      <w:proofErr w:type="gramEnd"/>
      <w:r w:rsidRPr="00003476">
        <w:rPr>
          <w:rFonts w:ascii="Arial" w:eastAsia="Times New Roman" w:hAnsi="Arial" w:cs="Arial"/>
          <w:sz w:val="18"/>
          <w:szCs w:val="24"/>
        </w:rPr>
        <w:t xml:space="preserve"> decides the price band?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It may be understood that the regulatory mechanism does not play a role in setting the price for issues. It is up to the company to decide on the price or the price band, in consultation with Merchant Bankers. The basis of issue price is disclosed in the offer document. The issuer is required to disclose in detail about the qualitative and quantitative factors justifying the issue price.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firm allotment?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 company making an issue to public can reserve some shares on “allotment on firm basis” for some categories as specified in DIP guidelines. Allotment on firm basis indicates that allotment to the investor is on firm basis. DIP guidelines provide for maximum % of shares, which can be reserved on firm basis. The shares to be allotted on “firm allotment category” can be issued at a price different from the price at which the net offer to the public is made provided that the price at which the security is being offered to the applicants in firm allotment category is higher than the price at which securities are offered to public.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reservation on competitive basis?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Reservation on Competitive Basis is when allotment of shares is made in proportion to the shares applied for by the concerned reserved categories. Reservation on competitive basis can be made in a public issue to the Employees of </w:t>
      </w:r>
      <w:r w:rsidRPr="00003476">
        <w:rPr>
          <w:rFonts w:ascii="Arial" w:eastAsia="Times New Roman" w:hAnsi="Arial" w:cs="Arial"/>
          <w:sz w:val="18"/>
          <w:szCs w:val="24"/>
        </w:rPr>
        <w:lastRenderedPageBreak/>
        <w:t xml:space="preserve">the company, Shareholders of the promoting companies in the case of a new company and shareholders of group companies in the case of an existing company, Indian Mutual Funds, Foreign Institutional Investors (including non resident Indians and overseas corporate bodies), Indian and Multilateral development Institutions and Scheduled Banks.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Is</w:t>
      </w:r>
      <w:proofErr w:type="gramEnd"/>
      <w:r w:rsidRPr="00003476">
        <w:rPr>
          <w:rFonts w:ascii="Arial" w:eastAsia="Times New Roman" w:hAnsi="Arial" w:cs="Arial"/>
          <w:sz w:val="18"/>
          <w:szCs w:val="24"/>
        </w:rPr>
        <w:t xml:space="preserve"> there any preference while doing the allotment?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allotment to the Qualified Institutional Buyers (QIBs) is on a discretionary basis. The discretion is left to the Merchant Bankers who first disclose the parameters of judgment in the Red Herring Prospectus. There are no objective conditions stipulated as per the DIP Guidelines. The Merchant Bankers are free to set their criteria and mention the same in the Red Herring Prospectus.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Who</w:t>
      </w:r>
      <w:proofErr w:type="gramEnd"/>
      <w:r w:rsidRPr="00003476">
        <w:rPr>
          <w:rFonts w:ascii="Arial" w:eastAsia="Times New Roman" w:hAnsi="Arial" w:cs="Arial"/>
          <w:sz w:val="18"/>
          <w:szCs w:val="24"/>
        </w:rPr>
        <w:t xml:space="preserve"> is eligible for reservation and how much? (QIBs, NIIs, etc</w:t>
      </w:r>
      <w:proofErr w:type="gramStart"/>
      <w:r w:rsidRPr="00003476">
        <w:rPr>
          <w:rFonts w:ascii="Arial" w:eastAsia="Times New Roman" w:hAnsi="Arial" w:cs="Arial"/>
          <w:sz w:val="18"/>
          <w:szCs w:val="24"/>
        </w:rPr>
        <w:t>.,</w:t>
      </w:r>
      <w:proofErr w:type="gramEnd"/>
      <w:r w:rsidRPr="00003476">
        <w:rPr>
          <w:rFonts w:ascii="Arial" w:eastAsia="Times New Roman" w:hAnsi="Arial" w:cs="Arial"/>
          <w:sz w:val="18"/>
          <w:szCs w:val="24"/>
        </w:rPr>
        <w:t xml:space="preserv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In a book built issue allocation to Retail Individual Investors (RIIs), Non Institutional Investors (NIIs) and Qualified Institutional Buyers (QIBs) is in the ratio of 35: 15: 50 respectively. In case the book built issues are made pursuant to the requirement of mandatory allocation of 60% to QIBs in terms of Rule 19(2</w:t>
      </w:r>
      <w:proofErr w:type="gramStart"/>
      <w:r w:rsidRPr="00003476">
        <w:rPr>
          <w:rFonts w:ascii="Arial" w:eastAsia="Times New Roman" w:hAnsi="Arial" w:cs="Arial"/>
          <w:sz w:val="18"/>
          <w:szCs w:val="24"/>
        </w:rPr>
        <w:t>)(</w:t>
      </w:r>
      <w:proofErr w:type="gramEnd"/>
      <w:r w:rsidRPr="00003476">
        <w:rPr>
          <w:rFonts w:ascii="Arial" w:eastAsia="Times New Roman" w:hAnsi="Arial" w:cs="Arial"/>
          <w:sz w:val="18"/>
          <w:szCs w:val="24"/>
        </w:rPr>
        <w:t xml:space="preserve">b) of SCRR, the respective figures are 30% for RIIs and 10% for NIIs. This is a transitory provision pending harmonization of the QIB allocation in terms of the aforesaid Rule with that specified in the guidelines.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How</w:t>
      </w:r>
      <w:proofErr w:type="gramEnd"/>
      <w:r w:rsidRPr="00003476">
        <w:rPr>
          <w:rFonts w:ascii="Arial" w:eastAsia="Times New Roman" w:hAnsi="Arial" w:cs="Arial"/>
          <w:sz w:val="18"/>
          <w:szCs w:val="24"/>
        </w:rPr>
        <w:t xml:space="preserve"> is the Retail Investor defined as?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‘Retail individual investor’ means an investor who applies or bids for securities of or for a value of not more than Rs.1</w:t>
      </w:r>
      <w:proofErr w:type="gramStart"/>
      <w:r w:rsidRPr="00003476">
        <w:rPr>
          <w:rFonts w:ascii="Arial" w:eastAsia="Times New Roman" w:hAnsi="Arial" w:cs="Arial"/>
          <w:sz w:val="18"/>
          <w:szCs w:val="24"/>
        </w:rPr>
        <w:t>,00,000</w:t>
      </w:r>
      <w:proofErr w:type="gramEnd"/>
      <w:r w:rsidRPr="00003476">
        <w:rPr>
          <w:rFonts w:ascii="Arial" w:eastAsia="Times New Roman" w:hAnsi="Arial" w:cs="Arial"/>
          <w:sz w:val="18"/>
          <w:szCs w:val="24"/>
        </w:rPr>
        <w:t xml:space="preserv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Can</w:t>
      </w:r>
      <w:proofErr w:type="gramEnd"/>
      <w:r w:rsidRPr="00003476">
        <w:rPr>
          <w:rFonts w:ascii="Arial" w:eastAsia="Times New Roman" w:hAnsi="Arial" w:cs="Arial"/>
          <w:sz w:val="18"/>
          <w:szCs w:val="24"/>
        </w:rPr>
        <w:t xml:space="preserve"> a retail investor also bid in a book-built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Yes. He can bid in a book-built issue for a value not more than Rs.1</w:t>
      </w:r>
      <w:proofErr w:type="gramStart"/>
      <w:r w:rsidRPr="00003476">
        <w:rPr>
          <w:rFonts w:ascii="Arial" w:eastAsia="Times New Roman" w:hAnsi="Arial" w:cs="Arial"/>
          <w:sz w:val="18"/>
          <w:szCs w:val="24"/>
        </w:rPr>
        <w:t>,00,000</w:t>
      </w:r>
      <w:proofErr w:type="gramEnd"/>
      <w:r w:rsidRPr="00003476">
        <w:rPr>
          <w:rFonts w:ascii="Arial" w:eastAsia="Times New Roman" w:hAnsi="Arial" w:cs="Arial"/>
          <w:sz w:val="18"/>
          <w:szCs w:val="24"/>
        </w:rPr>
        <w:t xml:space="preserve">. Any bid made in excess of this will be considered in the HNI category.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Where</w:t>
      </w:r>
      <w:proofErr w:type="gramEnd"/>
      <w:r w:rsidRPr="00003476">
        <w:rPr>
          <w:rFonts w:ascii="Arial" w:eastAsia="Times New Roman" w:hAnsi="Arial" w:cs="Arial"/>
          <w:sz w:val="18"/>
          <w:szCs w:val="24"/>
        </w:rPr>
        <w:t xml:space="preserve"> can I get a form for applying/ bidding for the shares?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form for applying/bidding of shares is available with all syndicate members, collection centers, the brokers to the issue and the bankers to the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the amount of faith that I can lay on the contents of the documents? And whom should I approach if there are any lacunae?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document is prepared by an independent specialized agency called Merchant Banker, which is registered with SEBI. They are required to do through due diligence while preparing an offer document. The draft offer document submitted to SEBI is put on website for public comments. In case, you have any information about the issuer or its directors or any other aspect of the issue, which in your view is not factually reflected, you may send your complaint to Lead Manager to the issue or to SEBI, Division of Issues and Listing.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lastRenderedPageBreak/>
        <w:t></w:t>
      </w:r>
      <w:r w:rsidRPr="00003476">
        <w:rPr>
          <w:rFonts w:ascii="Arial" w:eastAsia="Times New Roman" w:hAnsi="Arial" w:cs="Arial"/>
          <w:sz w:val="17"/>
          <w:szCs w:val="17"/>
        </w:rPr>
        <w:t xml:space="preserve">  </w:t>
      </w:r>
      <w:r w:rsidRPr="00003476">
        <w:rPr>
          <w:rFonts w:ascii="Arial" w:eastAsia="Times New Roman" w:hAnsi="Arial" w:cs="Arial"/>
          <w:sz w:val="18"/>
          <w:szCs w:val="24"/>
        </w:rPr>
        <w:t>Is</w:t>
      </w:r>
      <w:proofErr w:type="gramEnd"/>
      <w:r w:rsidRPr="00003476">
        <w:rPr>
          <w:rFonts w:ascii="Arial" w:eastAsia="Times New Roman" w:hAnsi="Arial" w:cs="Arial"/>
          <w:sz w:val="18"/>
          <w:szCs w:val="24"/>
        </w:rPr>
        <w:t xml:space="preserve"> it compulsory for me to have a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Account?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As per the requirement, all the public issues of size in excess of Rs.10 </w:t>
      </w:r>
      <w:proofErr w:type="spellStart"/>
      <w:r w:rsidRPr="00003476">
        <w:rPr>
          <w:rFonts w:ascii="Arial" w:eastAsia="Times New Roman" w:hAnsi="Arial" w:cs="Arial"/>
          <w:sz w:val="18"/>
          <w:szCs w:val="24"/>
        </w:rPr>
        <w:t>crore</w:t>
      </w:r>
      <w:proofErr w:type="spellEnd"/>
      <w:r w:rsidRPr="00003476">
        <w:rPr>
          <w:rFonts w:ascii="Arial" w:eastAsia="Times New Roman" w:hAnsi="Arial" w:cs="Arial"/>
          <w:sz w:val="18"/>
          <w:szCs w:val="24"/>
        </w:rPr>
        <w:t xml:space="preserve">, are </w:t>
      </w:r>
      <w:proofErr w:type="gramStart"/>
      <w:r w:rsidRPr="00003476">
        <w:rPr>
          <w:rFonts w:ascii="Arial" w:eastAsia="Times New Roman" w:hAnsi="Arial" w:cs="Arial"/>
          <w:sz w:val="18"/>
          <w:szCs w:val="24"/>
        </w:rPr>
        <w:t>to</w:t>
      </w:r>
      <w:proofErr w:type="gramEnd"/>
      <w:r w:rsidRPr="00003476">
        <w:rPr>
          <w:rFonts w:ascii="Arial" w:eastAsia="Times New Roman" w:hAnsi="Arial" w:cs="Arial"/>
          <w:sz w:val="18"/>
          <w:szCs w:val="24"/>
        </w:rPr>
        <w:t xml:space="preserve"> made compulsorily in the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more. Thus, if an investor chooses to apply for an issue that is being made in a compulsory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mode, he has to have a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account and has the responsibility to put the correct DP ID and Client ID details in the bid/application forms.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r w:rsidRPr="00003476">
        <w:rPr>
          <w:rFonts w:ascii="Arial" w:eastAsia="Times New Roman" w:hAnsi="Arial" w:cs="Arial"/>
          <w:sz w:val="18"/>
          <w:szCs w:val="24"/>
        </w:rPr>
        <w:t xml:space="preserve">What is the procedure for getting a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account?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FAQs relating to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have been covered in the Investor Education section of the SEBI website in a separate head. They are available on the http://investor.sebi.gov.in/faq/dematfaq.html.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are the dos and don’ts for bidding / applying in the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investors are generally advised to study all the material facts pertaining to the issue including the risk factors before considering any investment. They are strongly warned against any ‘tips’ or relying on news obtained through unofficial means.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How</w:t>
      </w:r>
      <w:proofErr w:type="gramEnd"/>
      <w:r w:rsidRPr="00003476">
        <w:rPr>
          <w:rFonts w:ascii="Arial" w:eastAsia="Times New Roman" w:hAnsi="Arial" w:cs="Arial"/>
          <w:sz w:val="18"/>
          <w:szCs w:val="24"/>
        </w:rPr>
        <w:t xml:space="preserve"> many days is the issue open?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As per Clause 8.8.1, Subscription list for public issues shall be kept open for at least 3 working days and not more than 10 working days. In case of Book built issues, the minimum and maximum period for which bidding will be open is 3–7 working days extendable by 3 days in case of a revision in the price band. The public issue made by an infrastructure company, satisfying the requirements in Clause 2.4.1 (iii) of Chapter II may be kept open for a maximum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Arial" w:cs="Arial"/>
          <w:sz w:val="18"/>
          <w:szCs w:val="24"/>
        </w:rPr>
        <w:t>period</w:t>
      </w:r>
      <w:proofErr w:type="gramEnd"/>
      <w:r w:rsidRPr="00003476">
        <w:rPr>
          <w:rFonts w:ascii="Arial" w:eastAsia="Times New Roman" w:hAnsi="Arial" w:cs="Arial"/>
          <w:sz w:val="18"/>
          <w:szCs w:val="24"/>
        </w:rPr>
        <w:t xml:space="preserve"> of 21 working days. As per clause 8.8.2., Rights issues shall be kept open for at least 30 days and not more than 60 days.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Can</w:t>
      </w:r>
      <w:proofErr w:type="gramEnd"/>
      <w:r w:rsidRPr="00003476">
        <w:rPr>
          <w:rFonts w:ascii="Arial" w:eastAsia="Times New Roman" w:hAnsi="Arial" w:cs="Arial"/>
          <w:sz w:val="18"/>
          <w:szCs w:val="24"/>
        </w:rPr>
        <w:t xml:space="preserve"> I change/revise my bid?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Yes. The investor can change or revise the quantity or price in the bid using the form for changing/revising the bid that is available along with the application form. However, the entire process of changing of revising the bids shall be completed within the date of closure of the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proof can bidder request from a trading member or a syndicate member for entering bids?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syndicate member returns the counterfoil with the signature, date and stamp of the syndicate member. The investor can retain this as a sufficient proof that the bids have been taken into account.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Can</w:t>
      </w:r>
      <w:proofErr w:type="gramEnd"/>
      <w:r w:rsidRPr="00003476">
        <w:rPr>
          <w:rFonts w:ascii="Arial" w:eastAsia="Times New Roman" w:hAnsi="Arial" w:cs="Arial"/>
          <w:sz w:val="18"/>
          <w:szCs w:val="24"/>
        </w:rPr>
        <w:t xml:space="preserve"> I know the number of shares that would be allotted to me?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In case of fixed price issues, the investor is intimated about the CAN/Refund order within 30 days of the closure of the issue. In case of book built issues, the basis of allotment is finalized by the Book Running lead Managers within 2 weeks from the date of closure of the issue. The registrar then ensures that the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credit or refund as applicable </w:t>
      </w:r>
      <w:r w:rsidRPr="00003476">
        <w:rPr>
          <w:rFonts w:ascii="Arial" w:eastAsia="Times New Roman" w:hAnsi="Arial" w:cs="Arial"/>
          <w:sz w:val="18"/>
          <w:szCs w:val="24"/>
        </w:rPr>
        <w:lastRenderedPageBreak/>
        <w:t xml:space="preserve">is completed within 15 days of the closure of the issue. The listing on the stock exchanges is done within 7 days from the finalization of the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Which</w:t>
      </w:r>
      <w:proofErr w:type="gramEnd"/>
      <w:r w:rsidRPr="00003476">
        <w:rPr>
          <w:rFonts w:ascii="Arial" w:eastAsia="Times New Roman" w:hAnsi="Arial" w:cs="Arial"/>
          <w:sz w:val="18"/>
          <w:szCs w:val="24"/>
        </w:rPr>
        <w:t xml:space="preserve"> are the reliable sources for me to get information about response to issues?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In the case of book-built issues, the exchanges (BSE/NSE) display the data regarding the bids obtained (on a consolidated basis between both these exchanges). The data regarding the bids is also available </w:t>
      </w:r>
      <w:proofErr w:type="spellStart"/>
      <w:r w:rsidRPr="00003476">
        <w:rPr>
          <w:rFonts w:ascii="Arial" w:eastAsia="Times New Roman" w:hAnsi="Arial" w:cs="Arial"/>
          <w:sz w:val="18"/>
          <w:szCs w:val="24"/>
        </w:rPr>
        <w:t>categorywise</w:t>
      </w:r>
      <w:proofErr w:type="spellEnd"/>
      <w:r w:rsidRPr="00003476">
        <w:rPr>
          <w:rFonts w:ascii="Arial" w:eastAsia="Times New Roman" w:hAnsi="Arial" w:cs="Arial"/>
          <w:sz w:val="18"/>
          <w:szCs w:val="24"/>
        </w:rPr>
        <w:t xml:space="preserve">. After the price has been determined on the basis of bidding, the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Arial" w:cs="Arial"/>
          <w:sz w:val="18"/>
          <w:szCs w:val="24"/>
        </w:rPr>
        <w:t>statutory</w:t>
      </w:r>
      <w:proofErr w:type="gramEnd"/>
      <w:r w:rsidRPr="00003476">
        <w:rPr>
          <w:rFonts w:ascii="Arial" w:eastAsia="Times New Roman" w:hAnsi="Arial" w:cs="Arial"/>
          <w:sz w:val="18"/>
          <w:szCs w:val="24"/>
        </w:rPr>
        <w:t xml:space="preserve"> public advertisement containing, inter alia, the price as well as a table showing the number of securities and the amount payable by an investor, based on the price determined, is issued.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How</w:t>
      </w:r>
      <w:proofErr w:type="gramEnd"/>
      <w:r w:rsidRPr="00003476">
        <w:rPr>
          <w:rFonts w:ascii="Arial" w:eastAsia="Times New Roman" w:hAnsi="Arial" w:cs="Arial"/>
          <w:sz w:val="18"/>
          <w:szCs w:val="24"/>
        </w:rPr>
        <w:t xml:space="preserve"> do I know if I am allotted the shares? And by what timeframe will I get a refund if I am not allotted?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investor is entitled to receive a Confirmatory Allotment Note (CAN) in case he has been allotted shares within 15 days from the date of closure of a book Built issue. The registrar has to ensure that the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credit or refund as applicable is completed within 15 days of the closure of the book built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How</w:t>
      </w:r>
      <w:proofErr w:type="gramEnd"/>
      <w:r w:rsidRPr="00003476">
        <w:rPr>
          <w:rFonts w:ascii="Arial" w:eastAsia="Times New Roman" w:hAnsi="Arial" w:cs="Arial"/>
          <w:sz w:val="18"/>
          <w:szCs w:val="24"/>
        </w:rPr>
        <w:t xml:space="preserve"> long will it take after the issue for the shares to get listed?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listing on the stock exchanges is done within 7 days from the finalization of the issue. Ideally, it would be around 3 weeks after the closure of the book built issue. In case of fixed price issue, it would be around 37 days after closure of the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How</w:t>
      </w:r>
      <w:proofErr w:type="gramEnd"/>
      <w:r w:rsidRPr="00003476">
        <w:rPr>
          <w:rFonts w:ascii="Arial" w:eastAsia="Times New Roman" w:hAnsi="Arial" w:cs="Arial"/>
          <w:sz w:val="18"/>
          <w:szCs w:val="24"/>
        </w:rPr>
        <w:t xml:space="preserve"> does one come to know about the issues on offer? And from where can I get copies of the draft offer document?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SEBI issues press releases every week regarding the draft offer documents received and observations issued during the period. The draft offer documents are put up on the website under Reports/Documents section. The final offer documents that are filed with SEBI/ROC are also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Arial" w:cs="Arial"/>
          <w:sz w:val="18"/>
          <w:szCs w:val="24"/>
        </w:rPr>
        <w:t>put</w:t>
      </w:r>
      <w:proofErr w:type="gramEnd"/>
      <w:r w:rsidRPr="00003476">
        <w:rPr>
          <w:rFonts w:ascii="Arial" w:eastAsia="Times New Roman" w:hAnsi="Arial" w:cs="Arial"/>
          <w:sz w:val="18"/>
          <w:szCs w:val="24"/>
        </w:rPr>
        <w:t xml:space="preserve"> up for information under the same section. Copies of the draft offer documents in hard copy form may be obtained from the office of SEBI, </w:t>
      </w:r>
      <w:proofErr w:type="spellStart"/>
      <w:r w:rsidRPr="00003476">
        <w:rPr>
          <w:rFonts w:ascii="Arial" w:eastAsia="Times New Roman" w:hAnsi="Arial" w:cs="Arial"/>
          <w:sz w:val="18"/>
          <w:szCs w:val="24"/>
        </w:rPr>
        <w:t>Mittal</w:t>
      </w:r>
      <w:proofErr w:type="spellEnd"/>
      <w:r w:rsidRPr="00003476">
        <w:rPr>
          <w:rFonts w:ascii="Arial" w:eastAsia="Times New Roman" w:hAnsi="Arial" w:cs="Arial"/>
          <w:sz w:val="18"/>
          <w:szCs w:val="24"/>
        </w:rPr>
        <w:t xml:space="preserve"> Court, ‘A’ wing, Ground Floor, 224, </w:t>
      </w:r>
      <w:proofErr w:type="spellStart"/>
      <w:r w:rsidRPr="00003476">
        <w:rPr>
          <w:rFonts w:ascii="Arial" w:eastAsia="Times New Roman" w:hAnsi="Arial" w:cs="Arial"/>
          <w:sz w:val="18"/>
          <w:szCs w:val="24"/>
        </w:rPr>
        <w:t>Nariman</w:t>
      </w:r>
      <w:proofErr w:type="spellEnd"/>
      <w:r w:rsidRPr="00003476">
        <w:rPr>
          <w:rFonts w:ascii="Arial" w:eastAsia="Times New Roman" w:hAnsi="Arial" w:cs="Arial"/>
          <w:sz w:val="18"/>
          <w:szCs w:val="24"/>
        </w:rPr>
        <w:t xml:space="preserve"> Point, Mumbai – 400021 on a payment of Rs.100 or from SES, LMs etc. The soft copies can be downloaded from the SEBI website under Reports/Documents section. Some LMs also make it available on their web sites for download. The final offer documents that are filed with SEBI/ROC can also be downloaded from the same section of the website.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Who</w:t>
      </w:r>
      <w:proofErr w:type="gramEnd"/>
      <w:r w:rsidRPr="00003476">
        <w:rPr>
          <w:rFonts w:ascii="Arial" w:eastAsia="Times New Roman" w:hAnsi="Arial" w:cs="Arial"/>
          <w:sz w:val="18"/>
          <w:szCs w:val="24"/>
        </w:rPr>
        <w:t xml:space="preserve"> are the intermediaries in an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Merchant Bankers to the issue or Book Running Lead Managers (BRLM), syndicate members, Registrars to the issue, Bankers to the issue, Auditors of the company, Underwriters to the issue, Solicitors, etc. are the intermediaries to an issue. The issuer discloses the addresses, telephone/fax numbers and email addresses of these intermediaries. In addition to this, the issuer also discloses the details of the compliance officer appointed by the company for the purpose of the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lastRenderedPageBreak/>
        <w:t></w:t>
      </w:r>
      <w:r w:rsidRPr="00003476">
        <w:rPr>
          <w:rFonts w:ascii="Arial" w:eastAsia="Times New Roman" w:hAnsi="Arial" w:cs="Arial"/>
          <w:sz w:val="17"/>
          <w:szCs w:val="17"/>
        </w:rPr>
        <w:t xml:space="preserve">  </w:t>
      </w:r>
      <w:r w:rsidRPr="00003476">
        <w:rPr>
          <w:rFonts w:ascii="Arial" w:eastAsia="Times New Roman" w:hAnsi="Arial" w:cs="Arial"/>
          <w:sz w:val="18"/>
          <w:szCs w:val="24"/>
        </w:rPr>
        <w:t>Who</w:t>
      </w:r>
      <w:proofErr w:type="gramEnd"/>
      <w:r w:rsidRPr="00003476">
        <w:rPr>
          <w:rFonts w:ascii="Arial" w:eastAsia="Times New Roman" w:hAnsi="Arial" w:cs="Arial"/>
          <w:sz w:val="18"/>
          <w:szCs w:val="24"/>
        </w:rPr>
        <w:t xml:space="preserve"> is eligible to be a BRLM?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 Merchant banker possessing a valid SEBI registration in accordance with the SEBI (Merchant Bankers) Regulations, 1992 is eligible to act as a Book Running Lead Manager to an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the role of a Lead Manager? (</w:t>
      </w:r>
      <w:proofErr w:type="gramStart"/>
      <w:r w:rsidRPr="00003476">
        <w:rPr>
          <w:rFonts w:ascii="Arial" w:eastAsia="Times New Roman" w:hAnsi="Arial" w:cs="Arial"/>
          <w:sz w:val="18"/>
          <w:szCs w:val="24"/>
        </w:rPr>
        <w:t>pre</w:t>
      </w:r>
      <w:proofErr w:type="gramEnd"/>
      <w:r w:rsidRPr="00003476">
        <w:rPr>
          <w:rFonts w:ascii="Arial" w:eastAsia="Times New Roman" w:hAnsi="Arial" w:cs="Arial"/>
          <w:sz w:val="18"/>
          <w:szCs w:val="24"/>
        </w:rPr>
        <w:t xml:space="preserve"> and post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In the pre-issue process, the Lead Manager (LM) takes up the due diligence of company’s operations/ management/ business plans/ legal etc. Other activities of the LM include drafting and design of Offer documents, Prospectus, statutory advertisements and memorandum containing salient features of the Prospectus. The BRLMs shall ensure compliance with stipulated requirements and completion of prescribed formalities with the Stock Exchanges, </w:t>
      </w:r>
      <w:proofErr w:type="spellStart"/>
      <w:r w:rsidRPr="00003476">
        <w:rPr>
          <w:rFonts w:ascii="Arial" w:eastAsia="Times New Roman" w:hAnsi="Arial" w:cs="Arial"/>
          <w:sz w:val="18"/>
          <w:szCs w:val="24"/>
        </w:rPr>
        <w:t>RoC</w:t>
      </w:r>
      <w:proofErr w:type="spellEnd"/>
      <w:r w:rsidRPr="00003476">
        <w:rPr>
          <w:rFonts w:ascii="Arial" w:eastAsia="Times New Roman" w:hAnsi="Arial" w:cs="Arial"/>
          <w:sz w:val="18"/>
          <w:szCs w:val="24"/>
        </w:rPr>
        <w:t xml:space="preserve"> and SEBI including </w:t>
      </w:r>
      <w:proofErr w:type="spellStart"/>
      <w:r w:rsidRPr="00003476">
        <w:rPr>
          <w:rFonts w:ascii="Arial" w:eastAsia="Times New Roman" w:hAnsi="Arial" w:cs="Arial"/>
          <w:sz w:val="18"/>
          <w:szCs w:val="24"/>
        </w:rPr>
        <w:t>finalisation</w:t>
      </w:r>
      <w:proofErr w:type="spellEnd"/>
      <w:r w:rsidRPr="00003476">
        <w:rPr>
          <w:rFonts w:ascii="Arial" w:eastAsia="Times New Roman" w:hAnsi="Arial" w:cs="Arial"/>
          <w:sz w:val="18"/>
          <w:szCs w:val="24"/>
        </w:rPr>
        <w:t xml:space="preserve"> of Prospectus and </w:t>
      </w:r>
      <w:proofErr w:type="spellStart"/>
      <w:r w:rsidRPr="00003476">
        <w:rPr>
          <w:rFonts w:ascii="Arial" w:eastAsia="Times New Roman" w:hAnsi="Arial" w:cs="Arial"/>
          <w:sz w:val="18"/>
          <w:szCs w:val="24"/>
        </w:rPr>
        <w:t>RoC</w:t>
      </w:r>
      <w:proofErr w:type="spellEnd"/>
      <w:r w:rsidRPr="00003476">
        <w:rPr>
          <w:rFonts w:ascii="Arial" w:eastAsia="Times New Roman" w:hAnsi="Arial" w:cs="Arial"/>
          <w:sz w:val="18"/>
          <w:szCs w:val="24"/>
        </w:rPr>
        <w:t xml:space="preserve"> filing. Appointment of other intermediaries viz., Registrar(s), Printers, Advertising Agency and Bankers to the Offer is also included in the pre-issue processes.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LM also draws up the various marketing strategies for the issue. The post issue activities including management of escrow accounts, coordinate non-institutional allocation, intimation of allocation and dispatch of refunds to bidders etc are performed by the LM. The post Offer activities for the Offer will involve essential follow-up steps, which include the finalization of trading and dealing of instruments and dispatch of certificates and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of delivery of shares, with the various agencies connected with the work such as the Registrar(s) to the Offer and Bankers to the Offer and the bank handling refund business. The merchant banker shall be responsible for ensuring that these agencies fulfill their functions and enable it to discharge this responsibility through suitable agreements with the Company.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the role of a registrar?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Registrar finalizes the list of eligible </w:t>
      </w:r>
      <w:proofErr w:type="spellStart"/>
      <w:r w:rsidRPr="00003476">
        <w:rPr>
          <w:rFonts w:ascii="Arial" w:eastAsia="Times New Roman" w:hAnsi="Arial" w:cs="Arial"/>
          <w:sz w:val="18"/>
          <w:szCs w:val="24"/>
        </w:rPr>
        <w:t>allottees</w:t>
      </w:r>
      <w:proofErr w:type="spellEnd"/>
      <w:r w:rsidRPr="00003476">
        <w:rPr>
          <w:rFonts w:ascii="Arial" w:eastAsia="Times New Roman" w:hAnsi="Arial" w:cs="Arial"/>
          <w:sz w:val="18"/>
          <w:szCs w:val="24"/>
        </w:rPr>
        <w:t xml:space="preserve"> after deleting the invalid applications and ensures that the corporate action for crediting of shares to the </w:t>
      </w:r>
      <w:proofErr w:type="spellStart"/>
      <w:r w:rsidRPr="00003476">
        <w:rPr>
          <w:rFonts w:ascii="Arial" w:eastAsia="Times New Roman" w:hAnsi="Arial" w:cs="Arial"/>
          <w:sz w:val="18"/>
          <w:szCs w:val="24"/>
        </w:rPr>
        <w:t>demat</w:t>
      </w:r>
      <w:proofErr w:type="spellEnd"/>
      <w:r w:rsidRPr="00003476">
        <w:rPr>
          <w:rFonts w:ascii="Arial" w:eastAsia="Times New Roman" w:hAnsi="Arial" w:cs="Arial"/>
          <w:sz w:val="18"/>
          <w:szCs w:val="24"/>
        </w:rPr>
        <w:t xml:space="preserve"> accounts of the applicants is done and the dispatch of refund orders to those applicable are sent. The Lead manager coordinates with the Registrar to ensure follow up so that that the flow of applications from collecting bank branches, processing of the applications and other matters till the basis of allotment is finalized, dispatch security certificates and refund orders completed and securities listed.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the role of bankers to the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Bankers to the issue, as the name suggests, carries out all the activities of ensuring that the funds are collected and transferred to the Escrow accounts. The Lead Merchant Banker shall ensure that Bankers to the Issue are appointed in all the mandatory collection centers as specified in DIP Guidelines. The LM also ensures follow-up with bankers to the issue to get quick estimates of collection and advising the issuer about closure of the issue, based on the correct figures.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is the recourse available to the investor in case of issue complaints?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Most of the issue complaints pertain to non-receipt of refund or allotment, or delay in receipt of refund or allotment and payment of interest thereon. These complaints shall be made to the post issue Lead Manager, who in turn will take up the matter with registrar to redress the complaints. In case the investor does not receive any reply within a reasonable time, investor may complain to SEBI, Office of investors Assistance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lastRenderedPageBreak/>
        <w:t></w:t>
      </w:r>
      <w:r w:rsidRPr="00003476">
        <w:rPr>
          <w:rFonts w:ascii="Arial" w:eastAsia="Times New Roman" w:hAnsi="Arial" w:cs="Arial"/>
          <w:sz w:val="17"/>
          <w:szCs w:val="17"/>
        </w:rPr>
        <w:t xml:space="preserve">  </w:t>
      </w:r>
      <w:r w:rsidRPr="00003476">
        <w:rPr>
          <w:rFonts w:ascii="Arial" w:eastAsia="Times New Roman" w:hAnsi="Arial" w:cs="Arial"/>
          <w:sz w:val="18"/>
          <w:szCs w:val="24"/>
        </w:rPr>
        <w:t>Where</w:t>
      </w:r>
      <w:proofErr w:type="gramEnd"/>
      <w:r w:rsidRPr="00003476">
        <w:rPr>
          <w:rFonts w:ascii="Arial" w:eastAsia="Times New Roman" w:hAnsi="Arial" w:cs="Arial"/>
          <w:sz w:val="18"/>
          <w:szCs w:val="24"/>
        </w:rPr>
        <w:t xml:space="preserve"> do I get data on primary issues? (</w:t>
      </w:r>
      <w:proofErr w:type="gramStart"/>
      <w:r w:rsidRPr="00003476">
        <w:rPr>
          <w:rFonts w:ascii="Arial" w:eastAsia="Times New Roman" w:hAnsi="Arial" w:cs="Arial"/>
          <w:sz w:val="18"/>
          <w:szCs w:val="24"/>
        </w:rPr>
        <w:t>issuer</w:t>
      </w:r>
      <w:proofErr w:type="gramEnd"/>
      <w:r w:rsidRPr="00003476">
        <w:rPr>
          <w:rFonts w:ascii="Arial" w:eastAsia="Times New Roman" w:hAnsi="Arial" w:cs="Arial"/>
          <w:sz w:val="18"/>
          <w:szCs w:val="24"/>
        </w:rPr>
        <w:t xml:space="preserve">, total issues, issue size, the intermediaries, etc., during a given period)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SEBI brings out a monthly bulletin that is available off the shelf at bookstores. A digital version of the same is available on the SEBI website under the “News/Publications” section. The Bulletin contains all the relevant historical figures of intermediary issue and intermediary particulars during the given period placed against historical figures.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sz w:val="18"/>
          <w:szCs w:val="24"/>
        </w:rPr>
        <w:t>What</w:t>
      </w:r>
      <w:proofErr w:type="gramEnd"/>
      <w:r w:rsidRPr="00003476">
        <w:rPr>
          <w:rFonts w:ascii="Arial" w:eastAsia="Times New Roman" w:hAnsi="Arial" w:cs="Arial"/>
          <w:sz w:val="18"/>
          <w:szCs w:val="24"/>
        </w:rPr>
        <w:t xml:space="preserve"> are the relevant regulations and where do I find them?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SEBI Manual is SEBI authorized publication that is a comprehensive databank of all relevant Acts, Rules, Regulations and Guidelines that are related to the functioning of the Board. The details pertaining to the Acts, Rules, Regulations, Guidelines and Circulars are placed on the SEBI website under the “Legal Framework” section. The periodic updates are uploaded onto the SEBI website regularly.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are Risk Factors?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Here, the issuer’s management gives its view on the Internal and external risks faced by the company. Here, the company also makes a note on the forward-looking statements. This information is disclosed in the initial pages of the document and it is also clearly disclosed in the abridged prospectus. It is generally advised that the investors should go through all the risk factors of the company before making an investment decision.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an Introduction?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introduction covers a summary of the industry and business of the issuer company, the offering details in brief, summary of consolidated financial, operating and other data. General Information about the company, the merchant bankers and their responsibilities, the details of brokers/syndicate members to the Issue, credit rating (in case of debt issue), debenture trustees (in case of debt issue), monitoring agency, book building process in brief and details of underwriting Agreements are given here. Important details of capital structure, objects of the offering, funds requirement, funding plan, schedule of implementation, funds deployed, sources of financing of funds already deployed, sources of financing for the balance fund requirement, interim use of funds, basic terms of issue, basis for issue price, tax benefits are covered.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About us?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This presents a review of on the details of the business of the company, business strategy, competitive strengths, insurance, industry-regulation (if applicable), history and corporate structure, main objects, subsidiary details, management and board of directors, compensation, corporate governance, related party transactions, exchange rates, currency of presentation dividend policy and management's discussion and analysis of financial condition and results of operations are given.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 Financial Statements?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Financial statement, changes in accounting policies in the last three years and differences between the accounting policies and the Indian Accounting Policies (if the Company has presented its Financial Statements also as per Either US GAAP/IAS are presented.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lastRenderedPageBreak/>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are Legal and other information?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Outstanding litigations and material developments, litigations involving the company and its subsidiaries, promoters and group companies are disclosed. Also material developments since the last balance sheet date, government approvals/licensing arrangements, investment approvals (FIPB/RBI etc.), all government and other approvals, technical approvals, indebtedness, etc. are disclosed.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 Green-shoe Option?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Green Shoe option means an option of allocating shares in excess of the shares included in the public issue and operating a post-listing price stabilizing mechanism for a period not exceeding 30 days in accordance with the provisions of Chapter VIIIA of DIP Guidelines, which is granted to a company to be exercised through a Stabilizing Agent. This is an arrangement wherein the issue would be over allotted to the extent of a maximum of 15% of the issue size. From an investor’s perspective, an issue with green shoe option provides more probability of getting shares and also that post listing price may show relatively more stability as compared to market.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an e-IPO?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 company proposing to issue capital to public through the on-line system of the stock exchange for offer of securities can do so if it complies with the requirements under Chapter 11A of DIP Guidelines. The appointment of various intermediaries by the issuer includes a prerequisite that such members/registrars have the required facilities to accommodate such an online issue process.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Safety Net?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Any safety net scheme or buy-back arrangements of the shares proposed in any public issue shall be finalized by an issuer company with the lead merchant banker in advance and disclosed in the prospectus. Such buy back or safety net arrangements shall be made available only to all original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Arial" w:cs="Arial"/>
          <w:sz w:val="18"/>
          <w:szCs w:val="24"/>
        </w:rPr>
        <w:t>resident</w:t>
      </w:r>
      <w:proofErr w:type="gramEnd"/>
      <w:r w:rsidRPr="00003476">
        <w:rPr>
          <w:rFonts w:ascii="Arial" w:eastAsia="Times New Roman" w:hAnsi="Arial" w:cs="Arial"/>
          <w:sz w:val="18"/>
          <w:szCs w:val="24"/>
        </w:rPr>
        <w:t xml:space="preserve"> individual </w:t>
      </w:r>
      <w:proofErr w:type="spellStart"/>
      <w:r w:rsidRPr="00003476">
        <w:rPr>
          <w:rFonts w:ascii="Arial" w:eastAsia="Times New Roman" w:hAnsi="Arial" w:cs="Arial"/>
          <w:sz w:val="18"/>
          <w:szCs w:val="24"/>
        </w:rPr>
        <w:t>allottees</w:t>
      </w:r>
      <w:proofErr w:type="spellEnd"/>
      <w:r w:rsidRPr="00003476">
        <w:rPr>
          <w:rFonts w:ascii="Arial" w:eastAsia="Times New Roman" w:hAnsi="Arial" w:cs="Arial"/>
          <w:sz w:val="18"/>
          <w:szCs w:val="24"/>
        </w:rPr>
        <w:t xml:space="preserve"> limited up to a maximum of 1000 shares per </w:t>
      </w:r>
      <w:proofErr w:type="spellStart"/>
      <w:r w:rsidRPr="00003476">
        <w:rPr>
          <w:rFonts w:ascii="Arial" w:eastAsia="Times New Roman" w:hAnsi="Arial" w:cs="Arial"/>
          <w:sz w:val="18"/>
          <w:szCs w:val="24"/>
        </w:rPr>
        <w:t>allottee</w:t>
      </w:r>
      <w:proofErr w:type="spellEnd"/>
      <w:r w:rsidRPr="00003476">
        <w:rPr>
          <w:rFonts w:ascii="Arial" w:eastAsia="Times New Roman" w:hAnsi="Arial" w:cs="Arial"/>
          <w:sz w:val="18"/>
          <w:szCs w:val="24"/>
        </w:rPr>
        <w:t xml:space="preserve"> and the offer is kept open for a period of 6 months from the last date of dispatch of securities. The details regarding Safety Net are covered under Clause 8.18 of DIP Guidelines.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Who</w:t>
      </w:r>
      <w:proofErr w:type="gramEnd"/>
      <w:r w:rsidRPr="00003476">
        <w:rPr>
          <w:rFonts w:ascii="Arial" w:eastAsia="Times New Roman" w:hAnsi="Arial" w:cs="Arial"/>
          <w:b/>
          <w:bCs/>
          <w:sz w:val="18"/>
          <w:szCs w:val="24"/>
        </w:rPr>
        <w:t xml:space="preserve"> is a Syndicate Member?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The Book Runner(s) may appoint those intermediaries who are registered with the Board and who are permitted to carry on activity as an ‘Underwriter’ as syndicate members. The syndicate members are mainly appointed to collect and entire the bid forms in a book built issue.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Open book/closed book?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Presently, in issues made through book building, Issuers and merchant bankers are required to ensure online display of the demand and bids during the bidding period. This is the Open book system of book building. Here, the investor can be guided by the movements of the bids during the period in which the bid is kept open. Under closed book </w:t>
      </w:r>
      <w:r w:rsidRPr="00003476">
        <w:rPr>
          <w:rFonts w:ascii="Arial" w:eastAsia="Times New Roman" w:hAnsi="Arial" w:cs="Arial"/>
          <w:sz w:val="18"/>
          <w:szCs w:val="24"/>
        </w:rPr>
        <w:lastRenderedPageBreak/>
        <w:t xml:space="preserve">building, the book is not made public and the bidders will have to take a call on the price at which they intend to make a bid without having any information on the bids submitted by other bidders.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Hard underwriting?</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Hard underwriting is when an underwriter agrees to buy his commitment at its earliest stage. The underwriter guarantees a fixed amount to the issuer from the issue. Thus, in case the shares are not subscribed by investors, the issue is devolved on underwriters and they have to bring in the amount by subscribing to the shares. The underwriter bears a risk which is much higher in soft underwriting.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Soft underwriting?</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Soft underwriting is when an underwriter agrees to buy the shares at later stages as soon as the pricing process is complete. He then, immediately places those shares with institutional players. The risk faced by the underwriter as such is reduced to a small window of time. Also, the soft underwriter has the option to invoke a force Majeure (acts of God) clause in case there are certain factors beyond the control that can affect the underwriter’s ability to place the shares with the buyers.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a Cut Off Price?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In Book building issue, the issuer is required to indicate either the price band or a floor price in the red herring prospectus. The actual discovered issue price can be any price in the price band or any price above the floor price. This issue price is called “Cut off price”. This is decided by the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Arial" w:cs="Arial"/>
          <w:sz w:val="18"/>
          <w:szCs w:val="24"/>
        </w:rPr>
        <w:t>issuer</w:t>
      </w:r>
      <w:proofErr w:type="gramEnd"/>
      <w:r w:rsidRPr="00003476">
        <w:rPr>
          <w:rFonts w:ascii="Arial" w:eastAsia="Times New Roman" w:hAnsi="Arial" w:cs="Arial"/>
          <w:sz w:val="18"/>
          <w:szCs w:val="24"/>
        </w:rPr>
        <w:t xml:space="preserve"> and LM after considering the book and investors’ appetite for the stock. SEBI (DIP) guidelines permit only retail individual investors to have an option of applying at cut off price.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Differential pricing?</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Pricing of an issue where one category is offered shares at a price different from the other category is called differential pricing. In DIP Guidelines differential pricing is allowed only if the </w:t>
      </w:r>
      <w:proofErr w:type="gramStart"/>
      <w:r w:rsidRPr="00003476">
        <w:rPr>
          <w:rFonts w:ascii="Arial" w:eastAsia="Times New Roman" w:hAnsi="Arial" w:cs="Arial"/>
          <w:sz w:val="18"/>
          <w:szCs w:val="24"/>
        </w:rPr>
        <w:t>securities to applicants in the firm allotment category is</w:t>
      </w:r>
      <w:proofErr w:type="gramEnd"/>
      <w:r w:rsidRPr="00003476">
        <w:rPr>
          <w:rFonts w:ascii="Arial" w:eastAsia="Times New Roman" w:hAnsi="Arial" w:cs="Arial"/>
          <w:sz w:val="18"/>
          <w:szCs w:val="24"/>
        </w:rPr>
        <w:t xml:space="preserve"> at a price higher than the price at which the net offer to the public is made. The net offer to the public means the offer made to the Indian public and does not include firm allotments or reservations or promoters’ contributions.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Symbol" w:cs="Arial"/>
          <w:sz w:val="17"/>
          <w:szCs w:val="17"/>
        </w:rPr>
        <w:t></w:t>
      </w:r>
      <w:r w:rsidRPr="00003476">
        <w:rPr>
          <w:rFonts w:ascii="Arial" w:eastAsia="Times New Roman" w:hAnsi="Arial" w:cs="Arial"/>
          <w:sz w:val="17"/>
          <w:szCs w:val="17"/>
        </w:rPr>
        <w:t xml:space="preserve">  </w:t>
      </w:r>
      <w:r w:rsidRPr="00003476">
        <w:rPr>
          <w:rFonts w:ascii="Arial" w:eastAsia="Times New Roman" w:hAnsi="Arial" w:cs="Arial"/>
          <w:b/>
          <w:bCs/>
          <w:sz w:val="18"/>
          <w:szCs w:val="24"/>
        </w:rPr>
        <w:t>What</w:t>
      </w:r>
      <w:proofErr w:type="gramEnd"/>
      <w:r w:rsidRPr="00003476">
        <w:rPr>
          <w:rFonts w:ascii="Arial" w:eastAsia="Times New Roman" w:hAnsi="Arial" w:cs="Arial"/>
          <w:b/>
          <w:bCs/>
          <w:sz w:val="18"/>
          <w:szCs w:val="24"/>
        </w:rPr>
        <w:t xml:space="preserve"> is Basis of Allocation/Basis of Allotment?</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After the closure of the issue, the bids received are aggregated under different categories i.e., firm allotment, Qualified Institutional Buyers (QIBs), Non-Institutional Buyers (NIBs), Retail, etc. The oversubscription ratios are then calculated for each of the categories as against the shares reserved for each of the categories in the offer document. Within each of these categories, the bids are then segregated into different buckets based on the number of shares applied for. The oversubscription ratio is then applied to the number of shares applied for and the number of shares to be allotted for applicants in each of the buckets is determined. Then, the number of successful </w:t>
      </w:r>
      <w:proofErr w:type="spellStart"/>
      <w:r w:rsidRPr="00003476">
        <w:rPr>
          <w:rFonts w:ascii="Arial" w:eastAsia="Times New Roman" w:hAnsi="Arial" w:cs="Arial"/>
          <w:sz w:val="18"/>
          <w:szCs w:val="24"/>
        </w:rPr>
        <w:t>allottees</w:t>
      </w:r>
      <w:proofErr w:type="spellEnd"/>
      <w:r w:rsidRPr="00003476">
        <w:rPr>
          <w:rFonts w:ascii="Arial" w:eastAsia="Times New Roman" w:hAnsi="Arial" w:cs="Arial"/>
          <w:sz w:val="18"/>
          <w:szCs w:val="24"/>
        </w:rPr>
        <w:t xml:space="preserve"> is determined. This process is followed in case of proportionate allotment. In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Arial" w:cs="Arial"/>
          <w:sz w:val="18"/>
          <w:szCs w:val="24"/>
        </w:rPr>
        <w:t>case</w:t>
      </w:r>
      <w:proofErr w:type="gramEnd"/>
      <w:r w:rsidRPr="00003476">
        <w:rPr>
          <w:rFonts w:ascii="Arial" w:eastAsia="Times New Roman" w:hAnsi="Arial" w:cs="Arial"/>
          <w:sz w:val="18"/>
          <w:szCs w:val="24"/>
        </w:rPr>
        <w:t xml:space="preserve"> of allotment for QIBs, it is subject to the discretion of the post issue lead manager.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Arial" w:eastAsia="Times New Roman" w:hAnsi="Arial" w:cs="Arial"/>
          <w:sz w:val="17"/>
          <w:szCs w:val="17"/>
        </w:rPr>
      </w:pPr>
      <w:proofErr w:type="gramStart"/>
      <w:r w:rsidRPr="00003476">
        <w:rPr>
          <w:rFonts w:ascii="Arial" w:eastAsia="Times New Roman" w:hAnsi="Symbol" w:cs="Arial"/>
          <w:sz w:val="17"/>
          <w:szCs w:val="17"/>
        </w:rPr>
        <w:lastRenderedPageBreak/>
        <w:t></w:t>
      </w:r>
      <w:r w:rsidRPr="00003476">
        <w:rPr>
          <w:rFonts w:ascii="Arial" w:eastAsia="Times New Roman" w:hAnsi="Arial" w:cs="Arial"/>
          <w:sz w:val="17"/>
          <w:szCs w:val="17"/>
        </w:rPr>
        <w:t xml:space="preserve">  </w:t>
      </w:r>
      <w:r w:rsidRPr="00003476">
        <w:rPr>
          <w:rFonts w:ascii="Arial" w:eastAsia="Times New Roman" w:hAnsi="Arial" w:cs="Arial"/>
          <w:sz w:val="18"/>
          <w:szCs w:val="24"/>
        </w:rPr>
        <w:t>Who</w:t>
      </w:r>
      <w:proofErr w:type="gramEnd"/>
      <w:r w:rsidRPr="00003476">
        <w:rPr>
          <w:rFonts w:ascii="Arial" w:eastAsia="Times New Roman" w:hAnsi="Arial" w:cs="Arial"/>
          <w:sz w:val="18"/>
          <w:szCs w:val="24"/>
        </w:rPr>
        <w:t xml:space="preserve"> is Qualified Institutional Buyer (QIBs)?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Qualified Institutional Buyers are those institutional investors who are generally perceived to possess expertise and the financial muscle to evaluate and invest in the capital markets. In terms of clause 2.2.2B (v) of DIP Guidelines, a ‘Qualified Institutional Buyer’ shall mean: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a. Public financial institution as defined in section 4A of </w:t>
      </w:r>
      <w:proofErr w:type="spellStart"/>
      <w:r w:rsidRPr="00003476">
        <w:rPr>
          <w:rFonts w:ascii="Arial" w:eastAsia="Times New Roman" w:hAnsi="Arial" w:cs="Arial"/>
          <w:sz w:val="18"/>
          <w:szCs w:val="24"/>
        </w:rPr>
        <w:t>theCompanies</w:t>
      </w:r>
      <w:proofErr w:type="spellEnd"/>
      <w:r w:rsidRPr="00003476">
        <w:rPr>
          <w:rFonts w:ascii="Arial" w:eastAsia="Times New Roman" w:hAnsi="Arial" w:cs="Arial"/>
          <w:sz w:val="18"/>
          <w:szCs w:val="24"/>
        </w:rPr>
        <w:t xml:space="preserve"> Act, 1956;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b. Scheduled commercial banks;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c. Mutual funds;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d. Foreign institutional investor registered with SEBI;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e. Multilateral and bilateral development financial institutions;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f. Venture capital funds registered with SEBI.</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g. Foreign Venture capital investors registered with SEBI.</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h. State Industrial Development Corporations.</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003476">
        <w:rPr>
          <w:rFonts w:ascii="Arial" w:eastAsia="Times New Roman" w:hAnsi="Arial" w:cs="Arial"/>
          <w:sz w:val="18"/>
          <w:szCs w:val="24"/>
        </w:rPr>
        <w:t>i</w:t>
      </w:r>
      <w:proofErr w:type="spellEnd"/>
      <w:r w:rsidRPr="00003476">
        <w:rPr>
          <w:rFonts w:ascii="Arial" w:eastAsia="Times New Roman" w:hAnsi="Arial" w:cs="Arial"/>
          <w:sz w:val="18"/>
          <w:szCs w:val="24"/>
        </w:rPr>
        <w:t>. Insurance</w:t>
      </w:r>
      <w:proofErr w:type="gramEnd"/>
      <w:r w:rsidRPr="00003476">
        <w:rPr>
          <w:rFonts w:ascii="Arial" w:eastAsia="Times New Roman" w:hAnsi="Arial" w:cs="Arial"/>
          <w:sz w:val="18"/>
          <w:szCs w:val="24"/>
        </w:rPr>
        <w:t xml:space="preserve"> Companies registered with the Insurance </w:t>
      </w:r>
      <w:proofErr w:type="spellStart"/>
      <w:r w:rsidRPr="00003476">
        <w:rPr>
          <w:rFonts w:ascii="Arial" w:eastAsia="Times New Roman" w:hAnsi="Arial" w:cs="Arial"/>
          <w:sz w:val="18"/>
          <w:szCs w:val="24"/>
        </w:rPr>
        <w:t>Regulatoryand</w:t>
      </w:r>
      <w:proofErr w:type="spellEnd"/>
      <w:r w:rsidRPr="00003476">
        <w:rPr>
          <w:rFonts w:ascii="Arial" w:eastAsia="Times New Roman" w:hAnsi="Arial" w:cs="Arial"/>
          <w:sz w:val="18"/>
          <w:szCs w:val="24"/>
        </w:rPr>
        <w:t xml:space="preserve"> Development Authority (IRDA).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xml:space="preserve">j. Provident Funds with minimum corpus of Rs.25 </w:t>
      </w:r>
      <w:proofErr w:type="spellStart"/>
      <w:r w:rsidRPr="00003476">
        <w:rPr>
          <w:rFonts w:ascii="Arial" w:eastAsia="Times New Roman" w:hAnsi="Arial" w:cs="Arial"/>
          <w:sz w:val="18"/>
          <w:szCs w:val="24"/>
        </w:rPr>
        <w:t>crores</w:t>
      </w:r>
      <w:proofErr w:type="spellEnd"/>
      <w:r w:rsidRPr="00003476">
        <w:rPr>
          <w:rFonts w:ascii="Arial" w:eastAsia="Times New Roman" w:hAnsi="Arial" w:cs="Arial"/>
          <w:sz w:val="18"/>
          <w:szCs w:val="24"/>
        </w:rPr>
        <w:t xml:space="preserv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proofErr w:type="gramStart"/>
      <w:r w:rsidRPr="00003476">
        <w:rPr>
          <w:rFonts w:ascii="Arial" w:eastAsia="Times New Roman" w:hAnsi="Arial" w:cs="Arial"/>
          <w:sz w:val="18"/>
          <w:szCs w:val="24"/>
        </w:rPr>
        <w:t>k. Pension</w:t>
      </w:r>
      <w:proofErr w:type="gramEnd"/>
      <w:r w:rsidRPr="00003476">
        <w:rPr>
          <w:rFonts w:ascii="Arial" w:eastAsia="Times New Roman" w:hAnsi="Arial" w:cs="Arial"/>
          <w:sz w:val="18"/>
          <w:szCs w:val="24"/>
        </w:rPr>
        <w:t xml:space="preserve"> Funds with minimum corpus of Rs. 25 </w:t>
      </w:r>
      <w:proofErr w:type="spellStart"/>
      <w:r w:rsidRPr="00003476">
        <w:rPr>
          <w:rFonts w:ascii="Arial" w:eastAsia="Times New Roman" w:hAnsi="Arial" w:cs="Arial"/>
          <w:sz w:val="18"/>
          <w:szCs w:val="24"/>
        </w:rPr>
        <w:t>crores</w:t>
      </w:r>
      <w:proofErr w:type="spellEnd"/>
      <w:r w:rsidRPr="00003476">
        <w:rPr>
          <w:rFonts w:ascii="Arial" w:eastAsia="Times New Roman" w:hAnsi="Arial" w:cs="Arial"/>
          <w:sz w:val="18"/>
          <w:szCs w:val="24"/>
        </w:rPr>
        <w:t xml:space="preserve">)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 </w:t>
      </w:r>
    </w:p>
    <w:p w:rsidR="00003476" w:rsidRPr="00003476" w:rsidRDefault="00003476" w:rsidP="00003476">
      <w:pPr>
        <w:spacing w:before="100" w:beforeAutospacing="1" w:after="100" w:afterAutospacing="1" w:line="240" w:lineRule="auto"/>
        <w:rPr>
          <w:rFonts w:ascii="Times New Roman" w:eastAsia="Times New Roman" w:hAnsi="Times New Roman" w:cs="Times New Roman"/>
          <w:sz w:val="24"/>
          <w:szCs w:val="24"/>
        </w:rPr>
      </w:pPr>
      <w:r w:rsidRPr="00003476">
        <w:rPr>
          <w:rFonts w:ascii="Arial" w:eastAsia="Times New Roman" w:hAnsi="Arial" w:cs="Arial"/>
          <w:sz w:val="18"/>
          <w:szCs w:val="24"/>
        </w:rPr>
        <w:t>These entities are not required to be registered with SEBI as QIBs. Any entities falling under the categories specified above are considered as QIBs for the purpose of participating in primary issuance process.</w:t>
      </w:r>
    </w:p>
    <w:p w:rsidR="00003476" w:rsidRPr="00EF183F" w:rsidRDefault="00003476" w:rsidP="00003476">
      <w:pPr>
        <w:pStyle w:val="Heading1"/>
        <w:rPr>
          <w:rFonts w:ascii="Arial" w:eastAsia="Times New Roman" w:hAnsi="Arial" w:cs="Arial"/>
          <w:color w:val="000000"/>
          <w:sz w:val="18"/>
          <w:szCs w:val="18"/>
        </w:rPr>
      </w:pPr>
    </w:p>
    <w:p w:rsidR="00EF183F" w:rsidRDefault="00EF183F"/>
    <w:sectPr w:rsidR="00EF183F" w:rsidSect="00EF183F">
      <w:pgSz w:w="12240" w:h="15840"/>
      <w:pgMar w:top="90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F7DA8"/>
    <w:multiLevelType w:val="multilevel"/>
    <w:tmpl w:val="C4E2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54D0A"/>
    <w:multiLevelType w:val="multilevel"/>
    <w:tmpl w:val="91561A9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03242"/>
    <w:multiLevelType w:val="multilevel"/>
    <w:tmpl w:val="8D64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245C87"/>
    <w:multiLevelType w:val="multilevel"/>
    <w:tmpl w:val="BCD8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AA5EF3"/>
    <w:multiLevelType w:val="multilevel"/>
    <w:tmpl w:val="D1845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CB133E"/>
    <w:multiLevelType w:val="multilevel"/>
    <w:tmpl w:val="D138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2774E4"/>
    <w:multiLevelType w:val="multilevel"/>
    <w:tmpl w:val="396AEB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9A4158"/>
    <w:multiLevelType w:val="multilevel"/>
    <w:tmpl w:val="2B62AF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6D7812"/>
    <w:multiLevelType w:val="multilevel"/>
    <w:tmpl w:val="45D2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8D4462"/>
    <w:multiLevelType w:val="multilevel"/>
    <w:tmpl w:val="4072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056E2E"/>
    <w:multiLevelType w:val="multilevel"/>
    <w:tmpl w:val="4802D97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DC2B4A"/>
    <w:multiLevelType w:val="multilevel"/>
    <w:tmpl w:val="EC749C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5F729A"/>
    <w:multiLevelType w:val="multilevel"/>
    <w:tmpl w:val="882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F95269"/>
    <w:multiLevelType w:val="multilevel"/>
    <w:tmpl w:val="F87C7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587FBD"/>
    <w:multiLevelType w:val="multilevel"/>
    <w:tmpl w:val="AA0E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1"/>
  </w:num>
  <w:num w:numId="4">
    <w:abstractNumId w:val="3"/>
  </w:num>
  <w:num w:numId="5">
    <w:abstractNumId w:val="0"/>
  </w:num>
  <w:num w:numId="6">
    <w:abstractNumId w:val="5"/>
  </w:num>
  <w:num w:numId="7">
    <w:abstractNumId w:val="14"/>
  </w:num>
  <w:num w:numId="8">
    <w:abstractNumId w:val="9"/>
  </w:num>
  <w:num w:numId="9">
    <w:abstractNumId w:val="8"/>
  </w:num>
  <w:num w:numId="10">
    <w:abstractNumId w:val="7"/>
  </w:num>
  <w:num w:numId="11">
    <w:abstractNumId w:val="7"/>
    <w:lvlOverride w:ilvl="1">
      <w:lvl w:ilvl="1">
        <w:numFmt w:val="upperLetter"/>
        <w:lvlText w:val="%2."/>
        <w:lvlJc w:val="left"/>
      </w:lvl>
    </w:lvlOverride>
  </w:num>
  <w:num w:numId="12">
    <w:abstractNumId w:val="10"/>
  </w:num>
  <w:num w:numId="13">
    <w:abstractNumId w:val="6"/>
  </w:num>
  <w:num w:numId="14">
    <w:abstractNumId w:val="4"/>
  </w:num>
  <w:num w:numId="15">
    <w:abstractNumId w:val="2"/>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183F"/>
    <w:rsid w:val="00003476"/>
    <w:rsid w:val="00DB57BF"/>
    <w:rsid w:val="00EB713A"/>
    <w:rsid w:val="00EF18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13A"/>
  </w:style>
  <w:style w:type="paragraph" w:styleId="Heading1">
    <w:name w:val="heading 1"/>
    <w:basedOn w:val="Normal"/>
    <w:next w:val="Normal"/>
    <w:link w:val="Heading1Char"/>
    <w:uiPriority w:val="9"/>
    <w:qFormat/>
    <w:rsid w:val="000034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183F"/>
    <w:rPr>
      <w:color w:val="0000FF"/>
      <w:u w:val="single"/>
    </w:rPr>
  </w:style>
  <w:style w:type="paragraph" w:styleId="BalloonText">
    <w:name w:val="Balloon Text"/>
    <w:basedOn w:val="Normal"/>
    <w:link w:val="BalloonTextChar"/>
    <w:uiPriority w:val="99"/>
    <w:semiHidden/>
    <w:unhideWhenUsed/>
    <w:rsid w:val="00EF1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83F"/>
    <w:rPr>
      <w:rFonts w:ascii="Tahoma" w:hAnsi="Tahoma" w:cs="Tahoma"/>
      <w:sz w:val="16"/>
      <w:szCs w:val="16"/>
    </w:rPr>
  </w:style>
  <w:style w:type="character" w:customStyle="1" w:styleId="Heading1Char">
    <w:name w:val="Heading 1 Char"/>
    <w:basedOn w:val="DefaultParagraphFont"/>
    <w:link w:val="Heading1"/>
    <w:uiPriority w:val="9"/>
    <w:rsid w:val="00003476"/>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semiHidden/>
    <w:unhideWhenUsed/>
    <w:rsid w:val="0000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003476"/>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00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00347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9415048">
      <w:bodyDiv w:val="1"/>
      <w:marLeft w:val="0"/>
      <w:marRight w:val="0"/>
      <w:marTop w:val="0"/>
      <w:marBottom w:val="0"/>
      <w:divBdr>
        <w:top w:val="none" w:sz="0" w:space="0" w:color="auto"/>
        <w:left w:val="none" w:sz="0" w:space="0" w:color="auto"/>
        <w:bottom w:val="none" w:sz="0" w:space="0" w:color="auto"/>
        <w:right w:val="none" w:sz="0" w:space="0" w:color="auto"/>
      </w:divBdr>
    </w:div>
    <w:div w:id="463276353">
      <w:bodyDiv w:val="1"/>
      <w:marLeft w:val="0"/>
      <w:marRight w:val="0"/>
      <w:marTop w:val="0"/>
      <w:marBottom w:val="0"/>
      <w:divBdr>
        <w:top w:val="none" w:sz="0" w:space="0" w:color="auto"/>
        <w:left w:val="none" w:sz="0" w:space="0" w:color="auto"/>
        <w:bottom w:val="none" w:sz="0" w:space="0" w:color="auto"/>
        <w:right w:val="none" w:sz="0" w:space="0" w:color="auto"/>
      </w:divBdr>
    </w:div>
    <w:div w:id="658267913">
      <w:bodyDiv w:val="1"/>
      <w:marLeft w:val="0"/>
      <w:marRight w:val="0"/>
      <w:marTop w:val="0"/>
      <w:marBottom w:val="0"/>
      <w:divBdr>
        <w:top w:val="none" w:sz="0" w:space="0" w:color="auto"/>
        <w:left w:val="none" w:sz="0" w:space="0" w:color="auto"/>
        <w:bottom w:val="none" w:sz="0" w:space="0" w:color="auto"/>
        <w:right w:val="none" w:sz="0" w:space="0" w:color="auto"/>
      </w:divBdr>
    </w:div>
    <w:div w:id="1905027449">
      <w:bodyDiv w:val="1"/>
      <w:marLeft w:val="0"/>
      <w:marRight w:val="0"/>
      <w:marTop w:val="0"/>
      <w:marBottom w:val="0"/>
      <w:divBdr>
        <w:top w:val="none" w:sz="0" w:space="0" w:color="auto"/>
        <w:left w:val="none" w:sz="0" w:space="0" w:color="auto"/>
        <w:bottom w:val="none" w:sz="0" w:space="0" w:color="auto"/>
        <w:right w:val="none" w:sz="0" w:space="0" w:color="auto"/>
      </w:divBdr>
    </w:div>
    <w:div w:id="202817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neycontrol.com/pehlakadam/bonds.php" TargetMode="External"/><Relationship Id="rId13"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www.moneycontrol.com/pehlakadam/secondarymarkets.php" TargetMode="External"/><Relationship Id="rId12" Type="http://schemas.openxmlformats.org/officeDocument/2006/relationships/hyperlink" Target="http://nse-india.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bseindia.com/" TargetMode="External"/><Relationship Id="rId5" Type="http://schemas.openxmlformats.org/officeDocument/2006/relationships/hyperlink" Target="http://www.moneycontrol.com/pehlakadam/" TargetMode="External"/><Relationship Id="rId15" Type="http://schemas.openxmlformats.org/officeDocument/2006/relationships/fontTable" Target="fontTable.xml"/><Relationship Id="rId10" Type="http://schemas.openxmlformats.org/officeDocument/2006/relationships/hyperlink" Target="http://bseindia.com/" TargetMode="External"/><Relationship Id="rId4" Type="http://schemas.openxmlformats.org/officeDocument/2006/relationships/webSettings" Target="webSettings.xml"/><Relationship Id="rId9" Type="http://schemas.openxmlformats.org/officeDocument/2006/relationships/hyperlink" Target="http://www.moneycontrol.com/pehlakadam/derivatives.php" TargetMode="Externa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30</Pages>
  <Words>11697</Words>
  <Characters>66675</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2008-01-15T08:29:00Z</dcterms:created>
  <dcterms:modified xsi:type="dcterms:W3CDTF">2008-01-15T08:59:00Z</dcterms:modified>
</cp:coreProperties>
</file>