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98" w:rsidRDefault="00B55698">
      <w:pPr>
        <w:pStyle w:val="Heading1"/>
        <w:jc w:val="both"/>
        <w:rPr>
          <w:rFonts w:ascii="Times New Roman" w:hAnsi="Times New Roman"/>
          <w:sz w:val="30"/>
        </w:rPr>
      </w:pPr>
      <w:r>
        <w:rPr>
          <w:rFonts w:ascii="Times New Roman" w:hAnsi="Times New Roman"/>
          <w:sz w:val="30"/>
        </w:rPr>
        <w:t>ACCOUNTING GUIDELINES FOR CLEARING MEMBERS</w:t>
      </w:r>
    </w:p>
    <w:p w:rsidR="00B55698" w:rsidRDefault="00B55698">
      <w:pPr>
        <w:jc w:val="both"/>
        <w:rPr>
          <w:rFonts w:ascii="Times New Roman" w:hAnsi="Times New Roman"/>
        </w:rPr>
      </w:pPr>
    </w:p>
    <w:p w:rsidR="00B55698" w:rsidRDefault="00B55698">
      <w:pPr>
        <w:jc w:val="both"/>
        <w:rPr>
          <w:rFonts w:ascii="Times New Roman" w:hAnsi="Times New Roman"/>
          <w:sz w:val="24"/>
        </w:rPr>
      </w:pPr>
      <w:r>
        <w:rPr>
          <w:rFonts w:ascii="Times New Roman" w:hAnsi="Times New Roman"/>
          <w:sz w:val="24"/>
        </w:rPr>
        <w:t>The Guidelines provided in this Note cover the following areas:</w:t>
      </w:r>
    </w:p>
    <w:p w:rsidR="00B55698" w:rsidRDefault="00B55698">
      <w:pPr>
        <w:jc w:val="both"/>
        <w:rPr>
          <w:rFonts w:ascii="Times New Roman" w:hAnsi="Times New Roman"/>
          <w:sz w:val="24"/>
        </w:rPr>
      </w:pPr>
    </w:p>
    <w:p w:rsidR="00B55698" w:rsidRDefault="00B55698">
      <w:pPr>
        <w:numPr>
          <w:ilvl w:val="0"/>
          <w:numId w:val="2"/>
        </w:numPr>
        <w:jc w:val="both"/>
        <w:rPr>
          <w:rFonts w:ascii="Times New Roman" w:hAnsi="Times New Roman"/>
          <w:sz w:val="24"/>
        </w:rPr>
      </w:pPr>
      <w:r>
        <w:rPr>
          <w:rFonts w:ascii="Times New Roman" w:hAnsi="Times New Roman"/>
          <w:sz w:val="24"/>
        </w:rPr>
        <w:t>Collection of Initial Margin from Clients</w:t>
      </w:r>
    </w:p>
    <w:p w:rsidR="00B55698" w:rsidRDefault="00B55698">
      <w:pPr>
        <w:numPr>
          <w:ilvl w:val="0"/>
          <w:numId w:val="2"/>
        </w:numPr>
        <w:ind w:left="0" w:firstLine="0"/>
        <w:jc w:val="both"/>
        <w:rPr>
          <w:rFonts w:ascii="Times New Roman" w:hAnsi="Times New Roman"/>
          <w:sz w:val="24"/>
        </w:rPr>
      </w:pPr>
      <w:r>
        <w:rPr>
          <w:rFonts w:ascii="Times New Roman" w:hAnsi="Times New Roman"/>
          <w:sz w:val="24"/>
        </w:rPr>
        <w:t>Issue of Collateral Receipt Notes/Collateral Return Notes to Clients</w:t>
      </w:r>
    </w:p>
    <w:p w:rsidR="00B55698" w:rsidRDefault="00B55698">
      <w:pPr>
        <w:numPr>
          <w:ilvl w:val="0"/>
          <w:numId w:val="2"/>
        </w:numPr>
        <w:jc w:val="both"/>
        <w:rPr>
          <w:rFonts w:ascii="Times New Roman" w:hAnsi="Times New Roman"/>
          <w:sz w:val="24"/>
        </w:rPr>
      </w:pPr>
      <w:r>
        <w:rPr>
          <w:rFonts w:ascii="Times New Roman" w:hAnsi="Times New Roman"/>
          <w:sz w:val="24"/>
        </w:rPr>
        <w:t>Collateral Register</w:t>
      </w:r>
    </w:p>
    <w:p w:rsidR="00B55698" w:rsidRDefault="00B55698">
      <w:pPr>
        <w:numPr>
          <w:ilvl w:val="0"/>
          <w:numId w:val="2"/>
        </w:numPr>
        <w:jc w:val="both"/>
        <w:rPr>
          <w:rFonts w:ascii="Times New Roman" w:hAnsi="Times New Roman"/>
          <w:sz w:val="24"/>
        </w:rPr>
      </w:pPr>
      <w:r>
        <w:rPr>
          <w:rFonts w:ascii="Times New Roman" w:hAnsi="Times New Roman"/>
          <w:sz w:val="24"/>
        </w:rPr>
        <w:t>Reporting of Collateral to Clients</w:t>
      </w:r>
    </w:p>
    <w:p w:rsidR="00B55698" w:rsidRDefault="00B55698">
      <w:pPr>
        <w:numPr>
          <w:ilvl w:val="0"/>
          <w:numId w:val="2"/>
        </w:numPr>
        <w:jc w:val="both"/>
        <w:rPr>
          <w:rFonts w:ascii="Times New Roman" w:hAnsi="Times New Roman"/>
          <w:sz w:val="24"/>
        </w:rPr>
      </w:pPr>
      <w:r>
        <w:rPr>
          <w:rFonts w:ascii="Times New Roman" w:hAnsi="Times New Roman"/>
          <w:sz w:val="24"/>
        </w:rPr>
        <w:t>Payment of Initial Margin to Clearing House/Clearing Corporation</w:t>
      </w:r>
    </w:p>
    <w:p w:rsidR="00B55698" w:rsidRDefault="00B55698">
      <w:pPr>
        <w:numPr>
          <w:ilvl w:val="0"/>
          <w:numId w:val="2"/>
        </w:numPr>
        <w:jc w:val="both"/>
        <w:rPr>
          <w:rFonts w:ascii="Times New Roman" w:hAnsi="Times New Roman"/>
          <w:sz w:val="24"/>
        </w:rPr>
      </w:pPr>
      <w:r>
        <w:rPr>
          <w:rFonts w:ascii="Times New Roman" w:hAnsi="Times New Roman"/>
          <w:sz w:val="24"/>
        </w:rPr>
        <w:t>Bills to be raised on Clients</w:t>
      </w:r>
    </w:p>
    <w:p w:rsidR="00B55698" w:rsidRDefault="00B55698">
      <w:pPr>
        <w:numPr>
          <w:ilvl w:val="0"/>
          <w:numId w:val="2"/>
        </w:numPr>
        <w:jc w:val="both"/>
        <w:rPr>
          <w:rFonts w:ascii="Times New Roman" w:hAnsi="Times New Roman"/>
          <w:sz w:val="24"/>
        </w:rPr>
      </w:pPr>
      <w:r>
        <w:rPr>
          <w:rFonts w:ascii="Times New Roman" w:hAnsi="Times New Roman"/>
          <w:sz w:val="24"/>
        </w:rPr>
        <w:t>Collection of Mark to Market Margins and Options Premiums from Clients</w:t>
      </w:r>
    </w:p>
    <w:p w:rsidR="00B55698" w:rsidRDefault="00B55698">
      <w:pPr>
        <w:numPr>
          <w:ilvl w:val="0"/>
          <w:numId w:val="2"/>
        </w:numPr>
        <w:jc w:val="both"/>
        <w:rPr>
          <w:rFonts w:ascii="Times New Roman" w:hAnsi="Times New Roman"/>
          <w:sz w:val="24"/>
        </w:rPr>
      </w:pPr>
      <w:r>
        <w:rPr>
          <w:rFonts w:ascii="Times New Roman" w:hAnsi="Times New Roman"/>
          <w:sz w:val="24"/>
        </w:rPr>
        <w:t>Squaring Up of Transactions</w:t>
      </w:r>
    </w:p>
    <w:p w:rsidR="00B55698" w:rsidRDefault="00B55698">
      <w:pPr>
        <w:numPr>
          <w:ilvl w:val="0"/>
          <w:numId w:val="2"/>
        </w:numPr>
        <w:jc w:val="both"/>
        <w:rPr>
          <w:rFonts w:ascii="Times New Roman" w:hAnsi="Times New Roman"/>
          <w:sz w:val="24"/>
        </w:rPr>
      </w:pPr>
      <w:r>
        <w:rPr>
          <w:rFonts w:ascii="Times New Roman" w:hAnsi="Times New Roman"/>
          <w:sz w:val="24"/>
        </w:rPr>
        <w:t>Daily Transactions vis-à-vis Clearing House/Clearing Corporation</w:t>
      </w:r>
    </w:p>
    <w:p w:rsidR="00B55698" w:rsidRDefault="00B55698">
      <w:pPr>
        <w:numPr>
          <w:ilvl w:val="0"/>
          <w:numId w:val="2"/>
        </w:numPr>
        <w:jc w:val="both"/>
        <w:rPr>
          <w:rFonts w:ascii="Times New Roman" w:hAnsi="Times New Roman"/>
          <w:sz w:val="24"/>
        </w:rPr>
      </w:pPr>
      <w:r>
        <w:rPr>
          <w:rFonts w:ascii="Times New Roman" w:hAnsi="Times New Roman"/>
          <w:sz w:val="24"/>
        </w:rPr>
        <w:t>Payments/Receipts to/from Clearing House/Clearing Corporation</w:t>
      </w:r>
    </w:p>
    <w:p w:rsidR="00B55698" w:rsidRDefault="00B55698">
      <w:pPr>
        <w:numPr>
          <w:ilvl w:val="0"/>
          <w:numId w:val="2"/>
        </w:numPr>
        <w:jc w:val="both"/>
        <w:rPr>
          <w:rFonts w:ascii="Times New Roman" w:hAnsi="Times New Roman"/>
          <w:sz w:val="24"/>
        </w:rPr>
      </w:pPr>
      <w:r>
        <w:rPr>
          <w:rFonts w:ascii="Times New Roman" w:hAnsi="Times New Roman"/>
          <w:sz w:val="24"/>
        </w:rPr>
        <w:t>Payments to Clients</w:t>
      </w:r>
    </w:p>
    <w:p w:rsidR="00B55698" w:rsidRDefault="00B55698">
      <w:pPr>
        <w:numPr>
          <w:ilvl w:val="0"/>
          <w:numId w:val="2"/>
        </w:numPr>
        <w:jc w:val="both"/>
        <w:rPr>
          <w:rFonts w:ascii="Times New Roman" w:hAnsi="Times New Roman"/>
          <w:sz w:val="24"/>
        </w:rPr>
      </w:pPr>
      <w:r>
        <w:rPr>
          <w:rFonts w:ascii="Times New Roman" w:hAnsi="Times New Roman"/>
          <w:sz w:val="24"/>
        </w:rPr>
        <w:t>Controls and Balances</w:t>
      </w:r>
    </w:p>
    <w:p w:rsidR="00B55698" w:rsidRDefault="00B55698">
      <w:pPr>
        <w:numPr>
          <w:ilvl w:val="0"/>
          <w:numId w:val="2"/>
        </w:numPr>
        <w:jc w:val="both"/>
        <w:rPr>
          <w:rFonts w:ascii="Times New Roman" w:hAnsi="Times New Roman"/>
          <w:sz w:val="24"/>
        </w:rPr>
      </w:pPr>
      <w:r>
        <w:rPr>
          <w:rFonts w:ascii="Times New Roman" w:hAnsi="Times New Roman"/>
          <w:sz w:val="24"/>
        </w:rPr>
        <w:t>Reporting to Exchange</w:t>
      </w:r>
    </w:p>
    <w:p w:rsidR="00B55698" w:rsidRDefault="00B55698">
      <w:pPr>
        <w:pStyle w:val="Heading1"/>
        <w:numPr>
          <w:ilvl w:val="0"/>
          <w:numId w:val="2"/>
        </w:numPr>
        <w:jc w:val="both"/>
        <w:rPr>
          <w:rFonts w:ascii="Times New Roman" w:hAnsi="Times New Roman"/>
          <w:b w:val="0"/>
          <w:sz w:val="24"/>
        </w:rPr>
      </w:pPr>
      <w:r>
        <w:rPr>
          <w:rFonts w:ascii="Times New Roman" w:hAnsi="Times New Roman"/>
          <w:b w:val="0"/>
          <w:sz w:val="24"/>
        </w:rPr>
        <w:t>Member Default</w:t>
      </w:r>
    </w:p>
    <w:p w:rsidR="00B55698" w:rsidRDefault="00B55698">
      <w:pPr>
        <w:jc w:val="both"/>
        <w:rPr>
          <w:rFonts w:ascii="Times New Roman" w:hAnsi="Times New Roman"/>
          <w:sz w:val="24"/>
        </w:rPr>
      </w:pPr>
      <w:r>
        <w:rPr>
          <w:rFonts w:ascii="Times New Roman" w:hAnsi="Times New Roman"/>
          <w:sz w:val="24"/>
        </w:rPr>
        <w:t>Appendix - Examples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rPr>
      </w:pPr>
      <w:r>
        <w:rPr>
          <w:rFonts w:ascii="Times New Roman" w:hAnsi="Times New Roman"/>
        </w:rPr>
        <w:br w:type="page"/>
      </w:r>
    </w:p>
    <w:p w:rsidR="00B55698" w:rsidRDefault="00B55698">
      <w:pPr>
        <w:jc w:val="both"/>
        <w:rPr>
          <w:rFonts w:ascii="Times New Roman" w:hAnsi="Times New Roman"/>
          <w:b/>
        </w:rPr>
      </w:pPr>
      <w:r>
        <w:rPr>
          <w:rFonts w:ascii="Times New Roman" w:hAnsi="Times New Roman"/>
          <w:b/>
        </w:rPr>
        <w:lastRenderedPageBreak/>
        <w:t>Conventions Followed:</w:t>
      </w:r>
    </w:p>
    <w:p w:rsidR="00B55698" w:rsidRDefault="00B55698">
      <w:pPr>
        <w:jc w:val="both"/>
        <w:rPr>
          <w:rFonts w:ascii="Times New Roman" w:hAnsi="Times New Roman"/>
        </w:rPr>
      </w:pPr>
    </w:p>
    <w:p w:rsidR="00B55698" w:rsidRDefault="00B55698">
      <w:pPr>
        <w:pStyle w:val="BodyText3"/>
        <w:rPr>
          <w:rFonts w:ascii="Times New Roman" w:hAnsi="Times New Roman"/>
        </w:rPr>
      </w:pPr>
      <w:r>
        <w:rPr>
          <w:rFonts w:ascii="Times New Roman" w:hAnsi="Times New Roman"/>
        </w:rPr>
        <w:t>Accounting Entries:</w:t>
      </w:r>
    </w:p>
    <w:p w:rsidR="00B55698" w:rsidRDefault="00B55698">
      <w:pPr>
        <w:numPr>
          <w:ilvl w:val="0"/>
          <w:numId w:val="14"/>
        </w:numPr>
        <w:jc w:val="both"/>
        <w:rPr>
          <w:rFonts w:ascii="Times New Roman" w:hAnsi="Times New Roman"/>
          <w:sz w:val="24"/>
        </w:rPr>
      </w:pPr>
      <w:r>
        <w:rPr>
          <w:rFonts w:ascii="Times New Roman" w:hAnsi="Times New Roman"/>
          <w:sz w:val="24"/>
        </w:rPr>
        <w:t xml:space="preserve">All accounting entries are provided in a box. </w:t>
      </w:r>
    </w:p>
    <w:p w:rsidR="00B55698" w:rsidRDefault="00B55698">
      <w:pPr>
        <w:numPr>
          <w:ilvl w:val="0"/>
          <w:numId w:val="11"/>
        </w:numPr>
        <w:jc w:val="both"/>
        <w:rPr>
          <w:rFonts w:ascii="Times New Roman" w:hAnsi="Times New Roman"/>
          <w:sz w:val="24"/>
        </w:rPr>
      </w:pPr>
      <w:r>
        <w:rPr>
          <w:rFonts w:ascii="Times New Roman" w:hAnsi="Times New Roman"/>
          <w:sz w:val="24"/>
        </w:rPr>
        <w:t xml:space="preserve">The name of the Account is first mentioned. </w:t>
      </w:r>
    </w:p>
    <w:p w:rsidR="00B55698" w:rsidRDefault="00B55698">
      <w:pPr>
        <w:numPr>
          <w:ilvl w:val="0"/>
          <w:numId w:val="11"/>
        </w:numPr>
        <w:jc w:val="both"/>
        <w:rPr>
          <w:rFonts w:ascii="Times New Roman" w:hAnsi="Times New Roman"/>
          <w:sz w:val="24"/>
        </w:rPr>
      </w:pPr>
      <w:r>
        <w:rPr>
          <w:rFonts w:ascii="Times New Roman" w:hAnsi="Times New Roman"/>
          <w:sz w:val="24"/>
        </w:rPr>
        <w:t xml:space="preserve">Thereafter the default category of the Account (viz. Whether the Account is an Asset or a Liability or Income or Expense) is mentioned. Please note that the Account </w:t>
      </w:r>
      <w:proofErr w:type="spellStart"/>
      <w:r>
        <w:rPr>
          <w:rFonts w:ascii="Times New Roman" w:hAnsi="Times New Roman"/>
          <w:sz w:val="24"/>
        </w:rPr>
        <w:t>categorisation</w:t>
      </w:r>
      <w:proofErr w:type="spellEnd"/>
      <w:r>
        <w:rPr>
          <w:rFonts w:ascii="Times New Roman" w:hAnsi="Times New Roman"/>
          <w:sz w:val="24"/>
        </w:rPr>
        <w:t xml:space="preserve"> is a default </w:t>
      </w:r>
      <w:proofErr w:type="spellStart"/>
      <w:r>
        <w:rPr>
          <w:rFonts w:ascii="Times New Roman" w:hAnsi="Times New Roman"/>
          <w:sz w:val="24"/>
        </w:rPr>
        <w:t>categorisation</w:t>
      </w:r>
      <w:proofErr w:type="spellEnd"/>
      <w:r>
        <w:rPr>
          <w:rFonts w:ascii="Times New Roman" w:hAnsi="Times New Roman"/>
          <w:sz w:val="24"/>
        </w:rPr>
        <w:t xml:space="preserve">, and is normally expected to fall into that category. However, if underlying transactions are unusual, an Asset could become a Liability and vice-versa. From the financial controls point of view, such an Account which assumes an irregular position is indicative of abnormalities and can easily be picked up during scrutiny. </w:t>
      </w:r>
    </w:p>
    <w:p w:rsidR="00B55698" w:rsidRDefault="00B55698">
      <w:pPr>
        <w:numPr>
          <w:ilvl w:val="0"/>
          <w:numId w:val="11"/>
        </w:numPr>
        <w:jc w:val="both"/>
        <w:rPr>
          <w:rFonts w:ascii="Times New Roman" w:hAnsi="Times New Roman"/>
          <w:sz w:val="24"/>
        </w:rPr>
      </w:pPr>
      <w:r>
        <w:rPr>
          <w:rFonts w:ascii="Times New Roman" w:hAnsi="Times New Roman"/>
          <w:sz w:val="24"/>
        </w:rPr>
        <w:t xml:space="preserve">Then the details of whether the Account is required to be Debited or Credited is provided. </w:t>
      </w:r>
    </w:p>
    <w:p w:rsidR="00B55698" w:rsidRDefault="00B55698">
      <w:pPr>
        <w:numPr>
          <w:ilvl w:val="0"/>
          <w:numId w:val="11"/>
        </w:numPr>
        <w:jc w:val="both"/>
        <w:rPr>
          <w:rFonts w:ascii="Times New Roman" w:hAnsi="Times New Roman"/>
          <w:sz w:val="24"/>
        </w:rPr>
      </w:pPr>
      <w:r>
        <w:rPr>
          <w:rFonts w:ascii="Times New Roman" w:hAnsi="Times New Roman"/>
          <w:sz w:val="24"/>
        </w:rPr>
        <w:t>In some illustrative cases, the amounts are also provided.</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Scope of the Accounting Guidelines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Guidelines focus on the areas involving the Exchange, Clearing Members, Trading Members and Clients. Regular accounting norms for Members including their Brokerage Income Accounting, Service Tax Accounting, Income Tax Accounting are not covered in these Guidelines.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For the purpose of these Guidelines, the term ‘Client’ includes ‘Trading Member’ unless otherwise particularly specified.</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terms ‘Clearing House’ and ‘Clearing Corporation’ are used interchangeably in these Guidelines.</w:t>
      </w:r>
    </w:p>
    <w:p w:rsidR="00B55698" w:rsidRDefault="00B55698">
      <w:pPr>
        <w:jc w:val="both"/>
        <w:rPr>
          <w:rFonts w:ascii="Times New Roman" w:hAnsi="Times New Roman"/>
          <w:sz w:val="24"/>
        </w:rPr>
      </w:pPr>
    </w:p>
    <w:p w:rsidR="00B55698" w:rsidRDefault="00B55698">
      <w:pPr>
        <w:ind w:left="720" w:hanging="720"/>
        <w:jc w:val="both"/>
        <w:rPr>
          <w:rFonts w:ascii="Times New Roman" w:hAnsi="Times New Roman"/>
          <w:sz w:val="24"/>
        </w:rPr>
      </w:pPr>
      <w:r>
        <w:rPr>
          <w:rFonts w:ascii="Times New Roman" w:hAnsi="Times New Roman"/>
          <w:sz w:val="24"/>
        </w:rPr>
        <w:t>The term ‘cash’ includes ‘</w:t>
      </w:r>
      <w:proofErr w:type="spellStart"/>
      <w:r>
        <w:rPr>
          <w:rFonts w:ascii="Times New Roman" w:hAnsi="Times New Roman"/>
          <w:sz w:val="24"/>
        </w:rPr>
        <w:t>cheques’</w:t>
      </w:r>
      <w:proofErr w:type="spellEnd"/>
      <w:r>
        <w:rPr>
          <w:rFonts w:ascii="Times New Roman" w:hAnsi="Times New Roman"/>
          <w:sz w:val="24"/>
        </w:rPr>
        <w:t xml:space="preserve"> and ‘bank drafts’.</w:t>
      </w:r>
    </w:p>
    <w:p w:rsidR="00B55698" w:rsidRDefault="00B55698">
      <w:pPr>
        <w:ind w:left="720" w:hanging="720"/>
        <w:jc w:val="both"/>
        <w:rPr>
          <w:rFonts w:ascii="Times New Roman" w:hAnsi="Times New Roman"/>
          <w:sz w:val="24"/>
        </w:rPr>
      </w:pPr>
    </w:p>
    <w:p w:rsidR="00B55698" w:rsidRDefault="00B55698">
      <w:pPr>
        <w:pStyle w:val="BodyTextIndent"/>
        <w:ind w:left="0" w:firstLine="0"/>
        <w:rPr>
          <w:rFonts w:ascii="Times New Roman" w:hAnsi="Times New Roman"/>
          <w:sz w:val="24"/>
        </w:rPr>
      </w:pPr>
      <w:r>
        <w:rPr>
          <w:rFonts w:ascii="Times New Roman" w:hAnsi="Times New Roman"/>
          <w:sz w:val="24"/>
        </w:rPr>
        <w:t>The records could be maintained in electronic form (with regular and sufficient back up).  However, they should be available as and when required.</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Bye-laws, rules and regulations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Accounting Guidelines presented here are subject to the Bye-laws, rules and regulations of the Derivatives Segment of the Stock Exchange. In case of any differences between these Guidelines and the Bye-laws, rules and regulations, the Bye-laws, rules and regulations shall prevail.</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1. Collection of Initial Margin from Clients</w:t>
      </w:r>
    </w:p>
    <w:p w:rsidR="00B55698" w:rsidRDefault="00B55698">
      <w:pPr>
        <w:jc w:val="both"/>
        <w:rPr>
          <w:rFonts w:ascii="Times New Roman" w:hAnsi="Times New Roman"/>
        </w:rPr>
      </w:pPr>
    </w:p>
    <w:p w:rsidR="00B55698" w:rsidRDefault="00B55698">
      <w:pPr>
        <w:jc w:val="both"/>
        <w:rPr>
          <w:rFonts w:ascii="Times New Roman" w:hAnsi="Times New Roman"/>
          <w:sz w:val="24"/>
        </w:rPr>
      </w:pPr>
      <w:r>
        <w:rPr>
          <w:rFonts w:ascii="Times New Roman" w:hAnsi="Times New Roman"/>
          <w:sz w:val="24"/>
        </w:rPr>
        <w:t>The terms ‘Initial Margin’ and ‘Total Requirement’ have been used interchangeably throughout the guidelines.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lastRenderedPageBreak/>
        <w:t>The term ‘Total Requirement’ means the ‘Initial Margin’ requirement for a portfolio as calculated by the risk management software used and prescribed by the exchange.  It is an amount, which is receivable from the client by the Clearing Member and would help the Clearing Member in monitoring his receivables from clients or in adjusting the collateral already collected from the clients.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some situations however, the total requirement or initial margin can be favourable to the client.  This would tend to happen mostly in cases where the client has a long option position or where long option positions are larger than short option positions with the same underlying. Clearing Members are required to ensure that the client does not withdraw such favourable initial margin.</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Clearing Members shall collect Initial Margin upfront from all his Clients.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The Initial Margin may be collected in cash, cash equivalents and approved </w:t>
      </w:r>
      <w:proofErr w:type="spellStart"/>
      <w:r>
        <w:rPr>
          <w:rFonts w:ascii="Times New Roman" w:hAnsi="Times New Roman"/>
          <w:sz w:val="24"/>
        </w:rPr>
        <w:t>dematerialised</w:t>
      </w:r>
      <w:proofErr w:type="spellEnd"/>
      <w:r>
        <w:rPr>
          <w:rFonts w:ascii="Times New Roman" w:hAnsi="Times New Roman"/>
          <w:sz w:val="24"/>
        </w:rPr>
        <w:t xml:space="preserve"> equity securities from Clients. Cash Equivalents include the following:</w:t>
      </w:r>
    </w:p>
    <w:p w:rsidR="00B55698" w:rsidRDefault="00B55698">
      <w:pPr>
        <w:jc w:val="both"/>
        <w:rPr>
          <w:rFonts w:ascii="Times New Roman" w:hAnsi="Times New Roman"/>
          <w:sz w:val="24"/>
        </w:rPr>
      </w:pPr>
    </w:p>
    <w:p w:rsidR="00B55698" w:rsidRDefault="00B55698">
      <w:pPr>
        <w:numPr>
          <w:ilvl w:val="0"/>
          <w:numId w:val="1"/>
        </w:numPr>
        <w:jc w:val="both"/>
        <w:rPr>
          <w:rFonts w:ascii="Times New Roman" w:hAnsi="Times New Roman"/>
          <w:sz w:val="24"/>
        </w:rPr>
      </w:pPr>
      <w:r>
        <w:rPr>
          <w:rFonts w:ascii="Times New Roman" w:hAnsi="Times New Roman"/>
          <w:sz w:val="24"/>
        </w:rPr>
        <w:t>Bank Guarantees</w:t>
      </w:r>
    </w:p>
    <w:p w:rsidR="00B55698" w:rsidRDefault="00B55698">
      <w:pPr>
        <w:numPr>
          <w:ilvl w:val="0"/>
          <w:numId w:val="1"/>
        </w:numPr>
        <w:jc w:val="both"/>
        <w:rPr>
          <w:rFonts w:ascii="Times New Roman" w:hAnsi="Times New Roman"/>
          <w:sz w:val="24"/>
        </w:rPr>
      </w:pPr>
      <w:r>
        <w:rPr>
          <w:rFonts w:ascii="Times New Roman" w:hAnsi="Times New Roman"/>
          <w:sz w:val="24"/>
        </w:rPr>
        <w:t xml:space="preserve">Fixed Deposits </w:t>
      </w:r>
    </w:p>
    <w:p w:rsidR="00B55698" w:rsidRDefault="00B55698">
      <w:pPr>
        <w:numPr>
          <w:ilvl w:val="0"/>
          <w:numId w:val="1"/>
        </w:numPr>
        <w:jc w:val="both"/>
        <w:rPr>
          <w:rFonts w:ascii="Times New Roman" w:hAnsi="Times New Roman"/>
          <w:sz w:val="24"/>
        </w:rPr>
      </w:pPr>
      <w:r>
        <w:rPr>
          <w:rFonts w:ascii="Times New Roman" w:hAnsi="Times New Roman"/>
          <w:sz w:val="24"/>
        </w:rPr>
        <w:t>Treasury Bills</w:t>
      </w:r>
    </w:p>
    <w:p w:rsidR="00B55698" w:rsidRDefault="00B55698">
      <w:pPr>
        <w:numPr>
          <w:ilvl w:val="0"/>
          <w:numId w:val="1"/>
        </w:numPr>
        <w:jc w:val="both"/>
        <w:rPr>
          <w:rFonts w:ascii="Times New Roman" w:hAnsi="Times New Roman"/>
          <w:sz w:val="24"/>
        </w:rPr>
      </w:pPr>
      <w:r>
        <w:rPr>
          <w:rFonts w:ascii="Times New Roman" w:hAnsi="Times New Roman"/>
          <w:sz w:val="24"/>
        </w:rPr>
        <w:t>Dated Government Securities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Collateral shall be marked-to-market at least on a weekly basis.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On these values, the hair-cut as specified in the Report of the Professor J R Varma Group on Risk Containment Measures in the Indian Stock Index Futures Market (hereafter in these Guidelines referred to as the J R Varma Report for brevity) shall be applied. The hair-cuts specified are 10% on debt securities and 15% on </w:t>
      </w:r>
      <w:proofErr w:type="spellStart"/>
      <w:r>
        <w:rPr>
          <w:rFonts w:ascii="Times New Roman" w:hAnsi="Times New Roman"/>
          <w:sz w:val="24"/>
        </w:rPr>
        <w:t>dematerialised</w:t>
      </w:r>
      <w:proofErr w:type="spellEnd"/>
      <w:r>
        <w:rPr>
          <w:rFonts w:ascii="Times New Roman" w:hAnsi="Times New Roman"/>
          <w:sz w:val="24"/>
        </w:rPr>
        <w:t xml:space="preserve"> equity securities.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cases where the same Collateral are being valued by the Clearing House on a particular basis, the Clearing Member shall follow the basis as followed by the Clearing House.  However, the Clearing Member can be more conservative in valuation than the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The values of collateral may further be rounded off to such amounts as may be recommended by the Clearing House from time to time.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exchange may from time to time provide specifications on acceptability of various classes of securities/collateral.</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At the point of receipt of Cash towards Initial Margin from Clients, the Clearing Member should pass the following accounting entry:</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Cash Account (Asset)</w:t>
      </w:r>
      <w:r>
        <w:rPr>
          <w:rFonts w:ascii="Times New Roman" w:hAnsi="Times New Roman"/>
          <w:sz w:val="24"/>
        </w:rPr>
        <w:tab/>
        <w:t>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To Clients (Specific Code) Initial Margin Account (Liability)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lastRenderedPageBreak/>
        <w:t>The receipt of cash shall also be recorded in the Memorandum records.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At the point of receipt of Collateral from Clients, the receipt shall be recorded in Memorandum records and shall remain outside the financial ledger.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Additional Collateral collected from time to time shall be recorded in a similar manner in the Memorandum records. If any of the Collateral is returned back, the Memorandum records shall be updated accordingly.</w:t>
      </w:r>
    </w:p>
    <w:p w:rsidR="00B55698" w:rsidRDefault="00B55698">
      <w:pPr>
        <w:jc w:val="both"/>
        <w:rPr>
          <w:rFonts w:ascii="Times New Roman" w:hAnsi="Times New Roman"/>
          <w:sz w:val="24"/>
        </w:rPr>
      </w:pPr>
      <w:r>
        <w:rPr>
          <w:rFonts w:ascii="Times New Roman" w:hAnsi="Times New Roman"/>
          <w:sz w:val="24"/>
        </w:rPr>
        <w:t xml:space="preserve"> </w:t>
      </w:r>
    </w:p>
    <w:p w:rsidR="00B55698" w:rsidRDefault="00B55698">
      <w:pPr>
        <w:jc w:val="both"/>
        <w:rPr>
          <w:rFonts w:ascii="Times New Roman" w:hAnsi="Times New Roman"/>
          <w:sz w:val="24"/>
        </w:rPr>
      </w:pPr>
      <w:r>
        <w:rPr>
          <w:rFonts w:ascii="Times New Roman" w:hAnsi="Times New Roman"/>
          <w:sz w:val="24"/>
        </w:rPr>
        <w:t xml:space="preserve">The Memorandum records shall be updated at the point of marking to market of collaterals every week so as to </w:t>
      </w:r>
      <w:proofErr w:type="spellStart"/>
      <w:r>
        <w:rPr>
          <w:rFonts w:ascii="Times New Roman" w:hAnsi="Times New Roman"/>
          <w:sz w:val="24"/>
        </w:rPr>
        <w:t>recognise</w:t>
      </w:r>
      <w:proofErr w:type="spellEnd"/>
      <w:r>
        <w:rPr>
          <w:rFonts w:ascii="Times New Roman" w:hAnsi="Times New Roman"/>
          <w:sz w:val="24"/>
        </w:rPr>
        <w:t xml:space="preserve"> the revaluation in the Collateral.</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Collateral Receipt and Return Notes shall evidence receipt of Collateral and Returns of Collateral as explained below. </w:t>
      </w:r>
      <w:proofErr w:type="spellStart"/>
      <w:r>
        <w:rPr>
          <w:rFonts w:ascii="Times New Roman" w:hAnsi="Times New Roman"/>
          <w:sz w:val="24"/>
        </w:rPr>
        <w:t>Updation</w:t>
      </w:r>
      <w:proofErr w:type="spellEnd"/>
      <w:r>
        <w:rPr>
          <w:rFonts w:ascii="Times New Roman" w:hAnsi="Times New Roman"/>
          <w:sz w:val="24"/>
        </w:rPr>
        <w:t xml:space="preserve"> in the Memorandum records shall provide references to these Collateral Receipt and Return Notes.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cases where Cash paid against Initial Margin is refunded back to the Client, the following accounting entry will be passed:</w:t>
      </w:r>
    </w:p>
    <w:p w:rsidR="00B55698" w:rsidRDefault="00B55698">
      <w:pPr>
        <w:jc w:val="both"/>
        <w:rPr>
          <w:rFonts w:ascii="Times New Roman" w:hAnsi="Times New Roman"/>
          <w:sz w:val="24"/>
        </w:rPr>
      </w:pPr>
    </w:p>
    <w:p w:rsidR="00B55698" w:rsidRDefault="00B55698">
      <w:pPr>
        <w:pBdr>
          <w:top w:val="single" w:sz="2" w:space="1" w:color="auto"/>
          <w:left w:val="single" w:sz="2" w:space="4" w:color="auto"/>
          <w:bottom w:val="single" w:sz="2" w:space="1" w:color="auto"/>
          <w:right w:val="single" w:sz="2" w:space="4" w:color="auto"/>
        </w:pBdr>
        <w:jc w:val="both"/>
        <w:rPr>
          <w:rFonts w:ascii="Times New Roman" w:hAnsi="Times New Roman"/>
          <w:sz w:val="24"/>
        </w:rPr>
      </w:pPr>
      <w:r>
        <w:rPr>
          <w:rFonts w:ascii="Times New Roman" w:hAnsi="Times New Roman"/>
          <w:sz w:val="24"/>
        </w:rPr>
        <w:t>Client (Specific Code) Initial Margin Account (Liability)</w:t>
      </w:r>
      <w:r>
        <w:rPr>
          <w:rFonts w:ascii="Times New Roman" w:hAnsi="Times New Roman"/>
          <w:sz w:val="24"/>
        </w:rPr>
        <w:tab/>
      </w:r>
      <w:r>
        <w:rPr>
          <w:rFonts w:ascii="Times New Roman" w:hAnsi="Times New Roman"/>
          <w:sz w:val="24"/>
        </w:rPr>
        <w:tab/>
        <w:t>Debit</w:t>
      </w:r>
    </w:p>
    <w:p w:rsidR="00B55698" w:rsidRDefault="00B55698">
      <w:pPr>
        <w:pBdr>
          <w:top w:val="single" w:sz="2" w:space="1" w:color="auto"/>
          <w:left w:val="single" w:sz="2" w:space="4" w:color="auto"/>
          <w:bottom w:val="single" w:sz="2" w:space="1" w:color="auto"/>
          <w:right w:val="single" w:sz="2" w:space="4" w:color="auto"/>
        </w:pBdr>
        <w:jc w:val="both"/>
        <w:rPr>
          <w:rFonts w:ascii="Times New Roman" w:hAnsi="Times New Roman"/>
          <w:sz w:val="24"/>
        </w:rPr>
      </w:pPr>
      <w:r>
        <w:rPr>
          <w:rFonts w:ascii="Times New Roman" w:hAnsi="Times New Roman"/>
          <w:sz w:val="24"/>
        </w:rPr>
        <w:tab/>
        <w:t>Cash Account (Asset)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2. Issue of Collateral Receipt Notes/Collateral Return Notes to Clients</w:t>
      </w:r>
    </w:p>
    <w:p w:rsidR="00B55698" w:rsidRDefault="00B55698">
      <w:pPr>
        <w:jc w:val="both"/>
        <w:rPr>
          <w:rFonts w:ascii="Times New Roman" w:hAnsi="Times New Roman"/>
        </w:rPr>
      </w:pPr>
    </w:p>
    <w:p w:rsidR="00B55698" w:rsidRDefault="00B55698">
      <w:pPr>
        <w:jc w:val="both"/>
        <w:rPr>
          <w:rFonts w:ascii="Times New Roman" w:hAnsi="Times New Roman"/>
          <w:sz w:val="24"/>
        </w:rPr>
      </w:pPr>
      <w:r>
        <w:rPr>
          <w:rFonts w:ascii="Times New Roman" w:hAnsi="Times New Roman"/>
          <w:sz w:val="24"/>
        </w:rPr>
        <w:t xml:space="preserve">The Clearing Member shall issue a Collateral Receipt Note to the Client providing the details of Collateral received including the values thereof as </w:t>
      </w:r>
      <w:proofErr w:type="spellStart"/>
      <w:r>
        <w:rPr>
          <w:rFonts w:ascii="Times New Roman" w:hAnsi="Times New Roman"/>
          <w:sz w:val="24"/>
        </w:rPr>
        <w:t>recognised</w:t>
      </w:r>
      <w:proofErr w:type="spellEnd"/>
      <w:r>
        <w:rPr>
          <w:rFonts w:ascii="Times New Roman" w:hAnsi="Times New Roman"/>
          <w:sz w:val="24"/>
        </w:rPr>
        <w:t xml:space="preserve"> by the Clearing Member after considering the hair-cuts applicable.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Receipt shall clearly state that these Collateral are being collected towards Initial Margin for Derivatives Products Trading.</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At the time of returning back Collateral to clients, a Collateral Return Note shall be prepared providing details of the Collateral returned back. Values of the Collateral as </w:t>
      </w:r>
      <w:proofErr w:type="spellStart"/>
      <w:r>
        <w:rPr>
          <w:rFonts w:ascii="Times New Roman" w:hAnsi="Times New Roman"/>
          <w:sz w:val="24"/>
        </w:rPr>
        <w:t>recognised</w:t>
      </w:r>
      <w:proofErr w:type="spellEnd"/>
      <w:r>
        <w:rPr>
          <w:rFonts w:ascii="Times New Roman" w:hAnsi="Times New Roman"/>
          <w:sz w:val="24"/>
        </w:rPr>
        <w:t xml:space="preserve"> by the Clearing Member shall also be indicated in the Collateral Return Note.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Collateral Receipt and Return Notes shall be pre-numbered serially. Office copies of Collateral Receipt and Return Notes should be maintained by the Clearing Member and shall be provided to the Inspection Department if required by them.</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3. Collateral Register</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All Collateral collected from Clients by the Clearing Member should be recorded in a Register, which shall provide details of such Collateral. Reference of the Collateral Receipt/Return Note shall be provided in the Register. The Register shall be updated on daily basis for any further Collateral collected/returned. If such Collateral are further deposited by the Clearing Member with the Clearing House, appropriate remarks may be provided in the Register, in the Clients folio.</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Further, details of Collateral deposited with the Clearing House shall be maintained independently in a separate folio in the Register. Appropriate cross-references of Collateral collected from Clients and deposited with Clearing House may be provided in this folio (wherever applicable).</w:t>
      </w: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4. Reporting of Collateral to Clients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Every week, a statement of Collateral held by the Clearing Member along with the values thereof (as </w:t>
      </w:r>
      <w:proofErr w:type="spellStart"/>
      <w:r>
        <w:rPr>
          <w:rFonts w:ascii="Times New Roman" w:hAnsi="Times New Roman"/>
          <w:sz w:val="24"/>
        </w:rPr>
        <w:t>recognised</w:t>
      </w:r>
      <w:proofErr w:type="spellEnd"/>
      <w:r>
        <w:rPr>
          <w:rFonts w:ascii="Times New Roman" w:hAnsi="Times New Roman"/>
          <w:sz w:val="24"/>
        </w:rPr>
        <w:t xml:space="preserve"> by the Clearing Member) shall be provided to each Client. Appropriate remarks may also be provided on this statement wherever such Collateral has been further provided by the Clearing Member to the Clearing House.</w:t>
      </w:r>
    </w:p>
    <w:p w:rsidR="00B55698" w:rsidRDefault="00B55698">
      <w:pPr>
        <w:jc w:val="both"/>
        <w:rPr>
          <w:rFonts w:ascii="Times New Roman" w:hAnsi="Times New Roman"/>
          <w:b/>
        </w:rPr>
      </w:pPr>
    </w:p>
    <w:p w:rsidR="00B55698" w:rsidRDefault="00B55698">
      <w:pPr>
        <w:jc w:val="both"/>
        <w:rPr>
          <w:rFonts w:ascii="Times New Roman" w:hAnsi="Times New Roman"/>
          <w:b/>
        </w:rPr>
      </w:pPr>
    </w:p>
    <w:p w:rsidR="00B55698" w:rsidRDefault="00B55698">
      <w:pPr>
        <w:jc w:val="both"/>
        <w:rPr>
          <w:rFonts w:ascii="Times New Roman" w:hAnsi="Times New Roman"/>
          <w:b/>
        </w:rPr>
      </w:pPr>
      <w:r>
        <w:rPr>
          <w:rFonts w:ascii="Times New Roman" w:hAnsi="Times New Roman"/>
          <w:b/>
        </w:rPr>
        <w:t>5. Payment of Initial Margin to Clearing House</w:t>
      </w:r>
    </w:p>
    <w:p w:rsidR="00B55698" w:rsidRDefault="00B55698">
      <w:pPr>
        <w:pStyle w:val="Heading1"/>
        <w:jc w:val="both"/>
        <w:rPr>
          <w:rFonts w:ascii="Times New Roman" w:hAnsi="Times New Roman"/>
          <w:b w:val="0"/>
          <w:sz w:val="24"/>
        </w:rPr>
      </w:pPr>
    </w:p>
    <w:p w:rsidR="00B55698" w:rsidRDefault="00B55698">
      <w:pPr>
        <w:jc w:val="both"/>
        <w:rPr>
          <w:rFonts w:ascii="Times New Roman" w:hAnsi="Times New Roman"/>
          <w:sz w:val="24"/>
        </w:rPr>
      </w:pPr>
      <w:r>
        <w:rPr>
          <w:rFonts w:ascii="Times New Roman" w:hAnsi="Times New Roman"/>
          <w:sz w:val="24"/>
        </w:rPr>
        <w:t xml:space="preserve">The Clearing Member shall pay Initial Margin to the Clearing House as may be applicable upfront. Such Initial Margin may be paid by way of cash, cash equivalents and </w:t>
      </w:r>
      <w:proofErr w:type="spellStart"/>
      <w:r>
        <w:rPr>
          <w:rFonts w:ascii="Times New Roman" w:hAnsi="Times New Roman"/>
          <w:sz w:val="24"/>
        </w:rPr>
        <w:t>dematerialised</w:t>
      </w:r>
      <w:proofErr w:type="spellEnd"/>
      <w:r>
        <w:rPr>
          <w:rFonts w:ascii="Times New Roman" w:hAnsi="Times New Roman"/>
          <w:sz w:val="24"/>
        </w:rPr>
        <w:t xml:space="preserve"> equity securities. The break-up of each class of Collateral shall follow the principles enunciated in the J. R. Varma Report.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 of payments of Cash (by way of Initial Margin) by the Clearing Member to the Clearing House, the following Accounting Entry shall be passed:</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Clearing House Account (Asset)</w:t>
      </w:r>
      <w:r>
        <w:rPr>
          <w:rFonts w:ascii="Times New Roman" w:hAnsi="Times New Roman"/>
          <w:sz w:val="24"/>
        </w:rPr>
        <w:tab/>
        <w:t>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 xml:space="preserve">Cash Account (Asset) </w:t>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Clearing Member shall also maintain Memorandum records, which shall be updated for payment of Cash to the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 of payment of Initial Margin by way of Collateral to the Clearing House, the Clearing Member shall record the payment in Memorandum records. This payment shall remain outside the financial ledger. The value to be recorded in the Memorandum records shall be based on the value accorded by the Clearing House to such Collateral for the purpose of Initial Margin. Further, the Clearing House shall revalue the Collateral on a weekly basis. The Clearing Member shall accordingly update his Memorandum records to reflect such valuation. The revaluation shall be reflected in the Memorandum records on the same day as communicated by the Clearing House to the Clearing Member.</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cases where the Clearing Member requests for release of Cash paid towards Initial Margin from the Clearing House and the Cash is so released, the following accounting entry shall be passed:</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Cash Account (Asset) </w:t>
      </w:r>
      <w:r>
        <w:rPr>
          <w:rFonts w:ascii="Times New Roman" w:hAnsi="Times New Roman"/>
          <w:sz w:val="24"/>
        </w:rPr>
        <w:tab/>
      </w:r>
      <w:r>
        <w:rPr>
          <w:rFonts w:ascii="Times New Roman" w:hAnsi="Times New Roman"/>
          <w:sz w:val="24"/>
        </w:rPr>
        <w:tab/>
        <w:t>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Clearing House Account (Asset)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receipt of Cash shall also be appropriately recorded in the Memorandum records of the Clearing Member.</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 where the Clearing Member requests for release of Collateral provided to the Clearing House towards Initial Margin, and the Collateral is so released, the Memorandum records of the Clearing Member shall be appropriately updated for the receipt of such Collateral from the Clearing House.</w:t>
      </w:r>
    </w:p>
    <w:p w:rsidR="00B55698" w:rsidRDefault="00B55698">
      <w:pPr>
        <w:jc w:val="both"/>
        <w:rPr>
          <w:rFonts w:ascii="Times New Roman" w:hAnsi="Times New Roman"/>
        </w:rPr>
      </w:pPr>
    </w:p>
    <w:p w:rsidR="00B55698" w:rsidRDefault="00B55698">
      <w:pPr>
        <w:jc w:val="both"/>
        <w:rPr>
          <w:rFonts w:ascii="Times New Roman" w:hAnsi="Times New Roman"/>
          <w:b/>
        </w:rPr>
      </w:pPr>
    </w:p>
    <w:p w:rsidR="00B55698" w:rsidRDefault="00B55698">
      <w:pPr>
        <w:jc w:val="both"/>
        <w:rPr>
          <w:rFonts w:ascii="Times New Roman" w:hAnsi="Times New Roman"/>
          <w:b/>
        </w:rPr>
      </w:pPr>
      <w:r>
        <w:rPr>
          <w:rFonts w:ascii="Times New Roman" w:hAnsi="Times New Roman"/>
          <w:b/>
        </w:rPr>
        <w:t>6. Bills to be raised on Clients</w:t>
      </w:r>
    </w:p>
    <w:p w:rsidR="00B55698" w:rsidRDefault="00B55698">
      <w:pPr>
        <w:jc w:val="both"/>
        <w:rPr>
          <w:rFonts w:ascii="Times New Roman" w:hAnsi="Times New Roman"/>
          <w:b/>
          <w:sz w:val="24"/>
        </w:rPr>
      </w:pPr>
    </w:p>
    <w:p w:rsidR="00B55698" w:rsidRDefault="00B55698">
      <w:pPr>
        <w:pStyle w:val="Heading1"/>
        <w:jc w:val="both"/>
        <w:rPr>
          <w:rFonts w:ascii="Times New Roman" w:hAnsi="Times New Roman"/>
          <w:b w:val="0"/>
          <w:sz w:val="24"/>
        </w:rPr>
      </w:pPr>
      <w:r>
        <w:rPr>
          <w:rFonts w:ascii="Times New Roman" w:hAnsi="Times New Roman"/>
          <w:b w:val="0"/>
          <w:sz w:val="24"/>
        </w:rPr>
        <w:t>It is desirable that Bills are raised by Clearing Members on all Clients on daily basis. In cases where the Client provides a written declaration and agrees to a weekly billing system, the Clearing Member may raise Bills on a weekly basis.</w:t>
      </w:r>
    </w:p>
    <w:p w:rsidR="00B55698" w:rsidRDefault="00B55698">
      <w:pPr>
        <w:pStyle w:val="Heading1"/>
        <w:jc w:val="both"/>
        <w:rPr>
          <w:rFonts w:ascii="Times New Roman" w:hAnsi="Times New Roman"/>
          <w:b w:val="0"/>
          <w:sz w:val="24"/>
        </w:rPr>
      </w:pPr>
    </w:p>
    <w:p w:rsidR="00B55698" w:rsidRDefault="00B55698">
      <w:pPr>
        <w:pStyle w:val="Heading1"/>
        <w:jc w:val="both"/>
        <w:rPr>
          <w:rFonts w:ascii="Times New Roman" w:hAnsi="Times New Roman"/>
          <w:b w:val="0"/>
          <w:sz w:val="24"/>
        </w:rPr>
      </w:pPr>
      <w:r>
        <w:rPr>
          <w:rFonts w:ascii="Times New Roman" w:hAnsi="Times New Roman"/>
          <w:b w:val="0"/>
          <w:sz w:val="24"/>
        </w:rPr>
        <w:t xml:space="preserve">It shall be the responsibility of the Clearing Member to ensure that Initial Margins are adequately collected from all Clients, and further that premium and Mark to Market Margins are collected on a T+1 basis. The mere fact that Bills are raised on Weekly basis (instead of Daily basis) shall not prevent the collection of all Margins as required by the Exchange on timely basis. The onus of ensuring collection of all Margins within stipulated time-frame lies on the Clearing Members. </w:t>
      </w:r>
    </w:p>
    <w:p w:rsidR="00B55698" w:rsidRDefault="00B55698">
      <w:pPr>
        <w:pStyle w:val="Heading1"/>
        <w:jc w:val="both"/>
        <w:rPr>
          <w:rFonts w:ascii="Times New Roman" w:hAnsi="Times New Roman"/>
          <w:b w:val="0"/>
          <w:sz w:val="24"/>
        </w:rPr>
      </w:pPr>
    </w:p>
    <w:p w:rsidR="00B55698" w:rsidRDefault="00B55698">
      <w:pPr>
        <w:jc w:val="both"/>
        <w:rPr>
          <w:rFonts w:ascii="Times New Roman" w:hAnsi="Times New Roman"/>
          <w:sz w:val="24"/>
        </w:rPr>
      </w:pPr>
      <w:r>
        <w:rPr>
          <w:rFonts w:ascii="Times New Roman" w:hAnsi="Times New Roman"/>
          <w:sz w:val="24"/>
        </w:rPr>
        <w:t>Bills shall be raised for the following:</w:t>
      </w:r>
    </w:p>
    <w:p w:rsidR="00B55698" w:rsidRDefault="00B55698">
      <w:pPr>
        <w:jc w:val="both"/>
        <w:rPr>
          <w:rFonts w:ascii="Times New Roman" w:hAnsi="Times New Roman"/>
          <w:sz w:val="24"/>
        </w:rPr>
      </w:pPr>
    </w:p>
    <w:p w:rsidR="00B55698" w:rsidRDefault="00B55698">
      <w:pPr>
        <w:numPr>
          <w:ilvl w:val="0"/>
          <w:numId w:val="15"/>
        </w:numPr>
        <w:jc w:val="both"/>
        <w:rPr>
          <w:rFonts w:ascii="Times New Roman" w:hAnsi="Times New Roman"/>
          <w:sz w:val="24"/>
        </w:rPr>
      </w:pPr>
      <w:r>
        <w:rPr>
          <w:rFonts w:ascii="Times New Roman" w:hAnsi="Times New Roman"/>
          <w:sz w:val="24"/>
        </w:rPr>
        <w:t>Initial Margin as at the end of the Day of entering into the Transaction</w:t>
      </w:r>
    </w:p>
    <w:p w:rsidR="00B55698" w:rsidRDefault="00B55698">
      <w:pPr>
        <w:numPr>
          <w:ilvl w:val="0"/>
          <w:numId w:val="15"/>
        </w:numPr>
        <w:jc w:val="both"/>
        <w:rPr>
          <w:rFonts w:ascii="Times New Roman" w:hAnsi="Times New Roman"/>
          <w:sz w:val="24"/>
        </w:rPr>
      </w:pPr>
      <w:r>
        <w:rPr>
          <w:rFonts w:ascii="Times New Roman" w:hAnsi="Times New Roman"/>
          <w:sz w:val="24"/>
        </w:rPr>
        <w:t>Variation in Initial Margin as at the end of each Trading Day thereafter (till the expiry of the Contract or till squaring up of the transaction)</w:t>
      </w:r>
    </w:p>
    <w:p w:rsidR="00B55698" w:rsidRDefault="00B55698">
      <w:pPr>
        <w:numPr>
          <w:ilvl w:val="0"/>
          <w:numId w:val="15"/>
        </w:numPr>
        <w:jc w:val="both"/>
        <w:rPr>
          <w:rFonts w:ascii="Times New Roman" w:hAnsi="Times New Roman"/>
          <w:sz w:val="24"/>
        </w:rPr>
      </w:pPr>
      <w:r>
        <w:rPr>
          <w:rFonts w:ascii="Times New Roman" w:hAnsi="Times New Roman"/>
          <w:sz w:val="24"/>
        </w:rPr>
        <w:t>Mark to Market Margin for each Trading Day thereafter (till the expiry of the Contract or till squaring up of the transaction)</w:t>
      </w:r>
    </w:p>
    <w:p w:rsidR="00B55698" w:rsidRDefault="00B55698">
      <w:pPr>
        <w:numPr>
          <w:ilvl w:val="0"/>
          <w:numId w:val="15"/>
        </w:numPr>
        <w:jc w:val="both"/>
        <w:rPr>
          <w:rFonts w:ascii="Times New Roman" w:hAnsi="Times New Roman"/>
          <w:sz w:val="24"/>
        </w:rPr>
      </w:pPr>
      <w:r>
        <w:rPr>
          <w:rFonts w:ascii="Times New Roman" w:hAnsi="Times New Roman"/>
          <w:sz w:val="24"/>
        </w:rPr>
        <w:t>Option Premium Payable by the Client</w:t>
      </w:r>
    </w:p>
    <w:p w:rsidR="00B55698" w:rsidRDefault="00B55698">
      <w:pPr>
        <w:numPr>
          <w:ilvl w:val="0"/>
          <w:numId w:val="15"/>
        </w:numPr>
        <w:jc w:val="both"/>
        <w:rPr>
          <w:rFonts w:ascii="Times New Roman" w:hAnsi="Times New Roman"/>
          <w:sz w:val="24"/>
        </w:rPr>
      </w:pPr>
      <w:r>
        <w:rPr>
          <w:rFonts w:ascii="Times New Roman" w:hAnsi="Times New Roman"/>
          <w:sz w:val="24"/>
        </w:rPr>
        <w:t>Option Premium Payable to the Client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No accounting entries shall be passed in the financial ledger for Initial Margin and for Variations in the Initial Margin on subsequent days payable/receivable with respect to the transactions entered into. The Initial Margin details shall be recorded in Memorandum records, which shall be updated on daily basis.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cases where the Initial Margin is paid/refunded in Cash to/by the Client, an accounting entry will be passed as covered by Section 1 above.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The Clearing Member shall keep track and provide statements to the Clients on daily basis giving </w:t>
      </w:r>
      <w:proofErr w:type="spellStart"/>
      <w:r>
        <w:rPr>
          <w:rFonts w:ascii="Times New Roman" w:hAnsi="Times New Roman"/>
          <w:sz w:val="24"/>
        </w:rPr>
        <w:t>atleast</w:t>
      </w:r>
      <w:proofErr w:type="spellEnd"/>
      <w:r>
        <w:rPr>
          <w:rFonts w:ascii="Times New Roman" w:hAnsi="Times New Roman"/>
          <w:sz w:val="24"/>
        </w:rPr>
        <w:t xml:space="preserve"> the following details: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Name</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Code</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r>
        <w:rPr>
          <w:rFonts w:ascii="Times New Roman" w:hAnsi="Times New Roman"/>
          <w:b/>
          <w:sz w:val="24"/>
        </w:rPr>
        <w:t>INITIAL MARGIN DETAILS AS AT ________________ (Date)</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r>
        <w:rPr>
          <w:rFonts w:ascii="Times New Roman" w:hAnsi="Times New Roman"/>
          <w:b/>
          <w:sz w:val="24"/>
        </w:rPr>
        <w:t>Initial Margin collected from you:</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Cash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Collateral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w:t>
      </w:r>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Total Initial Margin collected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xxxxxx</w:t>
      </w:r>
      <w:proofErr w:type="spellEnd"/>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r>
        <w:rPr>
          <w:rFonts w:ascii="Times New Roman" w:hAnsi="Times New Roman"/>
          <w:b/>
          <w:sz w:val="24"/>
        </w:rPr>
        <w:t>Initial Margin payable based on Open Positions</w:t>
      </w:r>
      <w:r>
        <w:rPr>
          <w:rFonts w:ascii="Times New Roman" w:hAnsi="Times New Roman"/>
          <w:b/>
          <w:sz w:val="24"/>
        </w:rPr>
        <w:tab/>
      </w:r>
      <w:r>
        <w:rPr>
          <w:rFonts w:ascii="Times New Roman" w:hAnsi="Times New Roman"/>
          <w:b/>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Total Initial Margin Payable by Client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xxxx</w:t>
      </w:r>
      <w:proofErr w:type="spellEnd"/>
      <w:r>
        <w:rPr>
          <w:rFonts w:ascii="Times New Roman" w:hAnsi="Times New Roman"/>
          <w:sz w:val="24"/>
        </w:rPr>
        <w:tab/>
      </w:r>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r>
        <w:rPr>
          <w:rFonts w:ascii="Times New Roman" w:hAnsi="Times New Roman"/>
          <w:b/>
          <w:sz w:val="24"/>
        </w:rPr>
        <w:t>Position Details:</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r>
        <w:rPr>
          <w:rFonts w:ascii="Times New Roman" w:hAnsi="Times New Roman"/>
          <w:b/>
          <w:sz w:val="24"/>
        </w:rPr>
        <w:t>Product</w:t>
      </w:r>
      <w:r>
        <w:rPr>
          <w:rFonts w:ascii="Times New Roman" w:hAnsi="Times New Roman"/>
          <w:b/>
          <w:sz w:val="24"/>
        </w:rPr>
        <w:tab/>
        <w:t>Series Code</w:t>
      </w:r>
      <w:r>
        <w:rPr>
          <w:rFonts w:ascii="Times New Roman" w:hAnsi="Times New Roman"/>
          <w:b/>
          <w:sz w:val="24"/>
        </w:rPr>
        <w:tab/>
        <w:t>Quantity</w:t>
      </w:r>
      <w:r>
        <w:rPr>
          <w:rFonts w:ascii="Times New Roman" w:hAnsi="Times New Roman"/>
          <w:b/>
          <w:sz w:val="24"/>
        </w:rPr>
        <w:tab/>
        <w:t>Buy/Sell</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b/>
          <w:sz w:val="24"/>
        </w:rPr>
      </w:pPr>
    </w:p>
    <w:p w:rsidR="00B55698" w:rsidRDefault="00B55698">
      <w:pPr>
        <w:pStyle w:val="Heading2"/>
        <w:rPr>
          <w:rFonts w:ascii="Times New Roman" w:hAnsi="Times New Roman"/>
        </w:rPr>
      </w:pPr>
      <w:r>
        <w:rPr>
          <w:rFonts w:ascii="Times New Roman" w:hAnsi="Times New Roman"/>
        </w:rPr>
        <w:t>Xx</w:t>
      </w:r>
      <w:r>
        <w:rPr>
          <w:rFonts w:ascii="Times New Roman" w:hAnsi="Times New Roman"/>
        </w:rPr>
        <w:tab/>
      </w:r>
      <w:r>
        <w:rPr>
          <w:rFonts w:ascii="Times New Roman" w:hAnsi="Times New Roman"/>
        </w:rPr>
        <w:tab/>
        <w:t>xx</w:t>
      </w:r>
      <w:r>
        <w:rPr>
          <w:rFonts w:ascii="Times New Roman" w:hAnsi="Times New Roman"/>
        </w:rPr>
        <w:tab/>
      </w:r>
      <w:r>
        <w:rPr>
          <w:rFonts w:ascii="Times New Roman" w:hAnsi="Times New Roman"/>
        </w:rPr>
        <w:tab/>
        <w:t>xx</w:t>
      </w:r>
      <w:r>
        <w:rPr>
          <w:rFonts w:ascii="Times New Roman" w:hAnsi="Times New Roman"/>
        </w:rPr>
        <w:tab/>
      </w:r>
      <w:r>
        <w:rPr>
          <w:rFonts w:ascii="Times New Roman" w:hAnsi="Times New Roman"/>
        </w:rPr>
        <w:tab/>
        <w:t>Buy</w:t>
      </w:r>
      <w:r>
        <w:rPr>
          <w:rFonts w:ascii="Times New Roman" w:hAnsi="Times New Roman"/>
        </w:rPr>
        <w:tab/>
      </w:r>
      <w:r>
        <w:rPr>
          <w:rFonts w:ascii="Times New Roman" w:hAnsi="Times New Roman"/>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Xx</w:t>
      </w:r>
      <w:r>
        <w:rPr>
          <w:rFonts w:ascii="Times New Roman" w:hAnsi="Times New Roman"/>
          <w:sz w:val="24"/>
        </w:rPr>
        <w:tab/>
      </w:r>
      <w:r>
        <w:rPr>
          <w:rFonts w:ascii="Times New Roman" w:hAnsi="Times New Roman"/>
          <w:sz w:val="24"/>
        </w:rPr>
        <w:tab/>
        <w:t>xx</w:t>
      </w:r>
      <w:r>
        <w:rPr>
          <w:rFonts w:ascii="Times New Roman" w:hAnsi="Times New Roman"/>
          <w:sz w:val="24"/>
        </w:rPr>
        <w:tab/>
      </w:r>
      <w:r>
        <w:rPr>
          <w:rFonts w:ascii="Times New Roman" w:hAnsi="Times New Roman"/>
          <w:sz w:val="24"/>
        </w:rPr>
        <w:tab/>
        <w:t>xx</w:t>
      </w:r>
      <w:r>
        <w:rPr>
          <w:rFonts w:ascii="Times New Roman" w:hAnsi="Times New Roman"/>
          <w:sz w:val="24"/>
        </w:rPr>
        <w:tab/>
      </w:r>
      <w:r>
        <w:rPr>
          <w:rFonts w:ascii="Times New Roman" w:hAnsi="Times New Roman"/>
          <w:sz w:val="24"/>
        </w:rPr>
        <w:tab/>
        <w:t>Sell</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The Clearing Members are advised to give details pertaining to squared off transactions and exercised/ assigned options in an appropriate manner, on the day of such event, for the easy and enhanced understanding of the client.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It should be noted that if the Total Initial Margin payable by Client  is in favour of the Client it would be added to his collateral and the client can take up positions against such favourable margins. However, the Client is not allowed to withdraw this amount. </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Some examples of transactions, Memorandum entries and financial accounting entries are provided below:</w:t>
      </w:r>
    </w:p>
    <w:p w:rsidR="00B55698" w:rsidRDefault="00B55698">
      <w:pPr>
        <w:jc w:val="both"/>
        <w:rPr>
          <w:rFonts w:ascii="Times New Roman" w:hAnsi="Times New Roman"/>
          <w:sz w:val="24"/>
        </w:rPr>
      </w:pPr>
    </w:p>
    <w:p w:rsidR="00B55698" w:rsidRDefault="00B55698">
      <w:pPr>
        <w:pStyle w:val="Heading1"/>
        <w:jc w:val="both"/>
        <w:rPr>
          <w:rFonts w:ascii="Times New Roman" w:hAnsi="Times New Roman"/>
          <w:sz w:val="24"/>
        </w:rPr>
      </w:pPr>
      <w:r>
        <w:rPr>
          <w:rFonts w:ascii="Times New Roman" w:hAnsi="Times New Roman"/>
          <w:sz w:val="24"/>
        </w:rPr>
        <w:t>Facts of the Case</w:t>
      </w:r>
    </w:p>
    <w:p w:rsidR="00B55698" w:rsidRDefault="00B55698">
      <w:pPr>
        <w:jc w:val="both"/>
        <w:rPr>
          <w:rFonts w:ascii="Times New Roman" w:hAnsi="Times New Roman"/>
          <w:sz w:val="24"/>
        </w:rPr>
      </w:pPr>
      <w:r>
        <w:rPr>
          <w:rFonts w:ascii="Times New Roman" w:hAnsi="Times New Roman"/>
          <w:sz w:val="24"/>
        </w:rPr>
        <w:t xml:space="preserve">A Client enters into a transaction for sale of one Contract of June future at 10:30 in the morning, at 4000 price, its contract value being Rs.2,00,000. The Client also enters into a long position of one Contract on the June 4000 Call that is, one long June Call at a strike </w:t>
      </w:r>
      <w:r>
        <w:rPr>
          <w:rFonts w:ascii="Times New Roman" w:hAnsi="Times New Roman"/>
          <w:sz w:val="24"/>
        </w:rPr>
        <w:lastRenderedPageBreak/>
        <w:t>price of 4000 at a premium of 160. The risk management software indicates that the Initial Margin payable is Rs 25,000 at this time of the morning.</w:t>
      </w:r>
    </w:p>
    <w:p w:rsidR="00B55698" w:rsidRDefault="00B55698">
      <w:pPr>
        <w:jc w:val="both"/>
        <w:rPr>
          <w:rFonts w:ascii="Times New Roman" w:hAnsi="Times New Roman"/>
          <w:sz w:val="24"/>
        </w:rPr>
      </w:pPr>
      <w:r>
        <w:rPr>
          <w:rFonts w:ascii="Times New Roman" w:hAnsi="Times New Roman"/>
          <w:sz w:val="24"/>
        </w:rPr>
        <w:t xml:space="preserve">At end of day, the price of the June future has closed at a higher level at 4100 and the Contract Value at the end of the day is Rs 2,05,000. A mark to market loss of Rs 5,000 has arisen. Further, the risk management software indicates that the Initial Margin/Total Requirement to be maintained is Rs 26,000. </w:t>
      </w:r>
    </w:p>
    <w:p w:rsidR="00B55698" w:rsidRDefault="00B55698">
      <w:pPr>
        <w:jc w:val="both"/>
        <w:rPr>
          <w:rFonts w:ascii="Times New Roman" w:hAnsi="Times New Roman"/>
          <w:sz w:val="24"/>
        </w:rPr>
      </w:pPr>
    </w:p>
    <w:p w:rsidR="00B55698" w:rsidRDefault="00B55698">
      <w:pPr>
        <w:pStyle w:val="Heading1"/>
        <w:jc w:val="both"/>
        <w:rPr>
          <w:rFonts w:ascii="Times New Roman" w:hAnsi="Times New Roman"/>
        </w:rPr>
      </w:pPr>
    </w:p>
    <w:p w:rsidR="00B55698" w:rsidRDefault="00B55698">
      <w:pPr>
        <w:pStyle w:val="Heading1"/>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Control and Accounting Implications</w:t>
      </w:r>
    </w:p>
    <w:p w:rsidR="00B55698" w:rsidRDefault="00B55698">
      <w:pPr>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Clearing Member shall ensure the following:</w:t>
      </w:r>
    </w:p>
    <w:p w:rsidR="00B55698" w:rsidRDefault="00B55698">
      <w:pPr>
        <w:jc w:val="both"/>
        <w:rPr>
          <w:rFonts w:ascii="Times New Roman" w:hAnsi="Times New Roman"/>
          <w:sz w:val="24"/>
        </w:rPr>
      </w:pPr>
    </w:p>
    <w:p w:rsidR="00B55698" w:rsidRDefault="00B55698">
      <w:pPr>
        <w:numPr>
          <w:ilvl w:val="0"/>
          <w:numId w:val="24"/>
        </w:numPr>
        <w:jc w:val="both"/>
        <w:rPr>
          <w:rFonts w:ascii="Times New Roman" w:hAnsi="Times New Roman"/>
          <w:sz w:val="24"/>
        </w:rPr>
      </w:pPr>
      <w:r>
        <w:rPr>
          <w:rFonts w:ascii="Times New Roman" w:hAnsi="Times New Roman"/>
          <w:sz w:val="24"/>
        </w:rPr>
        <w:t>Initial Margin of Rs 25,000 is collected from the client upfront (i.e. before execution of the Futures transaction)</w:t>
      </w:r>
    </w:p>
    <w:p w:rsidR="00B55698" w:rsidRDefault="00B55698">
      <w:pPr>
        <w:numPr>
          <w:ilvl w:val="0"/>
          <w:numId w:val="24"/>
        </w:numPr>
        <w:jc w:val="both"/>
        <w:rPr>
          <w:rFonts w:ascii="Times New Roman" w:hAnsi="Times New Roman"/>
          <w:sz w:val="24"/>
        </w:rPr>
      </w:pPr>
      <w:r>
        <w:rPr>
          <w:rFonts w:ascii="Times New Roman" w:hAnsi="Times New Roman"/>
          <w:sz w:val="24"/>
        </w:rPr>
        <w:t>The enhanced initial margin of Rs.1,000 should be collected.</w:t>
      </w:r>
    </w:p>
    <w:p w:rsidR="00B55698" w:rsidRDefault="00B55698">
      <w:pPr>
        <w:numPr>
          <w:ilvl w:val="0"/>
          <w:numId w:val="24"/>
        </w:numPr>
        <w:jc w:val="both"/>
        <w:rPr>
          <w:rFonts w:ascii="Times New Roman" w:hAnsi="Times New Roman"/>
          <w:sz w:val="24"/>
        </w:rPr>
      </w:pPr>
      <w:r>
        <w:rPr>
          <w:rFonts w:ascii="Times New Roman" w:hAnsi="Times New Roman"/>
          <w:sz w:val="24"/>
        </w:rPr>
        <w:t xml:space="preserve">Option Premium of Rs 8,000 (160x50) is collected from the Client on T+1 basis in cash. </w:t>
      </w:r>
    </w:p>
    <w:p w:rsidR="00B55698" w:rsidRDefault="00B55698">
      <w:pPr>
        <w:numPr>
          <w:ilvl w:val="0"/>
          <w:numId w:val="24"/>
        </w:numPr>
        <w:jc w:val="both"/>
        <w:rPr>
          <w:rFonts w:ascii="Times New Roman" w:hAnsi="Times New Roman"/>
          <w:sz w:val="24"/>
        </w:rPr>
      </w:pPr>
      <w:r>
        <w:rPr>
          <w:rFonts w:ascii="Times New Roman" w:hAnsi="Times New Roman"/>
          <w:sz w:val="24"/>
        </w:rPr>
        <w:t>Mark to Market Loss on the Futures position of Rs 5,000 is collected from the Client on T+1 basis in cash.</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cases where the Initial Margin is paid/refunded in Cash to/by the Client, an accounting entry will be passed as covered by Section 1 above.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As already explained above, the Clearing Member shall appropriately reflect all cash and Collateral collected towards Initial Margin in the daily statement.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 Bill shall be raised on the Client for the Mark to Market Variation of Rs 5,000. Accounting entries can be passed as under :</w:t>
      </w:r>
    </w:p>
    <w:p w:rsidR="00B55698" w:rsidRDefault="00B55698">
      <w:pPr>
        <w:jc w:val="both"/>
        <w:rPr>
          <w:rFonts w:ascii="Times New Roman" w:hAnsi="Times New Roman"/>
          <w:sz w:val="24"/>
        </w:rPr>
      </w:pPr>
    </w:p>
    <w:p w:rsidR="00B55698" w:rsidRDefault="00B55698">
      <w:pPr>
        <w:jc w:val="both"/>
        <w:rPr>
          <w:rFonts w:ascii="Times New Roman" w:hAnsi="Times New Roman"/>
          <w:b/>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(Specific Code) Account (Liability)</w:t>
      </w:r>
      <w:r>
        <w:rPr>
          <w:rFonts w:ascii="Times New Roman" w:hAnsi="Times New Roman"/>
          <w:sz w:val="24"/>
        </w:rPr>
        <w:tab/>
        <w:t>Debit</w:t>
      </w:r>
      <w:r>
        <w:rPr>
          <w:rFonts w:ascii="Times New Roman" w:hAnsi="Times New Roman"/>
          <w:sz w:val="24"/>
        </w:rPr>
        <w:tab/>
      </w:r>
      <w:r>
        <w:rPr>
          <w:rFonts w:ascii="Times New Roman" w:hAnsi="Times New Roman"/>
          <w:sz w:val="24"/>
        </w:rPr>
        <w:tab/>
        <w:t>Rs 5,000</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 xml:space="preserve">Clearing House Mark to Market Variation (Liability) </w:t>
      </w:r>
      <w:r>
        <w:rPr>
          <w:rFonts w:ascii="Times New Roman" w:hAnsi="Times New Roman"/>
          <w:sz w:val="24"/>
        </w:rPr>
        <w:tab/>
        <w:t>Credit</w:t>
      </w:r>
      <w:r>
        <w:rPr>
          <w:rFonts w:ascii="Times New Roman" w:hAnsi="Times New Roman"/>
          <w:sz w:val="24"/>
        </w:rPr>
        <w:tab/>
        <w:t>Rs 5,000</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entry indicates that on the one hand the Clearing Member is required to collect Rs 5,000 from the Client, while on the other hand, he is liable to pay the same amount to the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 Bill shall be raised on the Client for the Option Premium of Rs 8,000. An accounting entry shall be passed in the financial books for this bill as under:</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(Specific Code) Account (Liability)</w:t>
      </w:r>
      <w:r>
        <w:rPr>
          <w:rFonts w:ascii="Times New Roman" w:hAnsi="Times New Roman"/>
          <w:sz w:val="24"/>
        </w:rPr>
        <w:tab/>
        <w:t>Debit</w:t>
      </w:r>
      <w:r>
        <w:rPr>
          <w:rFonts w:ascii="Times New Roman" w:hAnsi="Times New Roman"/>
          <w:sz w:val="24"/>
        </w:rPr>
        <w:tab/>
      </w:r>
      <w:r>
        <w:rPr>
          <w:rFonts w:ascii="Times New Roman" w:hAnsi="Times New Roman"/>
          <w:sz w:val="24"/>
        </w:rPr>
        <w:tab/>
        <w:t>Rs 8,000</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 xml:space="preserve">Clearing House Option Premium &amp; Settlement Account(Liability) </w:t>
      </w:r>
      <w:r>
        <w:rPr>
          <w:rFonts w:ascii="Times New Roman" w:hAnsi="Times New Roman"/>
          <w:sz w:val="24"/>
        </w:rPr>
        <w:tab/>
        <w:t>Credit</w:t>
      </w:r>
      <w:r>
        <w:rPr>
          <w:rFonts w:ascii="Times New Roman" w:hAnsi="Times New Roman"/>
          <w:sz w:val="24"/>
        </w:rPr>
        <w:tab/>
        <w:t>Rs 8,000</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lastRenderedPageBreak/>
        <w:t>The entry indicates that on the one hand the Clearing Member is required to collect Rs 8,000 from the Client, while on the other hand, he is liable to pay the same amount to the Clearing House.</w:t>
      </w:r>
    </w:p>
    <w:p w:rsidR="00B55698" w:rsidRDefault="00B55698">
      <w:pPr>
        <w:jc w:val="both"/>
        <w:rPr>
          <w:rFonts w:ascii="Times New Roman" w:hAnsi="Times New Roman"/>
          <w:sz w:val="24"/>
        </w:rPr>
      </w:pPr>
      <w:r>
        <w:rPr>
          <w:rFonts w:ascii="Times New Roman" w:hAnsi="Times New Roman"/>
          <w:sz w:val="24"/>
        </w:rPr>
        <w:t>A bill shall be raised for additional Initial Margin for Rs. 1,000 but no accounting entry shall be passed.</w:t>
      </w: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7. Collection of Mark to Market Margins and Option Premiums from Clients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Mark to Market Margins on futures are to be collected by the Clearing Member from the client only in cash. Cash equivalents or equity Collateral are not permitted.</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Option Premiums are to be collected by Clearing Members from clients only in cash. Cash equivalents or Collateral are not permitted.</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At the point of collection, the Clearing Member shall issue a Receipt and the following accounting entry shall be passed:</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Cash Account (Asset)</w:t>
      </w:r>
      <w:r>
        <w:rPr>
          <w:rFonts w:ascii="Times New Roman" w:hAnsi="Times New Roman"/>
          <w:sz w:val="24"/>
        </w:rPr>
        <w:tab/>
        <w:t>Debit</w:t>
      </w:r>
      <w:r>
        <w:rPr>
          <w:rFonts w:ascii="Times New Roman" w:hAnsi="Times New Roman"/>
          <w:sz w:val="24"/>
        </w:rPr>
        <w:tab/>
      </w:r>
      <w:r>
        <w:rPr>
          <w:rFonts w:ascii="Times New Roman" w:hAnsi="Times New Roman"/>
          <w:sz w:val="24"/>
        </w:rPr>
        <w:tab/>
        <w:t>Rs 13,000</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Client (Specific Code) Account (Liability)</w:t>
      </w:r>
      <w:r>
        <w:rPr>
          <w:rFonts w:ascii="Times New Roman" w:hAnsi="Times New Roman"/>
          <w:sz w:val="24"/>
        </w:rPr>
        <w:tab/>
        <w:t xml:space="preserve">Credit </w:t>
      </w:r>
      <w:r>
        <w:rPr>
          <w:rFonts w:ascii="Times New Roman" w:hAnsi="Times New Roman"/>
          <w:sz w:val="24"/>
        </w:rPr>
        <w:tab/>
        <w:t>Rs 13,000</w:t>
      </w:r>
    </w:p>
    <w:p w:rsidR="00B55698" w:rsidRDefault="00B55698">
      <w:pPr>
        <w:jc w:val="both"/>
        <w:rPr>
          <w:rFonts w:ascii="Times New Roman" w:hAnsi="Times New Roman"/>
          <w:b/>
          <w:sz w:val="24"/>
        </w:rPr>
      </w:pPr>
    </w:p>
    <w:p w:rsidR="00B55698" w:rsidRDefault="00B55698">
      <w:pPr>
        <w:jc w:val="both"/>
        <w:rPr>
          <w:rFonts w:ascii="Times New Roman" w:hAnsi="Times New Roman"/>
          <w:sz w:val="24"/>
        </w:rPr>
      </w:pPr>
      <w:r>
        <w:rPr>
          <w:rFonts w:ascii="Times New Roman" w:hAnsi="Times New Roman"/>
          <w:sz w:val="24"/>
        </w:rPr>
        <w:t>It is possible in some cases that the Client has paid excess Initial Margin in Cash. The Clearing Member cannot, on his own, adjust such excess Initial Margin paid in Cash, towards Mark to Market Margins or towards Option Premiums. The Client is required to specifically request the Clearing Member in writing that the excess Initial Margin paid in Cash be adjusted towards the Mark to Market Margins or towards Option Premiums of that particular day. The request shall mention the exact amount that is required to be transferred to the Mark to Market Margin Account or to the Option Premium from the Initial Margin Account.  The client may, if the Clearing Member agrees, give a one-time written request for a specific period, that excess Initial Margin paid in Cash be adjusted towards Mark to Market Margins on futures or towards the Net Option Premium payable by the client.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Clearing Member has the right to refuse the request of the Client to effect such adjustments, in which case the Client shall be required to bring in the Mark to Market Margins or the Option Premium in Cash. However, in case of default by the Client, the Clearing Member can adjust the excess Initial Margin paid in Cash against the Mark to Market Margin or the Option Premium.</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Clearing Member shall refuse such requests in cases where the balance Initial Margin (after the adjustment) falls below the required level.</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If the request is accepted, or where the Clearing Member decides to adjust, the appropriate adjustment shall be effected and the following accounting entry shall be passed.</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(Specific Code) Initial Margin Account (Liability) 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Client (Specific Code) Account (Liability)</w:t>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rPr>
      </w:pPr>
    </w:p>
    <w:p w:rsidR="00B55698" w:rsidRDefault="00B55698">
      <w:pPr>
        <w:jc w:val="both"/>
        <w:rPr>
          <w:rFonts w:ascii="Times New Roman" w:hAnsi="Times New Roman"/>
          <w:b/>
        </w:rPr>
      </w:pPr>
    </w:p>
    <w:p w:rsidR="00B55698" w:rsidRDefault="00B55698">
      <w:pPr>
        <w:jc w:val="both"/>
        <w:rPr>
          <w:rFonts w:ascii="Times New Roman" w:hAnsi="Times New Roman"/>
          <w:b/>
        </w:rPr>
      </w:pPr>
      <w:r>
        <w:rPr>
          <w:rFonts w:ascii="Times New Roman" w:hAnsi="Times New Roman"/>
          <w:b/>
        </w:rPr>
        <w:t>8. Squaring Up of Transactions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On account of squaring up of certain positions by the client, the margin requirements on the portfolio may increase or decrease.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Mark to Market Margin on Futures positions squared up during the day will be calculated based on the difference between yesterday’s closing price and the price at which the square up was effected. For example, if yesterday’s closing price was Rs 4,900 (one contract), which was squared up today for Rs 4,800, a loss of Rs 5,000 would arise (1*50*100).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No accounting entry shall be passed for reduction of the Initial Margin in the financial books. In cases where the Initial Margin is paid/refunded in Cash to/by the Client, an accounting entry will be passed as covered by Section 1 above.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Memorandum records shall be updated and the balance Initial Margin available from the client will stand enhanced as at the end of the day, if a particular lot which has been squared up during the day has resulted in a reduction of Initial Margin.</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 financial entry shall be passed for the Mark to Market Variation of Rs 5,000 as under:</w:t>
      </w:r>
    </w:p>
    <w:p w:rsidR="00B55698" w:rsidRDefault="00B55698">
      <w:pPr>
        <w:jc w:val="both"/>
        <w:rPr>
          <w:rFonts w:ascii="Times New Roman" w:hAnsi="Times New Roman"/>
          <w:sz w:val="24"/>
        </w:rPr>
      </w:pP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Client Specific Code (Liability) Account</w:t>
      </w:r>
      <w:r>
        <w:rPr>
          <w:rFonts w:ascii="Times New Roman" w:hAnsi="Times New Roman"/>
          <w:sz w:val="24"/>
        </w:rPr>
        <w:tab/>
      </w:r>
      <w:r>
        <w:rPr>
          <w:rFonts w:ascii="Times New Roman" w:hAnsi="Times New Roman"/>
          <w:sz w:val="24"/>
        </w:rPr>
        <w:tab/>
        <w:t xml:space="preserve">Debit </w:t>
      </w:r>
      <w:r>
        <w:rPr>
          <w:rFonts w:ascii="Times New Roman" w:hAnsi="Times New Roman"/>
          <w:sz w:val="24"/>
        </w:rPr>
        <w:tab/>
      </w:r>
      <w:r>
        <w:rPr>
          <w:rFonts w:ascii="Times New Roman" w:hAnsi="Times New Roman"/>
          <w:sz w:val="24"/>
        </w:rPr>
        <w:tab/>
        <w:t xml:space="preserve">Rs </w:t>
      </w:r>
      <w:r>
        <w:rPr>
          <w:rFonts w:ascii="Times New Roman" w:hAnsi="Times New Roman"/>
          <w:sz w:val="24"/>
        </w:rPr>
        <w:tab/>
        <w:t>5,000</w:t>
      </w: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ab/>
        <w:t xml:space="preserve">Clearing House Mark to Market Variation (Liability) Account </w:t>
      </w:r>
      <w:r>
        <w:rPr>
          <w:rFonts w:ascii="Times New Roman" w:hAnsi="Times New Roman"/>
          <w:sz w:val="24"/>
        </w:rPr>
        <w:tab/>
        <w:t>Credit</w:t>
      </w:r>
      <w:r>
        <w:rPr>
          <w:rFonts w:ascii="Times New Roman" w:hAnsi="Times New Roman"/>
          <w:sz w:val="24"/>
        </w:rPr>
        <w:tab/>
      </w:r>
      <w:r>
        <w:rPr>
          <w:rFonts w:ascii="Times New Roman" w:hAnsi="Times New Roman"/>
          <w:sz w:val="24"/>
        </w:rPr>
        <w:tab/>
        <w:t>Rs 5,000</w:t>
      </w:r>
    </w:p>
    <w:p w:rsidR="00B55698" w:rsidRDefault="00B55698">
      <w:pPr>
        <w:jc w:val="both"/>
        <w:rPr>
          <w:rFonts w:ascii="Times New Roman" w:hAnsi="Times New Roman"/>
          <w:b/>
          <w:sz w:val="24"/>
        </w:rPr>
      </w:pPr>
    </w:p>
    <w:p w:rsidR="00B55698" w:rsidRDefault="00B55698">
      <w:pPr>
        <w:pStyle w:val="BodyText3"/>
        <w:rPr>
          <w:rFonts w:ascii="Times New Roman" w:hAnsi="Times New Roman"/>
          <w:sz w:val="24"/>
        </w:rPr>
      </w:pPr>
      <w:r>
        <w:rPr>
          <w:rFonts w:ascii="Times New Roman" w:hAnsi="Times New Roman"/>
          <w:sz w:val="24"/>
        </w:rPr>
        <w:t>In the event of exercise/assignment of options, the resultant difference between the strike price and the exercise price shall be accounted for in the Options Premium &amp; Settlement Account.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For example, a holder of a Sensex June call option at a strike of 4000, exercises his option on the expiry of the series and the settlement price is 4200, the member would be liable to pay the holder Rs.10,000 (200*50). A financial entry for the above will be passed as shown under:</w:t>
      </w:r>
    </w:p>
    <w:p w:rsidR="00B55698" w:rsidRDefault="00B55698">
      <w:pPr>
        <w:jc w:val="both"/>
        <w:rPr>
          <w:rFonts w:ascii="Times New Roman" w:hAnsi="Times New Roman"/>
          <w:sz w:val="24"/>
        </w:rPr>
      </w:pP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Clearing House Option Premium &amp; Settlement(Liability) Account  Debit </w:t>
      </w:r>
      <w:r>
        <w:rPr>
          <w:rFonts w:ascii="Times New Roman" w:hAnsi="Times New Roman"/>
          <w:sz w:val="24"/>
        </w:rPr>
        <w:tab/>
      </w:r>
      <w:r>
        <w:rPr>
          <w:rFonts w:ascii="Times New Roman" w:hAnsi="Times New Roman"/>
          <w:sz w:val="24"/>
        </w:rPr>
        <w:tab/>
        <w:t xml:space="preserve">Rs </w:t>
      </w:r>
      <w:r>
        <w:rPr>
          <w:rFonts w:ascii="Times New Roman" w:hAnsi="Times New Roman"/>
          <w:sz w:val="24"/>
        </w:rPr>
        <w:tab/>
        <w:t>10,000</w:t>
      </w: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ab/>
        <w:t>Client Specific Code (Liability) Account Credit</w:t>
      </w:r>
      <w:r>
        <w:rPr>
          <w:rFonts w:ascii="Times New Roman" w:hAnsi="Times New Roman"/>
          <w:sz w:val="24"/>
        </w:rPr>
        <w:tab/>
        <w:t>Rs 10,000</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Similarly when an option is assigned against a writer of a Sensex June put option at a strike of 4000 on the expiry of the series and the settlement price is 3900, the member would be entitled to receive from the writer Rs.5,000 (100*50). A financial entry for the above will be passed as shown under:</w:t>
      </w:r>
    </w:p>
    <w:p w:rsidR="00B55698" w:rsidRDefault="00B55698">
      <w:pPr>
        <w:jc w:val="both"/>
        <w:rPr>
          <w:rFonts w:ascii="Times New Roman" w:hAnsi="Times New Roman"/>
          <w:sz w:val="24"/>
        </w:rPr>
      </w:pP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Client Specific Code (Liability) Account</w:t>
      </w:r>
      <w:r>
        <w:rPr>
          <w:rFonts w:ascii="Times New Roman" w:hAnsi="Times New Roman"/>
          <w:sz w:val="24"/>
        </w:rPr>
        <w:tab/>
      </w:r>
      <w:r>
        <w:rPr>
          <w:rFonts w:ascii="Times New Roman" w:hAnsi="Times New Roman"/>
          <w:sz w:val="24"/>
        </w:rPr>
        <w:tab/>
        <w:t xml:space="preserve">Debit </w:t>
      </w:r>
      <w:r>
        <w:rPr>
          <w:rFonts w:ascii="Times New Roman" w:hAnsi="Times New Roman"/>
          <w:sz w:val="24"/>
        </w:rPr>
        <w:tab/>
      </w:r>
      <w:r>
        <w:rPr>
          <w:rFonts w:ascii="Times New Roman" w:hAnsi="Times New Roman"/>
          <w:sz w:val="24"/>
        </w:rPr>
        <w:tab/>
        <w:t xml:space="preserve">Rs </w:t>
      </w:r>
      <w:r>
        <w:rPr>
          <w:rFonts w:ascii="Times New Roman" w:hAnsi="Times New Roman"/>
          <w:sz w:val="24"/>
        </w:rPr>
        <w:tab/>
        <w:t>5,000</w:t>
      </w:r>
    </w:p>
    <w:p w:rsidR="00B55698" w:rsidRDefault="00B55698">
      <w:pPr>
        <w:pBdr>
          <w:top w:val="single" w:sz="4" w:space="1" w:color="auto"/>
          <w:left w:val="single" w:sz="4" w:space="7" w:color="auto"/>
          <w:bottom w:val="single" w:sz="4" w:space="1" w:color="auto"/>
          <w:right w:val="single" w:sz="4" w:space="4" w:color="auto"/>
        </w:pBdr>
        <w:jc w:val="both"/>
        <w:rPr>
          <w:rFonts w:ascii="Times New Roman" w:hAnsi="Times New Roman"/>
          <w:sz w:val="24"/>
        </w:rPr>
      </w:pPr>
      <w:r>
        <w:rPr>
          <w:rFonts w:ascii="Times New Roman" w:hAnsi="Times New Roman"/>
          <w:sz w:val="24"/>
        </w:rPr>
        <w:tab/>
        <w:t xml:space="preserve">Clearing House Option Premium &amp; Settlement (Liability) Account </w:t>
      </w:r>
      <w:r>
        <w:rPr>
          <w:rFonts w:ascii="Times New Roman" w:hAnsi="Times New Roman"/>
          <w:sz w:val="24"/>
        </w:rPr>
        <w:tab/>
        <w:t>Credit</w:t>
      </w:r>
      <w:r>
        <w:rPr>
          <w:rFonts w:ascii="Times New Roman" w:hAnsi="Times New Roman"/>
          <w:sz w:val="24"/>
        </w:rPr>
        <w:tab/>
      </w:r>
      <w:r>
        <w:rPr>
          <w:rFonts w:ascii="Times New Roman" w:hAnsi="Times New Roman"/>
          <w:sz w:val="24"/>
        </w:rPr>
        <w:tab/>
        <w:t>Rs 5,000</w:t>
      </w: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9. Daily Transactions vis-à-vis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above transactions (explained vis-à-vis clients) shall have reciprocal effects vis-à-vis the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Some examples of transactions and corresponding accounting entries are provided below:</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A Clearing Member enters into several transactions during the course of the day. The Initial Margin to be collected based on these transactions (based on the point of time when they were entered into during the day) is Rs 4 </w:t>
      </w:r>
      <w:proofErr w:type="spellStart"/>
      <w:r>
        <w:rPr>
          <w:rFonts w:ascii="Times New Roman" w:hAnsi="Times New Roman"/>
          <w:sz w:val="24"/>
        </w:rPr>
        <w:t>lakhs</w:t>
      </w:r>
      <w:proofErr w:type="spellEnd"/>
      <w:r>
        <w:rPr>
          <w:rFonts w:ascii="Times New Roman" w:hAnsi="Times New Roman"/>
          <w:sz w:val="24"/>
        </w:rPr>
        <w:t xml:space="preserve">.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At end of day, the Initial Margin payable comes to Rs. 3.50 </w:t>
      </w:r>
      <w:proofErr w:type="spellStart"/>
      <w:r>
        <w:rPr>
          <w:rFonts w:ascii="Times New Roman" w:hAnsi="Times New Roman"/>
          <w:sz w:val="24"/>
        </w:rPr>
        <w:t>lakhs</w:t>
      </w:r>
      <w:proofErr w:type="spellEnd"/>
      <w:r>
        <w:rPr>
          <w:rFonts w:ascii="Times New Roman" w:hAnsi="Times New Roman"/>
          <w:sz w:val="24"/>
        </w:rPr>
        <w:t xml:space="preserve">.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Further, due to the change between the contract prices and the closing prices, a mark to market variation demand of Rs 5 </w:t>
      </w:r>
      <w:proofErr w:type="spellStart"/>
      <w:r>
        <w:rPr>
          <w:rFonts w:ascii="Times New Roman" w:hAnsi="Times New Roman"/>
          <w:sz w:val="24"/>
        </w:rPr>
        <w:t>lakhs</w:t>
      </w:r>
      <w:proofErr w:type="spellEnd"/>
      <w:r>
        <w:rPr>
          <w:rFonts w:ascii="Times New Roman" w:hAnsi="Times New Roman"/>
          <w:sz w:val="24"/>
        </w:rPr>
        <w:t xml:space="preserve"> has arisen. Further, Option Premium payable to the Clearing House based on various transactions during the day is Rs 3 </w:t>
      </w:r>
      <w:proofErr w:type="spellStart"/>
      <w:r>
        <w:rPr>
          <w:rFonts w:ascii="Times New Roman" w:hAnsi="Times New Roman"/>
          <w:sz w:val="24"/>
        </w:rPr>
        <w:t>lakhs</w:t>
      </w:r>
      <w:proofErr w:type="spellEnd"/>
      <w:r>
        <w:rPr>
          <w:rFonts w:ascii="Times New Roman" w:hAnsi="Times New Roman"/>
          <w:sz w:val="24"/>
        </w:rPr>
        <w: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No financial accounting entries will be passed for the Initial Margin payable (both during the day and for the position at the end of the day). Memorandum records of the Clearing Member shall be updated for the Initial Margin payable as at the end of the day.</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A financial entry will be required for the Option Premium of Rs.3 lacs and Mark to Market Margin of Rs 5 </w:t>
      </w:r>
      <w:proofErr w:type="spellStart"/>
      <w:r>
        <w:rPr>
          <w:rFonts w:ascii="Times New Roman" w:hAnsi="Times New Roman"/>
          <w:sz w:val="24"/>
        </w:rPr>
        <w:t>lakhs</w:t>
      </w:r>
      <w:proofErr w:type="spellEnd"/>
      <w:r>
        <w:rPr>
          <w:rFonts w:ascii="Times New Roman" w:hAnsi="Times New Roman"/>
          <w:sz w:val="24"/>
        </w:rPr>
        <w:t xml:space="preserve"> demanded by the Clearing House.</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Clearing House Mark to Market Variation (Liability) Account Debit Rs 5 </w:t>
      </w:r>
      <w:proofErr w:type="spellStart"/>
      <w:r>
        <w:rPr>
          <w:rFonts w:ascii="Times New Roman" w:hAnsi="Times New Roman"/>
          <w:sz w:val="24"/>
        </w:rPr>
        <w:t>lakhs</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Clearing House Account (Asset)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Credit Rs 5 </w:t>
      </w:r>
      <w:proofErr w:type="spellStart"/>
      <w:r>
        <w:rPr>
          <w:rFonts w:ascii="Times New Roman" w:hAnsi="Times New Roman"/>
          <w:sz w:val="24"/>
        </w:rPr>
        <w:t>lakhs</w:t>
      </w:r>
      <w:proofErr w:type="spellEnd"/>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 xml:space="preserve">Clearing House Option Premium &amp; Settlement (Liability) Account Debit Rs 3 </w:t>
      </w:r>
      <w:proofErr w:type="spellStart"/>
      <w:r>
        <w:rPr>
          <w:rFonts w:ascii="Times New Roman" w:hAnsi="Times New Roman"/>
          <w:sz w:val="24"/>
        </w:rPr>
        <w:t>lakhs</w:t>
      </w:r>
      <w:proofErr w:type="spellEnd"/>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Clearing House Account (Asset)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Credit Rs 3 </w:t>
      </w:r>
      <w:proofErr w:type="spellStart"/>
      <w:r>
        <w:rPr>
          <w:rFonts w:ascii="Times New Roman" w:hAnsi="Times New Roman"/>
          <w:sz w:val="24"/>
        </w:rPr>
        <w:t>lakhs</w:t>
      </w:r>
      <w:proofErr w:type="spellEnd"/>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The Clearing House Mark to Market Variation Account and the Clearing House Option Premium &amp; Settlement Account will stand reduced to zero once the above Debit is effected and the Credits are effected by Debits to various Clients. If this Account is not zero by the end the day T+1, the difference may be indicative of errors or omissions and should be </w:t>
      </w:r>
      <w:proofErr w:type="spellStart"/>
      <w:r>
        <w:rPr>
          <w:rFonts w:ascii="Times New Roman" w:hAnsi="Times New Roman"/>
          <w:sz w:val="24"/>
        </w:rPr>
        <w:t>scrutinised</w:t>
      </w:r>
      <w:proofErr w:type="spellEnd"/>
      <w:r>
        <w:rPr>
          <w:rFonts w:ascii="Times New Roman" w:hAnsi="Times New Roman"/>
          <w:sz w:val="24"/>
        </w:rPr>
        <w:t xml:space="preserve"> by the Clearing Member carefully.</w:t>
      </w:r>
    </w:p>
    <w:p w:rsidR="00B55698" w:rsidRDefault="00B55698">
      <w:pPr>
        <w:jc w:val="both"/>
        <w:rPr>
          <w:rFonts w:ascii="Times New Roman" w:hAnsi="Times New Roman"/>
        </w:rPr>
      </w:pPr>
    </w:p>
    <w:p w:rsidR="00B55698" w:rsidRDefault="00B55698">
      <w:pPr>
        <w:jc w:val="both"/>
        <w:rPr>
          <w:rFonts w:ascii="Times New Roman" w:hAnsi="Times New Roman"/>
          <w:b/>
        </w:rPr>
      </w:pPr>
    </w:p>
    <w:p w:rsidR="00B55698" w:rsidRDefault="00B55698">
      <w:pPr>
        <w:jc w:val="both"/>
        <w:rPr>
          <w:rFonts w:ascii="Times New Roman" w:hAnsi="Times New Roman"/>
          <w:b/>
        </w:rPr>
      </w:pPr>
      <w:r>
        <w:rPr>
          <w:rFonts w:ascii="Times New Roman" w:hAnsi="Times New Roman"/>
          <w:b/>
        </w:rPr>
        <w:t>10. Payments/Receipts to/from Clearing House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lastRenderedPageBreak/>
        <w:t>The Clearing Member shall effect payment of Mark to Market Margins and Option Premiums to the Clearing House. These Mark to Market Margins and Option Premiums should be paid by the Clearing Member irrespective of whether the Clearing Member has been able to collect the Mark to Market Margins and Option Premiums from his clients or otherwise.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At the point of payment of Mark to Market Margins and Option Premiums to the Clearing House the following accounting entry shall be passed:</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Clearing House Account (Asset)</w:t>
      </w:r>
      <w:r>
        <w:rPr>
          <w:rFonts w:ascii="Times New Roman" w:hAnsi="Times New Roman"/>
          <w:sz w:val="24"/>
        </w:rPr>
        <w:tab/>
        <w:t>Debit</w:t>
      </w:r>
      <w:r>
        <w:rPr>
          <w:rFonts w:ascii="Times New Roman" w:hAnsi="Times New Roman"/>
          <w:sz w:val="24"/>
        </w:rPr>
        <w:tab/>
      </w:r>
      <w:r>
        <w:rPr>
          <w:rFonts w:ascii="Times New Roman" w:hAnsi="Times New Roman"/>
          <w:sz w:val="24"/>
        </w:rPr>
        <w:tab/>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To Cash Account (Asset)</w:t>
      </w:r>
      <w:r>
        <w:rPr>
          <w:rFonts w:ascii="Times New Roman" w:hAnsi="Times New Roman"/>
          <w:sz w:val="24"/>
        </w:rPr>
        <w:tab/>
      </w:r>
      <w:r>
        <w:rPr>
          <w:rFonts w:ascii="Times New Roman" w:hAnsi="Times New Roman"/>
          <w:sz w:val="24"/>
        </w:rPr>
        <w:tab/>
      </w:r>
      <w:r>
        <w:rPr>
          <w:rFonts w:ascii="Times New Roman" w:hAnsi="Times New Roman"/>
          <w:sz w:val="24"/>
        </w:rPr>
        <w:tab/>
        <w:t>Credit</w:t>
      </w:r>
      <w:r>
        <w:rPr>
          <w:rFonts w:ascii="Times New Roman" w:hAnsi="Times New Roman"/>
          <w:sz w:val="24"/>
        </w:rPr>
        <w:tab/>
      </w:r>
      <w:r>
        <w:rPr>
          <w:rFonts w:ascii="Times New Roman" w:hAnsi="Times New Roman"/>
          <w:sz w:val="24"/>
        </w:rPr>
        <w:tab/>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Apart from payment of Mark to Market Margins and Option Premiums, other payments like cash payments for enhancement of Initial Margin could also be effected from time to time and a similar accounting entry passed for such payments.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Clearing Member may also receive from time to time from the Clearing House amounts against release of Mark to Market Margins, Option Premiums, amounts by way of release of Initial Margin, etc. for which the following accounting entry shall be passed:</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Cash Account (Asset)</w:t>
      </w:r>
      <w:r>
        <w:rPr>
          <w:rFonts w:ascii="Times New Roman" w:hAnsi="Times New Roman"/>
          <w:sz w:val="24"/>
        </w:rPr>
        <w:tab/>
      </w:r>
      <w:r>
        <w:rPr>
          <w:rFonts w:ascii="Times New Roman" w:hAnsi="Times New Roman"/>
          <w:sz w:val="24"/>
        </w:rPr>
        <w:tab/>
      </w:r>
      <w:r>
        <w:rPr>
          <w:rFonts w:ascii="Times New Roman" w:hAnsi="Times New Roman"/>
          <w:sz w:val="24"/>
        </w:rPr>
        <w:tab/>
        <w:t>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Clearing House Account (Asset)</w:t>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11. Payments to Clients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Payments effected by Clearing Member to Clients may occur on release of Mark to Market Margins, Option Premiums to Clients or on squaring up of transactions and payments against such transactions, release of Initial Margins, release of excess Margins collected, etc.</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following accounting entry shall be passed at the point of such payments:</w:t>
      </w:r>
    </w:p>
    <w:p w:rsidR="00B55698" w:rsidRDefault="00B55698">
      <w:pPr>
        <w:jc w:val="both"/>
        <w:rPr>
          <w:rFonts w:ascii="Times New Roman" w:hAnsi="Times New Roman"/>
          <w:sz w:val="24"/>
        </w:rPr>
      </w:pP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Client Account (Liability)</w:t>
      </w:r>
      <w:r>
        <w:rPr>
          <w:rFonts w:ascii="Times New Roman" w:hAnsi="Times New Roman"/>
          <w:sz w:val="24"/>
        </w:rPr>
        <w:tab/>
      </w:r>
      <w:r>
        <w:rPr>
          <w:rFonts w:ascii="Times New Roman" w:hAnsi="Times New Roman"/>
          <w:sz w:val="24"/>
        </w:rPr>
        <w:tab/>
        <w:t>Debit</w:t>
      </w:r>
    </w:p>
    <w:p w:rsidR="00B55698" w:rsidRDefault="00B55698">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Pr>
          <w:rFonts w:ascii="Times New Roman" w:hAnsi="Times New Roman"/>
          <w:sz w:val="24"/>
        </w:rPr>
        <w:tab/>
        <w:t>Cash Account (Asset)</w:t>
      </w:r>
      <w:r>
        <w:rPr>
          <w:rFonts w:ascii="Times New Roman" w:hAnsi="Times New Roman"/>
          <w:sz w:val="24"/>
        </w:rPr>
        <w:tab/>
      </w:r>
      <w:r>
        <w:rPr>
          <w:rFonts w:ascii="Times New Roman" w:hAnsi="Times New Roman"/>
          <w:sz w:val="24"/>
        </w:rPr>
        <w:tab/>
        <w:t>Credit</w:t>
      </w:r>
    </w:p>
    <w:p w:rsidR="00B55698" w:rsidRDefault="00B55698">
      <w:pPr>
        <w:jc w:val="both"/>
        <w:rPr>
          <w:rFonts w:ascii="Times New Roman" w:hAnsi="Times New Roman"/>
          <w:sz w:val="24"/>
        </w:rPr>
      </w:pPr>
    </w:p>
    <w:p w:rsidR="00B55698" w:rsidRDefault="00B55698">
      <w:pPr>
        <w:jc w:val="both"/>
        <w:rPr>
          <w:rFonts w:ascii="Times New Roman" w:hAnsi="Times New Roman"/>
        </w:rPr>
      </w:pP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12. Controls and Balances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system envisaged requires the following controls to be instituted:</w:t>
      </w:r>
    </w:p>
    <w:p w:rsidR="00B55698" w:rsidRDefault="00B55698">
      <w:pPr>
        <w:jc w:val="both"/>
        <w:rPr>
          <w:rFonts w:ascii="Times New Roman" w:hAnsi="Times New Roman"/>
          <w:sz w:val="24"/>
        </w:rPr>
      </w:pPr>
    </w:p>
    <w:p w:rsidR="00B55698" w:rsidRDefault="00B55698">
      <w:pPr>
        <w:numPr>
          <w:ilvl w:val="0"/>
          <w:numId w:val="10"/>
        </w:numPr>
        <w:jc w:val="both"/>
        <w:rPr>
          <w:rFonts w:ascii="Times New Roman" w:hAnsi="Times New Roman"/>
          <w:sz w:val="24"/>
        </w:rPr>
      </w:pPr>
      <w:r>
        <w:rPr>
          <w:rFonts w:ascii="Times New Roman" w:hAnsi="Times New Roman"/>
          <w:sz w:val="24"/>
        </w:rPr>
        <w:t>Clearing Members shall collect Initial Margin upfront</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shall collect Mark to Market Margins on T+1 basis</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shall collect Option Premiums on T+1 basis</w:t>
      </w:r>
    </w:p>
    <w:p w:rsidR="00B55698" w:rsidRDefault="00B55698">
      <w:pPr>
        <w:numPr>
          <w:ilvl w:val="0"/>
          <w:numId w:val="10"/>
        </w:numPr>
        <w:jc w:val="both"/>
        <w:rPr>
          <w:rFonts w:ascii="Times New Roman" w:hAnsi="Times New Roman"/>
          <w:sz w:val="24"/>
        </w:rPr>
      </w:pPr>
      <w:r>
        <w:rPr>
          <w:rFonts w:ascii="Times New Roman" w:hAnsi="Times New Roman"/>
          <w:sz w:val="24"/>
        </w:rPr>
        <w:lastRenderedPageBreak/>
        <w:t xml:space="preserve">Clearing Members shall promptly pay such margins as may be required to be paid to the Clearing House. </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may collect Initial Margins by way of cash, cash equivalents, dematerialized equity securities.</w:t>
      </w:r>
    </w:p>
    <w:p w:rsidR="00B55698" w:rsidRDefault="00B55698">
      <w:pPr>
        <w:numPr>
          <w:ilvl w:val="0"/>
          <w:numId w:val="10"/>
        </w:numPr>
        <w:jc w:val="both"/>
        <w:rPr>
          <w:rFonts w:ascii="Times New Roman" w:hAnsi="Times New Roman"/>
          <w:sz w:val="24"/>
        </w:rPr>
      </w:pPr>
      <w:r>
        <w:rPr>
          <w:rFonts w:ascii="Times New Roman" w:hAnsi="Times New Roman"/>
          <w:sz w:val="24"/>
        </w:rPr>
        <w:t>Mark to Market Margins shall be collected strictly on cash basis only.</w:t>
      </w:r>
    </w:p>
    <w:p w:rsidR="00B55698" w:rsidRDefault="00B55698">
      <w:pPr>
        <w:numPr>
          <w:ilvl w:val="0"/>
          <w:numId w:val="10"/>
        </w:numPr>
        <w:jc w:val="both"/>
        <w:rPr>
          <w:rFonts w:ascii="Times New Roman" w:hAnsi="Times New Roman"/>
          <w:sz w:val="24"/>
        </w:rPr>
      </w:pPr>
      <w:r>
        <w:rPr>
          <w:rFonts w:ascii="Times New Roman" w:hAnsi="Times New Roman"/>
          <w:sz w:val="24"/>
        </w:rPr>
        <w:t>Option Premiums shall be collected strictly on cash basis only.</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may collect higher margins from clients than what is stipulated by the exchange/clearing house.</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are required to make good any shortfall from collections of margins from clients</w:t>
      </w:r>
    </w:p>
    <w:p w:rsidR="00B55698" w:rsidRDefault="00B55698">
      <w:pPr>
        <w:numPr>
          <w:ilvl w:val="0"/>
          <w:numId w:val="10"/>
        </w:numPr>
        <w:jc w:val="both"/>
        <w:rPr>
          <w:rFonts w:ascii="Times New Roman" w:hAnsi="Times New Roman"/>
          <w:sz w:val="24"/>
        </w:rPr>
      </w:pPr>
      <w:r>
        <w:rPr>
          <w:rFonts w:ascii="Times New Roman" w:hAnsi="Times New Roman"/>
          <w:sz w:val="24"/>
        </w:rPr>
        <w:t>Clearing Members are advised not  to fund clients</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Daily Initial Margin Statement</w:t>
      </w:r>
    </w:p>
    <w:p w:rsidR="00B55698" w:rsidRDefault="00B55698">
      <w:pPr>
        <w:jc w:val="both"/>
        <w:rPr>
          <w:rFonts w:ascii="Times New Roman" w:hAnsi="Times New Roman"/>
          <w:sz w:val="24"/>
        </w:rPr>
      </w:pPr>
      <w:r>
        <w:rPr>
          <w:rFonts w:ascii="Times New Roman" w:hAnsi="Times New Roman"/>
          <w:sz w:val="24"/>
        </w:rPr>
        <w:t>The Daily Statement of Initial Margin will ensure that Clients have adequately funded their Initial Margin on day to day basis. Any shortfall of Initial Margin shall be clearly indicated in the Statement and the Client shall be required to make good the shortfall immediately.</w:t>
      </w:r>
    </w:p>
    <w:p w:rsidR="00B55698" w:rsidRDefault="00B55698">
      <w:pPr>
        <w:jc w:val="both"/>
        <w:rPr>
          <w:rFonts w:ascii="Times New Roman" w:hAnsi="Times New Roman"/>
          <w:sz w:val="24"/>
        </w:rPr>
      </w:pPr>
    </w:p>
    <w:p w:rsidR="00B55698" w:rsidRDefault="00B55698">
      <w:pPr>
        <w:jc w:val="both"/>
        <w:rPr>
          <w:rFonts w:ascii="Times New Roman" w:hAnsi="Times New Roman"/>
        </w:rPr>
      </w:pPr>
      <w:r>
        <w:rPr>
          <w:rFonts w:ascii="Times New Roman" w:hAnsi="Times New Roman"/>
          <w:sz w:val="24"/>
        </w:rPr>
        <w:t>Clearing Members are expected to design their control systems in such a manner that a shortfall cannot arise in the first place.</w:t>
      </w: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Client (Specific Code) Account (Liability)</w:t>
      </w:r>
    </w:p>
    <w:p w:rsidR="00B55698" w:rsidRDefault="00B55698">
      <w:pPr>
        <w:jc w:val="both"/>
        <w:rPr>
          <w:rFonts w:ascii="Times New Roman" w:hAnsi="Times New Roman"/>
          <w:sz w:val="24"/>
        </w:rPr>
      </w:pPr>
      <w:r>
        <w:rPr>
          <w:rFonts w:ascii="Times New Roman" w:hAnsi="Times New Roman"/>
          <w:sz w:val="24"/>
        </w:rPr>
        <w:t>The Clients Account in the financial ledger at the end of any trading day+1 should not carry a debit balance at any time. If the Account carries a Debit Balance, the implication is that the Client has not paid the Mark to Market margins or the option premiums correctly.</w:t>
      </w: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Clients Initial Margin (Specific Code) Account (Liability)</w:t>
      </w:r>
    </w:p>
    <w:p w:rsidR="00B55698" w:rsidRDefault="00B55698">
      <w:pPr>
        <w:jc w:val="both"/>
        <w:rPr>
          <w:rFonts w:ascii="Times New Roman" w:hAnsi="Times New Roman"/>
          <w:sz w:val="24"/>
        </w:rPr>
      </w:pPr>
      <w:r>
        <w:rPr>
          <w:rFonts w:ascii="Times New Roman" w:hAnsi="Times New Roman"/>
          <w:sz w:val="24"/>
        </w:rPr>
        <w:t>This Account indicates the Cash amount collected from the Client towards Initial Margin. The Account can never have a Debit Balance. The Account can be debited for the following purposes:</w:t>
      </w:r>
    </w:p>
    <w:p w:rsidR="00B55698" w:rsidRDefault="00B55698">
      <w:pPr>
        <w:numPr>
          <w:ilvl w:val="0"/>
          <w:numId w:val="16"/>
        </w:numPr>
        <w:jc w:val="both"/>
        <w:rPr>
          <w:rFonts w:ascii="Times New Roman" w:hAnsi="Times New Roman"/>
          <w:sz w:val="24"/>
        </w:rPr>
      </w:pPr>
      <w:r>
        <w:rPr>
          <w:rFonts w:ascii="Times New Roman" w:hAnsi="Times New Roman"/>
          <w:sz w:val="24"/>
        </w:rPr>
        <w:t>Refund of Cash to the Client against reduction of his Initial Margin</w:t>
      </w:r>
    </w:p>
    <w:p w:rsidR="00B55698" w:rsidRDefault="00B55698">
      <w:pPr>
        <w:numPr>
          <w:ilvl w:val="0"/>
          <w:numId w:val="16"/>
        </w:numPr>
        <w:jc w:val="both"/>
        <w:rPr>
          <w:rFonts w:ascii="Times New Roman" w:hAnsi="Times New Roman"/>
          <w:sz w:val="24"/>
        </w:rPr>
      </w:pPr>
      <w:r>
        <w:rPr>
          <w:rFonts w:ascii="Times New Roman" w:hAnsi="Times New Roman"/>
          <w:sz w:val="24"/>
        </w:rPr>
        <w:t>Transfer of the balance in this Account to the Client (Specific Code) Account on his request to enable the Client to fund his Mark to Market Margin</w:t>
      </w:r>
    </w:p>
    <w:p w:rsidR="00B55698" w:rsidRDefault="00B55698">
      <w:pPr>
        <w:numPr>
          <w:ilvl w:val="0"/>
          <w:numId w:val="16"/>
        </w:numPr>
        <w:jc w:val="both"/>
        <w:rPr>
          <w:rFonts w:ascii="Times New Roman" w:hAnsi="Times New Roman"/>
          <w:sz w:val="24"/>
        </w:rPr>
      </w:pPr>
      <w:r>
        <w:rPr>
          <w:rFonts w:ascii="Times New Roman" w:hAnsi="Times New Roman"/>
          <w:sz w:val="24"/>
        </w:rPr>
        <w:t>Transfer of the balance in this Account to the Client (Specific Code) Account on his request to enable the Client to fund his Option Premium.</w:t>
      </w: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Clearing House Account (Asset)</w:t>
      </w:r>
    </w:p>
    <w:p w:rsidR="00B55698" w:rsidRDefault="00B55698">
      <w:pPr>
        <w:jc w:val="both"/>
        <w:rPr>
          <w:rFonts w:ascii="Times New Roman" w:hAnsi="Times New Roman"/>
          <w:sz w:val="24"/>
        </w:rPr>
      </w:pPr>
      <w:r>
        <w:rPr>
          <w:rFonts w:ascii="Times New Roman" w:hAnsi="Times New Roman"/>
          <w:sz w:val="24"/>
        </w:rPr>
        <w:t>This Account indicates the Cash paid by the Clearing Member to the Clearing House. This account can never carry a Credit balance. Withdrawals of Cash from this Account are possible only on specific request to the Clearing House by the Clearing Member.</w:t>
      </w: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Clearing House Mark to Market Variation Account (Liability)</w:t>
      </w:r>
    </w:p>
    <w:p w:rsidR="00B55698" w:rsidRDefault="00B55698">
      <w:pPr>
        <w:jc w:val="both"/>
        <w:rPr>
          <w:rFonts w:ascii="Times New Roman" w:hAnsi="Times New Roman"/>
          <w:sz w:val="24"/>
        </w:rPr>
      </w:pPr>
      <w:r>
        <w:rPr>
          <w:rFonts w:ascii="Times New Roman" w:hAnsi="Times New Roman"/>
          <w:sz w:val="24"/>
        </w:rPr>
        <w:t xml:space="preserve">This Account indicates the liability of the Clearing Member on account of Mark to Market Variation towards the Clearing House. The account is debited by the Mark to Market Margin demanded by the Clearing House and credited by the Mark to Market </w:t>
      </w:r>
      <w:r>
        <w:rPr>
          <w:rFonts w:ascii="Times New Roman" w:hAnsi="Times New Roman"/>
          <w:sz w:val="24"/>
        </w:rPr>
        <w:lastRenderedPageBreak/>
        <w:t xml:space="preserve">Margin demanded by the Clearing Member from his various Clients. The account should carry a balance of zero at the end of  day T+1 and should be scrutinized if it carries any other balance. </w:t>
      </w:r>
    </w:p>
    <w:p w:rsidR="00B55698" w:rsidRDefault="00B55698">
      <w:pPr>
        <w:jc w:val="both"/>
        <w:rPr>
          <w:rFonts w:ascii="Times New Roman" w:hAnsi="Times New Roman"/>
        </w:rPr>
      </w:pPr>
    </w:p>
    <w:p w:rsidR="00B55698" w:rsidRDefault="00B55698">
      <w:pPr>
        <w:jc w:val="both"/>
        <w:rPr>
          <w:rFonts w:ascii="Times New Roman" w:hAnsi="Times New Roman"/>
          <w:b/>
        </w:rPr>
      </w:pPr>
      <w:r>
        <w:rPr>
          <w:rFonts w:ascii="Times New Roman" w:hAnsi="Times New Roman"/>
          <w:b/>
        </w:rPr>
        <w:t>Clearing House Option Premium &amp; Settlement Account (Liability)</w:t>
      </w:r>
    </w:p>
    <w:p w:rsidR="00B55698" w:rsidRDefault="00B55698">
      <w:pPr>
        <w:jc w:val="both"/>
        <w:rPr>
          <w:rFonts w:ascii="Times New Roman" w:hAnsi="Times New Roman"/>
          <w:sz w:val="24"/>
        </w:rPr>
      </w:pPr>
      <w:r>
        <w:rPr>
          <w:rFonts w:ascii="Times New Roman" w:hAnsi="Times New Roman"/>
          <w:sz w:val="24"/>
        </w:rPr>
        <w:t xml:space="preserve">This Account indicates the liability of the Clearing Member on account of Option Premium towards the Clearing House. The account is debited by the Option Premium demanded by the Clearing House and credited by the Option Premium demanded by the Clearing Member from his various Clients. The account should carry a balance of zero at the end of day T+1 and should be </w:t>
      </w:r>
      <w:proofErr w:type="spellStart"/>
      <w:r>
        <w:rPr>
          <w:rFonts w:ascii="Times New Roman" w:hAnsi="Times New Roman"/>
          <w:sz w:val="24"/>
        </w:rPr>
        <w:t>scrutinised</w:t>
      </w:r>
      <w:proofErr w:type="spellEnd"/>
      <w:r>
        <w:rPr>
          <w:rFonts w:ascii="Times New Roman" w:hAnsi="Times New Roman"/>
          <w:sz w:val="24"/>
        </w:rPr>
        <w:t xml:space="preserve"> if it carries any other balance. </w:t>
      </w:r>
    </w:p>
    <w:p w:rsidR="00B55698" w:rsidRDefault="00B55698">
      <w:pPr>
        <w:pStyle w:val="Heading1"/>
        <w:jc w:val="both"/>
        <w:rPr>
          <w:rFonts w:ascii="Times New Roman" w:hAnsi="Times New Roman"/>
          <w:sz w:val="24"/>
        </w:rPr>
      </w:pPr>
    </w:p>
    <w:p w:rsidR="00B55698" w:rsidRDefault="00B55698">
      <w:pPr>
        <w:pStyle w:val="Heading1"/>
        <w:jc w:val="both"/>
        <w:rPr>
          <w:rFonts w:ascii="Times New Roman" w:hAnsi="Times New Roman"/>
          <w:b w:val="0"/>
          <w:sz w:val="24"/>
        </w:rPr>
      </w:pPr>
      <w:r>
        <w:rPr>
          <w:rFonts w:ascii="Times New Roman" w:hAnsi="Times New Roman"/>
          <w:b w:val="0"/>
          <w:sz w:val="24"/>
        </w:rPr>
        <w:t xml:space="preserve">Please note that both ways the entries can be in reverse positions, in this sense that Mark to Market Margins may be receivable from the Clearing House and payable to the Clients and similarly Option Premiums may be receivable from the Clearing House and payable to Clients.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In both cases, these accounts should have a zero balance at the end of day T+1.</w:t>
      </w:r>
    </w:p>
    <w:p w:rsidR="00B55698" w:rsidRDefault="00B55698">
      <w:pPr>
        <w:pStyle w:val="Heading1"/>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13. Reporting to Exchange</w:t>
      </w:r>
    </w:p>
    <w:p w:rsidR="00B55698" w:rsidRDefault="00B55698">
      <w:pPr>
        <w:jc w:val="both"/>
        <w:rPr>
          <w:rFonts w:ascii="Times New Roman" w:hAnsi="Times New Roman"/>
        </w:rPr>
      </w:pPr>
    </w:p>
    <w:p w:rsidR="00B55698" w:rsidRDefault="00B55698">
      <w:pPr>
        <w:jc w:val="both"/>
        <w:rPr>
          <w:rFonts w:ascii="Times New Roman" w:hAnsi="Times New Roman"/>
          <w:sz w:val="24"/>
        </w:rPr>
      </w:pPr>
      <w:r>
        <w:rPr>
          <w:rFonts w:ascii="Times New Roman" w:hAnsi="Times New Roman"/>
          <w:sz w:val="24"/>
        </w:rPr>
        <w:t xml:space="preserve">The Exchange will provide the following details for every member, at the end of each trading day: </w:t>
      </w:r>
    </w:p>
    <w:p w:rsidR="00B55698" w:rsidRDefault="00B55698">
      <w:pPr>
        <w:jc w:val="both"/>
        <w:rPr>
          <w:rFonts w:ascii="Times New Roman" w:hAnsi="Times New Roman"/>
          <w:sz w:val="24"/>
        </w:rPr>
      </w:pPr>
    </w:p>
    <w:p w:rsidR="00B55698" w:rsidRDefault="00B55698">
      <w:pPr>
        <w:numPr>
          <w:ilvl w:val="0"/>
          <w:numId w:val="25"/>
        </w:numPr>
        <w:jc w:val="both"/>
        <w:rPr>
          <w:rFonts w:ascii="Times New Roman" w:hAnsi="Times New Roman"/>
          <w:sz w:val="24"/>
        </w:rPr>
      </w:pPr>
      <w:r>
        <w:rPr>
          <w:rFonts w:ascii="Times New Roman" w:hAnsi="Times New Roman"/>
          <w:sz w:val="24"/>
        </w:rPr>
        <w:t xml:space="preserve">Initial Margin </w:t>
      </w:r>
    </w:p>
    <w:p w:rsidR="00B55698" w:rsidRDefault="00B55698">
      <w:pPr>
        <w:numPr>
          <w:ilvl w:val="0"/>
          <w:numId w:val="25"/>
        </w:numPr>
        <w:jc w:val="both"/>
        <w:rPr>
          <w:rFonts w:ascii="Times New Roman" w:hAnsi="Times New Roman"/>
          <w:sz w:val="24"/>
        </w:rPr>
      </w:pPr>
      <w:r>
        <w:rPr>
          <w:rFonts w:ascii="Times New Roman" w:hAnsi="Times New Roman"/>
          <w:sz w:val="24"/>
        </w:rPr>
        <w:t>Mark to Market Margins for Futures positions</w:t>
      </w:r>
    </w:p>
    <w:p w:rsidR="00B55698" w:rsidRDefault="00B55698">
      <w:pPr>
        <w:numPr>
          <w:ilvl w:val="0"/>
          <w:numId w:val="25"/>
        </w:numPr>
        <w:jc w:val="both"/>
        <w:rPr>
          <w:rFonts w:ascii="Times New Roman" w:hAnsi="Times New Roman"/>
          <w:sz w:val="24"/>
        </w:rPr>
      </w:pPr>
      <w:r>
        <w:rPr>
          <w:rFonts w:ascii="Times New Roman" w:hAnsi="Times New Roman"/>
          <w:sz w:val="24"/>
        </w:rPr>
        <w:t>Option Premium Payable</w:t>
      </w:r>
    </w:p>
    <w:p w:rsidR="00B55698" w:rsidRDefault="00B55698">
      <w:pPr>
        <w:numPr>
          <w:ilvl w:val="0"/>
          <w:numId w:val="25"/>
        </w:numPr>
        <w:jc w:val="both"/>
        <w:rPr>
          <w:rFonts w:ascii="Times New Roman" w:hAnsi="Times New Roman"/>
          <w:sz w:val="24"/>
        </w:rPr>
      </w:pPr>
      <w:r>
        <w:rPr>
          <w:rFonts w:ascii="Times New Roman" w:hAnsi="Times New Roman"/>
          <w:sz w:val="24"/>
        </w:rPr>
        <w:t>Option Premium Receivable</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Exchange will provide details of the Initial Margin, Mark to Market Variation and Option Premiums due from or due to each Clearing Member on a client –by-client basis. Each Clearing Member should report back to the Exchange in the evening of every trading day, confirming that the Margins and Option Premiums have been collected from clients. Wherever margins are not collected, the Clearing Member should report the amount of shortage in collection on daily basis.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Initial Margins deposited by Clearing Members shall be assumed to be funded by clients in the absence of details from Clearing Members. Mark to Market Margins and Option Premiums shall be assumed not be funded by clients in the absence of reporting from Clearing Members. </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Clearing Members should therefore be extremely careful about reporting back on the collection/shortage of margins.</w:t>
      </w:r>
    </w:p>
    <w:p w:rsidR="00B55698" w:rsidRDefault="00B55698">
      <w:pPr>
        <w:jc w:val="both"/>
        <w:rPr>
          <w:rFonts w:ascii="Times New Roman" w:hAnsi="Times New Roman"/>
          <w:sz w:val="24"/>
        </w:rPr>
      </w:pPr>
    </w:p>
    <w:p w:rsidR="00B55698" w:rsidRDefault="00B55698">
      <w:pPr>
        <w:jc w:val="both"/>
        <w:rPr>
          <w:rFonts w:ascii="Times New Roman" w:hAnsi="Times New Roman"/>
        </w:rPr>
      </w:pPr>
    </w:p>
    <w:p w:rsidR="00B55698" w:rsidRDefault="00B55698">
      <w:pPr>
        <w:pStyle w:val="Heading1"/>
        <w:jc w:val="both"/>
        <w:rPr>
          <w:rFonts w:ascii="Times New Roman" w:hAnsi="Times New Roman"/>
        </w:rPr>
      </w:pPr>
      <w:r>
        <w:rPr>
          <w:rFonts w:ascii="Times New Roman" w:hAnsi="Times New Roman"/>
        </w:rPr>
        <w:t>14. Member Default</w:t>
      </w:r>
    </w:p>
    <w:p w:rsidR="00B55698" w:rsidRDefault="00B55698">
      <w:pPr>
        <w:jc w:val="both"/>
        <w:rPr>
          <w:rFonts w:ascii="Times New Roman" w:hAnsi="Times New Roman"/>
        </w:rPr>
      </w:pPr>
    </w:p>
    <w:p w:rsidR="00B55698" w:rsidRDefault="00B55698">
      <w:pPr>
        <w:pStyle w:val="BodyText"/>
        <w:jc w:val="both"/>
        <w:rPr>
          <w:rFonts w:ascii="Times New Roman" w:hAnsi="Times New Roman"/>
          <w:sz w:val="26"/>
        </w:rPr>
      </w:pPr>
      <w:proofErr w:type="spellStart"/>
      <w:r>
        <w:rPr>
          <w:rFonts w:ascii="Times New Roman" w:hAnsi="Times New Roman"/>
          <w:sz w:val="26"/>
        </w:rPr>
        <w:t>Utilisation</w:t>
      </w:r>
      <w:proofErr w:type="spellEnd"/>
      <w:r>
        <w:rPr>
          <w:rFonts w:ascii="Times New Roman" w:hAnsi="Times New Roman"/>
          <w:sz w:val="26"/>
        </w:rPr>
        <w:t xml:space="preserve"> of Trade Guarantee Fund (TGF) in case of default by member:</w:t>
      </w:r>
    </w:p>
    <w:p w:rsidR="00B55698" w:rsidRDefault="00B55698">
      <w:pPr>
        <w:jc w:val="both"/>
        <w:rPr>
          <w:rFonts w:ascii="Times New Roman" w:hAnsi="Times New Roman"/>
        </w:rPr>
      </w:pPr>
    </w:p>
    <w:p w:rsidR="00B55698" w:rsidRDefault="00B55698">
      <w:pPr>
        <w:jc w:val="both"/>
        <w:rPr>
          <w:rFonts w:ascii="Times New Roman" w:hAnsi="Times New Roman"/>
          <w:sz w:val="24"/>
        </w:rPr>
      </w:pPr>
      <w:r>
        <w:rPr>
          <w:rFonts w:ascii="Times New Roman" w:hAnsi="Times New Roman"/>
          <w:sz w:val="24"/>
        </w:rPr>
        <w:t>The TGF guarantee shall extend only to claims arising in respect of the Settlement(s) in which the Member is suspended or declared a defaulter (and not in respect of any other Settlement(s)). In case a Client/Trading member has deposited excess collateral towards margin with his Trading/Clearing member respectively, then his collateral will be guaranteed by the TGF only to the extent of his open positions on the Exchange (Bye-Laws Chapter XV of the Derivatives Segment). The excess collateral will not be guaranteed under any circumstances.</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The exchange ceases to be liable (with respect to its Trade Guarantee Fund) on completion of payout. Any further disputes with regard to payments from the Clearing Member to the Trading Member/Client or with regard to payments from the Trading Member to the Client are beyond the scope of the Trade Guarantee Fund.</w:t>
      </w:r>
    </w:p>
    <w:p w:rsidR="00B55698" w:rsidRDefault="00B55698">
      <w:pPr>
        <w:jc w:val="both"/>
        <w:rPr>
          <w:rFonts w:ascii="Times New Roman" w:hAnsi="Times New Roman"/>
          <w:sz w:val="24"/>
        </w:rPr>
      </w:pPr>
    </w:p>
    <w:p w:rsidR="00B55698" w:rsidRDefault="00B55698">
      <w:pPr>
        <w:pStyle w:val="Heading1"/>
        <w:jc w:val="both"/>
        <w:rPr>
          <w:rFonts w:ascii="Times New Roman" w:hAnsi="Times New Roman"/>
          <w:sz w:val="24"/>
        </w:rPr>
      </w:pPr>
      <w:proofErr w:type="spellStart"/>
      <w:r>
        <w:rPr>
          <w:rFonts w:ascii="Times New Roman" w:hAnsi="Times New Roman"/>
          <w:sz w:val="24"/>
        </w:rPr>
        <w:t>Utilisation</w:t>
      </w:r>
      <w:proofErr w:type="spellEnd"/>
      <w:r>
        <w:rPr>
          <w:rFonts w:ascii="Times New Roman" w:hAnsi="Times New Roman"/>
          <w:sz w:val="24"/>
        </w:rPr>
        <w:t xml:space="preserve"> of the Investors Protection Fund (IPF) in case of default</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 xml:space="preserve">The IPF shall be </w:t>
      </w:r>
      <w:proofErr w:type="spellStart"/>
      <w:r>
        <w:rPr>
          <w:rFonts w:ascii="Times New Roman" w:hAnsi="Times New Roman"/>
          <w:sz w:val="24"/>
        </w:rPr>
        <w:t>utilised</w:t>
      </w:r>
      <w:proofErr w:type="spellEnd"/>
      <w:r>
        <w:rPr>
          <w:rFonts w:ascii="Times New Roman" w:hAnsi="Times New Roman"/>
          <w:sz w:val="24"/>
        </w:rPr>
        <w:t xml:space="preserve"> to compensate a Client who has suffered and claims an amount payable to him by a Trading or Clearing Member (who has since been declared a defaulter) where:</w:t>
      </w:r>
    </w:p>
    <w:p w:rsidR="00B55698" w:rsidRDefault="00B55698">
      <w:pPr>
        <w:jc w:val="both"/>
        <w:rPr>
          <w:rFonts w:ascii="Times New Roman" w:hAnsi="Times New Roman"/>
          <w:sz w:val="24"/>
        </w:rPr>
      </w:pPr>
    </w:p>
    <w:p w:rsidR="00B55698" w:rsidRDefault="00B55698">
      <w:pPr>
        <w:numPr>
          <w:ilvl w:val="0"/>
          <w:numId w:val="18"/>
        </w:numPr>
        <w:jc w:val="both"/>
        <w:rPr>
          <w:rFonts w:ascii="Times New Roman" w:hAnsi="Times New Roman"/>
          <w:sz w:val="24"/>
        </w:rPr>
      </w:pPr>
      <w:r>
        <w:rPr>
          <w:rFonts w:ascii="Times New Roman" w:hAnsi="Times New Roman"/>
          <w:sz w:val="24"/>
        </w:rPr>
        <w:t>The claim arises directly on account of a trade in a Derivatives Contract which has been entered into between the Client and the Trading/Clearing Member (who has since been declared a defaulter) in accordance with the Bye-laws, Rules and Regulations of the Derivatives Segment</w:t>
      </w:r>
    </w:p>
    <w:p w:rsidR="00B55698" w:rsidRDefault="00B55698">
      <w:pPr>
        <w:numPr>
          <w:ilvl w:val="0"/>
          <w:numId w:val="18"/>
        </w:numPr>
        <w:jc w:val="both"/>
        <w:rPr>
          <w:rFonts w:ascii="Times New Roman" w:hAnsi="Times New Roman"/>
          <w:sz w:val="24"/>
        </w:rPr>
      </w:pPr>
      <w:r>
        <w:rPr>
          <w:rFonts w:ascii="Times New Roman" w:hAnsi="Times New Roman"/>
          <w:sz w:val="24"/>
        </w:rPr>
        <w:t>The trade in the Derivatives Contract has already been settled by the Clearing House but the payment obligation in respect of which Derivatives Contract has not been completed by the Trading/Clearing Member to the concerned Client</w:t>
      </w:r>
    </w:p>
    <w:p w:rsidR="00B55698" w:rsidRDefault="00B55698">
      <w:pPr>
        <w:numPr>
          <w:ilvl w:val="0"/>
          <w:numId w:val="18"/>
        </w:numPr>
        <w:jc w:val="both"/>
        <w:rPr>
          <w:rFonts w:ascii="Times New Roman" w:hAnsi="Times New Roman"/>
          <w:sz w:val="24"/>
        </w:rPr>
      </w:pPr>
      <w:r>
        <w:rPr>
          <w:rFonts w:ascii="Times New Roman" w:hAnsi="Times New Roman"/>
          <w:sz w:val="24"/>
        </w:rPr>
        <w:t>The loss is not payable by a Clearing Member or from the Derivatives Segment Trade Guarantee Fund</w:t>
      </w:r>
    </w:p>
    <w:p w:rsidR="00B55698" w:rsidRDefault="00B55698">
      <w:pPr>
        <w:jc w:val="both"/>
        <w:rPr>
          <w:rFonts w:ascii="Times New Roman" w:hAnsi="Times New Roman"/>
          <w:sz w:val="24"/>
        </w:rPr>
      </w:pPr>
    </w:p>
    <w:p w:rsidR="00B55698" w:rsidRDefault="00B55698">
      <w:pPr>
        <w:jc w:val="both"/>
        <w:rPr>
          <w:rFonts w:ascii="Times New Roman" w:hAnsi="Times New Roman"/>
          <w:sz w:val="24"/>
        </w:rPr>
      </w:pPr>
      <w:r>
        <w:rPr>
          <w:rFonts w:ascii="Times New Roman" w:hAnsi="Times New Roman"/>
          <w:sz w:val="24"/>
        </w:rPr>
        <w:t>and shall be subject to such amount as shall be decided by the Governing Council from time to time</w:t>
      </w:r>
    </w:p>
    <w:p w:rsidR="00B55698" w:rsidRDefault="00B55698">
      <w:pPr>
        <w:pStyle w:val="Header"/>
        <w:tabs>
          <w:tab w:val="clear" w:pos="4320"/>
          <w:tab w:val="clear" w:pos="8640"/>
        </w:tabs>
        <w:jc w:val="both"/>
        <w:rPr>
          <w:rFonts w:ascii="Times New Roman" w:hAnsi="Times New Roman"/>
        </w:rPr>
      </w:pPr>
    </w:p>
    <w:p w:rsidR="00B55698" w:rsidRDefault="00B55698">
      <w:pPr>
        <w:pStyle w:val="Header"/>
        <w:tabs>
          <w:tab w:val="clear" w:pos="4320"/>
          <w:tab w:val="clear" w:pos="8640"/>
        </w:tabs>
        <w:jc w:val="both"/>
        <w:rPr>
          <w:rFonts w:ascii="Times New Roman" w:hAnsi="Times New Roman"/>
          <w:b/>
        </w:rPr>
      </w:pPr>
      <w:r>
        <w:rPr>
          <w:rFonts w:ascii="Times New Roman" w:hAnsi="Times New Roman"/>
          <w:b/>
        </w:rPr>
        <w:t>APPENDIX</w:t>
      </w:r>
    </w:p>
    <w:p w:rsidR="00B55698" w:rsidRDefault="00B55698">
      <w:pPr>
        <w:pStyle w:val="Header"/>
        <w:tabs>
          <w:tab w:val="clear" w:pos="4320"/>
          <w:tab w:val="clear" w:pos="8640"/>
        </w:tabs>
        <w:jc w:val="both"/>
        <w:rPr>
          <w:rFonts w:ascii="Times New Roman" w:hAnsi="Times New Roman"/>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 xml:space="preserve">This Appendix seeks to bring out the concept of Margins and Option Premiums through a simple example. The examples are not intended to be comprehensive and should not be construed as part of the Accounting Guidelines above. </w:t>
      </w:r>
    </w:p>
    <w:p w:rsidR="00B55698" w:rsidRDefault="00B55698">
      <w:pPr>
        <w:pStyle w:val="Header"/>
        <w:tabs>
          <w:tab w:val="clear" w:pos="4320"/>
          <w:tab w:val="clear" w:pos="8640"/>
        </w:tabs>
        <w:jc w:val="both"/>
        <w:rPr>
          <w:rFonts w:ascii="Times New Roman" w:hAnsi="Times New Roman"/>
          <w:u w:val="single"/>
        </w:rPr>
      </w:pPr>
      <w:r>
        <w:rPr>
          <w:rFonts w:ascii="Times New Roman" w:hAnsi="Times New Roman"/>
          <w:u w:val="single"/>
        </w:rPr>
        <w:t>Example 1:</w:t>
      </w:r>
    </w:p>
    <w:p w:rsidR="00B55698" w:rsidRDefault="00B55698">
      <w:pPr>
        <w:pStyle w:val="Header"/>
        <w:tabs>
          <w:tab w:val="clear" w:pos="4320"/>
          <w:tab w:val="clear" w:pos="8640"/>
        </w:tabs>
        <w:jc w:val="both"/>
        <w:rPr>
          <w:rFonts w:ascii="Times New Roman" w:hAnsi="Times New Roman"/>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A client holds the following positions at the end of a particular day:</w:t>
      </w:r>
    </w:p>
    <w:p w:rsidR="00B55698" w:rsidRDefault="00B55698">
      <w:pPr>
        <w:pStyle w:val="Header"/>
        <w:tabs>
          <w:tab w:val="clear" w:pos="4320"/>
          <w:tab w:val="clear" w:pos="8640"/>
        </w:tabs>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2214"/>
        <w:gridCol w:w="2214"/>
        <w:gridCol w:w="2214"/>
      </w:tblGrid>
      <w:tr w:rsidR="00B55698">
        <w:tblPrEx>
          <w:tblCellMar>
            <w:top w:w="0" w:type="dxa"/>
            <w:bottom w:w="0" w:type="dxa"/>
          </w:tblCellMar>
        </w:tblPrEx>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Product</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No of Contracts</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Contract Value (Rs)</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Premium (Rs)</w:t>
            </w:r>
          </w:p>
        </w:tc>
      </w:tr>
      <w:tr w:rsidR="00B55698">
        <w:tblPrEx>
          <w:tblCellMar>
            <w:top w:w="0" w:type="dxa"/>
            <w:bottom w:w="0" w:type="dxa"/>
          </w:tblCellMar>
        </w:tblPrEx>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Long Future</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One</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2,00,000</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Not Applicable</w:t>
            </w:r>
          </w:p>
        </w:tc>
      </w:tr>
      <w:tr w:rsidR="00B55698">
        <w:tblPrEx>
          <w:tblCellMar>
            <w:top w:w="0" w:type="dxa"/>
            <w:bottom w:w="0" w:type="dxa"/>
          </w:tblCellMar>
        </w:tblPrEx>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Long Call</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Two</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400,000</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 xml:space="preserve"> 17,500</w:t>
            </w:r>
          </w:p>
        </w:tc>
      </w:tr>
      <w:tr w:rsidR="00B55698">
        <w:tblPrEx>
          <w:tblCellMar>
            <w:top w:w="0" w:type="dxa"/>
            <w:bottom w:w="0" w:type="dxa"/>
          </w:tblCellMar>
        </w:tblPrEx>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Short Put</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One</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200,000</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 xml:space="preserve"> 10,000</w:t>
            </w:r>
          </w:p>
        </w:tc>
      </w:tr>
    </w:tbl>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Based on the Closing Price, the Futures position has a market value of Rs 1,98,000.</w:t>
      </w: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At the end of the day, the obligations of the client vis-à-vis the clearing member will be as follows:(numbers not scientifically worked out and meant for illustration only):</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Rs</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r>
        <w:rPr>
          <w:rFonts w:ascii="Times New Roman" w:hAnsi="Times New Roman"/>
          <w:sz w:val="24"/>
        </w:rPr>
        <w:t>Initial Margin (from the risk management software)</w:t>
      </w:r>
      <w:r>
        <w:rPr>
          <w:rFonts w:ascii="Times New Roman" w:hAnsi="Times New Roman"/>
          <w:sz w:val="24"/>
        </w:rPr>
        <w:tab/>
      </w:r>
      <w:r>
        <w:rPr>
          <w:rFonts w:ascii="Times New Roman" w:hAnsi="Times New Roman"/>
          <w:sz w:val="24"/>
        </w:rPr>
        <w:tab/>
      </w:r>
      <w:r>
        <w:rPr>
          <w:rFonts w:ascii="Times New Roman" w:hAnsi="Times New Roman"/>
          <w:sz w:val="24"/>
        </w:rPr>
        <w:tab/>
        <w:t>20,000</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r>
        <w:rPr>
          <w:rFonts w:ascii="Times New Roman" w:hAnsi="Times New Roman"/>
          <w:sz w:val="24"/>
        </w:rPr>
        <w:t>Option Premium Payable by Client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17,500</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r>
        <w:rPr>
          <w:rFonts w:ascii="Times New Roman" w:hAnsi="Times New Roman"/>
          <w:sz w:val="24"/>
        </w:rPr>
        <w:t>Option Premium Receivable by Client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10,000</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r>
        <w:rPr>
          <w:rFonts w:ascii="Times New Roman" w:hAnsi="Times New Roman"/>
          <w:sz w:val="24"/>
        </w:rPr>
        <w:t>Net Option Premium Payable by Client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7,500</w:t>
      </w: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p>
    <w:p w:rsidR="00B55698" w:rsidRDefault="00B55698">
      <w:pPr>
        <w:pStyle w:val="Header"/>
        <w:pBdr>
          <w:top w:val="single" w:sz="4" w:space="1" w:color="auto"/>
          <w:left w:val="single" w:sz="4" w:space="4" w:color="auto"/>
          <w:bottom w:val="single" w:sz="4" w:space="1" w:color="auto"/>
          <w:right w:val="single" w:sz="4" w:space="4" w:color="auto"/>
        </w:pBdr>
        <w:tabs>
          <w:tab w:val="clear" w:pos="4320"/>
          <w:tab w:val="clear" w:pos="8640"/>
        </w:tabs>
        <w:jc w:val="both"/>
        <w:rPr>
          <w:rFonts w:ascii="Times New Roman" w:hAnsi="Times New Roman"/>
          <w:sz w:val="24"/>
        </w:rPr>
      </w:pPr>
      <w:r>
        <w:rPr>
          <w:rFonts w:ascii="Times New Roman" w:hAnsi="Times New Roman"/>
          <w:sz w:val="24"/>
        </w:rPr>
        <w:t>Mark to Market Margin Payable by Client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2,000</w:t>
      </w: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The Member should ensure the following:</w:t>
      </w: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numPr>
          <w:ilvl w:val="0"/>
          <w:numId w:val="26"/>
        </w:numPr>
        <w:tabs>
          <w:tab w:val="clear" w:pos="4320"/>
          <w:tab w:val="clear" w:pos="8640"/>
        </w:tabs>
        <w:jc w:val="both"/>
        <w:rPr>
          <w:rFonts w:ascii="Times New Roman" w:hAnsi="Times New Roman"/>
          <w:sz w:val="24"/>
        </w:rPr>
      </w:pPr>
      <w:r>
        <w:rPr>
          <w:rFonts w:ascii="Times New Roman" w:hAnsi="Times New Roman"/>
          <w:sz w:val="24"/>
        </w:rPr>
        <w:t>Initial Margin by way of cash plus collateral is at least Rs 20,000.</w:t>
      </w:r>
    </w:p>
    <w:p w:rsidR="00B55698" w:rsidRDefault="00B55698">
      <w:pPr>
        <w:pStyle w:val="Header"/>
        <w:numPr>
          <w:ilvl w:val="0"/>
          <w:numId w:val="26"/>
        </w:numPr>
        <w:tabs>
          <w:tab w:val="clear" w:pos="4320"/>
          <w:tab w:val="clear" w:pos="8640"/>
        </w:tabs>
        <w:jc w:val="both"/>
        <w:rPr>
          <w:rFonts w:ascii="Times New Roman" w:hAnsi="Times New Roman"/>
          <w:sz w:val="24"/>
        </w:rPr>
      </w:pPr>
      <w:r>
        <w:rPr>
          <w:rFonts w:ascii="Times New Roman" w:hAnsi="Times New Roman"/>
          <w:sz w:val="24"/>
        </w:rPr>
        <w:t>Option Premium of Rs 7,500 is collected on day T+1</w:t>
      </w:r>
    </w:p>
    <w:p w:rsidR="00B55698" w:rsidRDefault="00B55698">
      <w:pPr>
        <w:pStyle w:val="Header"/>
        <w:numPr>
          <w:ilvl w:val="0"/>
          <w:numId w:val="26"/>
        </w:numPr>
        <w:tabs>
          <w:tab w:val="clear" w:pos="4320"/>
          <w:tab w:val="clear" w:pos="8640"/>
        </w:tabs>
        <w:jc w:val="both"/>
        <w:rPr>
          <w:rFonts w:ascii="Times New Roman" w:hAnsi="Times New Roman"/>
          <w:sz w:val="24"/>
        </w:rPr>
      </w:pPr>
      <w:r>
        <w:rPr>
          <w:rFonts w:ascii="Times New Roman" w:hAnsi="Times New Roman"/>
          <w:sz w:val="24"/>
        </w:rPr>
        <w:t>Mark to Market Margin of Rs 2,000 is collected on day T+1</w:t>
      </w:r>
    </w:p>
    <w:p w:rsidR="00B55698" w:rsidRDefault="00B55698">
      <w:pPr>
        <w:pStyle w:val="Header"/>
        <w:tabs>
          <w:tab w:val="clear" w:pos="4320"/>
          <w:tab w:val="clear" w:pos="8640"/>
        </w:tabs>
        <w:jc w:val="both"/>
        <w:rPr>
          <w:rFonts w:ascii="Times New Roman" w:hAnsi="Times New Roman"/>
        </w:rPr>
      </w:pPr>
    </w:p>
    <w:p w:rsidR="00B55698" w:rsidRDefault="00B55698">
      <w:pPr>
        <w:pStyle w:val="Header"/>
        <w:tabs>
          <w:tab w:val="clear" w:pos="4320"/>
          <w:tab w:val="clear" w:pos="8640"/>
        </w:tabs>
        <w:jc w:val="both"/>
        <w:rPr>
          <w:rFonts w:ascii="Times New Roman" w:hAnsi="Times New Roman"/>
          <w:u w:val="single"/>
        </w:rPr>
      </w:pPr>
      <w:r>
        <w:rPr>
          <w:rFonts w:ascii="Times New Roman" w:hAnsi="Times New Roman"/>
          <w:u w:val="single"/>
        </w:rPr>
        <w:t>Example 2:</w:t>
      </w:r>
    </w:p>
    <w:p w:rsidR="00B55698" w:rsidRDefault="00B55698">
      <w:pPr>
        <w:pStyle w:val="Header"/>
        <w:tabs>
          <w:tab w:val="clear" w:pos="4320"/>
          <w:tab w:val="clear" w:pos="8640"/>
        </w:tabs>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2214"/>
        <w:gridCol w:w="2214"/>
        <w:gridCol w:w="2214"/>
      </w:tblGrid>
      <w:tr w:rsidR="00B55698">
        <w:tblPrEx>
          <w:tblCellMar>
            <w:top w:w="0" w:type="dxa"/>
            <w:bottom w:w="0" w:type="dxa"/>
          </w:tblCellMar>
        </w:tblPrEx>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Product</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No of Contracts</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Contract Value (Rs)</w:t>
            </w:r>
          </w:p>
        </w:tc>
        <w:tc>
          <w:tcPr>
            <w:tcW w:w="2214" w:type="dxa"/>
          </w:tcPr>
          <w:p w:rsidR="00B55698" w:rsidRDefault="00B55698">
            <w:pPr>
              <w:pStyle w:val="Header"/>
              <w:tabs>
                <w:tab w:val="clear" w:pos="4320"/>
                <w:tab w:val="clear" w:pos="8640"/>
              </w:tabs>
              <w:jc w:val="center"/>
              <w:rPr>
                <w:rFonts w:ascii="Times New Roman" w:hAnsi="Times New Roman"/>
                <w:b/>
                <w:sz w:val="24"/>
              </w:rPr>
            </w:pPr>
            <w:r>
              <w:rPr>
                <w:rFonts w:ascii="Times New Roman" w:hAnsi="Times New Roman"/>
                <w:b/>
                <w:sz w:val="24"/>
              </w:rPr>
              <w:t>Premium (Rs)</w:t>
            </w:r>
          </w:p>
        </w:tc>
      </w:tr>
      <w:tr w:rsidR="00B55698">
        <w:tblPrEx>
          <w:tblCellMar>
            <w:top w:w="0" w:type="dxa"/>
            <w:bottom w:w="0" w:type="dxa"/>
          </w:tblCellMar>
        </w:tblPrEx>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Long Call</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Two</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4,00,000</w:t>
            </w:r>
          </w:p>
        </w:tc>
        <w:tc>
          <w:tcPr>
            <w:tcW w:w="2214" w:type="dxa"/>
          </w:tcPr>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Rs 18108</w:t>
            </w:r>
          </w:p>
        </w:tc>
      </w:tr>
    </w:tbl>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At the end of the day, the obligations of the client vis-à-vis the clearing member will provide the following:(numbers not scientifically worked out and meant for illustration only):</w:t>
      </w: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Total Requirement, as calculated by the risk management software    [Rs.3320] – favourable to the Client</w:t>
      </w: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Option Premium payable by the Client  Rs.18108</w:t>
      </w: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Option Premium receivable by the Client  NIL</w:t>
      </w: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Net Option Premium Payable by the Client  Rs.18108</w:t>
      </w: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p>
    <w:p w:rsidR="00B55698" w:rsidRDefault="00B55698">
      <w:pPr>
        <w:pStyle w:val="Header"/>
        <w:tabs>
          <w:tab w:val="clear" w:pos="4320"/>
          <w:tab w:val="clear" w:pos="8640"/>
        </w:tabs>
        <w:jc w:val="both"/>
        <w:rPr>
          <w:rFonts w:ascii="Times New Roman" w:hAnsi="Times New Roman"/>
          <w:sz w:val="24"/>
        </w:rPr>
      </w:pPr>
      <w:r>
        <w:rPr>
          <w:rFonts w:ascii="Times New Roman" w:hAnsi="Times New Roman"/>
          <w:sz w:val="24"/>
        </w:rPr>
        <w:t>The Trading Member should ensure the following:</w:t>
      </w:r>
    </w:p>
    <w:p w:rsidR="00B55698" w:rsidRDefault="00B55698">
      <w:pPr>
        <w:pStyle w:val="Header"/>
        <w:numPr>
          <w:ilvl w:val="0"/>
          <w:numId w:val="28"/>
        </w:numPr>
        <w:tabs>
          <w:tab w:val="clear" w:pos="4320"/>
          <w:tab w:val="clear" w:pos="8640"/>
        </w:tabs>
        <w:jc w:val="both"/>
        <w:rPr>
          <w:rFonts w:ascii="Times New Roman" w:hAnsi="Times New Roman"/>
          <w:sz w:val="24"/>
        </w:rPr>
      </w:pPr>
      <w:r>
        <w:rPr>
          <w:rFonts w:ascii="Times New Roman" w:hAnsi="Times New Roman"/>
          <w:sz w:val="24"/>
        </w:rPr>
        <w:t>The Client does not withdraw the favourable total requirement of Rs.3320.  However, the client can continue to take positions on the same.</w:t>
      </w:r>
    </w:p>
    <w:p w:rsidR="00B55698" w:rsidRDefault="00B55698">
      <w:pPr>
        <w:pStyle w:val="Header"/>
        <w:numPr>
          <w:ilvl w:val="0"/>
          <w:numId w:val="28"/>
        </w:numPr>
        <w:tabs>
          <w:tab w:val="clear" w:pos="4320"/>
          <w:tab w:val="clear" w:pos="8640"/>
        </w:tabs>
        <w:jc w:val="both"/>
        <w:rPr>
          <w:rFonts w:ascii="Times New Roman" w:hAnsi="Times New Roman"/>
          <w:sz w:val="24"/>
        </w:rPr>
      </w:pPr>
      <w:r>
        <w:rPr>
          <w:rFonts w:ascii="Times New Roman" w:hAnsi="Times New Roman"/>
          <w:sz w:val="24"/>
        </w:rPr>
        <w:t>Option Premium of Rs.18108 should be collected in cash on day T+1</w:t>
      </w:r>
    </w:p>
    <w:p w:rsidR="00B55698" w:rsidRDefault="00B55698">
      <w:pPr>
        <w:pStyle w:val="Header"/>
        <w:tabs>
          <w:tab w:val="clear" w:pos="4320"/>
          <w:tab w:val="clear" w:pos="8640"/>
        </w:tabs>
        <w:jc w:val="both"/>
        <w:rPr>
          <w:sz w:val="24"/>
        </w:rPr>
      </w:pPr>
    </w:p>
    <w:sectPr w:rsidR="00B55698">
      <w:headerReference w:type="default" r:id="rId7"/>
      <w:footerReference w:type="default" r:id="rId8"/>
      <w:pgSz w:w="12240" w:h="15840"/>
      <w:pgMar w:top="1440" w:right="1800" w:bottom="990" w:left="1800" w:header="720" w:footer="3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C06B17">
      <w:r>
        <w:separator/>
      </w:r>
    </w:p>
  </w:endnote>
  <w:endnote w:type="continuationSeparator" w:id="1">
    <w:p w:rsidR="00000000" w:rsidRDefault="00C06B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hruti">
    <w:panose1 w:val="02000500000000000000"/>
    <w:charset w:val="01"/>
    <w:family w:val="auto"/>
    <w:pitch w:val="variable"/>
    <w:sig w:usb0="0004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8" w:rsidRDefault="00B55698">
    <w:pPr>
      <w:pStyle w:val="Footer"/>
      <w:pBdr>
        <w:top w:val="single" w:sz="2" w:space="1" w:color="auto"/>
      </w:pBdr>
      <w:jc w:val="right"/>
      <w:rPr>
        <w:sz w:val="24"/>
      </w:rPr>
    </w:pPr>
    <w:r>
      <w:rPr>
        <w:sz w:val="24"/>
      </w:rPr>
      <w:t>BSE Derivatives Segment</w:t>
    </w:r>
    <w:r>
      <w:rPr>
        <w:snapToGrid w:val="0"/>
        <w:sz w:val="24"/>
      </w:rPr>
      <w:t xml:space="preserve">                                  Page </w:t>
    </w:r>
    <w:r>
      <w:rPr>
        <w:snapToGrid w:val="0"/>
        <w:sz w:val="24"/>
      </w:rPr>
      <w:fldChar w:fldCharType="begin"/>
    </w:r>
    <w:r>
      <w:rPr>
        <w:snapToGrid w:val="0"/>
        <w:sz w:val="24"/>
      </w:rPr>
      <w:instrText xml:space="preserve"> PAGE </w:instrText>
    </w:r>
    <w:r>
      <w:rPr>
        <w:snapToGrid w:val="0"/>
        <w:sz w:val="24"/>
      </w:rPr>
      <w:fldChar w:fldCharType="separate"/>
    </w:r>
    <w:r w:rsidR="00C06B17">
      <w:rPr>
        <w:noProof/>
        <w:snapToGrid w:val="0"/>
        <w:sz w:val="24"/>
      </w:rPr>
      <w:t>4</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C06B17">
      <w:rPr>
        <w:noProof/>
        <w:snapToGrid w:val="0"/>
        <w:sz w:val="24"/>
      </w:rPr>
      <w:t>16</w:t>
    </w:r>
    <w:r>
      <w:rPr>
        <w:snapToGrid w:val="0"/>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C06B17">
      <w:r>
        <w:separator/>
      </w:r>
    </w:p>
  </w:footnote>
  <w:footnote w:type="continuationSeparator" w:id="1">
    <w:p w:rsidR="00000000" w:rsidRDefault="00C06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8" w:rsidRDefault="00B55698">
    <w:pPr>
      <w:pStyle w:val="Header"/>
      <w:pBdr>
        <w:bottom w:val="single" w:sz="2" w:space="1" w:color="auto"/>
      </w:pBdr>
      <w:jc w:val="right"/>
      <w:rPr>
        <w:sz w:val="20"/>
      </w:rPr>
    </w:pPr>
    <w:r>
      <w:rPr>
        <w:sz w:val="20"/>
      </w:rPr>
      <w:t>Back office Accounting guidelines (CM)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E57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DF30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3B10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B5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53EB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23702A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26F66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FDC4C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0097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871CAA"/>
    <w:multiLevelType w:val="singleLevel"/>
    <w:tmpl w:val="0409000F"/>
    <w:lvl w:ilvl="0">
      <w:start w:val="1"/>
      <w:numFmt w:val="decimal"/>
      <w:lvlText w:val="%1."/>
      <w:lvlJc w:val="left"/>
      <w:pPr>
        <w:tabs>
          <w:tab w:val="num" w:pos="360"/>
        </w:tabs>
        <w:ind w:left="360" w:hanging="360"/>
      </w:pPr>
    </w:lvl>
  </w:abstractNum>
  <w:abstractNum w:abstractNumId="11">
    <w:nsid w:val="3B8949FC"/>
    <w:multiLevelType w:val="singleLevel"/>
    <w:tmpl w:val="0409000F"/>
    <w:lvl w:ilvl="0">
      <w:start w:val="1"/>
      <w:numFmt w:val="decimal"/>
      <w:lvlText w:val="%1."/>
      <w:lvlJc w:val="left"/>
      <w:pPr>
        <w:tabs>
          <w:tab w:val="num" w:pos="360"/>
        </w:tabs>
        <w:ind w:left="360" w:hanging="360"/>
      </w:pPr>
    </w:lvl>
  </w:abstractNum>
  <w:abstractNum w:abstractNumId="12">
    <w:nsid w:val="3FC8149D"/>
    <w:multiLevelType w:val="singleLevel"/>
    <w:tmpl w:val="0409000F"/>
    <w:lvl w:ilvl="0">
      <w:start w:val="1"/>
      <w:numFmt w:val="decimal"/>
      <w:lvlText w:val="%1."/>
      <w:lvlJc w:val="left"/>
      <w:pPr>
        <w:tabs>
          <w:tab w:val="num" w:pos="360"/>
        </w:tabs>
        <w:ind w:left="360" w:hanging="360"/>
      </w:pPr>
    </w:lvl>
  </w:abstractNum>
  <w:abstractNum w:abstractNumId="13">
    <w:nsid w:val="410F20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179737A"/>
    <w:multiLevelType w:val="singleLevel"/>
    <w:tmpl w:val="0409000F"/>
    <w:lvl w:ilvl="0">
      <w:start w:val="1"/>
      <w:numFmt w:val="decimal"/>
      <w:lvlText w:val="%1."/>
      <w:lvlJc w:val="left"/>
      <w:pPr>
        <w:tabs>
          <w:tab w:val="num" w:pos="360"/>
        </w:tabs>
        <w:ind w:left="360" w:hanging="360"/>
      </w:pPr>
    </w:lvl>
  </w:abstractNum>
  <w:abstractNum w:abstractNumId="15">
    <w:nsid w:val="472F1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9741E4"/>
    <w:multiLevelType w:val="singleLevel"/>
    <w:tmpl w:val="0409000F"/>
    <w:lvl w:ilvl="0">
      <w:start w:val="1"/>
      <w:numFmt w:val="decimal"/>
      <w:lvlText w:val="%1."/>
      <w:lvlJc w:val="left"/>
      <w:pPr>
        <w:tabs>
          <w:tab w:val="num" w:pos="360"/>
        </w:tabs>
        <w:ind w:left="360" w:hanging="360"/>
      </w:pPr>
    </w:lvl>
  </w:abstractNum>
  <w:abstractNum w:abstractNumId="17">
    <w:nsid w:val="55090627"/>
    <w:multiLevelType w:val="singleLevel"/>
    <w:tmpl w:val="0409000F"/>
    <w:lvl w:ilvl="0">
      <w:start w:val="1"/>
      <w:numFmt w:val="decimal"/>
      <w:lvlText w:val="%1."/>
      <w:lvlJc w:val="left"/>
      <w:pPr>
        <w:tabs>
          <w:tab w:val="num" w:pos="360"/>
        </w:tabs>
        <w:ind w:left="360" w:hanging="360"/>
      </w:pPr>
    </w:lvl>
  </w:abstractNum>
  <w:abstractNum w:abstractNumId="18">
    <w:nsid w:val="57A52088"/>
    <w:multiLevelType w:val="singleLevel"/>
    <w:tmpl w:val="0409000F"/>
    <w:lvl w:ilvl="0">
      <w:start w:val="1"/>
      <w:numFmt w:val="decimal"/>
      <w:lvlText w:val="%1."/>
      <w:lvlJc w:val="left"/>
      <w:pPr>
        <w:tabs>
          <w:tab w:val="num" w:pos="360"/>
        </w:tabs>
        <w:ind w:left="360" w:hanging="360"/>
      </w:pPr>
    </w:lvl>
  </w:abstractNum>
  <w:abstractNum w:abstractNumId="19">
    <w:nsid w:val="5EC20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2CA27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A41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120649"/>
    <w:multiLevelType w:val="singleLevel"/>
    <w:tmpl w:val="0409000F"/>
    <w:lvl w:ilvl="0">
      <w:start w:val="1"/>
      <w:numFmt w:val="decimal"/>
      <w:lvlText w:val="%1."/>
      <w:lvlJc w:val="left"/>
      <w:pPr>
        <w:tabs>
          <w:tab w:val="num" w:pos="360"/>
        </w:tabs>
        <w:ind w:left="360" w:hanging="360"/>
      </w:pPr>
    </w:lvl>
  </w:abstractNum>
  <w:abstractNum w:abstractNumId="23">
    <w:nsid w:val="6DC155E2"/>
    <w:multiLevelType w:val="singleLevel"/>
    <w:tmpl w:val="0409000F"/>
    <w:lvl w:ilvl="0">
      <w:start w:val="1"/>
      <w:numFmt w:val="decimal"/>
      <w:lvlText w:val="%1."/>
      <w:lvlJc w:val="left"/>
      <w:pPr>
        <w:tabs>
          <w:tab w:val="num" w:pos="360"/>
        </w:tabs>
        <w:ind w:left="360" w:hanging="360"/>
      </w:pPr>
    </w:lvl>
  </w:abstractNum>
  <w:abstractNum w:abstractNumId="24">
    <w:nsid w:val="71063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5B2019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78A523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D43115"/>
    <w:multiLevelType w:val="singleLevel"/>
    <w:tmpl w:val="0409000F"/>
    <w:lvl w:ilvl="0">
      <w:start w:val="1"/>
      <w:numFmt w:val="decimal"/>
      <w:lvlText w:val="%1."/>
      <w:lvlJc w:val="left"/>
      <w:pPr>
        <w:tabs>
          <w:tab w:val="num" w:pos="360"/>
        </w:tabs>
        <w:ind w:left="360" w:hanging="360"/>
      </w:pPr>
    </w:lvl>
  </w:abstractNum>
  <w:num w:numId="1">
    <w:abstractNumId w:val="27"/>
  </w:num>
  <w:num w:numId="2">
    <w:abstractNumId w:val="10"/>
  </w:num>
  <w:num w:numId="3">
    <w:abstractNumId w:val="18"/>
  </w:num>
  <w:num w:numId="4">
    <w:abstractNumId w:val="9"/>
  </w:num>
  <w:num w:numId="5">
    <w:abstractNumId w:val="0"/>
  </w:num>
  <w:num w:numId="6">
    <w:abstractNumId w:val="1"/>
  </w:num>
  <w:num w:numId="7">
    <w:abstractNumId w:val="21"/>
  </w:num>
  <w:num w:numId="8">
    <w:abstractNumId w:val="26"/>
  </w:num>
  <w:num w:numId="9">
    <w:abstractNumId w:val="4"/>
  </w:num>
  <w:num w:numId="10">
    <w:abstractNumId w:val="20"/>
  </w:num>
  <w:num w:numId="11">
    <w:abstractNumId w:val="8"/>
  </w:num>
  <w:num w:numId="12">
    <w:abstractNumId w:val="23"/>
  </w:num>
  <w:num w:numId="13">
    <w:abstractNumId w:val="15"/>
  </w:num>
  <w:num w:numId="14">
    <w:abstractNumId w:val="24"/>
  </w:num>
  <w:num w:numId="15">
    <w:abstractNumId w:val="13"/>
  </w:num>
  <w:num w:numId="16">
    <w:abstractNumId w:val="7"/>
  </w:num>
  <w:num w:numId="17">
    <w:abstractNumId w:val="19"/>
  </w:num>
  <w:num w:numId="18">
    <w:abstractNumId w:val="3"/>
  </w:num>
  <w:num w:numId="19">
    <w:abstractNumId w:val="22"/>
  </w:num>
  <w:num w:numId="20">
    <w:abstractNumId w:val="6"/>
  </w:num>
  <w:num w:numId="21">
    <w:abstractNumId w:val="11"/>
  </w:num>
  <w:num w:numId="22">
    <w:abstractNumId w:val="5"/>
  </w:num>
  <w:num w:numId="23">
    <w:abstractNumId w:val="25"/>
  </w:num>
  <w:num w:numId="24">
    <w:abstractNumId w:val="17"/>
  </w:num>
  <w:num w:numId="25">
    <w:abstractNumId w:val="14"/>
  </w:num>
  <w:num w:numId="26">
    <w:abstractNumId w:val="16"/>
  </w:num>
  <w:num w:numId="27">
    <w:abstractNumId w:val="2"/>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9307D"/>
    <w:rsid w:val="0006391C"/>
    <w:rsid w:val="00A9307D"/>
    <w:rsid w:val="00B55698"/>
    <w:rsid w:val="00C06B1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8"/>
      <w:lang w:bidi="ar-S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i/>
    </w:rPr>
  </w:style>
  <w:style w:type="paragraph" w:styleId="BodyText3">
    <w:name w:val="Body Text 3"/>
    <w:basedOn w:val="Normal"/>
    <w:pPr>
      <w:jc w:val="both"/>
    </w:pPr>
  </w:style>
  <w:style w:type="paragraph" w:styleId="BodyTextIndent">
    <w:name w:val="Body Text Indent"/>
    <w:basedOn w:val="Normal"/>
    <w:pPr>
      <w:tabs>
        <w:tab w:val="left" w:pos="0"/>
        <w:tab w:val="left" w:pos="90"/>
      </w:tabs>
      <w:ind w:left="720" w:hanging="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5267</Words>
  <Characters>27446</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Payment of Margins – Initial and MTM</vt:lpstr>
    </vt:vector>
  </TitlesOfParts>
  <Company> </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of Margins – Initial and MTM</dc:title>
  <dc:subject/>
  <dc:creator>ab</dc:creator>
  <cp:keywords/>
  <cp:lastModifiedBy>Dhruva Shah</cp:lastModifiedBy>
  <cp:revision>2</cp:revision>
  <cp:lastPrinted>2001-05-21T13:10:00Z</cp:lastPrinted>
  <dcterms:created xsi:type="dcterms:W3CDTF">2007-08-19T07:06:00Z</dcterms:created>
  <dcterms:modified xsi:type="dcterms:W3CDTF">2007-08-19T07:06:00Z</dcterms:modified>
</cp:coreProperties>
</file>