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624"/>
        <w:gridCol w:w="2552"/>
      </w:tblGrid>
      <w:tr w:rsidR="002176C2" w:rsidRPr="002176C2">
        <w:trPr>
          <w:gridAfter w:val="1"/>
          <w:tblCellSpacing w:w="0" w:type="dxa"/>
        </w:trPr>
        <w:tc>
          <w:tcPr>
            <w:tcW w:w="4750" w:type="pct"/>
            <w:hideMark/>
          </w:tcPr>
          <w:p w:rsidR="002176C2" w:rsidRPr="002176C2" w:rsidRDefault="002176C2" w:rsidP="002176C2">
            <w:pPr>
              <w:spacing w:before="100" w:beforeAutospacing="1" w:after="0" w:line="270" w:lineRule="atLeast"/>
              <w:rPr>
                <w:rFonts w:ascii="Times New Roman" w:hAnsi="Times New Roman"/>
                <w:color w:val="490032"/>
                <w:sz w:val="24"/>
                <w:szCs w:val="24"/>
                <w:lang w:bidi="hi-IN"/>
              </w:rPr>
            </w:pPr>
            <w:r w:rsidRPr="002176C2">
              <w:rPr>
                <w:rFonts w:ascii="Verdana" w:hAnsi="Verdana"/>
                <w:b/>
                <w:bCs/>
                <w:color w:val="B3017C"/>
                <w:sz w:val="20"/>
                <w:lang w:bidi="hi-IN"/>
              </w:rPr>
              <w:t xml:space="preserve">Module 1: Investment Horizon </w:t>
            </w:r>
          </w:p>
          <w:p w:rsidR="002176C2" w:rsidRPr="002176C2" w:rsidRDefault="002176C2" w:rsidP="002176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What is Primary Market </w:t>
            </w:r>
          </w:p>
          <w:p w:rsidR="002176C2" w:rsidRPr="002176C2" w:rsidRDefault="002176C2" w:rsidP="002176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Difference between Primary and Secondary Market </w:t>
            </w:r>
          </w:p>
          <w:p w:rsidR="002176C2" w:rsidRPr="002176C2" w:rsidRDefault="002176C2" w:rsidP="002176C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Times New Roman" w:hAnsi="Times New Roman"/>
                <w:color w:val="333333"/>
                <w:sz w:val="14"/>
                <w:szCs w:val="14"/>
                <w:lang w:bidi="hi-IN"/>
              </w:rPr>
              <w:t> 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>Participants in the Securities Markets </w:t>
            </w: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t xml:space="preserve"> </w:t>
            </w:r>
          </w:p>
          <w:p w:rsidR="002176C2" w:rsidRPr="002176C2" w:rsidRDefault="002176C2" w:rsidP="002176C2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Difference between trading and investing </w:t>
            </w:r>
          </w:p>
          <w:p w:rsidR="002176C2" w:rsidRPr="002176C2" w:rsidRDefault="002176C2" w:rsidP="002176C2">
            <w:pPr>
              <w:numPr>
                <w:ilvl w:val="0"/>
                <w:numId w:val="1"/>
              </w:numPr>
              <w:spacing w:before="100" w:beforeAutospacing="1" w:after="100" w:afterAutospacing="1" w:line="270" w:lineRule="atLeast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>Debt and Call money market</w:t>
            </w:r>
            <w:r w:rsidRPr="002176C2">
              <w:rPr>
                <w:rFonts w:ascii="Verdana" w:hAnsi="Verdana"/>
                <w:b/>
                <w:bCs/>
                <w:color w:val="B3017C"/>
                <w:sz w:val="20"/>
                <w:lang w:bidi="hi-IN"/>
              </w:rPr>
              <w:t xml:space="preserve"> </w:t>
            </w:r>
          </w:p>
        </w:tc>
      </w:tr>
      <w:tr w:rsidR="002176C2" w:rsidRPr="002176C2">
        <w:trPr>
          <w:trHeight w:val="225"/>
          <w:tblCellSpacing w:w="0" w:type="dxa"/>
        </w:trPr>
        <w:tc>
          <w:tcPr>
            <w:tcW w:w="375" w:type="dxa"/>
            <w:hideMark/>
          </w:tcPr>
          <w:p w:rsidR="002176C2" w:rsidRPr="002176C2" w:rsidRDefault="002176C2" w:rsidP="002176C2">
            <w:pPr>
              <w:spacing w:after="0" w:line="270" w:lineRule="atLeast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t> </w:t>
            </w:r>
          </w:p>
        </w:tc>
        <w:tc>
          <w:tcPr>
            <w:tcW w:w="0" w:type="auto"/>
            <w:hideMark/>
          </w:tcPr>
          <w:p w:rsidR="002176C2" w:rsidRPr="002176C2" w:rsidRDefault="002176C2" w:rsidP="002176C2">
            <w:pPr>
              <w:spacing w:before="100" w:beforeAutospacing="1" w:after="100" w:afterAutospacing="1" w:line="270" w:lineRule="atLeast"/>
              <w:rPr>
                <w:rFonts w:ascii="Times New Roman" w:hAnsi="Times New Roman"/>
                <w:color w:val="490032"/>
                <w:sz w:val="24"/>
                <w:szCs w:val="24"/>
                <w:lang w:bidi="hi-IN"/>
              </w:rPr>
            </w:pPr>
            <w:r w:rsidRPr="002176C2">
              <w:rPr>
                <w:rFonts w:ascii="Verdana" w:hAnsi="Verdana"/>
                <w:b/>
                <w:bCs/>
                <w:color w:val="B3017C"/>
                <w:sz w:val="20"/>
                <w:lang w:bidi="hi-IN"/>
              </w:rPr>
              <w:t xml:space="preserve">Module 2: Fundamental Analysis </w:t>
            </w:r>
          </w:p>
          <w:p w:rsidR="002176C2" w:rsidRPr="002176C2" w:rsidRDefault="002176C2" w:rsidP="002176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What is Fundamental Analysis </w:t>
            </w:r>
          </w:p>
          <w:p w:rsidR="002176C2" w:rsidRPr="002176C2" w:rsidRDefault="002176C2" w:rsidP="002176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Times New Roman" w:hAnsi="Times New Roman"/>
                <w:color w:val="333333"/>
                <w:sz w:val="14"/>
                <w:szCs w:val="14"/>
                <w:lang w:bidi="hi-IN"/>
              </w:rPr>
              <w:t> 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Difference Between Technical and Fundamental Analysis </w:t>
            </w:r>
          </w:p>
          <w:p w:rsidR="002176C2" w:rsidRPr="002176C2" w:rsidRDefault="002176C2" w:rsidP="002176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Concept of Intrinsic Value </w:t>
            </w:r>
          </w:p>
          <w:p w:rsidR="002176C2" w:rsidRPr="002176C2" w:rsidRDefault="002176C2" w:rsidP="002176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Importance of Economic Analysis </w:t>
            </w:r>
          </w:p>
          <w:p w:rsidR="002176C2" w:rsidRPr="002176C2" w:rsidRDefault="002176C2" w:rsidP="002176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Fundamental Analysis Frameworks </w:t>
            </w:r>
          </w:p>
          <w:p w:rsidR="002176C2" w:rsidRPr="002176C2" w:rsidRDefault="002176C2" w:rsidP="002176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Global and Domestic Economy </w:t>
            </w:r>
          </w:p>
          <w:p w:rsidR="002176C2" w:rsidRPr="002176C2" w:rsidRDefault="002176C2" w:rsidP="002176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Business Cycles </w:t>
            </w:r>
          </w:p>
          <w:p w:rsidR="002176C2" w:rsidRPr="002176C2" w:rsidRDefault="002176C2" w:rsidP="002176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Monetary and Fiscal Policies </w:t>
            </w:r>
          </w:p>
          <w:p w:rsidR="002176C2" w:rsidRPr="002176C2" w:rsidRDefault="002176C2" w:rsidP="002176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/>
                <w:color w:val="490032"/>
                <w:sz w:val="20"/>
                <w:szCs w:val="20"/>
                <w:lang w:bidi="hi-IN"/>
              </w:rPr>
              <w:t>Stock Picking Techniques using Growth and Value Investing Strategies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 </w:t>
            </w:r>
          </w:p>
          <w:p w:rsidR="002176C2" w:rsidRPr="002176C2" w:rsidRDefault="002176C2" w:rsidP="002176C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b/>
                <w:color w:val="333333"/>
                <w:sz w:val="20"/>
                <w:szCs w:val="20"/>
                <w:lang w:bidi="hi-IN"/>
              </w:rPr>
              <w:t xml:space="preserve">Case Study 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: Screeners-How to select excellent companies </w:t>
            </w:r>
          </w:p>
        </w:tc>
      </w:tr>
      <w:tr w:rsidR="002176C2" w:rsidRPr="002176C2">
        <w:trPr>
          <w:trHeight w:val="225"/>
          <w:tblCellSpacing w:w="0" w:type="dxa"/>
        </w:trPr>
        <w:tc>
          <w:tcPr>
            <w:tcW w:w="375" w:type="dxa"/>
            <w:hideMark/>
          </w:tcPr>
          <w:p w:rsidR="002176C2" w:rsidRPr="002176C2" w:rsidRDefault="002176C2" w:rsidP="002176C2">
            <w:pPr>
              <w:spacing w:after="0" w:line="270" w:lineRule="atLeast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t> </w:t>
            </w:r>
          </w:p>
        </w:tc>
        <w:tc>
          <w:tcPr>
            <w:tcW w:w="0" w:type="auto"/>
            <w:hideMark/>
          </w:tcPr>
          <w:p w:rsidR="002176C2" w:rsidRPr="002176C2" w:rsidRDefault="002176C2" w:rsidP="002176C2">
            <w:pPr>
              <w:spacing w:before="100" w:beforeAutospacing="1" w:after="100" w:afterAutospacing="1" w:line="270" w:lineRule="atLeast"/>
              <w:rPr>
                <w:rFonts w:ascii="Times New Roman" w:hAnsi="Times New Roman"/>
                <w:color w:val="490032"/>
                <w:sz w:val="24"/>
                <w:szCs w:val="24"/>
                <w:lang w:bidi="hi-IN"/>
              </w:rPr>
            </w:pPr>
            <w:r w:rsidRPr="002176C2">
              <w:rPr>
                <w:rFonts w:ascii="Verdana" w:hAnsi="Verdana"/>
                <w:b/>
                <w:bCs/>
                <w:color w:val="B3017C"/>
                <w:sz w:val="20"/>
                <w:lang w:bidi="hi-IN"/>
              </w:rPr>
              <w:t xml:space="preserve">Module 3: Industry &amp; Company Analysis </w:t>
            </w:r>
          </w:p>
          <w:p w:rsidR="002176C2" w:rsidRPr="002176C2" w:rsidRDefault="002176C2" w:rsidP="002176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How to analyze an industry </w:t>
            </w:r>
          </w:p>
          <w:p w:rsidR="002176C2" w:rsidRPr="002176C2" w:rsidRDefault="002176C2" w:rsidP="002176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Michael Porter model for 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lastRenderedPageBreak/>
              <w:t xml:space="preserve">industry analysis </w:t>
            </w:r>
          </w:p>
          <w:p w:rsidR="002176C2" w:rsidRPr="002176C2" w:rsidRDefault="002176C2" w:rsidP="002176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Industry life cycle and its characteristics </w:t>
            </w:r>
          </w:p>
          <w:p w:rsidR="002176C2" w:rsidRPr="002176C2" w:rsidRDefault="002176C2" w:rsidP="002176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Industry Analysis Parameters : FMCG ,IT, Cement, Aluminium, Auto </w:t>
            </w:r>
          </w:p>
          <w:p w:rsidR="002176C2" w:rsidRPr="002176C2" w:rsidRDefault="002176C2" w:rsidP="002176C2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b/>
                <w:color w:val="333333"/>
                <w:sz w:val="20"/>
                <w:szCs w:val="20"/>
                <w:lang w:bidi="hi-IN"/>
              </w:rPr>
              <w:t>Case Study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: SWOT Analysis of Nike, NIIT. Porter Analysis of Indian Textile, Telecom Sector </w:t>
            </w:r>
          </w:p>
        </w:tc>
      </w:tr>
      <w:tr w:rsidR="002176C2" w:rsidRPr="002176C2">
        <w:trPr>
          <w:trHeight w:val="225"/>
          <w:tblCellSpacing w:w="0" w:type="dxa"/>
        </w:trPr>
        <w:tc>
          <w:tcPr>
            <w:tcW w:w="375" w:type="dxa"/>
            <w:hideMark/>
          </w:tcPr>
          <w:p w:rsidR="002176C2" w:rsidRPr="002176C2" w:rsidRDefault="002176C2" w:rsidP="002176C2">
            <w:pPr>
              <w:spacing w:after="0" w:line="270" w:lineRule="atLeast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2176C2" w:rsidRPr="002176C2" w:rsidRDefault="002176C2" w:rsidP="002176C2">
            <w:pPr>
              <w:spacing w:before="100" w:beforeAutospacing="1" w:after="100" w:afterAutospacing="1" w:line="270" w:lineRule="atLeast"/>
              <w:rPr>
                <w:rFonts w:ascii="Times New Roman" w:hAnsi="Times New Roman"/>
                <w:color w:val="490032"/>
                <w:sz w:val="24"/>
                <w:szCs w:val="24"/>
                <w:lang w:bidi="hi-IN"/>
              </w:rPr>
            </w:pPr>
            <w:r w:rsidRPr="002176C2">
              <w:rPr>
                <w:rFonts w:ascii="Verdana" w:hAnsi="Verdana"/>
                <w:b/>
                <w:bCs/>
                <w:color w:val="B3017C"/>
                <w:sz w:val="20"/>
                <w:lang w:bidi="hi-IN"/>
              </w:rPr>
              <w:t xml:space="preserve">Module 4: Financial Statement Analysis </w:t>
            </w:r>
          </w:p>
          <w:p w:rsidR="002176C2" w:rsidRPr="002176C2" w:rsidRDefault="002176C2" w:rsidP="002176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Income Statement : Analysis </w:t>
            </w:r>
          </w:p>
          <w:p w:rsidR="002176C2" w:rsidRPr="002176C2" w:rsidRDefault="002176C2" w:rsidP="002176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Balance Sheet : Analysis </w:t>
            </w:r>
          </w:p>
          <w:p w:rsidR="002176C2" w:rsidRPr="002176C2" w:rsidRDefault="002176C2" w:rsidP="002176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Footnotes : Analysis </w:t>
            </w:r>
          </w:p>
          <w:p w:rsidR="002176C2" w:rsidRPr="002176C2" w:rsidRDefault="002176C2" w:rsidP="002176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Cash Flow : Analysis </w:t>
            </w:r>
          </w:p>
          <w:p w:rsidR="002176C2" w:rsidRPr="002176C2" w:rsidRDefault="002176C2" w:rsidP="002176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Director’s report : Analysis </w:t>
            </w:r>
          </w:p>
          <w:p w:rsidR="002176C2" w:rsidRPr="002176C2" w:rsidRDefault="002176C2" w:rsidP="002176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Management Discussion and Analysis : Analysis </w:t>
            </w:r>
          </w:p>
          <w:p w:rsidR="002176C2" w:rsidRPr="002176C2" w:rsidRDefault="002176C2" w:rsidP="002176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Auditor’s Report : Analysis </w:t>
            </w:r>
          </w:p>
          <w:p w:rsidR="002176C2" w:rsidRPr="002176C2" w:rsidRDefault="002176C2" w:rsidP="002176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Shareholding Pattern : Analysis </w:t>
            </w:r>
          </w:p>
          <w:p w:rsidR="002176C2" w:rsidRPr="002176C2" w:rsidRDefault="002176C2" w:rsidP="002176C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b/>
                <w:color w:val="333333"/>
                <w:sz w:val="20"/>
                <w:szCs w:val="20"/>
                <w:lang w:val="en-US" w:eastAsia="en-US"/>
              </w:rPr>
              <w:t xml:space="preserve">Case Study 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val="en-US" w:eastAsia="en-US"/>
              </w:rPr>
              <w:t xml:space="preserve">: </w:t>
            </w:r>
            <w:proofErr w:type="spellStart"/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val="en-US" w:eastAsia="en-US"/>
              </w:rPr>
              <w:t>Airtel</w:t>
            </w:r>
            <w:proofErr w:type="spellEnd"/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val="en-US" w:eastAsia="en-US"/>
              </w:rPr>
              <w:t xml:space="preserve"> Horizontal and Vertical Analysis</w:t>
            </w: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t xml:space="preserve"> </w:t>
            </w:r>
          </w:p>
        </w:tc>
      </w:tr>
      <w:tr w:rsidR="002176C2" w:rsidRPr="002176C2">
        <w:trPr>
          <w:trHeight w:val="225"/>
          <w:tblCellSpacing w:w="0" w:type="dxa"/>
        </w:trPr>
        <w:tc>
          <w:tcPr>
            <w:tcW w:w="375" w:type="dxa"/>
            <w:hideMark/>
          </w:tcPr>
          <w:p w:rsidR="002176C2" w:rsidRPr="002176C2" w:rsidRDefault="002176C2" w:rsidP="002176C2">
            <w:pPr>
              <w:spacing w:after="0" w:line="270" w:lineRule="atLeast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t> </w:t>
            </w:r>
          </w:p>
        </w:tc>
        <w:tc>
          <w:tcPr>
            <w:tcW w:w="0" w:type="auto"/>
            <w:hideMark/>
          </w:tcPr>
          <w:p w:rsidR="002176C2" w:rsidRPr="002176C2" w:rsidRDefault="002176C2" w:rsidP="002176C2">
            <w:pPr>
              <w:spacing w:before="100" w:beforeAutospacing="1" w:after="100" w:afterAutospacing="1" w:line="270" w:lineRule="atLeast"/>
              <w:rPr>
                <w:rFonts w:ascii="Times New Roman" w:hAnsi="Times New Roman"/>
                <w:color w:val="490032"/>
                <w:sz w:val="24"/>
                <w:szCs w:val="24"/>
                <w:lang w:bidi="hi-IN"/>
              </w:rPr>
            </w:pPr>
            <w:r w:rsidRPr="002176C2">
              <w:rPr>
                <w:rFonts w:ascii="Verdana" w:hAnsi="Verdana"/>
                <w:b/>
                <w:bCs/>
                <w:color w:val="B3017C"/>
                <w:sz w:val="20"/>
                <w:lang w:bidi="hi-IN"/>
              </w:rPr>
              <w:t xml:space="preserve">Module 5: Ratio Analysis </w:t>
            </w:r>
          </w:p>
          <w:p w:rsidR="002176C2" w:rsidRPr="002176C2" w:rsidRDefault="002176C2" w:rsidP="002176C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What is ratio analysis </w:t>
            </w:r>
          </w:p>
          <w:p w:rsidR="002176C2" w:rsidRPr="002176C2" w:rsidRDefault="002176C2" w:rsidP="002176C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How to do common size 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lastRenderedPageBreak/>
              <w:t xml:space="preserve">analysis </w:t>
            </w:r>
          </w:p>
          <w:p w:rsidR="002176C2" w:rsidRPr="002176C2" w:rsidRDefault="002176C2" w:rsidP="002176C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What is cross-sectional analysis </w:t>
            </w:r>
          </w:p>
          <w:p w:rsidR="002176C2" w:rsidRPr="002176C2" w:rsidRDefault="002176C2" w:rsidP="002176C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b/>
                <w:color w:val="333333"/>
                <w:sz w:val="20"/>
                <w:szCs w:val="20"/>
                <w:lang w:bidi="hi-IN"/>
              </w:rPr>
              <w:t xml:space="preserve">Case Study : </w:t>
            </w:r>
            <w:proofErr w:type="spellStart"/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>Kotak</w:t>
            </w:r>
            <w:proofErr w:type="spellEnd"/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 Beta Calculation, </w:t>
            </w:r>
            <w:proofErr w:type="spellStart"/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>Airtel</w:t>
            </w:r>
            <w:proofErr w:type="spellEnd"/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 Ratio Analysis </w:t>
            </w:r>
          </w:p>
        </w:tc>
      </w:tr>
      <w:tr w:rsidR="002176C2" w:rsidRPr="002176C2">
        <w:trPr>
          <w:trHeight w:val="225"/>
          <w:tblCellSpacing w:w="0" w:type="dxa"/>
        </w:trPr>
        <w:tc>
          <w:tcPr>
            <w:tcW w:w="375" w:type="dxa"/>
            <w:hideMark/>
          </w:tcPr>
          <w:p w:rsidR="002176C2" w:rsidRPr="002176C2" w:rsidRDefault="002176C2" w:rsidP="002176C2">
            <w:pPr>
              <w:spacing w:after="0" w:line="270" w:lineRule="atLeast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2176C2" w:rsidRPr="002176C2" w:rsidRDefault="002176C2" w:rsidP="002176C2">
            <w:pPr>
              <w:spacing w:before="100" w:beforeAutospacing="1" w:after="100" w:afterAutospacing="1" w:line="270" w:lineRule="atLeast"/>
              <w:rPr>
                <w:rFonts w:ascii="Times New Roman" w:hAnsi="Times New Roman"/>
                <w:color w:val="490032"/>
                <w:sz w:val="24"/>
                <w:szCs w:val="24"/>
                <w:lang w:bidi="hi-IN"/>
              </w:rPr>
            </w:pPr>
            <w:r w:rsidRPr="002176C2">
              <w:rPr>
                <w:rFonts w:ascii="Verdana" w:hAnsi="Verdana"/>
                <w:b/>
                <w:bCs/>
                <w:color w:val="B3017C"/>
                <w:sz w:val="20"/>
                <w:lang w:bidi="hi-IN"/>
              </w:rPr>
              <w:t xml:space="preserve">Module 6: Relative Valuation </w:t>
            </w:r>
          </w:p>
          <w:p w:rsidR="002176C2" w:rsidRPr="002176C2" w:rsidRDefault="002176C2" w:rsidP="002176C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Meaning of Relative Valuation </w:t>
            </w:r>
          </w:p>
          <w:p w:rsidR="002176C2" w:rsidRPr="002176C2" w:rsidRDefault="002176C2" w:rsidP="002176C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How EVA is different from other valuation methods </w:t>
            </w:r>
          </w:p>
          <w:p w:rsidR="002176C2" w:rsidRPr="002176C2" w:rsidRDefault="002176C2" w:rsidP="002176C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>Different Relative Valuation metrics </w:t>
            </w: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t xml:space="preserve"> </w:t>
            </w:r>
          </w:p>
          <w:p w:rsidR="002176C2" w:rsidRPr="002176C2" w:rsidRDefault="002176C2" w:rsidP="002176C2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b/>
                <w:color w:val="333333"/>
                <w:sz w:val="20"/>
                <w:szCs w:val="20"/>
                <w:lang w:val="en-US" w:eastAsia="en-US"/>
              </w:rPr>
              <w:t xml:space="preserve">Case Study : 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val="en-US" w:eastAsia="en-US"/>
              </w:rPr>
              <w:t>Godrej –Colgate Relative Valuation, S&amp;P CNX 500 Company Analysis</w:t>
            </w: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t xml:space="preserve"> </w:t>
            </w:r>
          </w:p>
        </w:tc>
      </w:tr>
      <w:tr w:rsidR="002176C2" w:rsidRPr="002176C2">
        <w:trPr>
          <w:trHeight w:val="225"/>
          <w:tblCellSpacing w:w="0" w:type="dxa"/>
        </w:trPr>
        <w:tc>
          <w:tcPr>
            <w:tcW w:w="375" w:type="dxa"/>
            <w:hideMark/>
          </w:tcPr>
          <w:p w:rsidR="002176C2" w:rsidRPr="002176C2" w:rsidRDefault="002176C2" w:rsidP="002176C2">
            <w:pPr>
              <w:spacing w:after="0" w:line="270" w:lineRule="atLeast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t> </w:t>
            </w:r>
          </w:p>
        </w:tc>
        <w:tc>
          <w:tcPr>
            <w:tcW w:w="0" w:type="auto"/>
            <w:hideMark/>
          </w:tcPr>
          <w:p w:rsidR="002176C2" w:rsidRPr="002176C2" w:rsidRDefault="002176C2" w:rsidP="002176C2">
            <w:pPr>
              <w:spacing w:before="100" w:beforeAutospacing="1" w:after="100" w:afterAutospacing="1" w:line="270" w:lineRule="atLeast"/>
              <w:rPr>
                <w:rFonts w:ascii="Times New Roman" w:hAnsi="Times New Roman"/>
                <w:color w:val="490032"/>
                <w:sz w:val="24"/>
                <w:szCs w:val="24"/>
                <w:lang w:bidi="hi-IN"/>
              </w:rPr>
            </w:pPr>
            <w:r w:rsidRPr="002176C2">
              <w:rPr>
                <w:rFonts w:ascii="Verdana" w:hAnsi="Verdana"/>
                <w:b/>
                <w:bCs/>
                <w:color w:val="B3017C"/>
                <w:sz w:val="20"/>
                <w:lang w:bidi="hi-IN"/>
              </w:rPr>
              <w:t xml:space="preserve">Module 7: Forecasting Techniques </w:t>
            </w:r>
          </w:p>
          <w:p w:rsidR="002176C2" w:rsidRPr="002176C2" w:rsidRDefault="002176C2" w:rsidP="002176C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The Importance of Forecasting in Valuation  </w:t>
            </w:r>
          </w:p>
          <w:p w:rsidR="002176C2" w:rsidRPr="002176C2" w:rsidRDefault="002176C2" w:rsidP="002176C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Different Forecasting methods </w:t>
            </w:r>
          </w:p>
          <w:p w:rsidR="002176C2" w:rsidRPr="002176C2" w:rsidRDefault="002176C2" w:rsidP="002176C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Steps in Forecasting </w:t>
            </w:r>
          </w:p>
          <w:p w:rsidR="002176C2" w:rsidRPr="002176C2" w:rsidRDefault="002176C2" w:rsidP="002176C2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b/>
                <w:color w:val="333333"/>
                <w:sz w:val="20"/>
                <w:szCs w:val="20"/>
                <w:lang w:bidi="hi-IN"/>
              </w:rPr>
              <w:t xml:space="preserve">Case Study : 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Detailed Case Study on Forecasting </w:t>
            </w:r>
          </w:p>
        </w:tc>
      </w:tr>
      <w:tr w:rsidR="002176C2" w:rsidRPr="002176C2">
        <w:trPr>
          <w:trHeight w:val="225"/>
          <w:tblCellSpacing w:w="0" w:type="dxa"/>
        </w:trPr>
        <w:tc>
          <w:tcPr>
            <w:tcW w:w="375" w:type="dxa"/>
            <w:hideMark/>
          </w:tcPr>
          <w:p w:rsidR="002176C2" w:rsidRPr="002176C2" w:rsidRDefault="002176C2" w:rsidP="002176C2">
            <w:pPr>
              <w:spacing w:after="0" w:line="270" w:lineRule="atLeast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t> </w:t>
            </w:r>
          </w:p>
        </w:tc>
        <w:tc>
          <w:tcPr>
            <w:tcW w:w="0" w:type="auto"/>
            <w:hideMark/>
          </w:tcPr>
          <w:p w:rsidR="002176C2" w:rsidRPr="002176C2" w:rsidRDefault="002176C2" w:rsidP="002176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490032"/>
                <w:sz w:val="24"/>
                <w:szCs w:val="24"/>
                <w:lang w:bidi="hi-IN"/>
              </w:rPr>
            </w:pPr>
            <w:r w:rsidRPr="002176C2">
              <w:rPr>
                <w:rFonts w:ascii="Verdana" w:hAnsi="Verdana"/>
                <w:b/>
                <w:bCs/>
                <w:color w:val="B3017C"/>
                <w:sz w:val="20"/>
                <w:lang w:bidi="hi-IN"/>
              </w:rPr>
              <w:t xml:space="preserve">Module 8: DCF Valuation </w:t>
            </w:r>
          </w:p>
          <w:p w:rsidR="002176C2" w:rsidRPr="002176C2" w:rsidRDefault="002176C2" w:rsidP="002176C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Meaning of 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lastRenderedPageBreak/>
              <w:t xml:space="preserve">intrinsic value </w:t>
            </w:r>
          </w:p>
          <w:p w:rsidR="002176C2" w:rsidRPr="002176C2" w:rsidRDefault="002176C2" w:rsidP="002176C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Difference in FCFF and FCFE </w:t>
            </w:r>
          </w:p>
          <w:p w:rsidR="002176C2" w:rsidRPr="002176C2" w:rsidRDefault="002176C2" w:rsidP="002176C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Steps in DCF </w:t>
            </w:r>
            <w:proofErr w:type="spellStart"/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>Modeling</w:t>
            </w:r>
            <w:proofErr w:type="spellEnd"/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 </w:t>
            </w:r>
          </w:p>
          <w:p w:rsidR="002176C2" w:rsidRPr="002176C2" w:rsidRDefault="002176C2" w:rsidP="002176C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How to calculate Cost of Debt and Cost of Equity </w:t>
            </w:r>
          </w:p>
          <w:p w:rsidR="002176C2" w:rsidRPr="002176C2" w:rsidRDefault="002176C2" w:rsidP="002176C2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b/>
                <w:color w:val="333333"/>
                <w:sz w:val="20"/>
                <w:szCs w:val="20"/>
                <w:lang w:val="en-US" w:eastAsia="en-US"/>
              </w:rPr>
              <w:t xml:space="preserve">Case Study : 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val="en-US" w:eastAsia="en-US"/>
              </w:rPr>
              <w:t>DCF Valuation of Tata Steel, Difference between FCFF &amp; FCFE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 </w:t>
            </w:r>
          </w:p>
        </w:tc>
      </w:tr>
      <w:tr w:rsidR="002176C2" w:rsidRPr="002176C2">
        <w:trPr>
          <w:trHeight w:val="225"/>
          <w:tblCellSpacing w:w="0" w:type="dxa"/>
        </w:trPr>
        <w:tc>
          <w:tcPr>
            <w:tcW w:w="375" w:type="dxa"/>
            <w:hideMark/>
          </w:tcPr>
          <w:p w:rsidR="002176C2" w:rsidRPr="002176C2" w:rsidRDefault="002176C2" w:rsidP="002176C2">
            <w:pPr>
              <w:spacing w:after="0" w:line="270" w:lineRule="atLeast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2176C2" w:rsidRPr="002176C2" w:rsidRDefault="002176C2" w:rsidP="002176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490032"/>
                <w:sz w:val="24"/>
                <w:szCs w:val="24"/>
                <w:lang w:bidi="hi-IN"/>
              </w:rPr>
            </w:pPr>
            <w:r w:rsidRPr="002176C2">
              <w:rPr>
                <w:rFonts w:ascii="Verdana" w:hAnsi="Verdana"/>
                <w:b/>
                <w:bCs/>
                <w:color w:val="B3017C"/>
                <w:sz w:val="20"/>
                <w:lang w:bidi="hi-IN"/>
              </w:rPr>
              <w:t xml:space="preserve">Module 9: How to write Equity Research Report </w:t>
            </w:r>
          </w:p>
          <w:p w:rsidR="002176C2" w:rsidRPr="002176C2" w:rsidRDefault="002176C2" w:rsidP="002176C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Equity Research Process </w:t>
            </w:r>
          </w:p>
          <w:p w:rsidR="002176C2" w:rsidRPr="002176C2" w:rsidRDefault="002176C2" w:rsidP="002176C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Steps in writing Equity Research Report </w:t>
            </w:r>
          </w:p>
          <w:p w:rsidR="002176C2" w:rsidRPr="002176C2" w:rsidRDefault="002176C2" w:rsidP="002176C2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b/>
                <w:color w:val="333333"/>
                <w:sz w:val="20"/>
                <w:szCs w:val="20"/>
                <w:lang w:val="en-US" w:eastAsia="en-US"/>
              </w:rPr>
              <w:t xml:space="preserve">Case Study </w:t>
            </w: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val="en-US" w:eastAsia="en-US"/>
              </w:rPr>
              <w:t xml:space="preserve">: DLF, Infosys, Ranbaxy, </w:t>
            </w:r>
            <w:proofErr w:type="spellStart"/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val="en-US" w:eastAsia="en-US"/>
              </w:rPr>
              <w:t>Havells</w:t>
            </w:r>
            <w:proofErr w:type="spellEnd"/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 </w:t>
            </w:r>
          </w:p>
        </w:tc>
      </w:tr>
      <w:tr w:rsidR="002176C2" w:rsidRPr="002176C2">
        <w:trPr>
          <w:trHeight w:val="225"/>
          <w:tblCellSpacing w:w="0" w:type="dxa"/>
        </w:trPr>
        <w:tc>
          <w:tcPr>
            <w:tcW w:w="375" w:type="dxa"/>
            <w:hideMark/>
          </w:tcPr>
          <w:p w:rsidR="002176C2" w:rsidRPr="002176C2" w:rsidRDefault="002176C2" w:rsidP="002176C2">
            <w:pPr>
              <w:spacing w:after="0" w:line="270" w:lineRule="atLeast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/>
                <w:color w:val="490032"/>
                <w:sz w:val="18"/>
                <w:szCs w:val="18"/>
                <w:lang w:bidi="hi-IN"/>
              </w:rPr>
              <w:t> </w:t>
            </w:r>
          </w:p>
        </w:tc>
        <w:tc>
          <w:tcPr>
            <w:tcW w:w="0" w:type="auto"/>
            <w:hideMark/>
          </w:tcPr>
          <w:p w:rsidR="002176C2" w:rsidRPr="002176C2" w:rsidRDefault="002176C2" w:rsidP="002176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490032"/>
                <w:sz w:val="24"/>
                <w:szCs w:val="24"/>
                <w:lang w:bidi="hi-IN"/>
              </w:rPr>
            </w:pPr>
            <w:r w:rsidRPr="002176C2">
              <w:rPr>
                <w:rFonts w:ascii="Verdana" w:hAnsi="Verdana"/>
                <w:b/>
                <w:bCs/>
                <w:color w:val="B3017C"/>
                <w:sz w:val="20"/>
                <w:lang w:bidi="hi-IN"/>
              </w:rPr>
              <w:t>Additional Feature: Pick of the Week (Updated every week)</w:t>
            </w:r>
          </w:p>
          <w:p w:rsidR="002176C2" w:rsidRPr="002176C2" w:rsidRDefault="002176C2" w:rsidP="002176C2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Verdana" w:hAnsi="Verdana"/>
                <w:color w:val="490032"/>
                <w:sz w:val="18"/>
                <w:szCs w:val="18"/>
                <w:lang w:bidi="hi-IN"/>
              </w:rPr>
            </w:pPr>
            <w:r w:rsidRPr="002176C2">
              <w:rPr>
                <w:rFonts w:ascii="Verdana" w:hAnsi="Verdana" w:cs="Arial"/>
                <w:color w:val="333333"/>
                <w:sz w:val="20"/>
                <w:szCs w:val="20"/>
                <w:lang w:bidi="hi-IN"/>
              </w:rPr>
              <w:t xml:space="preserve">Learn how to select company and write reports on your own. </w:t>
            </w:r>
          </w:p>
        </w:tc>
      </w:tr>
    </w:tbl>
    <w:p w:rsidR="007170A7" w:rsidRDefault="007170A7"/>
    <w:p w:rsidR="002176C2" w:rsidRDefault="002176C2"/>
    <w:p w:rsidR="002176C2" w:rsidRDefault="002176C2"/>
    <w:p w:rsidR="002176C2" w:rsidRDefault="002176C2">
      <w:pPr>
        <w:rPr>
          <w:lang w:val="en-US"/>
        </w:rPr>
      </w:pPr>
      <w:r>
        <w:rPr>
          <w:lang w:val="en-US"/>
        </w:rPr>
        <w:t>Stock - Definition</w:t>
      </w:r>
      <w:r>
        <w:rPr>
          <w:lang w:val="en-US"/>
        </w:rPr>
        <w:br/>
      </w:r>
      <w:r>
        <w:rPr>
          <w:lang w:val="en-US"/>
        </w:rPr>
        <w:br/>
        <w:t xml:space="preserve">An instrument that signifies an ownership position (called equity) in a corporation, and represents a claim on its proportional share in the corporation's assets and profits. Ownership in the company is determined by the number of shares a person owns divided by the total number of shares outstanding. For example, if a company has 1000 shares of stock outstanding and a person owns 50 </w:t>
      </w:r>
      <w:r>
        <w:rPr>
          <w:lang w:val="en-US"/>
        </w:rPr>
        <w:lastRenderedPageBreak/>
        <w:t xml:space="preserve">of them, then he/she owns 5% of the company. Most stock also provides voting rights, which give shareholders a proportional vote in certain corporate decisions. Only a certain type of company called a corporation has stock; other types of companies such as sole proprietorships and limited partnerships do not issue stock. </w:t>
      </w:r>
      <w:proofErr w:type="gramStart"/>
      <w:r>
        <w:rPr>
          <w:lang w:val="en-US"/>
        </w:rPr>
        <w:t>also</w:t>
      </w:r>
      <w:proofErr w:type="gramEnd"/>
      <w:r>
        <w:rPr>
          <w:lang w:val="en-US"/>
        </w:rPr>
        <w:t xml:space="preserve"> called equity or equity securities or corporate stock.</w:t>
      </w:r>
      <w:r>
        <w:rPr>
          <w:lang w:val="en-US"/>
        </w:rPr>
        <w:br/>
      </w:r>
      <w:r>
        <w:rPr>
          <w:lang w:val="en-US"/>
        </w:rPr>
        <w:br/>
        <w:t>Share - Definition</w:t>
      </w:r>
      <w:r>
        <w:rPr>
          <w:lang w:val="en-US"/>
        </w:rPr>
        <w:br/>
      </w:r>
      <w:r>
        <w:rPr>
          <w:lang w:val="en-US"/>
        </w:rPr>
        <w:br/>
        <w:t>Certificate representing one unit of ownership in a corporation, mutual fund, or limited partnership.</w:t>
      </w:r>
    </w:p>
    <w:p w:rsidR="002176C2" w:rsidRDefault="002176C2">
      <w:pPr>
        <w:rPr>
          <w:lang w:val="en-US"/>
        </w:rPr>
      </w:pPr>
    </w:p>
    <w:p w:rsidR="002176C2" w:rsidRPr="002176C2" w:rsidRDefault="002176C2" w:rsidP="002176C2">
      <w:pPr>
        <w:shd w:val="clear" w:color="auto" w:fill="FFFFFF"/>
        <w:spacing w:before="225" w:after="225" w:line="240" w:lineRule="auto"/>
        <w:jc w:val="both"/>
        <w:rPr>
          <w:rFonts w:ascii="Arial" w:hAnsi="Arial" w:cs="Arial"/>
          <w:color w:val="000000"/>
          <w:sz w:val="18"/>
          <w:szCs w:val="18"/>
          <w:lang w:val="en-GB" w:bidi="hi-IN"/>
        </w:rPr>
      </w:pPr>
      <w:r w:rsidRPr="002176C2">
        <w:rPr>
          <w:rFonts w:ascii="Arial" w:hAnsi="Arial" w:cs="Arial"/>
          <w:color w:val="000000"/>
          <w:sz w:val="18"/>
          <w:szCs w:val="18"/>
          <w:lang w:val="en-GB" w:bidi="hi-IN"/>
        </w:rPr>
        <w:t xml:space="preserve">The main differences between Shares </w:t>
      </w:r>
      <w:r w:rsidRPr="002176C2">
        <w:rPr>
          <w:rFonts w:ascii="Arial" w:hAnsi="Arial" w:cs="Arial"/>
          <w:color w:val="6600FF"/>
          <w:sz w:val="18"/>
          <w:u w:val="single"/>
          <w:lang w:val="en-GB" w:bidi="hi-IN"/>
        </w:rPr>
        <w:t>and Stocks</w:t>
      </w:r>
      <w:r w:rsidRPr="002176C2">
        <w:rPr>
          <w:rFonts w:ascii="Arial" w:hAnsi="Arial" w:cs="Arial"/>
          <w:color w:val="000000"/>
          <w:sz w:val="18"/>
          <w:szCs w:val="18"/>
          <w:lang w:val="en-GB" w:bidi="hi-IN"/>
        </w:rPr>
        <w:t xml:space="preserve"> are as follows</w:t>
      </w:r>
    </w:p>
    <w:p w:rsidR="002176C2" w:rsidRPr="002176C2" w:rsidRDefault="002176C2" w:rsidP="002176C2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ind w:left="-225"/>
        <w:jc w:val="both"/>
        <w:rPr>
          <w:rFonts w:ascii="Arial" w:hAnsi="Arial" w:cs="Arial"/>
          <w:color w:val="000000"/>
          <w:sz w:val="18"/>
          <w:szCs w:val="18"/>
          <w:lang w:val="en-GB" w:bidi="hi-IN"/>
        </w:rPr>
      </w:pPr>
      <w:r w:rsidRPr="002176C2">
        <w:rPr>
          <w:rFonts w:ascii="Arial" w:hAnsi="Arial" w:cs="Arial"/>
          <w:color w:val="000000"/>
          <w:sz w:val="18"/>
          <w:szCs w:val="18"/>
          <w:lang w:val="en-GB" w:bidi="hi-IN"/>
        </w:rPr>
        <w:t>Stocks are fully paid up whereas shares may be fully paid up or partly paid up.</w:t>
      </w:r>
    </w:p>
    <w:p w:rsidR="002176C2" w:rsidRPr="002176C2" w:rsidRDefault="002176C2" w:rsidP="002176C2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ind w:left="-225"/>
        <w:jc w:val="both"/>
        <w:rPr>
          <w:rFonts w:ascii="Arial" w:hAnsi="Arial" w:cs="Arial"/>
          <w:color w:val="000000"/>
          <w:sz w:val="18"/>
          <w:szCs w:val="18"/>
          <w:lang w:val="en-GB" w:bidi="hi-IN"/>
        </w:rPr>
      </w:pPr>
      <w:r w:rsidRPr="002176C2">
        <w:rPr>
          <w:rFonts w:ascii="Arial" w:hAnsi="Arial" w:cs="Arial"/>
          <w:color w:val="000000"/>
          <w:sz w:val="18"/>
          <w:szCs w:val="18"/>
          <w:lang w:val="en-GB" w:bidi="hi-IN"/>
        </w:rPr>
        <w:t>Shares may be issued when a company is incorporated but stock cannot be issued under such circumstances. Only fully paid shares can be converted into stock.</w:t>
      </w:r>
    </w:p>
    <w:p w:rsidR="002176C2" w:rsidRPr="002176C2" w:rsidRDefault="002176C2" w:rsidP="002176C2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ind w:left="-225"/>
        <w:jc w:val="both"/>
        <w:rPr>
          <w:rFonts w:ascii="Arial" w:hAnsi="Arial" w:cs="Arial"/>
          <w:color w:val="000000"/>
          <w:sz w:val="18"/>
          <w:szCs w:val="18"/>
          <w:lang w:val="en-GB" w:bidi="hi-IN"/>
        </w:rPr>
      </w:pPr>
      <w:proofErr w:type="gramStart"/>
      <w:r w:rsidRPr="002176C2">
        <w:rPr>
          <w:rFonts w:ascii="Arial" w:hAnsi="Arial" w:cs="Arial"/>
          <w:color w:val="000000"/>
          <w:sz w:val="18"/>
          <w:szCs w:val="18"/>
          <w:lang w:val="en-GB" w:bidi="hi-IN"/>
        </w:rPr>
        <w:t>Stocks is</w:t>
      </w:r>
      <w:proofErr w:type="gramEnd"/>
      <w:r w:rsidRPr="002176C2">
        <w:rPr>
          <w:rFonts w:ascii="Arial" w:hAnsi="Arial" w:cs="Arial"/>
          <w:color w:val="000000"/>
          <w:sz w:val="18"/>
          <w:szCs w:val="18"/>
          <w:lang w:val="en-GB" w:bidi="hi-IN"/>
        </w:rPr>
        <w:t xml:space="preserve"> convenient method of transferring because it can be issued or transferred in fractional parts whereas shares cannot be divided below the face value of each share.</w:t>
      </w:r>
    </w:p>
    <w:p w:rsidR="002176C2" w:rsidRPr="002176C2" w:rsidRDefault="002176C2" w:rsidP="002176C2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ind w:left="-225"/>
        <w:jc w:val="both"/>
        <w:rPr>
          <w:rFonts w:ascii="Arial" w:hAnsi="Arial" w:cs="Arial"/>
          <w:color w:val="000000"/>
          <w:sz w:val="18"/>
          <w:szCs w:val="18"/>
          <w:lang w:val="en-GB" w:bidi="hi-IN"/>
        </w:rPr>
      </w:pPr>
      <w:r w:rsidRPr="002176C2">
        <w:rPr>
          <w:rFonts w:ascii="Arial" w:hAnsi="Arial" w:cs="Arial"/>
          <w:color w:val="000000"/>
          <w:sz w:val="18"/>
          <w:szCs w:val="18"/>
          <w:lang w:val="en-GB" w:bidi="hi-IN"/>
        </w:rPr>
        <w:t xml:space="preserve">Stocks are not numbered whereas shares are serially </w:t>
      </w:r>
      <w:proofErr w:type="spellStart"/>
      <w:r w:rsidRPr="002176C2">
        <w:rPr>
          <w:rFonts w:ascii="Arial" w:hAnsi="Arial" w:cs="Arial"/>
          <w:color w:val="000000"/>
          <w:sz w:val="18"/>
          <w:szCs w:val="18"/>
          <w:lang w:val="en-GB" w:bidi="hi-IN"/>
        </w:rPr>
        <w:t>numbered.a</w:t>
      </w:r>
      <w:proofErr w:type="spellEnd"/>
    </w:p>
    <w:p w:rsidR="002176C2" w:rsidRPr="002176C2" w:rsidRDefault="002176C2" w:rsidP="002176C2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ind w:left="-225"/>
        <w:jc w:val="both"/>
        <w:rPr>
          <w:rFonts w:ascii="Arial" w:hAnsi="Arial" w:cs="Arial"/>
          <w:color w:val="000000"/>
          <w:sz w:val="18"/>
          <w:szCs w:val="18"/>
          <w:lang w:val="en-GB" w:bidi="hi-IN"/>
        </w:rPr>
      </w:pPr>
      <w:r w:rsidRPr="002176C2">
        <w:rPr>
          <w:rFonts w:ascii="Arial" w:hAnsi="Arial" w:cs="Arial"/>
          <w:color w:val="000000"/>
          <w:sz w:val="18"/>
          <w:szCs w:val="18"/>
          <w:lang w:val="en-GB" w:bidi="hi-IN"/>
        </w:rPr>
        <w:t>Shares are always registered and not transferable by mere delivery but stock man may be registered or unregistered or unregistered stock can be transferred by mere delivery.</w:t>
      </w:r>
    </w:p>
    <w:p w:rsidR="00177586" w:rsidRDefault="00177586"/>
    <w:p w:rsidR="00177586" w:rsidRPr="00177586" w:rsidRDefault="00177586" w:rsidP="00177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bidi="hi-IN"/>
        </w:rPr>
      </w:pPr>
      <w:proofErr w:type="gramStart"/>
      <w:r w:rsidRPr="00177586">
        <w:rPr>
          <w:rFonts w:ascii="Courier New" w:hAnsi="Courier New" w:cs="Courier New"/>
          <w:sz w:val="20"/>
          <w:szCs w:val="20"/>
          <w:lang w:bidi="hi-IN"/>
        </w:rPr>
        <w:t>fully</w:t>
      </w:r>
      <w:proofErr w:type="gramEnd"/>
      <w:r w:rsidRPr="00177586">
        <w:rPr>
          <w:rFonts w:ascii="Courier New" w:hAnsi="Courier New" w:cs="Courier New"/>
          <w:sz w:val="20"/>
          <w:szCs w:val="20"/>
          <w:lang w:bidi="hi-IN"/>
        </w:rPr>
        <w:t xml:space="preserve"> paid bulk of shares is known as stock </w:t>
      </w:r>
    </w:p>
    <w:p w:rsidR="00177586" w:rsidRPr="00177586" w:rsidRDefault="00177586" w:rsidP="00177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bidi="hi-IN"/>
        </w:rPr>
      </w:pPr>
    </w:p>
    <w:p w:rsidR="00177586" w:rsidRPr="00177586" w:rsidRDefault="00177586" w:rsidP="00177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bidi="hi-IN"/>
        </w:rPr>
      </w:pPr>
      <w:proofErr w:type="gramStart"/>
      <w:r w:rsidRPr="00177586">
        <w:rPr>
          <w:rFonts w:ascii="Courier New" w:hAnsi="Courier New" w:cs="Courier New"/>
          <w:sz w:val="20"/>
          <w:szCs w:val="20"/>
          <w:lang w:bidi="hi-IN"/>
        </w:rPr>
        <w:t>share</w:t>
      </w:r>
      <w:proofErr w:type="gramEnd"/>
      <w:r w:rsidRPr="00177586">
        <w:rPr>
          <w:rFonts w:ascii="Courier New" w:hAnsi="Courier New" w:cs="Courier New"/>
          <w:sz w:val="20"/>
          <w:szCs w:val="20"/>
          <w:lang w:bidi="hi-IN"/>
        </w:rPr>
        <w:t xml:space="preserve"> may be partly paid</w:t>
      </w:r>
    </w:p>
    <w:p w:rsidR="00177586" w:rsidRPr="00177586" w:rsidRDefault="00177586" w:rsidP="00177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bidi="hi-IN"/>
        </w:rPr>
      </w:pPr>
    </w:p>
    <w:p w:rsidR="00177586" w:rsidRPr="00177586" w:rsidRDefault="00177586" w:rsidP="00177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bidi="hi-IN"/>
        </w:rPr>
      </w:pPr>
    </w:p>
    <w:p w:rsidR="00177586" w:rsidRPr="00177586" w:rsidRDefault="00177586" w:rsidP="001775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0"/>
          <w:szCs w:val="20"/>
          <w:lang w:bidi="hi-IN"/>
        </w:rPr>
      </w:pPr>
      <w:proofErr w:type="gramStart"/>
      <w:r w:rsidRPr="00177586">
        <w:rPr>
          <w:rFonts w:ascii="Courier New" w:hAnsi="Courier New" w:cs="Courier New"/>
          <w:sz w:val="20"/>
          <w:szCs w:val="20"/>
          <w:lang w:bidi="hi-IN"/>
        </w:rPr>
        <w:t>stock</w:t>
      </w:r>
      <w:proofErr w:type="gramEnd"/>
      <w:r w:rsidRPr="00177586">
        <w:rPr>
          <w:rFonts w:ascii="Courier New" w:hAnsi="Courier New" w:cs="Courier New"/>
          <w:sz w:val="20"/>
          <w:szCs w:val="20"/>
          <w:lang w:bidi="hi-IN"/>
        </w:rPr>
        <w:t xml:space="preserve"> can be divided share can't</w:t>
      </w:r>
    </w:p>
    <w:p w:rsidR="00177586" w:rsidRDefault="00177586"/>
    <w:sectPr w:rsidR="00177586" w:rsidSect="00717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035"/>
    <w:multiLevelType w:val="multilevel"/>
    <w:tmpl w:val="0620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14BAF"/>
    <w:multiLevelType w:val="multilevel"/>
    <w:tmpl w:val="7A02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C127E"/>
    <w:multiLevelType w:val="multilevel"/>
    <w:tmpl w:val="58C4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BB1EE0"/>
    <w:multiLevelType w:val="multilevel"/>
    <w:tmpl w:val="4CE4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EB1918"/>
    <w:multiLevelType w:val="multilevel"/>
    <w:tmpl w:val="B4D6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271DB"/>
    <w:multiLevelType w:val="multilevel"/>
    <w:tmpl w:val="064C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141432"/>
    <w:multiLevelType w:val="multilevel"/>
    <w:tmpl w:val="EB4A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F5755"/>
    <w:multiLevelType w:val="multilevel"/>
    <w:tmpl w:val="6136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43078F"/>
    <w:multiLevelType w:val="multilevel"/>
    <w:tmpl w:val="6226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F633A2"/>
    <w:multiLevelType w:val="multilevel"/>
    <w:tmpl w:val="FA5A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1A5180"/>
    <w:multiLevelType w:val="multilevel"/>
    <w:tmpl w:val="9F60B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3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76C2"/>
    <w:rsid w:val="00177586"/>
    <w:rsid w:val="002176C2"/>
    <w:rsid w:val="00375600"/>
    <w:rsid w:val="007170A7"/>
    <w:rsid w:val="00D23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4D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">
    <w:name w:val="listparagraph"/>
    <w:basedOn w:val="Normal"/>
    <w:rsid w:val="002176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hi-IN"/>
    </w:rPr>
  </w:style>
  <w:style w:type="character" w:customStyle="1" w:styleId="ilad1">
    <w:name w:val="il_ad1"/>
    <w:basedOn w:val="DefaultParagraphFont"/>
    <w:rsid w:val="002176C2"/>
    <w:rPr>
      <w:vanish w:val="0"/>
      <w:webHidden w:val="0"/>
      <w:color w:val="6600FF"/>
      <w:u w:val="single"/>
      <w:specVanish w:val="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775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7586"/>
    <w:rPr>
      <w:rFonts w:ascii="Courier New" w:hAnsi="Courier New" w:cs="Courier New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DDDDD"/>
                    <w:bottom w:val="none" w:sz="0" w:space="0" w:color="auto"/>
                    <w:right w:val="single" w:sz="6" w:space="0" w:color="DDDDDD"/>
                  </w:divBdr>
                  <w:divsChild>
                    <w:div w:id="47325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0075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11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86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148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748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Ashok</dc:creator>
  <cp:keywords/>
  <dc:description/>
  <cp:lastModifiedBy>Ashok</cp:lastModifiedBy>
  <cp:revision>2</cp:revision>
  <dcterms:created xsi:type="dcterms:W3CDTF">2010-10-07T01:46:00Z</dcterms:created>
  <dcterms:modified xsi:type="dcterms:W3CDTF">2010-10-07T02:17:00Z</dcterms:modified>
</cp:coreProperties>
</file>