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773" w:rsidRPr="00FF0885" w:rsidRDefault="000B0E68" w:rsidP="009312DE">
      <w:pPr>
        <w:pStyle w:val="IntenseQuote"/>
        <w:jc w:val="center"/>
        <w:rPr>
          <w:sz w:val="48"/>
          <w:szCs w:val="48"/>
        </w:rPr>
      </w:pPr>
      <w:r w:rsidRPr="00FF0885">
        <w:rPr>
          <w:sz w:val="48"/>
          <w:szCs w:val="48"/>
        </w:rPr>
        <w:t>Differential Voting Rights shares</w:t>
      </w:r>
    </w:p>
    <w:p w:rsidR="000167C1" w:rsidRDefault="00CD566D" w:rsidP="00CD566D">
      <w:pPr>
        <w:pStyle w:val="Heading1"/>
      </w:pPr>
      <w:r>
        <w:t>I</w:t>
      </w:r>
      <w:r w:rsidR="000167C1">
        <w:t>ntroduction</w:t>
      </w:r>
      <w:r>
        <w:t xml:space="preserve"> </w:t>
      </w:r>
    </w:p>
    <w:p w:rsidR="000B0E68" w:rsidRDefault="0045025B" w:rsidP="009E6398">
      <w:pPr>
        <w:ind w:firstLine="720"/>
        <w:jc w:val="both"/>
      </w:pPr>
      <w:r>
        <w:t xml:space="preserve">Differential Voting Rights (DVR) Shares are </w:t>
      </w:r>
      <w:r w:rsidR="00AE0837">
        <w:t>those instruments that give</w:t>
      </w:r>
      <w:r>
        <w:t xml:space="preserve"> its holder </w:t>
      </w:r>
      <w:r w:rsidR="00AE0837">
        <w:t>voting rights</w:t>
      </w:r>
      <w:r>
        <w:t xml:space="preserve"> which is disproportional to the economic consideration paid for those shares. Usually voting power is proportional to the economic ownership of the shareholder and in India when a shareholder purchases an equity share he gains voting right equivalent to one share.</w:t>
      </w:r>
    </w:p>
    <w:p w:rsidR="0045025B" w:rsidRDefault="000167C1" w:rsidP="009E6398">
      <w:pPr>
        <w:ind w:firstLine="720"/>
        <w:jc w:val="both"/>
      </w:pPr>
      <w:r>
        <w:t xml:space="preserve">Around the world this </w:t>
      </w:r>
      <w:r w:rsidR="0064008E">
        <w:t xml:space="preserve">coupling of votes and shares usually strengthens the corporate governance of the companies. But, if we detach this economic ownership from voting power by giving holder either more voting rights or less voting rights then it is called Differential Voting Rights Shares. </w:t>
      </w:r>
      <w:r w:rsidR="00724DA8">
        <w:t>So if anybody holds DVR shares, having let’s say, 1/10</w:t>
      </w:r>
      <w:r w:rsidR="00724DA8" w:rsidRPr="00724DA8">
        <w:rPr>
          <w:vertAlign w:val="superscript"/>
        </w:rPr>
        <w:t>th</w:t>
      </w:r>
      <w:r w:rsidR="00724DA8">
        <w:t xml:space="preserve"> of the voting power then in an event of voting, his 10 shares have a voting power equivalent to voting power of one normal share.</w:t>
      </w:r>
    </w:p>
    <w:p w:rsidR="00724DA8" w:rsidRDefault="00377F3B" w:rsidP="00194E39">
      <w:pPr>
        <w:pStyle w:val="Heading1"/>
      </w:pPr>
      <w:r>
        <w:t>Position under Companies Act, 1956</w:t>
      </w:r>
    </w:p>
    <w:p w:rsidR="00377F3B" w:rsidRDefault="00D43A60" w:rsidP="009E6398">
      <w:pPr>
        <w:ind w:firstLine="720"/>
        <w:jc w:val="both"/>
      </w:pPr>
      <w:r>
        <w:t xml:space="preserve">Sec. 86 of the Companies Act, 1956 vide the Companies </w:t>
      </w:r>
      <w:r w:rsidR="00CF1EFE">
        <w:t>Amendment</w:t>
      </w:r>
      <w:r>
        <w:t xml:space="preserve"> Act, 2000 permits the issuance of equity shares with differential rights as to dividend, voting of otherwise in accordance with such rules as may be prescribed. The </w:t>
      </w:r>
      <w:r w:rsidR="008D4DE6">
        <w:t>Companies Act provides the cap of 25% of the total issued capital for issuing shares with differential voting rights.</w:t>
      </w:r>
    </w:p>
    <w:p w:rsidR="008D4DE6" w:rsidRDefault="004B3DFD" w:rsidP="00FD6C52">
      <w:pPr>
        <w:pStyle w:val="Heading1"/>
      </w:pPr>
      <w:r>
        <w:t>Issue of DVR in India</w:t>
      </w:r>
      <w:r w:rsidR="008F5C38">
        <w:t xml:space="preserve"> – SEBI requirements</w:t>
      </w:r>
    </w:p>
    <w:p w:rsidR="004B3DFD" w:rsidRDefault="0062769D" w:rsidP="009E6398">
      <w:pPr>
        <w:ind w:firstLine="720"/>
        <w:jc w:val="both"/>
      </w:pPr>
      <w:r>
        <w:t>Using this power TATA Motors &amp; Pantoloon Retail have issued DVR shares but soon after this SEBI came out with a circular on July 21, 2009 amending the listing agreement and introduced a clause 28A, which clearly defines that no company shall issue shares in any manner that may confer on any person, superior rights as to voting and dividends vis-à-vis the rights on equity shares that are already listed.</w:t>
      </w:r>
    </w:p>
    <w:p w:rsidR="0062769D" w:rsidRDefault="008F5C38" w:rsidP="00292FB6">
      <w:pPr>
        <w:pStyle w:val="Heading1"/>
      </w:pPr>
      <w:r>
        <w:t>Issue of DVR by TATA Motors</w:t>
      </w:r>
    </w:p>
    <w:p w:rsidR="008F5C38" w:rsidRDefault="00231C96" w:rsidP="009E6398">
      <w:pPr>
        <w:ind w:firstLine="720"/>
        <w:jc w:val="both"/>
      </w:pPr>
      <w:r>
        <w:t xml:space="preserve">Some times back TATA Motors </w:t>
      </w:r>
      <w:r w:rsidR="001E1584">
        <w:t>offers</w:t>
      </w:r>
      <w:r>
        <w:t xml:space="preserve"> DVR shares which the company had issued as per its Rs. 2,000 crore right issue in Nov 2008. At that time, DVR shares were issued at a price of Rs. 305 per share as against the normal rights share that was priced a</w:t>
      </w:r>
      <w:r w:rsidR="001E1584">
        <w:t>t</w:t>
      </w:r>
      <w:r>
        <w:t xml:space="preserve"> Rs. 340, at a discount of 10%. </w:t>
      </w:r>
      <w:r w:rsidR="00C46921">
        <w:t>At the same time, these DVRs contain voting right that is 1/10</w:t>
      </w:r>
      <w:r w:rsidR="00C46921" w:rsidRPr="00C46921">
        <w:rPr>
          <w:vertAlign w:val="superscript"/>
        </w:rPr>
        <w:t>th</w:t>
      </w:r>
      <w:r w:rsidR="00C46921">
        <w:t xml:space="preserve"> of the normal share but stated to receive 5% more dividend. On April 26</w:t>
      </w:r>
      <w:r w:rsidR="00C46921" w:rsidRPr="00C46921">
        <w:rPr>
          <w:vertAlign w:val="superscript"/>
        </w:rPr>
        <w:t>th</w:t>
      </w:r>
      <w:r w:rsidR="00C46921">
        <w:t xml:space="preserve"> 2010, </w:t>
      </w:r>
      <w:r w:rsidR="00AE0837">
        <w:t>a TATA Motor DVR share was</w:t>
      </w:r>
      <w:r w:rsidR="00C46921">
        <w:t xml:space="preserve"> trading a</w:t>
      </w:r>
      <w:r w:rsidR="001E1584">
        <w:t>t</w:t>
      </w:r>
      <w:r w:rsidR="00C46921">
        <w:t xml:space="preserve"> Rs. 575.15 per share, a discount of </w:t>
      </w:r>
      <w:r w:rsidR="001E1584">
        <w:t>more than</w:t>
      </w:r>
      <w:r w:rsidR="00C46921">
        <w:t xml:space="preserve"> 33% to the normal share.</w:t>
      </w:r>
    </w:p>
    <w:p w:rsidR="00C46921" w:rsidRDefault="00C045F3" w:rsidP="00166C44">
      <w:pPr>
        <w:pStyle w:val="Heading1"/>
      </w:pPr>
      <w:r>
        <w:t>DVR in International Market</w:t>
      </w:r>
    </w:p>
    <w:p w:rsidR="00C045F3" w:rsidRDefault="00166C44" w:rsidP="009E6398">
      <w:pPr>
        <w:ind w:firstLine="720"/>
        <w:jc w:val="both"/>
      </w:pPr>
      <w:r>
        <w:t>In the international market, the DVR are quite popular. Many top companies like Viacom, Google, Berkshire Hathway, etc have issued DVR shares. Investors have an advantage of having a higher dividend and a decent discount over the normal share price.</w:t>
      </w:r>
    </w:p>
    <w:p w:rsidR="00166C44" w:rsidRDefault="00166C44" w:rsidP="009E6398">
      <w:pPr>
        <w:ind w:firstLine="720"/>
        <w:jc w:val="both"/>
      </w:pPr>
      <w:r>
        <w:t xml:space="preserve">In United </w:t>
      </w:r>
      <w:r w:rsidR="00AE0837">
        <w:t>States</w:t>
      </w:r>
      <w:r>
        <w:t xml:space="preserve"> it is traded at just 2 to 3 % discount, whereas in the European market, the discount is 7 to 8%.</w:t>
      </w:r>
    </w:p>
    <w:p w:rsidR="00994A90" w:rsidRDefault="00994A90" w:rsidP="00CD0316">
      <w:pPr>
        <w:pStyle w:val="Heading1"/>
      </w:pPr>
      <w:r>
        <w:lastRenderedPageBreak/>
        <w:t>Legal position in India</w:t>
      </w:r>
    </w:p>
    <w:p w:rsidR="0014633A" w:rsidRDefault="0014633A" w:rsidP="009E6398">
      <w:pPr>
        <w:ind w:firstLine="720"/>
        <w:jc w:val="both"/>
      </w:pPr>
      <w:r>
        <w:t xml:space="preserve">This whole issue regarding DVR boils up soon after SEBI sent a </w:t>
      </w:r>
      <w:r w:rsidR="00EA59C7">
        <w:t>letter</w:t>
      </w:r>
      <w:r>
        <w:t xml:space="preserve"> to TATA Motors, April 23, 2010 regarding company’s request for guidance in relation to clause 28A of equity listing agreement. In this letter, SEBI has clearly stated that, company can make a fresh issue of ‘A</w:t>
      </w:r>
      <w:r w:rsidR="00AE0837">
        <w:rPr>
          <w:rStyle w:val="EndnoteReference"/>
        </w:rPr>
        <w:endnoteReference w:id="2"/>
      </w:r>
      <w:r>
        <w:t>’ ordinary shares on the same terms as the existing listed ‘A’ ordinary shares by way of a bonus or right issues or even by way of a follow on public issue, preferential allotment of ‘A’ ordinary shares and QI</w:t>
      </w:r>
      <w:r w:rsidR="00EA556F">
        <w:t>B</w:t>
      </w:r>
      <w:r w:rsidR="00EA556F">
        <w:rPr>
          <w:rStyle w:val="EndnoteReference"/>
        </w:rPr>
        <w:endnoteReference w:id="3"/>
      </w:r>
      <w:r>
        <w:t xml:space="preserve"> of ‘A’ ordinary shares.</w:t>
      </w:r>
    </w:p>
    <w:p w:rsidR="005C0DA3" w:rsidRDefault="00EA59C7" w:rsidP="009E6398">
      <w:pPr>
        <w:ind w:firstLine="720"/>
        <w:jc w:val="both"/>
      </w:pPr>
      <w:r>
        <w:t>In summary of the above that, n</w:t>
      </w:r>
      <w:r w:rsidR="005C0DA3">
        <w:t xml:space="preserve">o listed entity should issue further shares, which confer on any person superior rights but in case of TATA Motors they already have some shares issued with differential voting rights and with higher dividend. Legally, the SEBI circular still stands for all companies </w:t>
      </w:r>
      <w:r w:rsidR="004A08ED">
        <w:t>except</w:t>
      </w:r>
      <w:r w:rsidR="005C0DA3">
        <w:t xml:space="preserve"> those companies who have already issued shares with such right before that circular date. </w:t>
      </w:r>
      <w:r w:rsidR="00CD0316">
        <w:t>Also, the companies can issue fresh shares that are same in every respect to what they have issued earlier.</w:t>
      </w:r>
    </w:p>
    <w:p w:rsidR="00D668A0" w:rsidRDefault="00D668A0" w:rsidP="00D668A0">
      <w:pPr>
        <w:pStyle w:val="Heading1"/>
      </w:pPr>
      <w:r>
        <w:t>Conditions for issue of DVR</w:t>
      </w:r>
      <w:r w:rsidR="00DB79FD">
        <w:rPr>
          <w:rStyle w:val="EndnoteReference"/>
        </w:rPr>
        <w:endnoteReference w:id="4"/>
      </w:r>
    </w:p>
    <w:p w:rsidR="00D668A0" w:rsidRDefault="00D668A0" w:rsidP="008B37F6">
      <w:pPr>
        <w:ind w:firstLine="360"/>
        <w:jc w:val="both"/>
      </w:pPr>
      <w:r>
        <w:t>Every company limited by shares may issue shares with differential rights as to dividend, voting or otherwise, if-</w:t>
      </w:r>
    </w:p>
    <w:p w:rsidR="00D668A0" w:rsidRDefault="00D668A0" w:rsidP="008B37F6">
      <w:pPr>
        <w:pStyle w:val="ListParagraph"/>
        <w:numPr>
          <w:ilvl w:val="0"/>
          <w:numId w:val="5"/>
        </w:numPr>
        <w:jc w:val="both"/>
      </w:pPr>
      <w:r>
        <w:t>the company has distributable profits in terms of Section 205 of the Companies Act, 1956 for * three  financial years preceding the year in which it was decided to issue such shares.</w:t>
      </w:r>
    </w:p>
    <w:p w:rsidR="00D668A0" w:rsidRDefault="00D668A0" w:rsidP="008B37F6">
      <w:pPr>
        <w:pStyle w:val="ListParagraph"/>
        <w:numPr>
          <w:ilvl w:val="0"/>
          <w:numId w:val="5"/>
        </w:numPr>
        <w:jc w:val="both"/>
      </w:pPr>
      <w:r>
        <w:t xml:space="preserve">the company has not defaulted in filing annual accounts and annual returns for </w:t>
      </w:r>
    </w:p>
    <w:p w:rsidR="00D668A0" w:rsidRDefault="00D668A0" w:rsidP="00D668A0">
      <w:pPr>
        <w:pStyle w:val="ListParagraph"/>
        <w:numPr>
          <w:ilvl w:val="0"/>
          <w:numId w:val="5"/>
        </w:numPr>
        <w:jc w:val="both"/>
      </w:pPr>
      <w:r>
        <w:t>three financial years immediately preceding the financial year in which it was decided to issue such share.</w:t>
      </w:r>
    </w:p>
    <w:p w:rsidR="00D668A0" w:rsidRDefault="00D668A0" w:rsidP="00D668A0">
      <w:pPr>
        <w:pStyle w:val="ListParagraph"/>
        <w:numPr>
          <w:ilvl w:val="0"/>
          <w:numId w:val="5"/>
        </w:numPr>
        <w:jc w:val="both"/>
      </w:pPr>
      <w:r>
        <w:t>the company has not failed to repay its deposits or interest thereon on due date or redeem its debentures on due date or pay dividend.</w:t>
      </w:r>
    </w:p>
    <w:p w:rsidR="00D668A0" w:rsidRDefault="00D668A0" w:rsidP="00D668A0">
      <w:pPr>
        <w:pStyle w:val="ListParagraph"/>
        <w:numPr>
          <w:ilvl w:val="0"/>
          <w:numId w:val="5"/>
        </w:numPr>
        <w:jc w:val="both"/>
      </w:pPr>
      <w:r>
        <w:t>The Articles of Association of the company authorises the issue of shares with differential voting rights.</w:t>
      </w:r>
    </w:p>
    <w:p w:rsidR="00D668A0" w:rsidRDefault="00D668A0" w:rsidP="00D668A0">
      <w:pPr>
        <w:pStyle w:val="ListParagraph"/>
        <w:numPr>
          <w:ilvl w:val="0"/>
          <w:numId w:val="5"/>
        </w:numPr>
        <w:jc w:val="both"/>
      </w:pPr>
      <w:r>
        <w:t>the company has not been convicted of any offence arising under, Securities Exchange Board of India Act, 1992, Securities Contracts (Regulation) Act, 1956, Foreign Exchange Management Act, 1999. the company has not defaulted in meeting investors’ grievances.</w:t>
      </w:r>
    </w:p>
    <w:p w:rsidR="00D668A0" w:rsidRDefault="00D668A0" w:rsidP="00D668A0">
      <w:pPr>
        <w:pStyle w:val="ListParagraph"/>
        <w:numPr>
          <w:ilvl w:val="0"/>
          <w:numId w:val="5"/>
        </w:numPr>
        <w:jc w:val="both"/>
      </w:pPr>
      <w:r>
        <w:t>the company has obtained the approval of share holders in General Meeting by passing resolution as required under the provision of sub-clause (a) of sub- section (1) of section 94 read with sub-section (2) of the said section.</w:t>
      </w:r>
    </w:p>
    <w:p w:rsidR="00D668A0" w:rsidRDefault="00D668A0" w:rsidP="00D668A0">
      <w:pPr>
        <w:pStyle w:val="ListParagraph"/>
        <w:numPr>
          <w:ilvl w:val="0"/>
          <w:numId w:val="5"/>
        </w:numPr>
        <w:jc w:val="both"/>
      </w:pPr>
      <w:r>
        <w:t>the listed public company obtained approval of share holders through Postal Ballot.</w:t>
      </w:r>
    </w:p>
    <w:p w:rsidR="00D668A0" w:rsidRDefault="00D668A0" w:rsidP="00D668A0">
      <w:pPr>
        <w:pStyle w:val="ListParagraph"/>
        <w:numPr>
          <w:ilvl w:val="0"/>
          <w:numId w:val="5"/>
        </w:numPr>
        <w:jc w:val="both"/>
      </w:pPr>
      <w:r>
        <w:t>the notice of the meeting at which resolution is proposed to be passed is ccompanied by an explanatory statement stating –</w:t>
      </w:r>
    </w:p>
    <w:p w:rsidR="00D668A0" w:rsidRDefault="00D668A0" w:rsidP="00D668A0">
      <w:pPr>
        <w:pStyle w:val="ListParagraph"/>
        <w:numPr>
          <w:ilvl w:val="1"/>
          <w:numId w:val="5"/>
        </w:numPr>
        <w:jc w:val="both"/>
      </w:pPr>
      <w:r>
        <w:t>the rate of voting rights which the equity share capital with differential voting right shall carry;</w:t>
      </w:r>
    </w:p>
    <w:p w:rsidR="00D668A0" w:rsidRDefault="00D668A0" w:rsidP="00D668A0">
      <w:pPr>
        <w:pStyle w:val="ListParagraph"/>
        <w:numPr>
          <w:ilvl w:val="1"/>
          <w:numId w:val="5"/>
        </w:numPr>
        <w:jc w:val="both"/>
      </w:pPr>
      <w:r>
        <w:t>the scale or in proportion to which the voting rights of such class or type of shares will vary;</w:t>
      </w:r>
    </w:p>
    <w:p w:rsidR="00D668A0" w:rsidRDefault="00D668A0" w:rsidP="00D668A0">
      <w:pPr>
        <w:pStyle w:val="ListParagraph"/>
        <w:numPr>
          <w:ilvl w:val="1"/>
          <w:numId w:val="5"/>
        </w:numPr>
        <w:jc w:val="both"/>
      </w:pPr>
      <w:r>
        <w:t>the company shall not convert its equity capital with voting rights into equity share capital with differential voting rights and the shares with</w:t>
      </w:r>
    </w:p>
    <w:p w:rsidR="00D668A0" w:rsidRDefault="00D668A0" w:rsidP="00D668A0">
      <w:pPr>
        <w:pStyle w:val="ListParagraph"/>
        <w:numPr>
          <w:ilvl w:val="1"/>
          <w:numId w:val="5"/>
        </w:numPr>
        <w:jc w:val="both"/>
      </w:pPr>
      <w:r>
        <w:t>differential voting rights into equity share capital with voting rights;</w:t>
      </w:r>
    </w:p>
    <w:p w:rsidR="00D668A0" w:rsidRDefault="00D668A0" w:rsidP="00D668A0">
      <w:pPr>
        <w:pStyle w:val="ListParagraph"/>
        <w:numPr>
          <w:ilvl w:val="1"/>
          <w:numId w:val="5"/>
        </w:numPr>
        <w:jc w:val="both"/>
      </w:pPr>
      <w:r>
        <w:t>the shares with differential voting rights shall not exceed 25% of the total share capital issued;</w:t>
      </w:r>
    </w:p>
    <w:p w:rsidR="00D668A0" w:rsidRDefault="00D668A0" w:rsidP="00D668A0">
      <w:pPr>
        <w:pStyle w:val="ListParagraph"/>
        <w:numPr>
          <w:ilvl w:val="1"/>
          <w:numId w:val="5"/>
        </w:numPr>
        <w:jc w:val="both"/>
      </w:pPr>
      <w:r>
        <w:t>that a member of the company holding any equity share with differential voting rights shall be entitled to bonus shares, right shares of the same class;</w:t>
      </w:r>
    </w:p>
    <w:p w:rsidR="00D668A0" w:rsidRDefault="00D668A0" w:rsidP="00D668A0">
      <w:pPr>
        <w:pStyle w:val="ListParagraph"/>
        <w:numPr>
          <w:ilvl w:val="1"/>
          <w:numId w:val="5"/>
        </w:numPr>
        <w:jc w:val="both"/>
      </w:pPr>
      <w:r>
        <w:lastRenderedPageBreak/>
        <w:t>the holders of the equity shares with differential voting rights shall enjoy all others rights to which the holder is entitled to excepting right to vote as indicated in (a) above</w:t>
      </w:r>
    </w:p>
    <w:p w:rsidR="009A725A" w:rsidRDefault="009A725A" w:rsidP="009A725A">
      <w:pPr>
        <w:pStyle w:val="Heading1"/>
      </w:pPr>
      <w:r>
        <w:t>Register:</w:t>
      </w:r>
    </w:p>
    <w:p w:rsidR="009A725A" w:rsidRDefault="009A725A" w:rsidP="009A725A">
      <w:pPr>
        <w:ind w:firstLine="720"/>
      </w:pPr>
      <w:r>
        <w:t xml:space="preserve">Every company referred to in rule 3 shall maintain a register as required under section 150 of the </w:t>
      </w:r>
      <w:r w:rsidR="00E12DA4">
        <w:t xml:space="preserve">Companies </w:t>
      </w:r>
      <w:r>
        <w:t>Act containing the particulars of differential rights to which the holder is entitled to.</w:t>
      </w:r>
    </w:p>
    <w:p w:rsidR="00CD0316" w:rsidRDefault="00780929" w:rsidP="009204C1">
      <w:pPr>
        <w:pStyle w:val="Heading1"/>
      </w:pPr>
      <w:r>
        <w:t>Benefits</w:t>
      </w:r>
    </w:p>
    <w:p w:rsidR="00780929" w:rsidRDefault="00383770" w:rsidP="00383770">
      <w:pPr>
        <w:pStyle w:val="ListParagraph"/>
        <w:numPr>
          <w:ilvl w:val="0"/>
          <w:numId w:val="2"/>
        </w:numPr>
        <w:jc w:val="both"/>
      </w:pPr>
      <w:r>
        <w:t>Investors can enjoy handsome discount over the normal price and if this discount is more than 25%. DVR shares can be a better investment proposition in the long run.</w:t>
      </w:r>
    </w:p>
    <w:p w:rsidR="00383770" w:rsidRDefault="001D7E47" w:rsidP="00383770">
      <w:pPr>
        <w:pStyle w:val="ListParagraph"/>
        <w:numPr>
          <w:ilvl w:val="0"/>
          <w:numId w:val="2"/>
        </w:numPr>
        <w:jc w:val="both"/>
      </w:pPr>
      <w:r>
        <w:t>Higher the dividend compare to the normal shares.</w:t>
      </w:r>
    </w:p>
    <w:p w:rsidR="001D7E47" w:rsidRDefault="005D0A16" w:rsidP="00383770">
      <w:pPr>
        <w:pStyle w:val="ListParagraph"/>
        <w:numPr>
          <w:ilvl w:val="0"/>
          <w:numId w:val="2"/>
        </w:numPr>
        <w:jc w:val="both"/>
      </w:pPr>
      <w:r>
        <w:t>For retail shareholders</w:t>
      </w:r>
      <w:r w:rsidR="00DF7748">
        <w:t xml:space="preserve"> voting rights is just an impractical right as it is rare that any retail shareholder takes part in the voting procedures. So, loosing that right for a decent discount in price is not a bad deal.</w:t>
      </w:r>
    </w:p>
    <w:p w:rsidR="00DF7748" w:rsidRDefault="00972666" w:rsidP="00404975">
      <w:pPr>
        <w:pStyle w:val="Heading1"/>
      </w:pPr>
      <w:r>
        <w:t>Why it is not popular in India</w:t>
      </w:r>
      <w:r w:rsidR="00422D5C">
        <w:t>?</w:t>
      </w:r>
    </w:p>
    <w:p w:rsidR="00404975" w:rsidRDefault="00404975" w:rsidP="007C5391">
      <w:pPr>
        <w:ind w:firstLine="720"/>
        <w:jc w:val="both"/>
      </w:pPr>
      <w:r>
        <w:t>DVR is not popular in India may be following reasons:</w:t>
      </w:r>
    </w:p>
    <w:p w:rsidR="00972666" w:rsidRDefault="00D37848" w:rsidP="00D37848">
      <w:pPr>
        <w:pStyle w:val="ListParagraph"/>
        <w:numPr>
          <w:ilvl w:val="0"/>
          <w:numId w:val="4"/>
        </w:numPr>
        <w:jc w:val="both"/>
      </w:pPr>
      <w:r>
        <w:t>In the overseas market, investors take is as an investment opportunity and are not much concerned with the right to control the company. But, liquidity is a main concern in India as people look at this instrument with some doubts.</w:t>
      </w:r>
    </w:p>
    <w:p w:rsidR="00D37848" w:rsidRDefault="00962937" w:rsidP="00D37848">
      <w:pPr>
        <w:pStyle w:val="ListParagraph"/>
        <w:numPr>
          <w:ilvl w:val="0"/>
          <w:numId w:val="4"/>
        </w:numPr>
        <w:jc w:val="both"/>
      </w:pPr>
      <w:r>
        <w:t>India has 1.20 billion people but, we have just 1.07 crore demat accounts that is even less than 1%. Our normal market itself is at a nascent stage and every one is focused on the normal equity.</w:t>
      </w:r>
    </w:p>
    <w:p w:rsidR="00962937" w:rsidRDefault="00011A0F" w:rsidP="00D37848">
      <w:pPr>
        <w:pStyle w:val="ListParagraph"/>
        <w:numPr>
          <w:ilvl w:val="0"/>
          <w:numId w:val="4"/>
        </w:numPr>
        <w:jc w:val="both"/>
      </w:pPr>
      <w:r>
        <w:t>Investors are not well educated in the area of investment.</w:t>
      </w:r>
    </w:p>
    <w:p w:rsidR="00011A0F" w:rsidRDefault="006D41AC" w:rsidP="006D41AC">
      <w:pPr>
        <w:pStyle w:val="Heading1"/>
      </w:pPr>
      <w:r>
        <w:t>Conclusion</w:t>
      </w:r>
    </w:p>
    <w:p w:rsidR="006D41AC" w:rsidRDefault="006D41AC" w:rsidP="006D41AC">
      <w:pPr>
        <w:ind w:firstLine="720"/>
        <w:jc w:val="both"/>
      </w:pPr>
      <w:r>
        <w:t>If you have trust in the company’s management and don’t have any plan to take part in management proceedings, then, you, the investor can go for, financial benefit of DVR shares.</w:t>
      </w:r>
    </w:p>
    <w:p w:rsidR="006D41AC" w:rsidRDefault="006D41AC" w:rsidP="00011A0F">
      <w:pPr>
        <w:jc w:val="both"/>
      </w:pPr>
    </w:p>
    <w:p w:rsidR="00994A90" w:rsidRDefault="00994A90" w:rsidP="009E6398">
      <w:pPr>
        <w:ind w:firstLine="720"/>
        <w:jc w:val="both"/>
      </w:pPr>
    </w:p>
    <w:p w:rsidR="00166C44" w:rsidRDefault="000A6B3E" w:rsidP="000A6B3E">
      <w:pPr>
        <w:tabs>
          <w:tab w:val="left" w:pos="2863"/>
        </w:tabs>
        <w:ind w:firstLine="720"/>
        <w:jc w:val="both"/>
      </w:pPr>
      <w:r>
        <w:tab/>
      </w:r>
    </w:p>
    <w:p w:rsidR="00724DA8" w:rsidRDefault="00724DA8" w:rsidP="009E6398">
      <w:pPr>
        <w:ind w:firstLine="720"/>
        <w:jc w:val="both"/>
      </w:pPr>
    </w:p>
    <w:sectPr w:rsidR="00724DA8" w:rsidSect="00CC2CA9">
      <w:footerReference w:type="default" r:id="rId8"/>
      <w:pgSz w:w="11909" w:h="16834" w:code="9"/>
      <w:pgMar w:top="864" w:right="1152" w:bottom="864"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135" w:rsidRDefault="00DA3135" w:rsidP="00F35EC4">
      <w:pPr>
        <w:spacing w:after="0" w:line="240" w:lineRule="auto"/>
      </w:pPr>
      <w:r>
        <w:separator/>
      </w:r>
    </w:p>
  </w:endnote>
  <w:endnote w:type="continuationSeparator" w:id="1">
    <w:p w:rsidR="00DA3135" w:rsidRDefault="00DA3135" w:rsidP="00F35EC4">
      <w:pPr>
        <w:spacing w:after="0" w:line="240" w:lineRule="auto"/>
      </w:pPr>
      <w:r>
        <w:continuationSeparator/>
      </w:r>
    </w:p>
  </w:endnote>
  <w:endnote w:id="2">
    <w:p w:rsidR="00AE0837" w:rsidRDefault="00AE0837">
      <w:pPr>
        <w:pStyle w:val="EndnoteText"/>
      </w:pPr>
      <w:r>
        <w:rPr>
          <w:rStyle w:val="EndnoteReference"/>
        </w:rPr>
        <w:endnoteRef/>
      </w:r>
      <w:r>
        <w:t xml:space="preserve"> ‘A” means class of DVR issued already</w:t>
      </w:r>
      <w:r w:rsidR="00EA556F">
        <w:t>.</w:t>
      </w:r>
    </w:p>
  </w:endnote>
  <w:endnote w:id="3">
    <w:p w:rsidR="00EA556F" w:rsidRDefault="00EA556F">
      <w:pPr>
        <w:pStyle w:val="EndnoteText"/>
      </w:pPr>
      <w:r>
        <w:rPr>
          <w:rStyle w:val="EndnoteReference"/>
        </w:rPr>
        <w:endnoteRef/>
      </w:r>
      <w:r>
        <w:t xml:space="preserve"> Qualified Institutional Buyers.</w:t>
      </w:r>
    </w:p>
  </w:endnote>
  <w:endnote w:id="4">
    <w:tbl>
      <w:tblPr>
        <w:tblW w:w="10260" w:type="dxa"/>
        <w:tblInd w:w="180" w:type="dxa"/>
        <w:tblBorders>
          <w:top w:val="nil"/>
          <w:left w:val="nil"/>
          <w:bottom w:val="nil"/>
          <w:right w:val="nil"/>
        </w:tblBorders>
        <w:tblLayout w:type="fixed"/>
        <w:tblLook w:val="0000"/>
      </w:tblPr>
      <w:tblGrid>
        <w:gridCol w:w="10260"/>
      </w:tblGrid>
      <w:tr w:rsidR="00DB79FD" w:rsidTr="00DB79FD">
        <w:trPr>
          <w:trHeight w:val="159"/>
        </w:trPr>
        <w:tc>
          <w:tcPr>
            <w:tcW w:w="10260" w:type="dxa"/>
          </w:tcPr>
          <w:p w:rsidR="00DB79FD" w:rsidRPr="00DB79FD" w:rsidRDefault="00DB79FD" w:rsidP="00DB79FD">
            <w:pPr>
              <w:pStyle w:val="Default"/>
              <w:spacing w:before="100" w:after="100"/>
              <w:jc w:val="both"/>
              <w:rPr>
                <w:rFonts w:asciiTheme="majorHAnsi" w:hAnsiTheme="majorHAnsi"/>
                <w:sz w:val="20"/>
                <w:szCs w:val="20"/>
              </w:rPr>
            </w:pPr>
            <w:r>
              <w:rPr>
                <w:rStyle w:val="EndnoteReference"/>
              </w:rPr>
              <w:endnoteRef/>
            </w:r>
            <w:r>
              <w:t xml:space="preserve">  </w:t>
            </w:r>
            <w:r w:rsidRPr="00DB79FD">
              <w:rPr>
                <w:rFonts w:asciiTheme="majorHAnsi" w:hAnsiTheme="majorHAnsi"/>
                <w:bCs/>
                <w:sz w:val="20"/>
                <w:szCs w:val="20"/>
              </w:rPr>
              <w:t xml:space="preserve">The Companies ((Issue of Share Capital with Differential Voting Rights) Rules, 2001 </w:t>
            </w:r>
          </w:p>
        </w:tc>
      </w:tr>
    </w:tbl>
    <w:p w:rsidR="00DB79FD" w:rsidRDefault="00DB79FD" w:rsidP="000A6B3E">
      <w:pPr>
        <w:pStyle w:val="EndnoteText"/>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EC4" w:rsidRDefault="00F35EC4">
    <w:pPr>
      <w:pStyle w:val="Footer"/>
      <w:pBdr>
        <w:top w:val="thinThickSmallGap" w:sz="24" w:space="1" w:color="622423" w:themeColor="accent2" w:themeShade="7F"/>
      </w:pBdr>
      <w:rPr>
        <w:rFonts w:asciiTheme="majorHAnsi" w:hAnsiTheme="majorHAnsi"/>
      </w:rPr>
    </w:pPr>
    <w:r w:rsidRPr="00F35EC4">
      <w:rPr>
        <w:rStyle w:val="SubtitleChar"/>
        <w:b/>
      </w:rPr>
      <w:t>Differential Voting Rights Shares</w:t>
    </w:r>
    <w:r>
      <w:rPr>
        <w:rFonts w:asciiTheme="majorHAnsi" w:hAnsiTheme="majorHAnsi"/>
      </w:rPr>
      <w:ptab w:relativeTo="margin" w:alignment="right" w:leader="none"/>
    </w:r>
    <w:r>
      <w:rPr>
        <w:rFonts w:asciiTheme="majorHAnsi" w:hAnsiTheme="majorHAnsi"/>
      </w:rPr>
      <w:t xml:space="preserve">Page </w:t>
    </w:r>
    <w:fldSimple w:instr=" PAGE   \* MERGEFORMAT ">
      <w:r w:rsidR="00E12DA4" w:rsidRPr="00E12DA4">
        <w:rPr>
          <w:rFonts w:asciiTheme="majorHAnsi" w:hAnsiTheme="majorHAnsi"/>
          <w:noProof/>
        </w:rPr>
        <w:t>3</w:t>
      </w:r>
    </w:fldSimple>
  </w:p>
  <w:p w:rsidR="00F35EC4" w:rsidRDefault="00F35E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135" w:rsidRDefault="00DA3135" w:rsidP="00F35EC4">
      <w:pPr>
        <w:spacing w:after="0" w:line="240" w:lineRule="auto"/>
      </w:pPr>
      <w:r>
        <w:separator/>
      </w:r>
    </w:p>
  </w:footnote>
  <w:footnote w:type="continuationSeparator" w:id="1">
    <w:p w:rsidR="00DA3135" w:rsidRDefault="00DA3135" w:rsidP="00F35E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527C3C"/>
    <w:multiLevelType w:val="hybridMultilevel"/>
    <w:tmpl w:val="B8CAC4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DB4B01"/>
    <w:multiLevelType w:val="hybridMultilevel"/>
    <w:tmpl w:val="3F66B7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D7A2CFE"/>
    <w:multiLevelType w:val="hybridMultilevel"/>
    <w:tmpl w:val="AAFC2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0B649B"/>
    <w:multiLevelType w:val="hybridMultilevel"/>
    <w:tmpl w:val="B21ED0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D2A286A"/>
    <w:multiLevelType w:val="hybridMultilevel"/>
    <w:tmpl w:val="2A4AAC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0B0E68"/>
    <w:rsid w:val="00011A0F"/>
    <w:rsid w:val="000167C1"/>
    <w:rsid w:val="000A6B3E"/>
    <w:rsid w:val="000B0E68"/>
    <w:rsid w:val="0014633A"/>
    <w:rsid w:val="00166C44"/>
    <w:rsid w:val="00194E39"/>
    <w:rsid w:val="001D2357"/>
    <w:rsid w:val="001D7E47"/>
    <w:rsid w:val="001E1584"/>
    <w:rsid w:val="00211FB2"/>
    <w:rsid w:val="00231C96"/>
    <w:rsid w:val="002351BE"/>
    <w:rsid w:val="00292FB6"/>
    <w:rsid w:val="00377F3B"/>
    <w:rsid w:val="00383770"/>
    <w:rsid w:val="003E10D1"/>
    <w:rsid w:val="00404975"/>
    <w:rsid w:val="00422D5C"/>
    <w:rsid w:val="0045025B"/>
    <w:rsid w:val="004A08ED"/>
    <w:rsid w:val="004B3DFD"/>
    <w:rsid w:val="005C0DA3"/>
    <w:rsid w:val="005D0A16"/>
    <w:rsid w:val="0062769D"/>
    <w:rsid w:val="0064008E"/>
    <w:rsid w:val="006D41AC"/>
    <w:rsid w:val="00724DA8"/>
    <w:rsid w:val="00780929"/>
    <w:rsid w:val="007C5391"/>
    <w:rsid w:val="00807773"/>
    <w:rsid w:val="008B37F6"/>
    <w:rsid w:val="008D4DE6"/>
    <w:rsid w:val="008E1A02"/>
    <w:rsid w:val="008F5C38"/>
    <w:rsid w:val="00910F36"/>
    <w:rsid w:val="009204C1"/>
    <w:rsid w:val="00923034"/>
    <w:rsid w:val="009312DE"/>
    <w:rsid w:val="00931E4F"/>
    <w:rsid w:val="00962937"/>
    <w:rsid w:val="00972666"/>
    <w:rsid w:val="00994A90"/>
    <w:rsid w:val="009A725A"/>
    <w:rsid w:val="009E6398"/>
    <w:rsid w:val="00AE0837"/>
    <w:rsid w:val="00C045F3"/>
    <w:rsid w:val="00C46921"/>
    <w:rsid w:val="00C73907"/>
    <w:rsid w:val="00CC2CA9"/>
    <w:rsid w:val="00CD0316"/>
    <w:rsid w:val="00CD566D"/>
    <w:rsid w:val="00CE004E"/>
    <w:rsid w:val="00CF1EFE"/>
    <w:rsid w:val="00D03216"/>
    <w:rsid w:val="00D37848"/>
    <w:rsid w:val="00D43A60"/>
    <w:rsid w:val="00D668A0"/>
    <w:rsid w:val="00DA3135"/>
    <w:rsid w:val="00DB79FD"/>
    <w:rsid w:val="00DF7748"/>
    <w:rsid w:val="00E12DA4"/>
    <w:rsid w:val="00E31353"/>
    <w:rsid w:val="00EA556F"/>
    <w:rsid w:val="00EA59C7"/>
    <w:rsid w:val="00F35EC4"/>
    <w:rsid w:val="00F7240C"/>
    <w:rsid w:val="00FC6876"/>
    <w:rsid w:val="00FD6C52"/>
    <w:rsid w:val="00FF08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73"/>
  </w:style>
  <w:style w:type="paragraph" w:styleId="Heading1">
    <w:name w:val="heading 1"/>
    <w:basedOn w:val="Normal"/>
    <w:next w:val="Normal"/>
    <w:link w:val="Heading1Char"/>
    <w:uiPriority w:val="9"/>
    <w:qFormat/>
    <w:rsid w:val="00931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31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2D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312DE"/>
    <w:rPr>
      <w:rFonts w:asciiTheme="majorHAnsi" w:eastAsiaTheme="majorEastAsia" w:hAnsiTheme="majorHAnsi" w:cstheme="majorBidi"/>
      <w:b/>
      <w:bCs/>
      <w:color w:val="4F81BD" w:themeColor="accent1"/>
      <w:sz w:val="26"/>
      <w:szCs w:val="26"/>
    </w:rPr>
  </w:style>
  <w:style w:type="paragraph" w:styleId="IntenseQuote">
    <w:name w:val="Intense Quote"/>
    <w:basedOn w:val="Normal"/>
    <w:next w:val="Normal"/>
    <w:link w:val="IntenseQuoteChar"/>
    <w:uiPriority w:val="30"/>
    <w:qFormat/>
    <w:rsid w:val="009312D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12DE"/>
    <w:rPr>
      <w:b/>
      <w:bCs/>
      <w:i/>
      <w:iCs/>
      <w:color w:val="4F81BD" w:themeColor="accent1"/>
    </w:rPr>
  </w:style>
  <w:style w:type="paragraph" w:styleId="Header">
    <w:name w:val="header"/>
    <w:basedOn w:val="Normal"/>
    <w:link w:val="HeaderChar"/>
    <w:uiPriority w:val="99"/>
    <w:semiHidden/>
    <w:unhideWhenUsed/>
    <w:rsid w:val="00F35E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5EC4"/>
  </w:style>
  <w:style w:type="paragraph" w:styleId="Footer">
    <w:name w:val="footer"/>
    <w:basedOn w:val="Normal"/>
    <w:link w:val="FooterChar"/>
    <w:uiPriority w:val="99"/>
    <w:unhideWhenUsed/>
    <w:rsid w:val="00F35E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EC4"/>
  </w:style>
  <w:style w:type="paragraph" w:styleId="BalloonText">
    <w:name w:val="Balloon Text"/>
    <w:basedOn w:val="Normal"/>
    <w:link w:val="BalloonTextChar"/>
    <w:uiPriority w:val="99"/>
    <w:semiHidden/>
    <w:unhideWhenUsed/>
    <w:rsid w:val="00F35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EC4"/>
    <w:rPr>
      <w:rFonts w:ascii="Tahoma" w:hAnsi="Tahoma" w:cs="Tahoma"/>
      <w:sz w:val="16"/>
      <w:szCs w:val="16"/>
    </w:rPr>
  </w:style>
  <w:style w:type="paragraph" w:styleId="Subtitle">
    <w:name w:val="Subtitle"/>
    <w:basedOn w:val="Normal"/>
    <w:next w:val="Normal"/>
    <w:link w:val="SubtitleChar"/>
    <w:uiPriority w:val="11"/>
    <w:qFormat/>
    <w:rsid w:val="00F35E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35EC4"/>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383770"/>
    <w:pPr>
      <w:ind w:left="720"/>
      <w:contextualSpacing/>
    </w:pPr>
  </w:style>
  <w:style w:type="paragraph" w:styleId="EndnoteText">
    <w:name w:val="endnote text"/>
    <w:basedOn w:val="Normal"/>
    <w:link w:val="EndnoteTextChar"/>
    <w:uiPriority w:val="99"/>
    <w:unhideWhenUsed/>
    <w:rsid w:val="00AE0837"/>
    <w:pPr>
      <w:spacing w:after="0" w:line="240" w:lineRule="auto"/>
    </w:pPr>
    <w:rPr>
      <w:sz w:val="20"/>
      <w:szCs w:val="20"/>
    </w:rPr>
  </w:style>
  <w:style w:type="character" w:customStyle="1" w:styleId="EndnoteTextChar">
    <w:name w:val="Endnote Text Char"/>
    <w:basedOn w:val="DefaultParagraphFont"/>
    <w:link w:val="EndnoteText"/>
    <w:uiPriority w:val="99"/>
    <w:rsid w:val="00AE0837"/>
    <w:rPr>
      <w:sz w:val="20"/>
      <w:szCs w:val="20"/>
    </w:rPr>
  </w:style>
  <w:style w:type="character" w:styleId="EndnoteReference">
    <w:name w:val="endnote reference"/>
    <w:basedOn w:val="DefaultParagraphFont"/>
    <w:uiPriority w:val="99"/>
    <w:semiHidden/>
    <w:unhideWhenUsed/>
    <w:rsid w:val="00AE0837"/>
    <w:rPr>
      <w:vertAlign w:val="superscript"/>
    </w:rPr>
  </w:style>
  <w:style w:type="paragraph" w:customStyle="1" w:styleId="Default">
    <w:name w:val="Default"/>
    <w:rsid w:val="00DB79F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F8F71-DFF5-42E9-95E9-6554D2557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1109</Words>
  <Characters>6327</Characters>
  <Application>Microsoft Office Word</Application>
  <DocSecurity>0</DocSecurity>
  <Lines>52</Lines>
  <Paragraphs>14</Paragraphs>
  <ScaleCrop>false</ScaleCrop>
  <Company>TRUE LOVE</Company>
  <LinksUpToDate>false</LinksUpToDate>
  <CharactersWithSpaces>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SHIVA SHANKARA</dc:creator>
  <cp:keywords/>
  <dc:description/>
  <cp:lastModifiedBy>R. SHIVA SHANKARA</cp:lastModifiedBy>
  <cp:revision>62</cp:revision>
  <dcterms:created xsi:type="dcterms:W3CDTF">2010-06-03T06:46:00Z</dcterms:created>
  <dcterms:modified xsi:type="dcterms:W3CDTF">2010-06-03T14:44:00Z</dcterms:modified>
</cp:coreProperties>
</file>