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5CB" w:rsidRDefault="00C23D51" w:rsidP="00C23D51">
      <w:pPr>
        <w:rPr>
          <w:sz w:val="32"/>
        </w:rPr>
      </w:pPr>
      <w:r>
        <w:t xml:space="preserve">  </w:t>
      </w:r>
      <w:r w:rsidR="006705CB">
        <w:rPr>
          <w:sz w:val="32"/>
        </w:rPr>
        <w:t xml:space="preserve">                                               </w:t>
      </w:r>
    </w:p>
    <w:p w:rsidR="006705CB" w:rsidRDefault="006705CB" w:rsidP="00C23D51">
      <w:pPr>
        <w:rPr>
          <w:sz w:val="32"/>
        </w:rPr>
      </w:pPr>
    </w:p>
    <w:p w:rsidR="006705CB" w:rsidRDefault="006705CB" w:rsidP="00C23D51">
      <w:pPr>
        <w:rPr>
          <w:sz w:val="32"/>
        </w:rPr>
      </w:pPr>
    </w:p>
    <w:p w:rsidR="006705CB" w:rsidRDefault="006705CB" w:rsidP="00C23D51">
      <w:pPr>
        <w:rPr>
          <w:sz w:val="32"/>
        </w:rPr>
      </w:pPr>
      <w:r>
        <w:rPr>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6.5pt;height:108.75pt">
            <v:shadow color="#868686"/>
            <v:textpath style="font-family:&quot;Arial Black&quot;;font-size:32pt;v-text-kern:t" trim="t" fitpath="t" string="A Project on &#10;Merger of  "/>
          </v:shape>
        </w:pict>
      </w:r>
    </w:p>
    <w:p w:rsidR="006705CB" w:rsidRDefault="006705CB" w:rsidP="00C23D51">
      <w:pPr>
        <w:rPr>
          <w:sz w:val="32"/>
        </w:rPr>
      </w:pPr>
    </w:p>
    <w:p w:rsidR="006705CB" w:rsidRDefault="00727CDB" w:rsidP="00C23D51">
      <w:pPr>
        <w:rPr>
          <w:sz w:val="32"/>
        </w:rPr>
      </w:pPr>
      <w:r>
        <w:rPr>
          <w:sz w:val="32"/>
        </w:rPr>
        <w:pict>
          <v:shape id="_x0000_i1026" type="#_x0000_t136" style="width:441.75pt;height:204pt" fillcolor="#b2b2b2" strokecolor="#33c" strokeweight="1pt">
            <v:fill opacity=".5"/>
            <v:shadow on="t" color="#99f" offset="3pt"/>
            <v:textpath style="font-family:&quot;Arial Black&quot;;v-text-kern:t" trim="t" fitpath="t" string="Bank Of Raj.&#10;    And &#10;I.C.I.C.I Bank"/>
          </v:shape>
        </w:pict>
      </w:r>
    </w:p>
    <w:p w:rsidR="00727CDB" w:rsidRDefault="00727CDB" w:rsidP="00C23D51">
      <w:pPr>
        <w:rPr>
          <w:sz w:val="32"/>
        </w:rPr>
      </w:pPr>
    </w:p>
    <w:p w:rsidR="00727CDB" w:rsidRDefault="00727CDB" w:rsidP="00C23D51">
      <w:pPr>
        <w:rPr>
          <w:sz w:val="32"/>
        </w:rPr>
      </w:pPr>
    </w:p>
    <w:p w:rsidR="00727CDB" w:rsidRDefault="00727CDB" w:rsidP="00C23D51">
      <w:pPr>
        <w:rPr>
          <w:sz w:val="24"/>
        </w:rPr>
      </w:pPr>
      <w:r>
        <w:rPr>
          <w:sz w:val="24"/>
        </w:rPr>
        <w:t xml:space="preserve">   All views and information is collected and compiled by me personally from various sources your </w:t>
      </w:r>
    </w:p>
    <w:p w:rsidR="00727CDB" w:rsidRPr="00727CDB" w:rsidRDefault="00727CDB" w:rsidP="00C23D51">
      <w:pPr>
        <w:rPr>
          <w:sz w:val="24"/>
        </w:rPr>
      </w:pPr>
      <w:r>
        <w:rPr>
          <w:sz w:val="24"/>
        </w:rPr>
        <w:t xml:space="preserve">  Valuable suggestions are invited from you .plz reply me on Gotukabra@gmail.com</w:t>
      </w: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6705CB" w:rsidRDefault="006705CB" w:rsidP="00C23D51">
      <w:pPr>
        <w:rPr>
          <w:sz w:val="32"/>
        </w:rPr>
      </w:pPr>
    </w:p>
    <w:p w:rsidR="00C23D51" w:rsidRDefault="006705CB" w:rsidP="00C23D51">
      <w:pPr>
        <w:rPr>
          <w:sz w:val="40"/>
          <w:szCs w:val="40"/>
          <w:u w:val="single"/>
        </w:rPr>
      </w:pPr>
      <w:r>
        <w:rPr>
          <w:sz w:val="32"/>
        </w:rPr>
        <w:t xml:space="preserve">                                                </w:t>
      </w:r>
      <w:r w:rsidRPr="006705CB">
        <w:rPr>
          <w:sz w:val="40"/>
          <w:szCs w:val="40"/>
          <w:u w:val="single"/>
        </w:rPr>
        <w:t>Index</w:t>
      </w:r>
    </w:p>
    <w:p w:rsidR="006705CB" w:rsidRDefault="006705CB" w:rsidP="00C23D51">
      <w:pPr>
        <w:rPr>
          <w:sz w:val="40"/>
          <w:szCs w:val="40"/>
          <w:u w:val="single"/>
        </w:rPr>
      </w:pPr>
    </w:p>
    <w:p w:rsidR="006705CB" w:rsidRDefault="006705CB" w:rsidP="00C23D51">
      <w:pPr>
        <w:rPr>
          <w:color w:val="000000" w:themeColor="text1"/>
          <w:sz w:val="36"/>
          <w:szCs w:val="36"/>
        </w:rPr>
      </w:pPr>
      <w:r>
        <w:rPr>
          <w:color w:val="000000" w:themeColor="text1"/>
          <w:sz w:val="36"/>
          <w:szCs w:val="36"/>
        </w:rPr>
        <w:t>Snap Shot……………………………………………..03</w:t>
      </w:r>
    </w:p>
    <w:p w:rsidR="006705CB" w:rsidRDefault="006705CB" w:rsidP="00C23D51">
      <w:pPr>
        <w:rPr>
          <w:color w:val="000000" w:themeColor="text1"/>
          <w:sz w:val="36"/>
          <w:szCs w:val="36"/>
        </w:rPr>
      </w:pPr>
      <w:r>
        <w:rPr>
          <w:color w:val="000000" w:themeColor="text1"/>
          <w:sz w:val="36"/>
          <w:szCs w:val="36"/>
        </w:rPr>
        <w:t>History of the Co…………………………………  04</w:t>
      </w:r>
    </w:p>
    <w:p w:rsidR="006705CB" w:rsidRDefault="006705CB" w:rsidP="00C23D51">
      <w:pPr>
        <w:rPr>
          <w:color w:val="000000" w:themeColor="text1"/>
          <w:sz w:val="36"/>
          <w:szCs w:val="36"/>
        </w:rPr>
      </w:pPr>
      <w:r>
        <w:rPr>
          <w:color w:val="000000" w:themeColor="text1"/>
          <w:sz w:val="36"/>
          <w:szCs w:val="36"/>
        </w:rPr>
        <w:t>Yearly high/low prices………………………….07</w:t>
      </w:r>
    </w:p>
    <w:p w:rsidR="006705CB" w:rsidRDefault="006705CB" w:rsidP="00C23D51">
      <w:pPr>
        <w:rPr>
          <w:color w:val="000000" w:themeColor="text1"/>
          <w:sz w:val="36"/>
          <w:szCs w:val="36"/>
        </w:rPr>
      </w:pPr>
      <w:r>
        <w:rPr>
          <w:color w:val="000000" w:themeColor="text1"/>
          <w:sz w:val="36"/>
          <w:szCs w:val="36"/>
        </w:rPr>
        <w:lastRenderedPageBreak/>
        <w:t>Price chart…………………………………………….08</w:t>
      </w:r>
    </w:p>
    <w:p w:rsidR="006705CB" w:rsidRDefault="006705CB" w:rsidP="00C23D51">
      <w:pPr>
        <w:rPr>
          <w:color w:val="000000" w:themeColor="text1"/>
          <w:sz w:val="36"/>
          <w:szCs w:val="36"/>
        </w:rPr>
      </w:pPr>
      <w:r>
        <w:rPr>
          <w:color w:val="000000" w:themeColor="text1"/>
          <w:sz w:val="36"/>
          <w:szCs w:val="36"/>
        </w:rPr>
        <w:t>Balance sheet……………………………………….09</w:t>
      </w:r>
    </w:p>
    <w:p w:rsidR="006705CB" w:rsidRDefault="006705CB" w:rsidP="00C23D51">
      <w:pPr>
        <w:rPr>
          <w:color w:val="000000" w:themeColor="text1"/>
          <w:sz w:val="36"/>
          <w:szCs w:val="36"/>
        </w:rPr>
      </w:pPr>
      <w:r>
        <w:rPr>
          <w:color w:val="000000" w:themeColor="text1"/>
          <w:sz w:val="36"/>
          <w:szCs w:val="36"/>
        </w:rPr>
        <w:t>Industry Overview Global/Asia/India…… 11</w:t>
      </w:r>
    </w:p>
    <w:p w:rsidR="006705CB" w:rsidRDefault="006705CB" w:rsidP="00C23D51">
      <w:pPr>
        <w:rPr>
          <w:color w:val="000000" w:themeColor="text1"/>
          <w:sz w:val="36"/>
          <w:szCs w:val="36"/>
        </w:rPr>
      </w:pPr>
      <w:r>
        <w:rPr>
          <w:color w:val="000000" w:themeColor="text1"/>
          <w:sz w:val="36"/>
          <w:szCs w:val="36"/>
        </w:rPr>
        <w:t>Overview Of merger…………………………..…14</w:t>
      </w:r>
    </w:p>
    <w:p w:rsidR="006705CB" w:rsidRDefault="006705CB" w:rsidP="00C23D51">
      <w:pPr>
        <w:rPr>
          <w:color w:val="000000" w:themeColor="text1"/>
          <w:sz w:val="36"/>
          <w:szCs w:val="36"/>
        </w:rPr>
      </w:pPr>
      <w:r>
        <w:rPr>
          <w:color w:val="000000" w:themeColor="text1"/>
          <w:sz w:val="36"/>
          <w:szCs w:val="36"/>
        </w:rPr>
        <w:t>Co. News with reff. To merger……………….16</w:t>
      </w:r>
    </w:p>
    <w:p w:rsidR="006705CB" w:rsidRDefault="006705CB" w:rsidP="00C23D51">
      <w:pPr>
        <w:rPr>
          <w:color w:val="000000" w:themeColor="text1"/>
          <w:sz w:val="36"/>
          <w:szCs w:val="36"/>
        </w:rPr>
      </w:pPr>
    </w:p>
    <w:p w:rsidR="006705CB" w:rsidRPr="006705CB" w:rsidRDefault="006705CB" w:rsidP="00C23D51">
      <w:pPr>
        <w:rPr>
          <w:color w:val="000000" w:themeColor="text1"/>
          <w:sz w:val="36"/>
          <w:szCs w:val="36"/>
        </w:rPr>
      </w:pPr>
    </w:p>
    <w:p w:rsidR="005D7677" w:rsidRDefault="005D7677" w:rsidP="00C23D51"/>
    <w:p w:rsidR="006705CB" w:rsidRDefault="006705CB" w:rsidP="00C23D51"/>
    <w:p w:rsidR="006705CB" w:rsidRDefault="006705CB" w:rsidP="00C23D51"/>
    <w:p w:rsidR="006705CB" w:rsidRDefault="006705CB" w:rsidP="00C23D51"/>
    <w:p w:rsidR="006705CB" w:rsidRDefault="006705CB" w:rsidP="00C23D51"/>
    <w:p w:rsidR="006705CB" w:rsidRDefault="006705CB" w:rsidP="00C23D51"/>
    <w:p w:rsidR="006705CB" w:rsidRDefault="006705CB" w:rsidP="00C23D51"/>
    <w:p w:rsidR="006705CB" w:rsidRDefault="006705CB" w:rsidP="00C23D51"/>
    <w:p w:rsidR="005D7677" w:rsidRDefault="005D7677" w:rsidP="00C23D51"/>
    <w:p w:rsidR="005D7677" w:rsidRDefault="005D7677" w:rsidP="00C23D51"/>
    <w:p w:rsidR="005D7677" w:rsidRDefault="005D7677" w:rsidP="00C23D51"/>
    <w:p w:rsidR="005D7677" w:rsidRDefault="005D7677" w:rsidP="00C23D51"/>
    <w:p w:rsidR="005D7677" w:rsidRPr="00C23D51" w:rsidRDefault="005D7677" w:rsidP="00C23D51"/>
    <w:tbl>
      <w:tblPr>
        <w:tblW w:w="5000" w:type="pct"/>
        <w:tblCellSpacing w:w="0" w:type="dxa"/>
        <w:shd w:val="clear" w:color="auto" w:fill="FFFFFF"/>
        <w:tblCellMar>
          <w:left w:w="0" w:type="dxa"/>
          <w:right w:w="0" w:type="dxa"/>
        </w:tblCellMar>
        <w:tblLook w:val="04A0"/>
      </w:tblPr>
      <w:tblGrid>
        <w:gridCol w:w="9589"/>
        <w:gridCol w:w="513"/>
      </w:tblGrid>
      <w:tr w:rsidR="00C23D51" w:rsidRPr="005D7677" w:rsidTr="00C23D51">
        <w:trPr>
          <w:tblCellSpacing w:w="0" w:type="dxa"/>
        </w:trPr>
        <w:tc>
          <w:tcPr>
            <w:tcW w:w="0" w:type="auto"/>
            <w:shd w:val="clear" w:color="auto" w:fill="FFFFFF"/>
            <w:hideMark/>
          </w:tcPr>
          <w:p w:rsidR="006705CB" w:rsidRDefault="006705CB" w:rsidP="00C23D51">
            <w:pPr>
              <w:spacing w:after="0" w:line="240" w:lineRule="auto"/>
              <w:rPr>
                <w:rFonts w:ascii="Times New Roman" w:eastAsia="Times New Roman" w:hAnsi="Times New Roman" w:cs="Times New Roman"/>
                <w:color w:val="990000"/>
                <w:sz w:val="28"/>
                <w:szCs w:val="28"/>
              </w:rPr>
            </w:pPr>
          </w:p>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color w:val="990000"/>
                <w:sz w:val="28"/>
                <w:szCs w:val="28"/>
              </w:rPr>
              <w:t xml:space="preserve">                                                   Bank of Rajasthan Ltd.</w:t>
            </w:r>
          </w:p>
        </w:tc>
        <w:tc>
          <w:tcPr>
            <w:tcW w:w="0" w:type="auto"/>
            <w:shd w:val="clear" w:color="auto" w:fill="FFFFFF"/>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noProof/>
                <w:sz w:val="28"/>
                <w:szCs w:val="28"/>
              </w:rPr>
              <w:drawing>
                <wp:inline distT="0" distB="0" distL="0" distR="0">
                  <wp:extent cx="190500" cy="180975"/>
                  <wp:effectExtent l="19050" t="0" r="0" b="0"/>
                  <wp:docPr id="1" name="Picture 1" descr="http://content.icicidirect.com/images/white-c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ent.icicidirect.com/images/white-cut.gif"/>
                          <pic:cNvPicPr>
                            <a:picLocks noChangeAspect="1" noChangeArrowheads="1"/>
                          </pic:cNvPicPr>
                        </pic:nvPicPr>
                        <pic:blipFill>
                          <a:blip r:embed="rId7"/>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bl>
    <w:p w:rsidR="00C23D51" w:rsidRPr="005D7677" w:rsidRDefault="00C23D51" w:rsidP="00C23D51">
      <w:pPr>
        <w:spacing w:after="0" w:line="240" w:lineRule="auto"/>
        <w:rPr>
          <w:rFonts w:ascii="Times New Roman" w:eastAsia="Times New Roman" w:hAnsi="Times New Roman" w:cs="Times New Roman"/>
          <w:vanish/>
          <w:sz w:val="28"/>
          <w:szCs w:val="28"/>
        </w:rPr>
      </w:pPr>
    </w:p>
    <w:tbl>
      <w:tblPr>
        <w:tblW w:w="5000" w:type="pct"/>
        <w:tblCellSpacing w:w="0" w:type="dxa"/>
        <w:tblCellMar>
          <w:top w:w="30" w:type="dxa"/>
          <w:left w:w="30" w:type="dxa"/>
          <w:bottom w:w="30" w:type="dxa"/>
          <w:right w:w="30" w:type="dxa"/>
        </w:tblCellMar>
        <w:tblLook w:val="04A0"/>
      </w:tblPr>
      <w:tblGrid>
        <w:gridCol w:w="2274"/>
        <w:gridCol w:w="7888"/>
      </w:tblGrid>
      <w:tr w:rsidR="00C23D51" w:rsidRPr="005D7677" w:rsidTr="00C23D51">
        <w:trPr>
          <w:tblCellSpacing w:w="0" w:type="dxa"/>
        </w:trPr>
        <w:tc>
          <w:tcPr>
            <w:tcW w:w="5000" w:type="pct"/>
            <w:gridSpan w:val="2"/>
            <w:shd w:val="clear" w:color="auto" w:fill="990000"/>
            <w:vAlign w:val="center"/>
            <w:hideMark/>
          </w:tcPr>
          <w:p w:rsidR="00C23D51" w:rsidRPr="005D7677" w:rsidRDefault="00C23D51" w:rsidP="00C23D51">
            <w:pPr>
              <w:spacing w:after="0" w:line="240" w:lineRule="auto"/>
              <w:jc w:val="center"/>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Snapshot</w:t>
            </w:r>
          </w:p>
        </w:tc>
      </w:tr>
      <w:tr w:rsidR="00C23D51" w:rsidRPr="005D7677" w:rsidTr="00C23D51">
        <w:trPr>
          <w:tblCellSpacing w:w="0" w:type="dxa"/>
        </w:trPr>
        <w:tc>
          <w:tcPr>
            <w:tcW w:w="5000" w:type="pct"/>
            <w:gridSpan w:val="2"/>
            <w:shd w:val="clear" w:color="auto" w:fill="EEEEEE"/>
            <w:vAlign w:val="center"/>
            <w:hideMark/>
          </w:tcPr>
          <w:p w:rsidR="00C23D51" w:rsidRPr="005D7677" w:rsidRDefault="00C23D51" w:rsidP="00C23D51">
            <w:pPr>
              <w:spacing w:after="0" w:line="240" w:lineRule="auto"/>
              <w:jc w:val="right"/>
              <w:rPr>
                <w:rFonts w:ascii="Times New Roman" w:eastAsia="Times New Roman" w:hAnsi="Times New Roman" w:cs="Times New Roman"/>
                <w:sz w:val="28"/>
                <w:szCs w:val="28"/>
              </w:rPr>
            </w:pPr>
          </w:p>
        </w:tc>
      </w:tr>
      <w:tr w:rsidR="00C23D51" w:rsidRPr="005D7677" w:rsidTr="005D7677">
        <w:trPr>
          <w:tblCellSpacing w:w="0" w:type="dxa"/>
        </w:trPr>
        <w:tc>
          <w:tcPr>
            <w:tcW w:w="1119"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 xml:space="preserve">Chief Executive </w:t>
            </w:r>
            <w:r w:rsidRPr="005D7677">
              <w:rPr>
                <w:rFonts w:ascii="Times New Roman" w:eastAsia="Times New Roman" w:hAnsi="Times New Roman" w:cs="Times New Roman"/>
                <w:b/>
                <w:bCs/>
                <w:sz w:val="28"/>
                <w:szCs w:val="28"/>
              </w:rPr>
              <w:lastRenderedPageBreak/>
              <w:t>Name</w:t>
            </w:r>
          </w:p>
        </w:tc>
        <w:tc>
          <w:tcPr>
            <w:tcW w:w="3881"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lastRenderedPageBreak/>
              <w:t>Mr. G Padmanabhan</w:t>
            </w:r>
          </w:p>
        </w:tc>
      </w:tr>
      <w:tr w:rsidR="00C23D51" w:rsidRPr="005D7677" w:rsidTr="005D7677">
        <w:trPr>
          <w:tblCellSpacing w:w="0" w:type="dxa"/>
        </w:trPr>
        <w:tc>
          <w:tcPr>
            <w:tcW w:w="1119"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lastRenderedPageBreak/>
              <w:t>Secretary Name</w:t>
            </w:r>
          </w:p>
        </w:tc>
        <w:tc>
          <w:tcPr>
            <w:tcW w:w="3881"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Mr. R K Agrawal</w:t>
            </w:r>
          </w:p>
        </w:tc>
      </w:tr>
      <w:tr w:rsidR="00C23D51" w:rsidRPr="005D7677" w:rsidTr="005D7677">
        <w:trPr>
          <w:tblCellSpacing w:w="0" w:type="dxa"/>
        </w:trPr>
        <w:tc>
          <w:tcPr>
            <w:tcW w:w="1119"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Face Value</w:t>
            </w:r>
          </w:p>
        </w:tc>
        <w:tc>
          <w:tcPr>
            <w:tcW w:w="3881"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10</w:t>
            </w:r>
          </w:p>
        </w:tc>
      </w:tr>
      <w:tr w:rsidR="00C23D51" w:rsidRPr="005D7677" w:rsidTr="005D7677">
        <w:trPr>
          <w:tblCellSpacing w:w="0" w:type="dxa"/>
        </w:trPr>
        <w:tc>
          <w:tcPr>
            <w:tcW w:w="1119"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Market Lot</w:t>
            </w:r>
          </w:p>
        </w:tc>
        <w:tc>
          <w:tcPr>
            <w:tcW w:w="3881"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1</w:t>
            </w:r>
          </w:p>
        </w:tc>
      </w:tr>
      <w:tr w:rsidR="00C23D51" w:rsidRPr="005D7677" w:rsidTr="005D7677">
        <w:trPr>
          <w:tblCellSpacing w:w="0" w:type="dxa"/>
        </w:trPr>
        <w:tc>
          <w:tcPr>
            <w:tcW w:w="1119"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Business Group Name</w:t>
            </w:r>
          </w:p>
        </w:tc>
        <w:tc>
          <w:tcPr>
            <w:tcW w:w="3881"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Not Applicable</w:t>
            </w:r>
          </w:p>
        </w:tc>
      </w:tr>
      <w:tr w:rsidR="00C23D51" w:rsidRPr="005D7677" w:rsidTr="005D7677">
        <w:trPr>
          <w:tblCellSpacing w:w="0" w:type="dxa"/>
        </w:trPr>
        <w:tc>
          <w:tcPr>
            <w:tcW w:w="1119"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Incorporation Date</w:t>
            </w:r>
          </w:p>
        </w:tc>
        <w:tc>
          <w:tcPr>
            <w:tcW w:w="3881"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Not Available (1942)</w:t>
            </w:r>
          </w:p>
        </w:tc>
      </w:tr>
      <w:tr w:rsidR="00C23D51" w:rsidRPr="005D7677" w:rsidTr="005D7677">
        <w:trPr>
          <w:tblCellSpacing w:w="0" w:type="dxa"/>
        </w:trPr>
        <w:tc>
          <w:tcPr>
            <w:tcW w:w="1119"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Industry Name</w:t>
            </w:r>
          </w:p>
        </w:tc>
        <w:tc>
          <w:tcPr>
            <w:tcW w:w="3881"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Finance - Banks - Private Sector</w:t>
            </w:r>
          </w:p>
        </w:tc>
      </w:tr>
      <w:tr w:rsidR="00C23D51" w:rsidRPr="005D7677" w:rsidTr="005D7677">
        <w:trPr>
          <w:tblCellSpacing w:w="0" w:type="dxa"/>
        </w:trPr>
        <w:tc>
          <w:tcPr>
            <w:tcW w:w="1119" w:type="pct"/>
            <w:shd w:val="clear" w:color="auto" w:fill="FFFFFF"/>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Registrar of Company</w:t>
            </w:r>
          </w:p>
        </w:tc>
        <w:tc>
          <w:tcPr>
            <w:tcW w:w="3881" w:type="pct"/>
            <w:shd w:val="clear" w:color="auto" w:fill="FFFFFF"/>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Not Available</w:t>
            </w:r>
          </w:p>
        </w:tc>
      </w:tr>
      <w:tr w:rsidR="00C23D51" w:rsidRPr="005D7677" w:rsidTr="005D7677">
        <w:trPr>
          <w:tblCellSpacing w:w="0" w:type="dxa"/>
        </w:trPr>
        <w:tc>
          <w:tcPr>
            <w:tcW w:w="1119"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b/>
                <w:bCs/>
                <w:sz w:val="28"/>
                <w:szCs w:val="28"/>
              </w:rPr>
              <w:t>Listed on</w:t>
            </w:r>
          </w:p>
        </w:tc>
        <w:tc>
          <w:tcPr>
            <w:tcW w:w="3881" w:type="pct"/>
            <w:shd w:val="clear" w:color="auto" w:fill="EEEEEE"/>
            <w:vAlign w:val="center"/>
            <w:hideMark/>
          </w:tcPr>
          <w:p w:rsidR="00C23D51" w:rsidRPr="005D7677" w:rsidRDefault="00C23D51" w:rsidP="00C23D51">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National Stock Exchange of India Ltd. </w:t>
            </w:r>
          </w:p>
        </w:tc>
      </w:tr>
    </w:tbl>
    <w:p w:rsidR="00BF0941" w:rsidRPr="005D7677" w:rsidRDefault="00BF0941" w:rsidP="00C23D51">
      <w:pPr>
        <w:rPr>
          <w:sz w:val="28"/>
          <w:szCs w:val="28"/>
        </w:rPr>
      </w:pPr>
    </w:p>
    <w:p w:rsidR="009A332D" w:rsidRDefault="009A332D" w:rsidP="00C23D51"/>
    <w:p w:rsidR="009A332D" w:rsidRDefault="009A332D" w:rsidP="00C23D51"/>
    <w:p w:rsidR="005D7677" w:rsidRDefault="005D7677" w:rsidP="00C23D51"/>
    <w:p w:rsidR="005D7677" w:rsidRDefault="005D7677" w:rsidP="00C23D51"/>
    <w:p w:rsidR="005D7677" w:rsidRDefault="005D7677" w:rsidP="00C23D51"/>
    <w:tbl>
      <w:tblPr>
        <w:tblW w:w="5000" w:type="pct"/>
        <w:tblCellSpacing w:w="0" w:type="dxa"/>
        <w:shd w:val="clear" w:color="auto" w:fill="FFFFFF"/>
        <w:tblCellMar>
          <w:left w:w="0" w:type="dxa"/>
          <w:right w:w="0" w:type="dxa"/>
        </w:tblCellMar>
        <w:tblLook w:val="04A0"/>
      </w:tblPr>
      <w:tblGrid>
        <w:gridCol w:w="5051"/>
        <w:gridCol w:w="5051"/>
      </w:tblGrid>
      <w:tr w:rsidR="005D7677" w:rsidRPr="005D7677" w:rsidTr="005D7677">
        <w:trPr>
          <w:tblCellSpacing w:w="0" w:type="dxa"/>
        </w:trPr>
        <w:tc>
          <w:tcPr>
            <w:tcW w:w="2500" w:type="pct"/>
            <w:shd w:val="clear" w:color="auto" w:fill="FFFFFF"/>
            <w:hideMark/>
          </w:tcPr>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6705CB" w:rsidRDefault="006705CB" w:rsidP="005D7677">
            <w:pPr>
              <w:spacing w:after="0" w:line="240" w:lineRule="auto"/>
              <w:rPr>
                <w:rFonts w:ascii="Times New Roman" w:eastAsia="Times New Roman" w:hAnsi="Times New Roman" w:cs="Times New Roman"/>
                <w:color w:val="990000"/>
                <w:sz w:val="24"/>
                <w:szCs w:val="24"/>
              </w:rPr>
            </w:pPr>
          </w:p>
          <w:p w:rsidR="005D7677" w:rsidRPr="005D7677" w:rsidRDefault="005D7677" w:rsidP="005D7677">
            <w:pPr>
              <w:spacing w:after="0" w:line="240" w:lineRule="auto"/>
              <w:rPr>
                <w:rFonts w:ascii="Times New Roman" w:eastAsia="Times New Roman" w:hAnsi="Times New Roman" w:cs="Times New Roman"/>
                <w:sz w:val="24"/>
                <w:szCs w:val="24"/>
              </w:rPr>
            </w:pPr>
            <w:r w:rsidRPr="005D7677">
              <w:rPr>
                <w:rFonts w:ascii="Times New Roman" w:eastAsia="Times New Roman" w:hAnsi="Times New Roman" w:cs="Times New Roman"/>
                <w:color w:val="990000"/>
                <w:sz w:val="24"/>
                <w:szCs w:val="24"/>
              </w:rPr>
              <w:t>.</w:t>
            </w:r>
          </w:p>
        </w:tc>
        <w:tc>
          <w:tcPr>
            <w:tcW w:w="2500" w:type="pct"/>
            <w:shd w:val="clear" w:color="auto" w:fill="FFFFFF"/>
            <w:hideMark/>
          </w:tcPr>
          <w:p w:rsidR="005D7677" w:rsidRPr="005D7677" w:rsidRDefault="005D7677" w:rsidP="005D76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1135" cy="177165"/>
                  <wp:effectExtent l="19050" t="0" r="0" b="0"/>
                  <wp:docPr id="21" name="Picture 21" descr="http://content.icicidirect.com/images/white-c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ontent.icicidirect.com/images/white-cut.gif"/>
                          <pic:cNvPicPr>
                            <a:picLocks noChangeAspect="1" noChangeArrowheads="1"/>
                          </pic:cNvPicPr>
                        </pic:nvPicPr>
                        <pic:blipFill>
                          <a:blip r:embed="rId7"/>
                          <a:srcRect/>
                          <a:stretch>
                            <a:fillRect/>
                          </a:stretch>
                        </pic:blipFill>
                        <pic:spPr bwMode="auto">
                          <a:xfrm>
                            <a:off x="0" y="0"/>
                            <a:ext cx="191135" cy="177165"/>
                          </a:xfrm>
                          <a:prstGeom prst="rect">
                            <a:avLst/>
                          </a:prstGeom>
                          <a:noFill/>
                          <a:ln w="9525">
                            <a:noFill/>
                            <a:miter lim="800000"/>
                            <a:headEnd/>
                            <a:tailEnd/>
                          </a:ln>
                        </pic:spPr>
                      </pic:pic>
                    </a:graphicData>
                  </a:graphic>
                </wp:inline>
              </w:drawing>
            </w:r>
          </w:p>
        </w:tc>
      </w:tr>
    </w:tbl>
    <w:p w:rsidR="005D7677" w:rsidRPr="005D7677" w:rsidRDefault="005D7677" w:rsidP="005D7677">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tblPr>
      <w:tblGrid>
        <w:gridCol w:w="10096"/>
        <w:gridCol w:w="66"/>
      </w:tblGrid>
      <w:tr w:rsidR="005D7677" w:rsidRPr="005D7677" w:rsidTr="005D7677">
        <w:trPr>
          <w:tblCellSpacing w:w="0" w:type="dxa"/>
        </w:trPr>
        <w:tc>
          <w:tcPr>
            <w:tcW w:w="0" w:type="auto"/>
            <w:gridSpan w:val="2"/>
            <w:shd w:val="clear" w:color="auto" w:fill="990000"/>
            <w:vAlign w:val="center"/>
            <w:hideMark/>
          </w:tcPr>
          <w:p w:rsidR="005D7677" w:rsidRPr="005D7677" w:rsidRDefault="005D7677" w:rsidP="005D7677">
            <w:pPr>
              <w:spacing w:after="0" w:line="240" w:lineRule="auto"/>
              <w:jc w:val="center"/>
              <w:rPr>
                <w:rFonts w:ascii="Times New Roman" w:eastAsia="Times New Roman" w:hAnsi="Times New Roman" w:cs="Times New Roman"/>
                <w:sz w:val="24"/>
                <w:szCs w:val="24"/>
              </w:rPr>
            </w:pPr>
            <w:r w:rsidRPr="005D7677">
              <w:rPr>
                <w:rFonts w:ascii="Times New Roman" w:eastAsia="Times New Roman" w:hAnsi="Times New Roman" w:cs="Times New Roman"/>
                <w:sz w:val="24"/>
                <w:szCs w:val="24"/>
              </w:rPr>
              <w:t>History of Company</w:t>
            </w:r>
          </w:p>
        </w:tc>
      </w:tr>
      <w:tr w:rsidR="005D7677" w:rsidRPr="005D7677" w:rsidTr="005D7677">
        <w:trPr>
          <w:tblCellSpacing w:w="0" w:type="dxa"/>
        </w:trPr>
        <w:tc>
          <w:tcPr>
            <w:tcW w:w="0" w:type="auto"/>
            <w:shd w:val="clear" w:color="auto" w:fill="FFFFFF"/>
            <w:vAlign w:val="center"/>
            <w:hideMark/>
          </w:tcPr>
          <w:p w:rsidR="005D7677" w:rsidRPr="005D7677" w:rsidRDefault="005D7677" w:rsidP="005D7677">
            <w:pPr>
              <w:spacing w:after="0"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The Bank is engaged in the activities of accepting deposits, advances, treasury and investment management, interenational banking, export credit, merchant banking, lending to priority sector etc.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lastRenderedPageBreak/>
              <w:t xml:space="preserve">2000 - Kali Mohan Bhattacharya has joined Bank of Rajasthan as managing director.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 The Bank has tied up with Infosys Technologies for revamping its infotech infrastructure, which will allow the bank to fully computerise 50 branches, besides paving the way for a foray into internet banking and other e-commerce services to customers.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Rajasthan Ltd plans tie-ups with Bajaj Allianz and Tata AIG for distributing general insurance and life insurance products respectively. The board of directors of the bank has recently approved the bank's entry into insurance distributorship and the letters of intention (LoIs) were being signed with these two companies in this regard, said Mr K.M. Bhattacharya.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2002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-Introduces a new scheme called 'gaadi-bangla scheme' to provide loan to buy house and car.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-Implements a comprehensive IT infrastructure called NetServices Software, developed by Novell Software Ltd.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-Receives RBI permission to start its new eight branches and three extension counters.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-Devyani Foods, acquires 14% equity stake in the bank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-Navin Tayal resigns from the Directorship of Bank of Rajasthan.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Rajasthan Ltd has informed that RBI has approved the appointment of Mr Pravin Kumar Tayal as part-time Chairman of the Bank for a period of 2 years w e f August 10, 2002 on honorary basis.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-Signs a memorandum of understanding with Bajaj Allianz General Insurance Company to act as its exclusive corporate agent in Rajasthan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Rajasthan Ltd has informed BSE that members at their AGM of the Bank passed resolution regarding appointment of 1. Mr Saurabh Tayal2. Mr Ajay Gupta.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-Signs a MoU with Birla Sun Life Insurance for distributing Insurance Products.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-Corporation Bank ties up with the bank for sharing the teller machine networks.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lastRenderedPageBreak/>
              <w:t xml:space="preserve">2003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-The Hon'ble High Court, Jaipur has approved the scheme of merger of Rajasthan Bank Financial Services Ltd into the Bank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-Promoters shifted their shares to their own private corporate companies.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-NOBO blames the CEO &amp; MD of the bank for illegally purchasing shares worth Rs.9 cr for Rs.1.2cr.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-Members approve for the delisting of the company from 3 stock exchanges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-SEBI bans Mr Pravin Kumar Tayal , Chairman of the bank and two other directors of KSIL, Mr Navin K Tayal and Mr Sanjay K Tayal from accessing the capital market for 2 years.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-UTI enters into ATM sharing venture by joining hands with the bank.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Baroda signs MoU with the bank to issue co-branded international Visa Electron Debit Card.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-Hon'ble High Court, Jaipur approved the scheme of merger of Rajasthan Bank Financial Services Ltd into the Bank.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2004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-BoR set up Corp office in Mumbai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-Delists from M.P. Stock Exchange with effect from September 10, 2004.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2005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Rajasthan Ltd in a tie-up with Visa International is coming out with credit card in month's time.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2006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-BoR forges alliance with SBI for ATM sharing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Rajasthan Ltd has appointed Shri Vipual Dhirajlal Mehta and Shri K G Kurian as Directors of the Bank w.e.f. October 27, 2006.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lastRenderedPageBreak/>
              <w:t xml:space="preserve">2007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-Bank of Rajasthan Ltd has informed that Shri. Sekhar Bhatnagar and Shri. A Madhavan have been appointed as Additional Directors on the Board of the Bank by the Reserve Bank of India w.e.f. September 26, 2007 for a period not exceeding three years.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-The Company has issued Bonus Shares in the Ratio of 1:4.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2008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 Bank of Rajasthan Ltd has informed that the Board of Directors in its meeting held on January 23, 2008 co-opted Shri. S B Mathur as an additional Director on the Board of the Bank subject to approval of Reserve Bank of India.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-The Company has issued Bonus Shares in the Ratio of 1:5.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8"/>
                <w:szCs w:val="28"/>
              </w:rPr>
            </w:pPr>
            <w:r w:rsidRPr="005D7677">
              <w:rPr>
                <w:rFonts w:ascii="Times New Roman" w:eastAsia="Times New Roman" w:hAnsi="Times New Roman" w:cs="Times New Roman"/>
                <w:sz w:val="28"/>
                <w:szCs w:val="28"/>
              </w:rPr>
              <w:t xml:space="preserve">2009 </w:t>
            </w:r>
          </w:p>
          <w:p w:rsidR="005D7677" w:rsidRPr="005D7677" w:rsidRDefault="005D7677" w:rsidP="005D7677">
            <w:pPr>
              <w:spacing w:before="100" w:beforeAutospacing="1" w:after="100" w:afterAutospacing="1" w:line="240" w:lineRule="auto"/>
              <w:rPr>
                <w:rFonts w:ascii="Times New Roman" w:eastAsia="Times New Roman" w:hAnsi="Times New Roman" w:cs="Times New Roman"/>
                <w:sz w:val="24"/>
                <w:szCs w:val="24"/>
              </w:rPr>
            </w:pPr>
            <w:r w:rsidRPr="005D7677">
              <w:rPr>
                <w:rFonts w:ascii="Times New Roman" w:eastAsia="Times New Roman" w:hAnsi="Times New Roman" w:cs="Times New Roman"/>
                <w:sz w:val="28"/>
                <w:szCs w:val="28"/>
              </w:rPr>
              <w:t>- Bank of Rajasthan Ltd has appointed Shri M. Ravindra Vikram, Chartered Accountant, and Shri V. Seshadri, Ex-General Manager, Bank of Baroda as Additional Directors on the Board of the Bank of Rajasthan Ltd. for a period of two years with effect from December 14, 2009.</w:t>
            </w:r>
          </w:p>
        </w:tc>
        <w:tc>
          <w:tcPr>
            <w:tcW w:w="0" w:type="auto"/>
            <w:shd w:val="clear" w:color="auto" w:fill="FFFFFF"/>
            <w:vAlign w:val="center"/>
            <w:hideMark/>
          </w:tcPr>
          <w:p w:rsidR="005D7677" w:rsidRPr="005D7677" w:rsidRDefault="005D7677" w:rsidP="005D7677">
            <w:pPr>
              <w:spacing w:after="0" w:line="240" w:lineRule="auto"/>
              <w:rPr>
                <w:rFonts w:ascii="Times New Roman" w:eastAsia="Times New Roman" w:hAnsi="Times New Roman" w:cs="Times New Roman"/>
                <w:sz w:val="20"/>
                <w:szCs w:val="20"/>
              </w:rPr>
            </w:pPr>
          </w:p>
        </w:tc>
      </w:tr>
    </w:tbl>
    <w:p w:rsidR="005D7677" w:rsidRDefault="005D7677"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5D7677" w:rsidRDefault="005D7677" w:rsidP="00C23D51"/>
    <w:p w:rsidR="005D7677" w:rsidRDefault="005D7677" w:rsidP="00C23D51"/>
    <w:p w:rsidR="009A332D" w:rsidRDefault="009A332D" w:rsidP="00C23D51"/>
    <w:p w:rsidR="009A332D" w:rsidRDefault="009A332D" w:rsidP="00C23D51"/>
    <w:p w:rsidR="009A332D" w:rsidRDefault="009A332D" w:rsidP="00C23D51"/>
    <w:tbl>
      <w:tblPr>
        <w:tblW w:w="5000" w:type="pct"/>
        <w:tblCellSpacing w:w="0" w:type="dxa"/>
        <w:shd w:val="clear" w:color="auto" w:fill="FFFFFF"/>
        <w:tblCellMar>
          <w:left w:w="0" w:type="dxa"/>
          <w:right w:w="0" w:type="dxa"/>
        </w:tblCellMar>
        <w:tblLook w:val="04A0"/>
      </w:tblPr>
      <w:tblGrid>
        <w:gridCol w:w="5051"/>
        <w:gridCol w:w="5051"/>
      </w:tblGrid>
      <w:tr w:rsidR="00BF0941" w:rsidRPr="00D54FFF" w:rsidTr="00BF0941">
        <w:trPr>
          <w:tblCellSpacing w:w="0" w:type="dxa"/>
        </w:trPr>
        <w:tc>
          <w:tcPr>
            <w:tcW w:w="2500" w:type="pct"/>
            <w:shd w:val="clear" w:color="auto" w:fill="FFFFFF"/>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color w:val="990000"/>
                <w:sz w:val="40"/>
                <w:szCs w:val="40"/>
              </w:rPr>
              <w:t>.</w:t>
            </w:r>
          </w:p>
        </w:tc>
        <w:tc>
          <w:tcPr>
            <w:tcW w:w="2500" w:type="pct"/>
            <w:shd w:val="clear" w:color="auto" w:fill="FFFFFF"/>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noProof/>
                <w:sz w:val="40"/>
                <w:szCs w:val="40"/>
              </w:rPr>
              <w:drawing>
                <wp:inline distT="0" distB="0" distL="0" distR="0">
                  <wp:extent cx="190500" cy="180975"/>
                  <wp:effectExtent l="19050" t="0" r="0" b="0"/>
                  <wp:docPr id="13" name="Picture 13" descr="http://content.icicidirect.com/images/white-c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ontent.icicidirect.com/images/white-cut.gif"/>
                          <pic:cNvPicPr>
                            <a:picLocks noChangeAspect="1" noChangeArrowheads="1"/>
                          </pic:cNvPicPr>
                        </pic:nvPicPr>
                        <pic:blipFill>
                          <a:blip r:embed="rId7"/>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bl>
    <w:p w:rsidR="00BF0941" w:rsidRPr="00D54FFF" w:rsidRDefault="00BF0941" w:rsidP="00BF0941">
      <w:pPr>
        <w:spacing w:after="0" w:line="240" w:lineRule="auto"/>
        <w:rPr>
          <w:rFonts w:ascii="Times New Roman" w:eastAsia="Times New Roman" w:hAnsi="Times New Roman" w:cs="Times New Roman"/>
          <w:vanish/>
          <w:sz w:val="40"/>
          <w:szCs w:val="40"/>
        </w:rPr>
      </w:pPr>
    </w:p>
    <w:tbl>
      <w:tblPr>
        <w:tblW w:w="5000" w:type="pct"/>
        <w:tblCellSpacing w:w="7" w:type="dxa"/>
        <w:shd w:val="clear" w:color="auto" w:fill="FFFFFF"/>
        <w:tblCellMar>
          <w:top w:w="30" w:type="dxa"/>
          <w:left w:w="30" w:type="dxa"/>
          <w:bottom w:w="30" w:type="dxa"/>
          <w:right w:w="30" w:type="dxa"/>
        </w:tblCellMar>
        <w:tblLook w:val="04A0"/>
      </w:tblPr>
      <w:tblGrid>
        <w:gridCol w:w="2861"/>
        <w:gridCol w:w="3661"/>
        <w:gridCol w:w="3668"/>
      </w:tblGrid>
      <w:tr w:rsidR="00BF0941" w:rsidRPr="00D54FFF" w:rsidTr="00BF0941">
        <w:trPr>
          <w:tblCellSpacing w:w="7" w:type="dxa"/>
        </w:trPr>
        <w:tc>
          <w:tcPr>
            <w:tcW w:w="0" w:type="auto"/>
            <w:gridSpan w:val="3"/>
            <w:shd w:val="clear" w:color="auto" w:fill="990000"/>
            <w:vAlign w:val="center"/>
            <w:hideMark/>
          </w:tcPr>
          <w:p w:rsidR="00BF0941" w:rsidRPr="00D54FFF" w:rsidRDefault="00BF0941" w:rsidP="00BF0941">
            <w:pPr>
              <w:spacing w:after="0" w:line="240" w:lineRule="auto"/>
              <w:jc w:val="center"/>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lastRenderedPageBreak/>
              <w:t>Yearly High Lows Prices</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b/>
                <w:bCs/>
                <w:sz w:val="40"/>
                <w:szCs w:val="40"/>
              </w:rPr>
              <w:t>Year</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b/>
                <w:bCs/>
                <w:sz w:val="40"/>
                <w:szCs w:val="40"/>
              </w:rPr>
              <w:t>High</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b/>
                <w:bCs/>
                <w:sz w:val="40"/>
                <w:szCs w:val="40"/>
              </w:rPr>
              <w:t>Low</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1996</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228.00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124.50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1997</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134.00</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33.50</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1998</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82.00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32.00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1999</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41.60</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17.00</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34.70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14.80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2001</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20.25</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7.40</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2002</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21.40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8.60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2003</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41.45</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13.75</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2004</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78.00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27.10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2005</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75.50</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43.10</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2006</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61.60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24.90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2007</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200.00</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32.00</w:t>
            </w:r>
          </w:p>
        </w:tc>
      </w:tr>
      <w:tr w:rsidR="00BF0941" w:rsidRPr="00D54FFF" w:rsidTr="00BF0941">
        <w:trPr>
          <w:tblCellSpacing w:w="7" w:type="dxa"/>
        </w:trPr>
        <w:tc>
          <w:tcPr>
            <w:tcW w:w="0" w:type="auto"/>
            <w:shd w:val="clear" w:color="auto" w:fill="FFFFFF"/>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2008</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195.40</w:t>
            </w:r>
          </w:p>
        </w:tc>
        <w:tc>
          <w:tcPr>
            <w:tcW w:w="0" w:type="auto"/>
            <w:shd w:val="clear" w:color="auto" w:fill="FFFFFF"/>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30.20</w:t>
            </w:r>
          </w:p>
        </w:tc>
      </w:tr>
      <w:tr w:rsidR="00BF0941" w:rsidRPr="00D54FFF" w:rsidTr="00BF0941">
        <w:trPr>
          <w:tblCellSpacing w:w="7" w:type="dxa"/>
        </w:trPr>
        <w:tc>
          <w:tcPr>
            <w:tcW w:w="0" w:type="auto"/>
            <w:shd w:val="clear" w:color="auto" w:fill="EEEEEE"/>
            <w:vAlign w:val="center"/>
            <w:hideMark/>
          </w:tcPr>
          <w:p w:rsidR="00BF0941" w:rsidRPr="00D54FFF" w:rsidRDefault="00BF0941" w:rsidP="00BF0941">
            <w:pPr>
              <w:spacing w:after="0" w:line="240" w:lineRule="auto"/>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2009</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98.00</w:t>
            </w:r>
          </w:p>
        </w:tc>
        <w:tc>
          <w:tcPr>
            <w:tcW w:w="0" w:type="auto"/>
            <w:shd w:val="clear" w:color="auto" w:fill="EEEEEE"/>
            <w:vAlign w:val="center"/>
            <w:hideMark/>
          </w:tcPr>
          <w:p w:rsidR="00BF0941" w:rsidRPr="00D54FFF" w:rsidRDefault="00BF0941" w:rsidP="00BF0941">
            <w:pPr>
              <w:spacing w:after="0" w:line="240" w:lineRule="auto"/>
              <w:jc w:val="right"/>
              <w:rPr>
                <w:rFonts w:ascii="Times New Roman" w:eastAsia="Times New Roman" w:hAnsi="Times New Roman" w:cs="Times New Roman"/>
                <w:sz w:val="40"/>
                <w:szCs w:val="40"/>
              </w:rPr>
            </w:pPr>
            <w:r w:rsidRPr="00D54FFF">
              <w:rPr>
                <w:rFonts w:ascii="Times New Roman" w:eastAsia="Times New Roman" w:hAnsi="Times New Roman" w:cs="Times New Roman"/>
                <w:sz w:val="40"/>
                <w:szCs w:val="40"/>
              </w:rPr>
              <w:t>30.95</w:t>
            </w:r>
          </w:p>
        </w:tc>
      </w:tr>
    </w:tbl>
    <w:p w:rsidR="00BF0941" w:rsidRPr="00D54FFF" w:rsidRDefault="00BF0941" w:rsidP="00C23D51">
      <w:pPr>
        <w:rPr>
          <w:sz w:val="40"/>
          <w:szCs w:val="40"/>
        </w:rPr>
      </w:pPr>
    </w:p>
    <w:p w:rsidR="00BF0941" w:rsidRDefault="00BF0941" w:rsidP="00C23D51"/>
    <w:p w:rsidR="00BF0941" w:rsidRDefault="00BF0941" w:rsidP="00C23D51"/>
    <w:p w:rsidR="00BF0941" w:rsidRDefault="00BF0941" w:rsidP="00C23D51"/>
    <w:p w:rsidR="009A332D" w:rsidRDefault="009A332D" w:rsidP="00C23D51"/>
    <w:p w:rsidR="009A332D" w:rsidRDefault="009A332D" w:rsidP="00C23D51"/>
    <w:p w:rsidR="009A332D" w:rsidRDefault="009A332D" w:rsidP="00C23D51"/>
    <w:p w:rsidR="009A332D" w:rsidRPr="00D54FFF" w:rsidRDefault="009A332D" w:rsidP="00C23D51">
      <w:pPr>
        <w:rPr>
          <w:sz w:val="40"/>
          <w:szCs w:val="40"/>
        </w:rPr>
      </w:pPr>
    </w:p>
    <w:tbl>
      <w:tblPr>
        <w:tblpPr w:leftFromText="180" w:rightFromText="180" w:vertAnchor="text" w:horzAnchor="margin" w:tblpY="107"/>
        <w:tblW w:w="5000" w:type="pct"/>
        <w:tblCellSpacing w:w="7" w:type="dxa"/>
        <w:shd w:val="clear" w:color="auto" w:fill="990000"/>
        <w:tblCellMar>
          <w:top w:w="15" w:type="dxa"/>
          <w:left w:w="15" w:type="dxa"/>
          <w:bottom w:w="15" w:type="dxa"/>
          <w:right w:w="15" w:type="dxa"/>
        </w:tblCellMar>
        <w:tblLook w:val="04A0"/>
      </w:tblPr>
      <w:tblGrid>
        <w:gridCol w:w="10160"/>
      </w:tblGrid>
      <w:tr w:rsidR="005D7677" w:rsidRPr="00D54FFF" w:rsidTr="005D7677">
        <w:trPr>
          <w:tblCellSpacing w:w="7" w:type="dxa"/>
        </w:trPr>
        <w:tc>
          <w:tcPr>
            <w:tcW w:w="0" w:type="auto"/>
            <w:shd w:val="clear" w:color="auto" w:fill="990000"/>
            <w:vAlign w:val="center"/>
            <w:hideMark/>
          </w:tcPr>
          <w:p w:rsidR="005D7677" w:rsidRPr="00D54FFF" w:rsidRDefault="005D7677" w:rsidP="005D7677">
            <w:pPr>
              <w:spacing w:after="0" w:line="240" w:lineRule="auto"/>
              <w:jc w:val="center"/>
              <w:rPr>
                <w:rFonts w:ascii="Times New Roman" w:eastAsia="Times New Roman" w:hAnsi="Times New Roman" w:cs="Times New Roman"/>
                <w:sz w:val="44"/>
                <w:szCs w:val="44"/>
              </w:rPr>
            </w:pPr>
            <w:r w:rsidRPr="00D54FFF">
              <w:rPr>
                <w:rFonts w:ascii="Times New Roman" w:eastAsia="Times New Roman" w:hAnsi="Times New Roman" w:cs="Times New Roman"/>
                <w:color w:val="FFFFFF"/>
                <w:sz w:val="44"/>
                <w:szCs w:val="44"/>
              </w:rPr>
              <w:lastRenderedPageBreak/>
              <w:t xml:space="preserve">Price Chart </w:t>
            </w:r>
          </w:p>
        </w:tc>
      </w:tr>
      <w:tr w:rsidR="005D7677" w:rsidRPr="005D7677" w:rsidTr="005D7677">
        <w:trPr>
          <w:tblCellSpacing w:w="7" w:type="dxa"/>
        </w:trPr>
        <w:tc>
          <w:tcPr>
            <w:tcW w:w="0" w:type="auto"/>
            <w:shd w:val="clear" w:color="auto" w:fill="FFFFFF"/>
            <w:vAlign w:val="center"/>
            <w:hideMark/>
          </w:tcPr>
          <w:p w:rsidR="005D7677" w:rsidRPr="005D7677" w:rsidRDefault="005D7677" w:rsidP="005D7677">
            <w:pPr>
              <w:spacing w:after="0" w:line="240" w:lineRule="auto"/>
              <w:jc w:val="center"/>
              <w:rPr>
                <w:rFonts w:ascii="Times New Roman" w:eastAsia="Times New Roman" w:hAnsi="Times New Roman" w:cs="Times New Roman"/>
                <w:sz w:val="56"/>
                <w:szCs w:val="44"/>
              </w:rPr>
            </w:pPr>
            <w:r w:rsidRPr="005D7677">
              <w:rPr>
                <w:rFonts w:ascii="Times New Roman" w:eastAsia="Times New Roman" w:hAnsi="Times New Roman" w:cs="Times New Roman"/>
                <w:noProof/>
                <w:sz w:val="56"/>
                <w:szCs w:val="44"/>
              </w:rPr>
              <w:drawing>
                <wp:inline distT="0" distB="0" distL="0" distR="0">
                  <wp:extent cx="4819750" cy="4258101"/>
                  <wp:effectExtent l="19050" t="0" r="0" b="0"/>
                  <wp:docPr id="8" name="Picture 15" descr="http://content.icicidirect.com/charts/gifs%5C20577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ontent.icicidirect.com/charts/gifs%5C2057764.gif"/>
                          <pic:cNvPicPr>
                            <a:picLocks noChangeAspect="1" noChangeArrowheads="1"/>
                          </pic:cNvPicPr>
                        </pic:nvPicPr>
                        <pic:blipFill>
                          <a:blip r:embed="rId8"/>
                          <a:srcRect/>
                          <a:stretch>
                            <a:fillRect/>
                          </a:stretch>
                        </pic:blipFill>
                        <pic:spPr bwMode="auto">
                          <a:xfrm>
                            <a:off x="0" y="0"/>
                            <a:ext cx="4817806" cy="4256383"/>
                          </a:xfrm>
                          <a:prstGeom prst="rect">
                            <a:avLst/>
                          </a:prstGeom>
                          <a:noFill/>
                          <a:ln w="9525">
                            <a:noFill/>
                            <a:miter lim="800000"/>
                            <a:headEnd/>
                            <a:tailEnd/>
                          </a:ln>
                        </pic:spPr>
                      </pic:pic>
                    </a:graphicData>
                  </a:graphic>
                </wp:inline>
              </w:drawing>
            </w:r>
          </w:p>
        </w:tc>
      </w:tr>
    </w:tbl>
    <w:p w:rsidR="009A332D" w:rsidRPr="00D54FFF" w:rsidRDefault="009A332D" w:rsidP="006705CB">
      <w:pPr>
        <w:spacing w:after="0" w:line="240" w:lineRule="auto"/>
        <w:rPr>
          <w:rFonts w:ascii="Times New Roman" w:eastAsia="Times New Roman" w:hAnsi="Times New Roman" w:cs="Times New Roman"/>
          <w:color w:val="FFFFFF"/>
          <w:sz w:val="40"/>
          <w:szCs w:val="40"/>
        </w:rPr>
      </w:pPr>
    </w:p>
    <w:p w:rsidR="009A332D" w:rsidRDefault="009A332D" w:rsidP="00BF0941">
      <w:pPr>
        <w:spacing w:after="0" w:line="240" w:lineRule="auto"/>
        <w:jc w:val="center"/>
        <w:rPr>
          <w:rFonts w:ascii="Times New Roman" w:eastAsia="Times New Roman" w:hAnsi="Times New Roman" w:cs="Times New Roman"/>
          <w:color w:val="FFFFFF"/>
          <w:sz w:val="24"/>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9A332D" w:rsidRPr="005D7677" w:rsidRDefault="009A332D" w:rsidP="00BF0941">
      <w:pPr>
        <w:spacing w:after="0" w:line="240" w:lineRule="auto"/>
        <w:jc w:val="center"/>
        <w:rPr>
          <w:rFonts w:ascii="Times New Roman" w:eastAsia="Times New Roman" w:hAnsi="Times New Roman" w:cs="Times New Roman"/>
          <w:color w:val="FFFFFF"/>
          <w:sz w:val="32"/>
          <w:szCs w:val="24"/>
        </w:rPr>
      </w:pPr>
    </w:p>
    <w:p w:rsidR="00BF0941" w:rsidRPr="005D7677" w:rsidRDefault="00BF0941" w:rsidP="009A332D">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color w:val="FFFFFF"/>
          <w:sz w:val="32"/>
          <w:szCs w:val="24"/>
        </w:rPr>
        <w:t xml:space="preserve"> </w:t>
      </w:r>
      <w:r w:rsidRPr="005D7677">
        <w:rPr>
          <w:rFonts w:ascii="Times New Roman" w:eastAsia="Times New Roman" w:hAnsi="Times New Roman" w:cs="Times New Roman"/>
          <w:color w:val="FFFFFF"/>
          <w:sz w:val="32"/>
          <w:szCs w:val="24"/>
          <w:highlight w:val="darkRed"/>
        </w:rPr>
        <w:t xml:space="preserve">                                                              Balance  sheet</w:t>
      </w:r>
      <w:r w:rsidRPr="005D7677">
        <w:rPr>
          <w:rFonts w:ascii="Times New Roman" w:eastAsia="Times New Roman" w:hAnsi="Times New Roman" w:cs="Times New Roman"/>
          <w:color w:val="FFFFFF"/>
          <w:sz w:val="32"/>
          <w:szCs w:val="24"/>
        </w:rPr>
        <w:t xml:space="preserve">                                                                         </w:t>
      </w:r>
      <w:r w:rsidRPr="005D7677">
        <w:rPr>
          <w:rFonts w:ascii="Times New Roman" w:eastAsia="Times New Roman" w:hAnsi="Times New Roman" w:cs="Times New Roman"/>
          <w:color w:val="FFFFFF"/>
          <w:sz w:val="32"/>
          <w:szCs w:val="24"/>
          <w:highlight w:val="darkRed"/>
        </w:rPr>
        <w:t xml:space="preserve">              </w:t>
      </w:r>
      <w:r w:rsidRPr="005D7677">
        <w:rPr>
          <w:rFonts w:ascii="Times New Roman" w:eastAsia="Times New Roman" w:hAnsi="Times New Roman" w:cs="Times New Roman"/>
          <w:color w:val="FFFFFF"/>
          <w:sz w:val="32"/>
          <w:szCs w:val="24"/>
        </w:rPr>
        <w:t xml:space="preserve">         </w:t>
      </w:r>
      <w:r w:rsidRPr="005D7677">
        <w:rPr>
          <w:rFonts w:ascii="Times New Roman" w:eastAsia="Times New Roman" w:hAnsi="Times New Roman" w:cs="Times New Roman"/>
          <w:sz w:val="32"/>
          <w:szCs w:val="24"/>
        </w:rPr>
        <w:t xml:space="preserve"> </w:t>
      </w:r>
    </w:p>
    <w:tbl>
      <w:tblPr>
        <w:tblW w:w="5000" w:type="pct"/>
        <w:tblCellSpacing w:w="7" w:type="dxa"/>
        <w:tblCellMar>
          <w:top w:w="15" w:type="dxa"/>
          <w:left w:w="15" w:type="dxa"/>
          <w:bottom w:w="15" w:type="dxa"/>
          <w:right w:w="15" w:type="dxa"/>
        </w:tblCellMar>
        <w:tblLook w:val="04A0"/>
      </w:tblPr>
      <w:tblGrid>
        <w:gridCol w:w="5975"/>
        <w:gridCol w:w="2020"/>
        <w:gridCol w:w="2020"/>
        <w:gridCol w:w="69"/>
        <w:gridCol w:w="76"/>
      </w:tblGrid>
      <w:tr w:rsidR="00BF0941" w:rsidRPr="005D7677" w:rsidTr="00BF0941">
        <w:trPr>
          <w:tblCellSpacing w:w="7" w:type="dxa"/>
        </w:trPr>
        <w:tc>
          <w:tcPr>
            <w:tcW w:w="0" w:type="auto"/>
            <w:gridSpan w:val="5"/>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Rs. cr</w:t>
            </w:r>
          </w:p>
        </w:tc>
      </w:tr>
      <w:tr w:rsidR="00BF0941" w:rsidRPr="005D7677" w:rsidTr="00BF0941">
        <w:trPr>
          <w:tblCellSpacing w:w="7" w:type="dxa"/>
        </w:trPr>
        <w:tc>
          <w:tcPr>
            <w:tcW w:w="0" w:type="auto"/>
            <w:shd w:val="clear" w:color="auto" w:fill="EEEEEE"/>
            <w:vAlign w:val="center"/>
            <w:hideMark/>
          </w:tcPr>
          <w:p w:rsidR="00BF0941" w:rsidRPr="005D7677" w:rsidRDefault="00BF0941" w:rsidP="00BF0941">
            <w:pPr>
              <w:spacing w:after="0" w:line="240" w:lineRule="auto"/>
              <w:jc w:val="center"/>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Year</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2009/03</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2008/03</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gridSpan w:val="3"/>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Source of Funds</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Equity Capital</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161.35</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134.46</w:t>
            </w: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lastRenderedPageBreak/>
              <w:t>Prefrential Capital</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0.00</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0.00</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Reserves and Surplus</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482.12</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395.08</w:t>
            </w: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Deposits</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15,187.15</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13,849.35</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Borrowings made by the bank</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1.28</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91.75</w:t>
            </w: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Total</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15,831.90</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14,470.64</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gridSpan w:val="3"/>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Application of Funds</w:t>
            </w: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Gross Block</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637.79</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623.67</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Accumulated Deprecation</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113.20</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95.17</w:t>
            </w: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Net Block</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122.47</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119.43</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sz w:val="32"/>
                <w:szCs w:val="24"/>
              </w:rPr>
              <w:t>NetCurrentAssets</w:t>
            </w: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p>
        </w:tc>
        <w:tc>
          <w:tcPr>
            <w:tcW w:w="0" w:type="auto"/>
            <w:shd w:val="clear" w:color="auto" w:fill="EEEEEE"/>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shd w:val="clear" w:color="auto" w:fill="EEEEEE"/>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r w:rsidR="00BF0941" w:rsidRPr="005D7677" w:rsidTr="00BF0941">
        <w:trPr>
          <w:tblCellSpacing w:w="7" w:type="dxa"/>
        </w:trPr>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Total</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15,831.90</w:t>
            </w:r>
          </w:p>
        </w:tc>
        <w:tc>
          <w:tcPr>
            <w:tcW w:w="0" w:type="auto"/>
            <w:vAlign w:val="center"/>
            <w:hideMark/>
          </w:tcPr>
          <w:p w:rsidR="00BF0941" w:rsidRPr="005D7677" w:rsidRDefault="00BF0941" w:rsidP="00BF0941">
            <w:pPr>
              <w:spacing w:after="0" w:line="240" w:lineRule="auto"/>
              <w:jc w:val="right"/>
              <w:rPr>
                <w:rFonts w:ascii="Times New Roman" w:eastAsia="Times New Roman" w:hAnsi="Times New Roman" w:cs="Times New Roman"/>
                <w:sz w:val="32"/>
                <w:szCs w:val="24"/>
              </w:rPr>
            </w:pPr>
            <w:r w:rsidRPr="005D7677">
              <w:rPr>
                <w:rFonts w:ascii="Times New Roman" w:eastAsia="Times New Roman" w:hAnsi="Times New Roman" w:cs="Times New Roman"/>
                <w:b/>
                <w:bCs/>
                <w:sz w:val="32"/>
                <w:szCs w:val="24"/>
              </w:rPr>
              <w:t>14,470.64</w:t>
            </w: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c>
          <w:tcPr>
            <w:tcW w:w="0" w:type="auto"/>
            <w:vAlign w:val="center"/>
            <w:hideMark/>
          </w:tcPr>
          <w:p w:rsidR="00BF0941" w:rsidRPr="005D7677" w:rsidRDefault="00BF0941" w:rsidP="00BF0941">
            <w:pPr>
              <w:spacing w:after="0" w:line="240" w:lineRule="auto"/>
              <w:rPr>
                <w:rFonts w:ascii="Times New Roman" w:eastAsia="Times New Roman" w:hAnsi="Times New Roman" w:cs="Times New Roman"/>
                <w:sz w:val="24"/>
                <w:szCs w:val="20"/>
              </w:rPr>
            </w:pPr>
          </w:p>
        </w:tc>
      </w:tr>
    </w:tbl>
    <w:p w:rsidR="009A332D" w:rsidRDefault="009A332D" w:rsidP="00C23D51"/>
    <w:tbl>
      <w:tblPr>
        <w:tblW w:w="5000" w:type="pct"/>
        <w:tblCellSpacing w:w="7" w:type="dxa"/>
        <w:tblCellMar>
          <w:top w:w="15" w:type="dxa"/>
          <w:left w:w="15" w:type="dxa"/>
          <w:bottom w:w="15" w:type="dxa"/>
          <w:right w:w="15" w:type="dxa"/>
        </w:tblCellMar>
        <w:tblLook w:val="04A0"/>
      </w:tblPr>
      <w:tblGrid>
        <w:gridCol w:w="9953"/>
        <w:gridCol w:w="50"/>
        <w:gridCol w:w="50"/>
        <w:gridCol w:w="50"/>
        <w:gridCol w:w="57"/>
      </w:tblGrid>
      <w:tr w:rsidR="002D21CD" w:rsidRPr="00BF0941" w:rsidTr="00E801F5">
        <w:trPr>
          <w:tblCellSpacing w:w="7" w:type="dxa"/>
        </w:trPr>
        <w:tc>
          <w:tcPr>
            <w:tcW w:w="0" w:type="auto"/>
            <w:vAlign w:val="center"/>
            <w:hideMark/>
          </w:tcPr>
          <w:p w:rsidR="002D21CD" w:rsidRDefault="002D21CD" w:rsidP="00E801F5">
            <w:pPr>
              <w:spacing w:after="0" w:line="240" w:lineRule="auto"/>
              <w:rPr>
                <w:rFonts w:ascii="Times New Roman" w:eastAsia="Times New Roman" w:hAnsi="Times New Roman" w:cs="Times New Roman"/>
                <w:b/>
                <w:bCs/>
                <w:sz w:val="24"/>
                <w:szCs w:val="24"/>
              </w:rPr>
            </w:pPr>
          </w:p>
          <w:p w:rsidR="002D21CD" w:rsidRDefault="002D21CD" w:rsidP="00E801F5">
            <w:pPr>
              <w:spacing w:after="0" w:line="240" w:lineRule="auto"/>
              <w:rPr>
                <w:rFonts w:ascii="Times New Roman" w:eastAsia="Times New Roman" w:hAnsi="Times New Roman" w:cs="Times New Roman"/>
                <w:b/>
                <w:bCs/>
                <w:sz w:val="24"/>
                <w:szCs w:val="24"/>
              </w:rPr>
            </w:pPr>
          </w:p>
          <w:p w:rsidR="002D21CD" w:rsidRDefault="002D21CD"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2D21CD" w:rsidRDefault="002D21CD" w:rsidP="00E801F5">
            <w:pPr>
              <w:spacing w:after="0" w:line="240" w:lineRule="auto"/>
              <w:rPr>
                <w:rFonts w:ascii="Times New Roman" w:eastAsia="Times New Roman" w:hAnsi="Times New Roman" w:cs="Times New Roman"/>
                <w:b/>
                <w:bCs/>
                <w:sz w:val="24"/>
                <w:szCs w:val="24"/>
              </w:rPr>
            </w:pPr>
          </w:p>
          <w:p w:rsidR="005D7677" w:rsidRDefault="005D7677" w:rsidP="00E801F5">
            <w:pPr>
              <w:spacing w:after="0" w:line="240" w:lineRule="auto"/>
              <w:rPr>
                <w:rFonts w:ascii="Times New Roman" w:eastAsia="Times New Roman" w:hAnsi="Times New Roman" w:cs="Times New Roman"/>
                <w:b/>
                <w:bCs/>
                <w:sz w:val="24"/>
                <w:szCs w:val="24"/>
              </w:rPr>
            </w:pPr>
          </w:p>
          <w:p w:rsidR="005D7677" w:rsidRDefault="005D7677"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6705CB" w:rsidRDefault="006705CB" w:rsidP="00E801F5">
            <w:pPr>
              <w:spacing w:after="0" w:line="240" w:lineRule="auto"/>
              <w:rPr>
                <w:rFonts w:ascii="Times New Roman" w:eastAsia="Times New Roman" w:hAnsi="Times New Roman" w:cs="Times New Roman"/>
                <w:b/>
                <w:bCs/>
                <w:sz w:val="24"/>
                <w:szCs w:val="24"/>
              </w:rPr>
            </w:pPr>
          </w:p>
          <w:p w:rsidR="005D7677" w:rsidRDefault="005D7677" w:rsidP="00E801F5">
            <w:pPr>
              <w:spacing w:after="0" w:line="240" w:lineRule="auto"/>
              <w:rPr>
                <w:rFonts w:ascii="Times New Roman" w:eastAsia="Times New Roman" w:hAnsi="Times New Roman" w:cs="Times New Roman"/>
                <w:b/>
                <w:bCs/>
                <w:sz w:val="24"/>
                <w:szCs w:val="24"/>
              </w:rPr>
            </w:pPr>
          </w:p>
          <w:tbl>
            <w:tblPr>
              <w:tblW w:w="5000" w:type="pct"/>
              <w:tblCellSpacing w:w="0" w:type="dxa"/>
              <w:shd w:val="clear" w:color="auto" w:fill="FFFFFF"/>
              <w:tblCellMar>
                <w:left w:w="0" w:type="dxa"/>
                <w:right w:w="0" w:type="dxa"/>
              </w:tblCellMar>
              <w:tblLook w:val="04A0"/>
            </w:tblPr>
            <w:tblGrid>
              <w:gridCol w:w="3664"/>
              <w:gridCol w:w="6238"/>
            </w:tblGrid>
            <w:tr w:rsidR="002D21CD" w:rsidRPr="009A332D" w:rsidTr="00E801F5">
              <w:trPr>
                <w:tblCellSpacing w:w="0" w:type="dxa"/>
              </w:trPr>
              <w:tc>
                <w:tcPr>
                  <w:tcW w:w="1850" w:type="pct"/>
                  <w:shd w:val="clear" w:color="auto" w:fill="FFFFFF"/>
                  <w:hideMark/>
                </w:tcPr>
                <w:p w:rsidR="002D21CD" w:rsidRPr="009A332D" w:rsidRDefault="002D21CD" w:rsidP="00E801F5">
                  <w:pPr>
                    <w:spacing w:after="0"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color w:val="990000"/>
                      <w:sz w:val="24"/>
                      <w:szCs w:val="24"/>
                    </w:rPr>
                    <w:t>Industry news</w:t>
                  </w:r>
                </w:p>
              </w:tc>
              <w:tc>
                <w:tcPr>
                  <w:tcW w:w="3150" w:type="pct"/>
                  <w:shd w:val="clear" w:color="auto" w:fill="FFFFFF"/>
                  <w:hideMark/>
                </w:tcPr>
                <w:p w:rsidR="002D21CD" w:rsidRPr="009A332D" w:rsidRDefault="002D21CD" w:rsidP="00E801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0500" cy="180975"/>
                        <wp:effectExtent l="19050" t="0" r="0" b="0"/>
                        <wp:docPr id="6" name="Picture 17" descr="http://content.icicidirect.com/images/white-c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ontent.icicidirect.com/images/white-cut.gif"/>
                                <pic:cNvPicPr>
                                  <a:picLocks noChangeAspect="1" noChangeArrowheads="1"/>
                                </pic:cNvPicPr>
                              </pic:nvPicPr>
                              <pic:blipFill>
                                <a:blip r:embed="rId7"/>
                                <a:srcRect/>
                                <a:stretch>
                                  <a:fillRect/>
                                </a:stretch>
                              </pic:blipFill>
                              <pic:spPr bwMode="auto">
                                <a:xfrm>
                                  <a:off x="0" y="0"/>
                                  <a:ext cx="190500" cy="180975"/>
                                </a:xfrm>
                                <a:prstGeom prst="rect">
                                  <a:avLst/>
                                </a:prstGeom>
                                <a:noFill/>
                                <a:ln w="9525">
                                  <a:noFill/>
                                  <a:miter lim="800000"/>
                                  <a:headEnd/>
                                  <a:tailEnd/>
                                </a:ln>
                              </pic:spPr>
                            </pic:pic>
                          </a:graphicData>
                        </a:graphic>
                      </wp:inline>
                    </w:drawing>
                  </w:r>
                </w:p>
              </w:tc>
            </w:tr>
          </w:tbl>
          <w:p w:rsidR="002D21CD" w:rsidRPr="009A332D" w:rsidRDefault="002D21CD" w:rsidP="00E801F5">
            <w:pPr>
              <w:spacing w:after="0" w:line="240" w:lineRule="auto"/>
              <w:rPr>
                <w:rFonts w:ascii="Times New Roman" w:eastAsia="Times New Roman" w:hAnsi="Times New Roman" w:cs="Times New Roman"/>
                <w:vanish/>
                <w:sz w:val="24"/>
                <w:szCs w:val="24"/>
              </w:rPr>
            </w:pPr>
          </w:p>
          <w:tbl>
            <w:tblPr>
              <w:tblW w:w="5000" w:type="pct"/>
              <w:tblCellSpacing w:w="0" w:type="dxa"/>
              <w:tblCellMar>
                <w:top w:w="75" w:type="dxa"/>
                <w:left w:w="75" w:type="dxa"/>
                <w:bottom w:w="75" w:type="dxa"/>
                <w:right w:w="75" w:type="dxa"/>
              </w:tblCellMar>
              <w:tblLook w:val="04A0"/>
            </w:tblPr>
            <w:tblGrid>
              <w:gridCol w:w="6337"/>
              <w:gridCol w:w="3565"/>
            </w:tblGrid>
            <w:tr w:rsidR="002D21CD" w:rsidRPr="009A332D" w:rsidTr="00E801F5">
              <w:trPr>
                <w:tblCellSpacing w:w="0" w:type="dxa"/>
              </w:trPr>
              <w:tc>
                <w:tcPr>
                  <w:tcW w:w="3200" w:type="pct"/>
                  <w:hideMark/>
                </w:tcPr>
                <w:p w:rsidR="002D21CD" w:rsidRPr="009A332D" w:rsidRDefault="002D21CD" w:rsidP="00E801F5">
                  <w:pPr>
                    <w:spacing w:after="0" w:line="240" w:lineRule="auto"/>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FFFFFF" w:themeColor="background1"/>
                      <w:sz w:val="24"/>
                      <w:szCs w:val="24"/>
                      <w:highlight w:val="darkRed"/>
                    </w:rPr>
                    <w:t xml:space="preserve">                                                  </w:t>
                  </w:r>
                  <w:r w:rsidRPr="009A332D">
                    <w:rPr>
                      <w:rFonts w:ascii="Times New Roman" w:eastAsia="Times New Roman" w:hAnsi="Times New Roman" w:cs="Times New Roman"/>
                      <w:color w:val="FFFFFF" w:themeColor="background1"/>
                      <w:sz w:val="24"/>
                      <w:szCs w:val="24"/>
                      <w:highlight w:val="darkRed"/>
                    </w:rPr>
                    <w:t>Industry Overview</w:t>
                  </w:r>
                </w:p>
              </w:tc>
              <w:tc>
                <w:tcPr>
                  <w:tcW w:w="1800" w:type="pct"/>
                  <w:hideMark/>
                </w:tcPr>
                <w:p w:rsidR="002D21CD" w:rsidRPr="009A332D" w:rsidRDefault="002D21CD" w:rsidP="00E801F5">
                  <w:pPr>
                    <w:spacing w:after="0" w:line="240" w:lineRule="auto"/>
                    <w:jc w:val="right"/>
                    <w:rPr>
                      <w:rFonts w:ascii="Times New Roman" w:eastAsia="Times New Roman" w:hAnsi="Times New Roman" w:cs="Times New Roman"/>
                      <w:color w:val="FFFFFF" w:themeColor="background1"/>
                      <w:sz w:val="24"/>
                      <w:szCs w:val="24"/>
                    </w:rPr>
                  </w:pPr>
                  <w:r w:rsidRPr="009A332D">
                    <w:rPr>
                      <w:rFonts w:ascii="Times New Roman" w:eastAsia="Times New Roman" w:hAnsi="Times New Roman" w:cs="Times New Roman"/>
                      <w:color w:val="FFFFFF" w:themeColor="background1"/>
                      <w:sz w:val="24"/>
                      <w:szCs w:val="24"/>
                      <w:highlight w:val="darkRed"/>
                    </w:rPr>
                    <w:t>5/26/2010</w:t>
                  </w:r>
                </w:p>
              </w:tc>
            </w:tr>
            <w:tr w:rsidR="002D21CD" w:rsidRPr="009A332D" w:rsidTr="00E801F5">
              <w:trPr>
                <w:tblCellSpacing w:w="0" w:type="dxa"/>
              </w:trPr>
              <w:tc>
                <w:tcPr>
                  <w:tcW w:w="0" w:type="auto"/>
                  <w:gridSpan w:val="2"/>
                  <w:vAlign w:val="center"/>
                  <w:hideMark/>
                </w:tcPr>
                <w:p w:rsidR="002D21CD" w:rsidRPr="009A332D" w:rsidRDefault="002D21CD" w:rsidP="00E801F5">
                  <w:pPr>
                    <w:spacing w:after="0" w:line="240" w:lineRule="auto"/>
                    <w:jc w:val="right"/>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w:t>
                  </w:r>
                </w:p>
              </w:tc>
            </w:tr>
            <w:tr w:rsidR="002D21CD" w:rsidRPr="009A332D" w:rsidTr="00E801F5">
              <w:trPr>
                <w:tblCellSpacing w:w="0" w:type="dxa"/>
              </w:trPr>
              <w:tc>
                <w:tcPr>
                  <w:tcW w:w="0" w:type="auto"/>
                  <w:gridSpan w:val="2"/>
                  <w:vAlign w:val="center"/>
                  <w:hideMark/>
                </w:tcPr>
                <w:p w:rsidR="002D21CD" w:rsidRPr="009A332D" w:rsidRDefault="002D21CD" w:rsidP="00E801F5">
                  <w:pPr>
                    <w:spacing w:after="0" w:line="240" w:lineRule="auto"/>
                    <w:rPr>
                      <w:rFonts w:ascii="Times New Roman" w:eastAsia="Times New Roman" w:hAnsi="Times New Roman" w:cs="Times New Roman"/>
                      <w:b/>
                      <w:sz w:val="28"/>
                      <w:szCs w:val="28"/>
                      <w:u w:val="single"/>
                    </w:rPr>
                  </w:pPr>
                  <w:r w:rsidRPr="009A332D">
                    <w:rPr>
                      <w:rFonts w:ascii="Times New Roman" w:eastAsia="Times New Roman" w:hAnsi="Times New Roman" w:cs="Times New Roman"/>
                      <w:b/>
                      <w:sz w:val="28"/>
                      <w:szCs w:val="28"/>
                      <w:u w:val="single"/>
                    </w:rPr>
                    <w:t xml:space="preserve">GLOBAL ECONOMIC OVERVIEW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global recovery is proceeding better than expected but at varying speeds - solidly in most emerging and developing economies and tepidly in many advanced economies. Among emerging and developing economies, Asia is leading the recovery, </w:t>
                  </w:r>
                  <w:r w:rsidRPr="009A332D">
                    <w:rPr>
                      <w:rFonts w:ascii="Times New Roman" w:eastAsia="Times New Roman" w:hAnsi="Times New Roman" w:cs="Times New Roman"/>
                      <w:sz w:val="28"/>
                      <w:szCs w:val="28"/>
                    </w:rPr>
                    <w:lastRenderedPageBreak/>
                    <w:t xml:space="preserve">while many emerging European economies are lagging behind. Among the advanced economies, United States is off to a better start than Europe and Japan. This multispeed recovery is expected to continue. (source: IMF, World Economic Outlook, April 2010). The International Monetary Fund (the "IMF") World Economic Outlook revised its outlook for World GDP growth in April 2010 from its earlier report published in January 2010 2009. The IMF now predicts a 4.25% increase in world output in 2010 which represents an upward revision of 25 basis points from its January 2010 estimate and 100 basis points upward revision from its October 2009 estimate.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This recovery of the global economy has been led by stimuli provided by governments around the world. Monetary policy has been highly expansionary, with interest rates at record lows in most advanced and in many emerging economies, while central bank balance sheets expanded to unprecedented levels in key advanced economies. Fiscal policy has also provided major stimulus in response to the downturn.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These measures have helped the economic recovery with major equity indices such as the Dow Jones Industrial Average, the S&amp;P 500, the NASDAQ composite, the FTSE, the Dow Jones Euro Stoxx 50, the Nikkei and the Hang Seng having risen by up to 52% between January 2009 and December 2009 (source: Bloomberg) indicating that markets are starting to see some signs of stability. The Chicago Board Options Exchange SPX Volatility Index (a measure of volatility) which reached a peak of 80.86 in November 2008 in the wake of the collapse of Lehman Brothers averaged only 31.49 from January 2009 to December 2009 (source: Bloomberg).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Output in the advanced economies is now expected to expand by 2.3% in 2010, following a sharp decline in output in 2009. However, recovery in advanced economies is still expected to be weak by historical standards, with real output remaining below its pre-crisis level until late 2011. On the other hand, growth in emerging and developing economies is expected to rise to about 6.3% in 2010, following a modest 2.4% growth in 2009. Stronger economic frameworks and swift policy responses have helped many emerging economies to cushion the impact of the unprecedented external shock and quickly re-attract capital flows (source: IMF, World Economic Outlook, April 2010).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u w:val="single"/>
                    </w:rPr>
                  </w:pPr>
                  <w:r w:rsidRPr="009A332D">
                    <w:rPr>
                      <w:rFonts w:ascii="Times New Roman" w:eastAsia="Times New Roman" w:hAnsi="Times New Roman" w:cs="Times New Roman"/>
                      <w:sz w:val="28"/>
                      <w:szCs w:val="28"/>
                      <w:u w:val="single"/>
                    </w:rPr>
                    <w:t xml:space="preserve">Exchange rates and inflation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value of the US Dollar relative to a broad group of currencies rose during 2008 and the first part of 2009 as the United States currency strengthened against those of its trading partners. A strengthened US Dollar in large measure was the result of a flight to cash in exchange for a perceived "safe haven" currency. In the first half of </w:t>
                  </w:r>
                  <w:r w:rsidRPr="009A332D">
                    <w:rPr>
                      <w:rFonts w:ascii="Times New Roman" w:eastAsia="Times New Roman" w:hAnsi="Times New Roman" w:cs="Times New Roman"/>
                      <w:sz w:val="28"/>
                      <w:szCs w:val="28"/>
                    </w:rPr>
                    <w:lastRenderedPageBreak/>
                    <w:t xml:space="preserve">2008 the Euro rose 7% against the US Dollar and then fell 14% from July to December. The Euro had previously gained 30% against the US Dollar between January 2006 and its peak in July 2008. The British Pound, the Canadian US Dollar and the Korean won all displayed similar trends, falling sharply against the dollar in the second half of 2008, after a long period of appreciation (source: WTO, World Trade Report 2009).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However, 2009 has seen the global currencies recover against the US Dollar after witnessing this period of volatility as exchange flows are directed towards emerging and other economies with higher return opportunities. By the end of 2009 major currencies like the Euro, British Pound and Japanese Yen have recovered between 2.7-12.9% from the lows of November 2008. (source: Bloomberg).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Capacity utilization levels remain low and well-anchored inflation expectations are expected to contain inflationary pressures. In advanced economies, headline inflation is expected to pick up from 0.1% in 2009 to 1.5% in 2010, as rebounding energy prices more than offset slowing labour costs. In emerging and developing economies, inflation is expected to rise to 6.2% in 2010, as some of these economies may face growing upward pressures due to more limited economic slack and increased capital flows (source: IMF, World Economic Outlook, April 2010).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u w:val="single"/>
                    </w:rPr>
                  </w:pPr>
                  <w:r w:rsidRPr="009A332D">
                    <w:rPr>
                      <w:rFonts w:ascii="Times New Roman" w:eastAsia="Times New Roman" w:hAnsi="Times New Roman" w:cs="Times New Roman"/>
                      <w:sz w:val="28"/>
                      <w:szCs w:val="28"/>
                      <w:u w:val="single"/>
                    </w:rPr>
                    <w:t xml:space="preserve">World Trade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World trade flows sagged and production slumped, first in developed economies and then in developing countries due to signs of sharp deterioration in the global economy in the second half of 2008 and the first few months of 2009 (source: WTO, World Trade Report 2009). However, global trade bounced back in the second half of 2009. Confidence rebounded strongly on both the financial and real fronts, as extraordinary policy support forestalled another Great Depression. In advanced economies, the beginning of a turn in the inventory cycle and the unexpected strength in US consumption contributed to positive developments. Final domestic demand was very strong in key emerging and developing economies. Despite recovery in the second half of 2009, world trade volume is expected to have contracted by 10.7% in 2009 (source: IMF, World Economic Outlook, April 2010).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However, world trade is expected to rebound in 2010 and 2011 in line with global economic recovery. World trade volume is expected to grow by 7.0% and 6.1% in 2010 and 2011 respectively. Both emerging and advanced economies are expected to show positive growth in trade with imports in emerging economies rising by 9.7% and in advanced economies by 5.4% in 2010. In 2010, exports for emerging economies </w:t>
                  </w:r>
                  <w:r w:rsidRPr="009A332D">
                    <w:rPr>
                      <w:rFonts w:ascii="Times New Roman" w:eastAsia="Times New Roman" w:hAnsi="Times New Roman" w:cs="Times New Roman"/>
                      <w:sz w:val="28"/>
                      <w:szCs w:val="28"/>
                    </w:rPr>
                    <w:lastRenderedPageBreak/>
                    <w:t xml:space="preserve">and advanced economies are expected to rise by 8.3% and 6.6% respectively (source: IMF, World Economic Outlook, April 2010). </w:t>
                  </w:r>
                </w:p>
                <w:p w:rsidR="002D21CD" w:rsidRPr="009A332D" w:rsidRDefault="002D21CD" w:rsidP="00E801F5">
                  <w:pPr>
                    <w:spacing w:before="100" w:beforeAutospacing="1" w:after="100" w:afterAutospacing="1" w:line="240" w:lineRule="auto"/>
                    <w:rPr>
                      <w:rFonts w:ascii="Times New Roman" w:eastAsia="Times New Roman" w:hAnsi="Times New Roman" w:cs="Times New Roman"/>
                      <w:sz w:val="28"/>
                      <w:szCs w:val="28"/>
                      <w:u w:val="single"/>
                    </w:rPr>
                  </w:pPr>
                  <w:r w:rsidRPr="009A332D">
                    <w:rPr>
                      <w:rFonts w:ascii="Times New Roman" w:eastAsia="Times New Roman" w:hAnsi="Times New Roman" w:cs="Times New Roman"/>
                      <w:sz w:val="28"/>
                      <w:szCs w:val="28"/>
                      <w:u w:val="single"/>
                    </w:rPr>
                    <w:t xml:space="preserve">Asia </w:t>
                  </w:r>
                </w:p>
                <w:p w:rsidR="002D21CD" w:rsidRPr="002D21CD" w:rsidRDefault="002D21CD" w:rsidP="00E801F5">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Asia is estimated to have grown by 2.8% in 2009 on the back of strong growth by emerging Asian economies. Industrial economies are estimated to have contracted by 4.4% overall with Japan contracting by 5.4% in 2009. Asia is rebounding fast from the depths of the global crisis as the world pulls out of recession. As international trade and finance normalizes, it is expected to generate an outsized Asian upturn. Asia's recovery has been aided by a thawing of international capital markets, which has restored firms' access to critical long-term equity and debt financing. Additionally, Asia's relatively strong initial conditions have given it the space to cut interest rates sharply and adopt large fiscal stimulus packages. As a result, overall domestic demand has held up remarkably well. In line with global recovery, Asia is expected to grow by 5.8% in 2010 led by China and India and with all major Asian economies showing positive GDP growth. (source: IMF, Regional Economic Outlook (Asia), October 2009). </w:t>
                  </w:r>
                </w:p>
                <w:p w:rsidR="002D21CD" w:rsidRPr="002D21CD" w:rsidRDefault="002D21CD" w:rsidP="00E801F5">
                  <w:pPr>
                    <w:pStyle w:val="NormalWeb"/>
                    <w:rPr>
                      <w:b/>
                      <w:color w:val="FFFFFF" w:themeColor="background1"/>
                      <w:sz w:val="28"/>
                      <w:szCs w:val="28"/>
                      <w:u w:val="single"/>
                    </w:rPr>
                  </w:pPr>
                  <w:r w:rsidRPr="002D21CD">
                    <w:rPr>
                      <w:b/>
                      <w:color w:val="FFFFFF" w:themeColor="background1"/>
                      <w:sz w:val="28"/>
                      <w:szCs w:val="28"/>
                      <w:highlight w:val="darkRed"/>
                      <w:u w:val="single"/>
                    </w:rPr>
                    <w:t>India</w:t>
                  </w:r>
                  <w:r w:rsidRPr="002D21CD">
                    <w:rPr>
                      <w:b/>
                      <w:color w:val="FFFFFF" w:themeColor="background1"/>
                      <w:sz w:val="28"/>
                      <w:szCs w:val="28"/>
                      <w:u w:val="single"/>
                    </w:rPr>
                    <w:t xml:space="preserve"> </w:t>
                  </w:r>
                </w:p>
                <w:p w:rsidR="002D21CD" w:rsidRPr="002D21CD" w:rsidRDefault="002D21CD" w:rsidP="00E801F5">
                  <w:pPr>
                    <w:pStyle w:val="NormalWeb"/>
                    <w:rPr>
                      <w:sz w:val="28"/>
                      <w:szCs w:val="28"/>
                    </w:rPr>
                  </w:pPr>
                  <w:r w:rsidRPr="002D21CD">
                    <w:rPr>
                      <w:sz w:val="28"/>
                      <w:szCs w:val="28"/>
                    </w:rPr>
                    <w:t xml:space="preserve">The Indian economy has enjoyed a strong annual growth rate of above 9% in the period from 2005 to 2007, in comparison to the previous trend of around 6% during 1995-2004 (source: IMF, World Economic Outlook, April 2009). India is in a relatively comfortable position compared with other Asian economies due to its relatively closed economy. Thus, the immediate result of lower export- demand was not felt in India in the same way as in some of the more export-driven South East Asian economies. India's GDP grew by 7.3% and 5.7% in 2008 and 2009 respectively (source: IMF, World Economic Outlook, April 2010). Growth in industrial production, investment and exports has rebounded on the back of government stimulus measures, pent-up domestic demand and low interest rates (source: EIU). India is expected to grow at 8.8% and 8.4% in 2010 and 2011 respectively (source: IMF, World Economic Outlook, April 2010). </w:t>
                  </w:r>
                </w:p>
                <w:p w:rsidR="002D21CD" w:rsidRPr="002D21CD" w:rsidRDefault="002D21CD" w:rsidP="00E801F5">
                  <w:pPr>
                    <w:pStyle w:val="NormalWeb"/>
                    <w:rPr>
                      <w:sz w:val="28"/>
                      <w:szCs w:val="28"/>
                    </w:rPr>
                  </w:pPr>
                  <w:r w:rsidRPr="002D21CD">
                    <w:rPr>
                      <w:sz w:val="28"/>
                      <w:szCs w:val="28"/>
                    </w:rPr>
                    <w:t xml:space="preserve">The relatively limited impact of the global financial crisis on the Indian economy coupled with the fact that many domestic macroeconomic indicators are looking healthier and the recent surge in inflation suggest that interest rates could move upward. In October 2009 the Reserve Bank of India (RBI, the central bank of India) had to raise its inflation target for March 2010 to 6.5%, from the 5% target set previously. The current rate of inflation for primary articles stands at 14.2% for the </w:t>
                  </w:r>
                  <w:r w:rsidRPr="002D21CD">
                    <w:rPr>
                      <w:sz w:val="28"/>
                      <w:szCs w:val="28"/>
                    </w:rPr>
                    <w:lastRenderedPageBreak/>
                    <w:t xml:space="preserve">week ended 3 March 2010 (source: RBI). Amid this surge in inflation, the RBI has been under pressure to tighten monetary policy. The repurchase (repo) rate is forecast to be raised to 6% by the end of 2010 and to 6.75% by the end of 2011, but the increasing upside inflationary risks means that there is a possibility of greater or faster monetary tightening (source: EIU). </w:t>
                  </w:r>
                </w:p>
                <w:p w:rsidR="002D21CD" w:rsidRDefault="002D21CD" w:rsidP="00E801F5">
                  <w:pPr>
                    <w:pStyle w:val="NormalWeb"/>
                  </w:pPr>
                  <w:r w:rsidRPr="002D21CD">
                    <w:rPr>
                      <w:sz w:val="28"/>
                      <w:szCs w:val="28"/>
                    </w:rPr>
                    <w:t>In its April 2010 review of monetary policy, RBI maintained its focus on inflationary concerns. It further increased the repo and reverse repo rates by 25 basis points with immediate effect to take repo and reverse repo rates to 5.25% and 3.75% respectively. It also increased the cash reserve ratio (CRR) of scheduled banks by 25 basis points from 5.75% to 6.0% effective the fortnight beginning April 24, 2010.</w:t>
                  </w:r>
                  <w:r>
                    <w:t xml:space="preserve"> </w:t>
                  </w: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2D21CD" w:rsidRDefault="002D21CD" w:rsidP="00E801F5">
                  <w:pPr>
                    <w:pStyle w:val="NormalWeb"/>
                  </w:pPr>
                </w:p>
                <w:p w:rsidR="006705CB" w:rsidRDefault="006705CB" w:rsidP="00E801F5">
                  <w:pPr>
                    <w:pStyle w:val="NormalWeb"/>
                    <w:rPr>
                      <w:color w:val="FFFFFF" w:themeColor="background1"/>
                    </w:rPr>
                  </w:pPr>
                </w:p>
                <w:p w:rsidR="006705CB" w:rsidRDefault="006705CB" w:rsidP="00E801F5">
                  <w:pPr>
                    <w:pStyle w:val="NormalWeb"/>
                    <w:rPr>
                      <w:color w:val="FFFFFF" w:themeColor="background1"/>
                    </w:rPr>
                  </w:pPr>
                </w:p>
                <w:p w:rsidR="006705CB" w:rsidRPr="002D21CD" w:rsidRDefault="006705CB" w:rsidP="00E801F5">
                  <w:pPr>
                    <w:pStyle w:val="NormalWeb"/>
                    <w:rPr>
                      <w:color w:val="FFFFFF" w:themeColor="background1"/>
                    </w:rPr>
                  </w:pPr>
                </w:p>
                <w:p w:rsidR="002D21CD" w:rsidRPr="002D21CD" w:rsidRDefault="002D21CD" w:rsidP="00E801F5">
                  <w:pPr>
                    <w:pStyle w:val="NormalWeb"/>
                    <w:rPr>
                      <w:b/>
                      <w:color w:val="FFFFFF" w:themeColor="background1"/>
                      <w:sz w:val="32"/>
                      <w:szCs w:val="32"/>
                    </w:rPr>
                  </w:pPr>
                  <w:r w:rsidRPr="002D21CD">
                    <w:rPr>
                      <w:b/>
                      <w:color w:val="FFFFFF" w:themeColor="background1"/>
                      <w:sz w:val="32"/>
                      <w:szCs w:val="32"/>
                      <w:highlight w:val="darkRed"/>
                    </w:rPr>
                    <w:t>Overview of Merger</w:t>
                  </w:r>
                </w:p>
                <w:p w:rsidR="002D21CD" w:rsidRDefault="002D21CD" w:rsidP="00E801F5">
                  <w:pPr>
                    <w:pStyle w:val="NormalWeb"/>
                  </w:pPr>
                  <w:r>
                    <w:t xml:space="preserve">MUMBAI: </w:t>
                  </w:r>
                  <w:r>
                    <w:rPr>
                      <w:sz w:val="30"/>
                      <w:szCs w:val="30"/>
                    </w:rPr>
                    <w:t>Bank of Rajasthan, one of the oldest private sector banks in the country, on Tuesday announced that it would merge with the largest private sector bank</w:t>
                  </w:r>
                  <w:r>
                    <w:t xml:space="preserve">, </w:t>
                  </w:r>
                  <w:r>
                    <w:rPr>
                      <w:rStyle w:val="Strong"/>
                      <w:sz w:val="34"/>
                      <w:szCs w:val="34"/>
                    </w:rPr>
                    <w:t>ICICI Bank.</w:t>
                  </w:r>
                </w:p>
                <w:p w:rsidR="002D21CD" w:rsidRDefault="002D21CD" w:rsidP="00E801F5">
                  <w:pPr>
                    <w:pStyle w:val="NormalWeb"/>
                  </w:pPr>
                  <w:r>
                    <w:rPr>
                      <w:vanish/>
                    </w:rPr>
                    <w:t>     </w:t>
                  </w:r>
                  <w:r>
                    <w:rPr>
                      <w:rStyle w:val="Strong"/>
                      <w:vanish/>
                    </w:rPr>
                    <w:t>    </w:t>
                  </w:r>
                  <w:r>
                    <w:rPr>
                      <w:rStyle w:val="Strong"/>
                    </w:rPr>
                    <w:t xml:space="preserve">The board of ICICI Bank, which met later in the day, also agreed to give in-principle approval </w:t>
                  </w:r>
                  <w:r>
                    <w:rPr>
                      <w:rStyle w:val="Strong"/>
                    </w:rPr>
                    <w:lastRenderedPageBreak/>
                    <w:t>for merger of Bank of Rajasthan with it “subject to due diligence and valuation by an independent valuer jointly appointed by both banks.”</w:t>
                  </w:r>
                  <w:r>
                    <w:rPr>
                      <w:rStyle w:val="Strong"/>
                      <w:vanish/>
                    </w:rPr>
                    <w:t>     </w:t>
                  </w:r>
                </w:p>
                <w:p w:rsidR="002D21CD" w:rsidRDefault="002D21CD" w:rsidP="00E801F5">
                  <w:pPr>
                    <w:pStyle w:val="NormalWeb"/>
                  </w:pPr>
                  <w:r>
                    <w:rPr>
                      <w:rStyle w:val="Strong"/>
                    </w:rPr>
                    <w:t>“The board will consider the due diligence report and the valuation report at a subsequent meeting. The proposal if approved by the boards of ICICI Bank and Bank of Rajasthan would then be placed before the shareholders of both banks for approval and would be submitted to the Reserve Bank of India (RBI) for its consideration,” ICICI Bank stated after its board meeting here.</w:t>
                  </w:r>
                </w:p>
                <w:p w:rsidR="002D21CD" w:rsidRDefault="002D21CD" w:rsidP="00E801F5">
                  <w:pPr>
                    <w:pStyle w:val="NormalWeb"/>
                  </w:pPr>
                  <w:r>
                    <w:rPr>
                      <w:rStyle w:val="Strong"/>
                    </w:rPr>
                    <w:t>Bank of Rajasthan is a listed bank with its corporate office in Mumbai and registered office at Udaipur in Rajasthan. As on March 31, 2009, Bank of Rajasthan had 463 branches and 111 ATMs, total assets of Rs.17,224 crore, deposits of Rs.15,187 crore and advances of Rs.7,781 crore. It made a net profit of Rs.118 crore in the year ended March 31, 2009, and a net loss of Rs.10 crore in the nine months ended December 31, 2009.</w:t>
                  </w:r>
                </w:p>
                <w:p w:rsidR="002D21CD" w:rsidRPr="002D21CD" w:rsidRDefault="002D21CD" w:rsidP="00E801F5">
                  <w:pPr>
                    <w:pStyle w:val="NormalWeb"/>
                    <w:rPr>
                      <w:sz w:val="32"/>
                      <w:szCs w:val="32"/>
                    </w:rPr>
                  </w:pPr>
                  <w:r w:rsidRPr="002D21CD">
                    <w:rPr>
                      <w:rStyle w:val="Strong"/>
                      <w:sz w:val="32"/>
                      <w:szCs w:val="32"/>
                    </w:rPr>
                    <w:t xml:space="preserve">ICICI Bank further stated that it has entered into an agreement with certain shareholders of Bank of Rajasthan agreeing to effect the amalgamation of Bank of Rajasthan with ICICI Bank with a share exchange </w:t>
                  </w:r>
                  <w:r w:rsidRPr="002D21CD">
                    <w:rPr>
                      <w:rStyle w:val="Strong"/>
                      <w:color w:val="FF0000"/>
                      <w:sz w:val="32"/>
                      <w:szCs w:val="32"/>
                    </w:rPr>
                    <w:t>ratio of 25 shares of ICICI Bank for 118 shares of Bank of Rajasthan.</w:t>
                  </w:r>
                </w:p>
                <w:p w:rsidR="002D21CD" w:rsidRDefault="002D21CD" w:rsidP="00E801F5">
                  <w:pPr>
                    <w:pStyle w:val="NormalWeb"/>
                  </w:pPr>
                  <w:r>
                    <w:rPr>
                      <w:rStyle w:val="Strong"/>
                      <w:vanish/>
                    </w:rPr>
                    <w:t> </w:t>
                  </w:r>
                  <w:r>
                    <w:rPr>
                      <w:rStyle w:val="Strong"/>
                    </w:rPr>
                    <w:t>Strategic value</w:t>
                  </w:r>
                  <w:r>
                    <w:rPr>
                      <w:vanish/>
                    </w:rPr>
                    <w:t> </w:t>
                  </w:r>
                </w:p>
                <w:p w:rsidR="002D21CD" w:rsidRDefault="002D21CD" w:rsidP="00E801F5">
                  <w:pPr>
                    <w:pStyle w:val="NormalWeb"/>
                  </w:pPr>
                  <w:r>
                    <w:rPr>
                      <w:rStyle w:val="Strong"/>
                    </w:rPr>
                    <w:t>“This is based on an internal analysis of the strategic value of the proposed amalgamation, average market capitalisation per branch of old private sector banks and relevant precedent transactions. The proposed amalgamation would substantially enhance ICICI Bank's branch network, already the largest among Indian private sector banks, and especially strengthen its presence in northern and western India.”</w:t>
                  </w:r>
                </w:p>
                <w:p w:rsidR="002D21CD" w:rsidRDefault="002D21CD" w:rsidP="00E801F5">
                  <w:pPr>
                    <w:pStyle w:val="NormalWeb"/>
                  </w:pPr>
                  <w:r>
                    <w:rPr>
                      <w:rStyle w:val="Strong"/>
                    </w:rPr>
                    <w:t>“It would combine Bank of Rajasthan's branch franchise with ICICI Bank's strong capital base. The valuation implied by the share exchange ratio as mentioned is in line with the market capitalisation per branch of old private sector banks in India. It also compares favourably with relevant precedent transactions. The final determination of the share exchange ratio is subject to due diligence, independent valuation and approvals,” ICICI Bank added.</w:t>
                  </w:r>
                </w:p>
                <w:p w:rsidR="002D21CD" w:rsidRDefault="002D21CD" w:rsidP="00E801F5">
                  <w:pPr>
                    <w:pStyle w:val="NormalWeb"/>
                  </w:pPr>
                  <w:r>
                    <w:rPr>
                      <w:rStyle w:val="Strong"/>
                    </w:rPr>
                    <w:t>Bank of Rajasthan has informed stock exchanges that “the board met on Tuesday, where in-principle approval by majority was given for an amalgamation of the bank (transferor bank) with ICICI Bank (transferee bank) subject to receipt of valuation report from an independent valuer and other required approvals/permissions.”</w:t>
                  </w:r>
                </w:p>
                <w:p w:rsidR="002D21CD" w:rsidRDefault="002D21CD" w:rsidP="00E801F5">
                  <w:pPr>
                    <w:pStyle w:val="NormalWeb"/>
                    <w:rPr>
                      <w:rStyle w:val="Strong"/>
                    </w:rPr>
                  </w:pPr>
                  <w:r>
                    <w:rPr>
                      <w:rStyle w:val="Strong"/>
                      <w:vanish/>
                    </w:rPr>
                    <w:t>  </w:t>
                  </w:r>
                  <w:r>
                    <w:rPr>
                      <w:rStyle w:val="Strong"/>
                    </w:rPr>
                    <w:t>“The board of directors will meet again on May 23 in this matter,” it added.</w:t>
                  </w:r>
                </w:p>
                <w:p w:rsidR="002D21CD" w:rsidRDefault="002D21CD" w:rsidP="00E801F5">
                  <w:pPr>
                    <w:pStyle w:val="NormalWeb"/>
                    <w:rPr>
                      <w:rStyle w:val="Strong"/>
                    </w:rPr>
                  </w:pPr>
                </w:p>
                <w:p w:rsidR="002D21CD" w:rsidRDefault="002D21CD" w:rsidP="00E801F5">
                  <w:pPr>
                    <w:pStyle w:val="NormalWeb"/>
                  </w:pPr>
                  <w:r>
                    <w:rPr>
                      <w:rStyle w:val="Strong"/>
                    </w:rPr>
                    <w:lastRenderedPageBreak/>
                    <w:t>Source :</w:t>
                  </w:r>
                  <w:r>
                    <w:t xml:space="preserve"> THE HINDU , 19.05.2010</w:t>
                  </w:r>
                </w:p>
                <w:p w:rsidR="002D21CD" w:rsidRDefault="002D21CD" w:rsidP="00E801F5">
                  <w:pPr>
                    <w:pStyle w:val="NormalWeb"/>
                  </w:pPr>
                </w:p>
                <w:p w:rsidR="009A332D" w:rsidRPr="009A332D" w:rsidRDefault="009A332D" w:rsidP="00E801F5">
                  <w:pPr>
                    <w:spacing w:before="100" w:beforeAutospacing="1" w:after="100" w:afterAutospacing="1" w:line="240" w:lineRule="auto"/>
                    <w:rPr>
                      <w:rFonts w:ascii="Times New Roman" w:eastAsia="Times New Roman" w:hAnsi="Times New Roman" w:cs="Times New Roman"/>
                      <w:sz w:val="24"/>
                      <w:szCs w:val="24"/>
                    </w:rPr>
                  </w:pPr>
                </w:p>
              </w:tc>
            </w:tr>
          </w:tbl>
          <w:p w:rsidR="002D21CD" w:rsidRPr="00BF0941" w:rsidRDefault="002D21CD" w:rsidP="00E801F5">
            <w:pPr>
              <w:spacing w:after="0" w:line="240" w:lineRule="auto"/>
              <w:rPr>
                <w:rFonts w:ascii="Times New Roman" w:eastAsia="Times New Roman" w:hAnsi="Times New Roman" w:cs="Times New Roman"/>
                <w:b/>
                <w:bCs/>
                <w:sz w:val="24"/>
                <w:szCs w:val="24"/>
              </w:rPr>
            </w:pPr>
          </w:p>
        </w:tc>
        <w:tc>
          <w:tcPr>
            <w:tcW w:w="0" w:type="auto"/>
            <w:vAlign w:val="center"/>
            <w:hideMark/>
          </w:tcPr>
          <w:p w:rsidR="002D21CD" w:rsidRPr="00BF0941" w:rsidRDefault="002D21CD" w:rsidP="00E801F5">
            <w:pPr>
              <w:spacing w:after="0" w:line="240" w:lineRule="auto"/>
              <w:jc w:val="right"/>
              <w:rPr>
                <w:rFonts w:ascii="Times New Roman" w:eastAsia="Times New Roman" w:hAnsi="Times New Roman" w:cs="Times New Roman"/>
                <w:b/>
                <w:bCs/>
                <w:sz w:val="24"/>
                <w:szCs w:val="24"/>
              </w:rPr>
            </w:pPr>
          </w:p>
        </w:tc>
        <w:tc>
          <w:tcPr>
            <w:tcW w:w="0" w:type="auto"/>
            <w:vAlign w:val="center"/>
            <w:hideMark/>
          </w:tcPr>
          <w:p w:rsidR="002D21CD" w:rsidRPr="00BF0941" w:rsidRDefault="002D21CD" w:rsidP="00E801F5">
            <w:pPr>
              <w:spacing w:after="0" w:line="240" w:lineRule="auto"/>
              <w:jc w:val="right"/>
              <w:rPr>
                <w:rFonts w:ascii="Times New Roman" w:eastAsia="Times New Roman" w:hAnsi="Times New Roman" w:cs="Times New Roman"/>
                <w:b/>
                <w:bCs/>
                <w:sz w:val="24"/>
                <w:szCs w:val="24"/>
              </w:rPr>
            </w:pPr>
          </w:p>
        </w:tc>
        <w:tc>
          <w:tcPr>
            <w:tcW w:w="0" w:type="auto"/>
            <w:vAlign w:val="center"/>
            <w:hideMark/>
          </w:tcPr>
          <w:p w:rsidR="002D21CD" w:rsidRPr="00BF0941" w:rsidRDefault="002D21CD" w:rsidP="00E801F5">
            <w:pPr>
              <w:spacing w:after="0" w:line="240" w:lineRule="auto"/>
              <w:rPr>
                <w:rFonts w:ascii="Times New Roman" w:eastAsia="Times New Roman" w:hAnsi="Times New Roman" w:cs="Times New Roman"/>
                <w:sz w:val="20"/>
                <w:szCs w:val="20"/>
              </w:rPr>
            </w:pPr>
          </w:p>
        </w:tc>
        <w:tc>
          <w:tcPr>
            <w:tcW w:w="0" w:type="auto"/>
            <w:vAlign w:val="center"/>
            <w:hideMark/>
          </w:tcPr>
          <w:p w:rsidR="002D21CD" w:rsidRPr="00BF0941" w:rsidRDefault="002D21CD" w:rsidP="00E801F5">
            <w:pPr>
              <w:spacing w:after="0" w:line="240" w:lineRule="auto"/>
              <w:rPr>
                <w:rFonts w:ascii="Times New Roman" w:eastAsia="Times New Roman" w:hAnsi="Times New Roman" w:cs="Times New Roman"/>
                <w:sz w:val="20"/>
                <w:szCs w:val="20"/>
              </w:rPr>
            </w:pPr>
          </w:p>
        </w:tc>
      </w:tr>
    </w:tbl>
    <w:p w:rsidR="002D21CD" w:rsidRDefault="002D21CD" w:rsidP="002D21CD"/>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9A332D" w:rsidRDefault="009A332D" w:rsidP="00C23D51"/>
    <w:p w:rsidR="00D54FFF" w:rsidRDefault="00D54FFF" w:rsidP="00C23D51"/>
    <w:p w:rsidR="00D54FFF" w:rsidRDefault="00D54FFF" w:rsidP="00C23D51"/>
    <w:p w:rsidR="00D54FFF" w:rsidRDefault="00D54FFF" w:rsidP="00C23D51"/>
    <w:p w:rsidR="009A332D" w:rsidRDefault="009A332D" w:rsidP="00C23D51">
      <w:pPr>
        <w:rPr>
          <w:color w:val="990000"/>
          <w:sz w:val="32"/>
        </w:rPr>
      </w:pPr>
      <w:r w:rsidRPr="009A332D">
        <w:rPr>
          <w:color w:val="FFFFFF" w:themeColor="background1"/>
          <w:sz w:val="32"/>
          <w:highlight w:val="darkRed"/>
        </w:rPr>
        <w:t>Company news - </w:t>
      </w:r>
      <w:r>
        <w:rPr>
          <w:color w:val="FFFFFF" w:themeColor="background1"/>
          <w:sz w:val="32"/>
          <w:highlight w:val="darkRed"/>
        </w:rPr>
        <w:t xml:space="preserve"> </w:t>
      </w:r>
      <w:r w:rsidRPr="009A332D">
        <w:rPr>
          <w:color w:val="FFFFFF" w:themeColor="background1"/>
          <w:sz w:val="32"/>
          <w:highlight w:val="darkRed"/>
        </w:rPr>
        <w:t>Bank of Rajasthan Ltd</w:t>
      </w:r>
      <w:r w:rsidRPr="009A332D">
        <w:rPr>
          <w:color w:val="990000"/>
          <w:sz w:val="32"/>
          <w:highlight w:val="darkRed"/>
        </w:rPr>
        <w:t>.</w:t>
      </w:r>
      <w:r>
        <w:rPr>
          <w:color w:val="990000"/>
          <w:sz w:val="32"/>
        </w:rPr>
        <w:t>.</w:t>
      </w:r>
    </w:p>
    <w:p w:rsidR="001F6A26" w:rsidRDefault="001F6A26" w:rsidP="00C23D51">
      <w:pPr>
        <w:rPr>
          <w:color w:val="990000"/>
          <w:sz w:val="32"/>
        </w:rPr>
      </w:pPr>
      <w:r>
        <w:rPr>
          <w:color w:val="990000"/>
          <w:sz w:val="32"/>
        </w:rPr>
        <w:t>Complete news of Bank of Rajasthan Ltd. With reference to Merger with Icici Bank Ltd.</w:t>
      </w:r>
    </w:p>
    <w:p w:rsidR="009A332D" w:rsidRDefault="009A332D" w:rsidP="00C23D51">
      <w:pPr>
        <w:rPr>
          <w:color w:val="990000"/>
          <w:sz w:val="32"/>
        </w:rPr>
      </w:pPr>
    </w:p>
    <w:p w:rsidR="001F6A26" w:rsidRDefault="009A332D" w:rsidP="009A332D">
      <w:pPr>
        <w:spacing w:after="0"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b/>
          <w:sz w:val="24"/>
          <w:szCs w:val="24"/>
          <w:highlight w:val="yellow"/>
        </w:rPr>
        <w:t>Bank of Rajasthan board approves merger with ICICI Bank 5/19/2010</w:t>
      </w:r>
      <w:r w:rsidRPr="009A332D">
        <w:rPr>
          <w:rFonts w:ascii="Times New Roman" w:eastAsia="Times New Roman" w:hAnsi="Times New Roman" w:cs="Times New Roman"/>
          <w:b/>
          <w:sz w:val="24"/>
          <w:szCs w:val="24"/>
        </w:rPr>
        <w:t xml:space="preserve"> </w:t>
      </w:r>
      <w:r w:rsidRPr="009A332D">
        <w:rPr>
          <w:rFonts w:ascii="Times New Roman" w:eastAsia="Times New Roman" w:hAnsi="Times New Roman" w:cs="Times New Roman"/>
          <w:sz w:val="24"/>
          <w:szCs w:val="24"/>
        </w:rPr>
        <w:t xml:space="preserve">  </w:t>
      </w:r>
    </w:p>
    <w:p w:rsidR="009A332D" w:rsidRPr="009A332D" w:rsidRDefault="009A332D" w:rsidP="009A332D">
      <w:pPr>
        <w:spacing w:after="0"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lastRenderedPageBreak/>
        <w:t xml:space="preserve">The Board of Directors of Bank of Rajasthan (BoR) has approved a proposal for a merger of 28 % promoter holding with ICICI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Besides, the Board has also approved the due diligence of the proposed transaction.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G Padmanabhan, MD and CEO of BoR said that the Board has given its nod for the amalgamation of Bank of Rajasthan with ICICI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However, in a statement, ICICI Bank said that the share swap ratio is locked at 25:118 (25 shares of ICICI for 118 shares of BoR).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The bank said the swap ratio is based on an internal analysis of the strategic value of the amalgamation, average market capitalisation per branch of old private sector banks and relevant precedent transactions.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Moreover, the board of BoR is scheduled to meet on 23rd May 2010.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Analysts said that the swap ratio works out to a premium of 89.4 % over BoR's current market price.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Post-merger, ICICI Bank's branch network would go up to 2,463. This is the 3rd merger for the bank, after it took over Bank of Madura and Sangli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Besides, the Tayal group - who is the main promoter of the BoR, holds a declared stake of 28.6 %, had recently come under fire from both the Securities and Exchange Board of India (SEBI) and Reserve Bank of India (RBI).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However, SEBI ex-parte interim order on 8th March 2010, the Tayal group and related entities hold 55.01 % stake.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 xml:space="preserve">In February this year, the RBI had levied a penalty of Rs. 25 lakh on the BoR for violation of directions on acquisition of immovable property, deletion of records in the bank's IT systems, non-adherence to KYC (know-your-customer) and anti-monetary laundering guidelines, and irregularities in the conduct of accounts of a corporate group.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4"/>
          <w:szCs w:val="24"/>
        </w:rPr>
      </w:pPr>
      <w:r w:rsidRPr="009A332D">
        <w:rPr>
          <w:rFonts w:ascii="Times New Roman" w:eastAsia="Times New Roman" w:hAnsi="Times New Roman" w:cs="Times New Roman"/>
          <w:sz w:val="24"/>
          <w:szCs w:val="24"/>
        </w:rPr>
        <w:t>Moreover, in March 2010, SEBI had restrained the Tayal group entities from accessing the capital market or from dealing in securities.</w:t>
      </w:r>
    </w:p>
    <w:p w:rsidR="009A332D" w:rsidRDefault="009A332D" w:rsidP="00C23D51">
      <w:r>
        <w:t>Source : icicidirect.com</w:t>
      </w:r>
    </w:p>
    <w:p w:rsidR="009A332D" w:rsidRDefault="009A332D" w:rsidP="00C23D51"/>
    <w:p w:rsidR="009A332D" w:rsidRDefault="009A332D" w:rsidP="00C23D51"/>
    <w:p w:rsidR="009A332D" w:rsidRDefault="009A332D" w:rsidP="00C23D51"/>
    <w:p w:rsidR="009A332D" w:rsidRDefault="009A332D" w:rsidP="00C23D51"/>
    <w:p w:rsidR="001F6A26" w:rsidRPr="001F6A26" w:rsidRDefault="009A332D" w:rsidP="009A332D">
      <w:pPr>
        <w:spacing w:after="0" w:line="240" w:lineRule="auto"/>
        <w:rPr>
          <w:rFonts w:ascii="Times New Roman" w:eastAsia="Times New Roman" w:hAnsi="Times New Roman" w:cs="Times New Roman"/>
          <w:color w:val="4A442A" w:themeColor="background2" w:themeShade="40"/>
          <w:sz w:val="24"/>
          <w:szCs w:val="24"/>
        </w:rPr>
      </w:pPr>
      <w:r w:rsidRPr="009A332D">
        <w:rPr>
          <w:rFonts w:ascii="Times New Roman" w:eastAsia="Times New Roman" w:hAnsi="Times New Roman" w:cs="Times New Roman"/>
          <w:color w:val="4A442A" w:themeColor="background2" w:themeShade="40"/>
          <w:sz w:val="32"/>
          <w:szCs w:val="24"/>
          <w:highlight w:val="yellow"/>
        </w:rPr>
        <w:t>BoR jumps to one-year high on merger with ICICI Bank 5/19/2010</w:t>
      </w:r>
      <w:r w:rsidRPr="009A332D">
        <w:rPr>
          <w:rFonts w:ascii="Times New Roman" w:eastAsia="Times New Roman" w:hAnsi="Times New Roman" w:cs="Times New Roman"/>
          <w:color w:val="4A442A" w:themeColor="background2" w:themeShade="40"/>
          <w:sz w:val="24"/>
          <w:szCs w:val="24"/>
        </w:rPr>
        <w:t xml:space="preserve">   </w:t>
      </w:r>
    </w:p>
    <w:p w:rsidR="001F6A26" w:rsidRDefault="001F6A26" w:rsidP="009A332D">
      <w:pPr>
        <w:spacing w:after="0" w:line="240" w:lineRule="auto"/>
        <w:rPr>
          <w:rFonts w:ascii="Times New Roman" w:eastAsia="Times New Roman" w:hAnsi="Times New Roman" w:cs="Times New Roman"/>
          <w:sz w:val="24"/>
          <w:szCs w:val="24"/>
        </w:rPr>
      </w:pPr>
    </w:p>
    <w:p w:rsidR="009A332D" w:rsidRPr="009A332D" w:rsidRDefault="009A332D" w:rsidP="009A332D">
      <w:pPr>
        <w:spacing w:after="0"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shares of Bank of Rajasthan hits the upper circuit of 20 per cent at Rs 119.40 on BSE following the nod by its board for its merger with ICICI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stock on the National Stock Exchange (NSE) surged 20 per cent to Rs 119.35.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shares Bank of Rajasthan also surged yesterday on reports that promoters were looking to sell their stake. The stock had surged 19.95 per cent to close at a 52-week high of Rs 99.50 on the BSE.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Meanwhile, ICICI Bank was trading at Rs 854.05, down 3.97 per cent on the BSE at 11.28 hrs.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After market hours yesterday, the Bank of Rajasthan announced that it has agreed to merge with ICICI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As per the agreement ICICI Bank will offer 25 shares for every 118 shares of BoR held by the Tayal family, who are the promoters of Bank of Rajasthan.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Besides, the Board has also approved the due diligence of the proposed transaction.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G Padmanabhan, MD and CEO of BoR said that the Board has given its nod for the amalgamation of Bank of Rajasthan with ICICI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However, in a statement, ICICI Bank said that the share swap ratio is locked at 25:118 (25 shares of ICICI for 118 shares of BoR).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bank said the swap ratio is based on an internal analysis of the strategic value of the amalgamation, average market capitalisation per branch of old private sector banks and relevant precedent transactions.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Moreover, the board of BoR is scheduled to meet on 23rd May 2010.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Post-merger, ICICI Bank's branch network would go up to 2,463. This is the 3rd merger for the bank, after it took over Bank of Madura and Sangli Bank.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Besides, the Tayal group - who is the main promoter of the BoR, holds a declared stake of 28.6 %, had recently come under fire from both the Securities and Exchange Board of India (SEBI) and Reserve Bank of India (RBI).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stock of BOR opens at Rs.119.4 at BSE. The total traded volume of the scrip on BSE till now stood at 84446.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lastRenderedPageBreak/>
        <w:t xml:space="preserve">Meanwhile today, the BSE Sensex is trading down by 181.89 points, or 1.08% , at 16693.87 on 11:32.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NSE Nifty is trading down by 49.20 points, or 0.97%, at 5017.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Bank of Rajasthan has an equity capital of Rs 161.35 crore as of 2009 Dec. The face value per share is Rs 10. At the current price of Rs 119.4, the P/E multiple stood at 16.3605209047293 with book Value of 39.88 and P/BV at 2.99.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The total shareholding pattern of the company as on Dec 2009 stood at Promoters- 28.60%, Institutional Investors- 6.38%, General Public- 17.21% and other investors- 47.82%.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 xml:space="preserve">Considering the current price of Rs. 119.4 at 11:32:00 AM, the stock had outperformed the market over the past one month till 19/05/2010 surged 76.89% as compared to the Sensex's return of -4.06% and NSE Nifty's -3.59 % returns. </w:t>
      </w:r>
    </w:p>
    <w:p w:rsidR="009A332D" w:rsidRPr="009A332D" w:rsidRDefault="009A332D" w:rsidP="009A332D">
      <w:pPr>
        <w:spacing w:before="100" w:beforeAutospacing="1" w:after="100" w:afterAutospacing="1" w:line="240" w:lineRule="auto"/>
        <w:rPr>
          <w:rFonts w:ascii="Times New Roman" w:eastAsia="Times New Roman" w:hAnsi="Times New Roman" w:cs="Times New Roman"/>
          <w:sz w:val="28"/>
          <w:szCs w:val="28"/>
        </w:rPr>
      </w:pPr>
      <w:r w:rsidRPr="009A332D">
        <w:rPr>
          <w:rFonts w:ascii="Times New Roman" w:eastAsia="Times New Roman" w:hAnsi="Times New Roman" w:cs="Times New Roman"/>
          <w:sz w:val="28"/>
          <w:szCs w:val="28"/>
        </w:rPr>
        <w:t>Considering the current price of Rs. 119.4 at 11:32:00 AM, the stock had outperformed the market over the past one quarter till 19/05/2010 surged 96.54% as compared to the Sensex's return of 3.1% and NSE Nifty's 3.55 % returns.</w:t>
      </w:r>
    </w:p>
    <w:p w:rsidR="001F6A26" w:rsidRPr="00D54FFF" w:rsidRDefault="001F6A26" w:rsidP="001F6A26">
      <w:pPr>
        <w:rPr>
          <w:sz w:val="28"/>
          <w:szCs w:val="28"/>
        </w:rPr>
      </w:pPr>
      <w:r w:rsidRPr="00D54FFF">
        <w:rPr>
          <w:sz w:val="28"/>
          <w:szCs w:val="28"/>
        </w:rPr>
        <w:t>Source : icicidirect.com</w:t>
      </w:r>
    </w:p>
    <w:p w:rsidR="001F6A26" w:rsidRPr="009A332D" w:rsidRDefault="001F6A26" w:rsidP="001F6A26">
      <w:pPr>
        <w:rPr>
          <w:rFonts w:ascii="Times New Roman" w:hAnsi="Times New Roman" w:cs="Times New Roman"/>
          <w:sz w:val="28"/>
          <w:szCs w:val="28"/>
        </w:rPr>
      </w:pPr>
      <w:r w:rsidRPr="001F6A26">
        <w:rPr>
          <w:rFonts w:ascii="Times New Roman" w:hAnsi="Times New Roman" w:cs="Times New Roman"/>
          <w:b/>
          <w:highlight w:val="yellow"/>
        </w:rPr>
        <w:t>Bank of Rajasthan - Outcome of Board Meeting 5/24/</w:t>
      </w:r>
      <w:r w:rsidRPr="001F6A26">
        <w:rPr>
          <w:rFonts w:ascii="Times New Roman" w:hAnsi="Times New Roman" w:cs="Times New Roman"/>
          <w:b/>
          <w:sz w:val="28"/>
          <w:szCs w:val="28"/>
          <w:highlight w:val="yellow"/>
        </w:rPr>
        <w:t>2010</w:t>
      </w:r>
      <w:r w:rsidRPr="001F6A26">
        <w:rPr>
          <w:rFonts w:ascii="Times New Roman" w:hAnsi="Times New Roman" w:cs="Times New Roman"/>
          <w:sz w:val="28"/>
          <w:szCs w:val="28"/>
        </w:rPr>
        <w:t xml:space="preserve">   Bank of Rajasthan Ltd has informed BSE that the Board of Directors of the Bank at its meeting held on May 23, 2010, has approved the following matters unanimously:</w:t>
      </w:r>
      <w:r w:rsidRPr="001F6A26">
        <w:rPr>
          <w:rFonts w:ascii="Times New Roman" w:hAnsi="Times New Roman" w:cs="Times New Roman"/>
          <w:sz w:val="28"/>
          <w:szCs w:val="28"/>
        </w:rPr>
        <w:br/>
      </w:r>
      <w:r w:rsidRPr="001F6A26">
        <w:rPr>
          <w:rFonts w:ascii="Times New Roman" w:hAnsi="Times New Roman" w:cs="Times New Roman"/>
          <w:sz w:val="28"/>
          <w:szCs w:val="28"/>
        </w:rPr>
        <w:br/>
        <w:t>1. Scheme of Amalgamation of The Bank of Rajasthan Ltd. (Transferor Bank) with ICICI Bank Ltd. (Transferee Bank).</w:t>
      </w:r>
      <w:r w:rsidRPr="001F6A26">
        <w:rPr>
          <w:rFonts w:ascii="Times New Roman" w:hAnsi="Times New Roman" w:cs="Times New Roman"/>
          <w:sz w:val="28"/>
          <w:szCs w:val="28"/>
        </w:rPr>
        <w:br/>
      </w:r>
      <w:r w:rsidRPr="001F6A26">
        <w:rPr>
          <w:rFonts w:ascii="Times New Roman" w:hAnsi="Times New Roman" w:cs="Times New Roman"/>
          <w:sz w:val="28"/>
          <w:szCs w:val="28"/>
        </w:rPr>
        <w:br/>
        <w:t>2. Share Exchange Ratio was approved at 25 shares of ICICI Bank Ltd. equal to 118 shares of Bank of Rajasthan Ltd. which works out to a swap ratio 1: 4.72.</w:t>
      </w:r>
      <w:r w:rsidRPr="001F6A26">
        <w:rPr>
          <w:rFonts w:ascii="Times New Roman" w:hAnsi="Times New Roman" w:cs="Times New Roman"/>
          <w:sz w:val="28"/>
          <w:szCs w:val="28"/>
        </w:rPr>
        <w:br/>
      </w:r>
      <w:r w:rsidRPr="001F6A26">
        <w:rPr>
          <w:rFonts w:ascii="Times New Roman" w:hAnsi="Times New Roman" w:cs="Times New Roman"/>
          <w:sz w:val="28"/>
          <w:szCs w:val="28"/>
        </w:rPr>
        <w:br/>
        <w:t>3. Convene Extra Ordinary General Meeting of Shareholders on June 21, 2010 to approve amalgamation scheme in terms of Section 44A of Banking Regulation Act, 1949</w:t>
      </w:r>
    </w:p>
    <w:p w:rsidR="001F6A26" w:rsidRPr="001F6A26" w:rsidRDefault="001F6A26" w:rsidP="001F6A26">
      <w:pPr>
        <w:rPr>
          <w:rFonts w:ascii="Times New Roman" w:hAnsi="Times New Roman" w:cs="Times New Roman"/>
          <w:sz w:val="28"/>
          <w:szCs w:val="28"/>
        </w:rPr>
      </w:pPr>
      <w:r w:rsidRPr="001F6A26">
        <w:rPr>
          <w:rFonts w:ascii="Times New Roman" w:hAnsi="Times New Roman" w:cs="Times New Roman"/>
          <w:sz w:val="28"/>
          <w:szCs w:val="28"/>
        </w:rPr>
        <w:t>Source : icicidirect.com</w:t>
      </w:r>
    </w:p>
    <w:p w:rsidR="001F6A26" w:rsidRPr="001F6A26" w:rsidRDefault="001F6A26" w:rsidP="001F6A26">
      <w:pPr>
        <w:rPr>
          <w:rFonts w:ascii="Times New Roman" w:hAnsi="Times New Roman" w:cs="Times New Roman"/>
          <w:sz w:val="28"/>
          <w:szCs w:val="28"/>
        </w:rPr>
      </w:pPr>
      <w:r w:rsidRPr="001F6A26">
        <w:rPr>
          <w:rFonts w:ascii="Times New Roman" w:hAnsi="Times New Roman" w:cs="Times New Roman"/>
          <w:b/>
          <w:sz w:val="28"/>
          <w:szCs w:val="28"/>
          <w:highlight w:val="yellow"/>
        </w:rPr>
        <w:t>Bank of Rajasthan - EGM on June 21, 2010 5/27/2010</w:t>
      </w:r>
      <w:r w:rsidRPr="001F6A26">
        <w:rPr>
          <w:rFonts w:ascii="Times New Roman" w:hAnsi="Times New Roman" w:cs="Times New Roman"/>
          <w:sz w:val="28"/>
          <w:szCs w:val="28"/>
        </w:rPr>
        <w:t xml:space="preserve">   Bank of Rajasthan Ltd has informed BSE that an Extra Ordinary General Meeting (EGM) of the members of the </w:t>
      </w:r>
      <w:r w:rsidRPr="001F6A26">
        <w:rPr>
          <w:rFonts w:ascii="Times New Roman" w:hAnsi="Times New Roman" w:cs="Times New Roman"/>
          <w:sz w:val="28"/>
          <w:szCs w:val="28"/>
        </w:rPr>
        <w:lastRenderedPageBreak/>
        <w:t>Company will be held on June 21, 2010, to accept, the consent and approval of the Members of the Bank to the amalgamation of the Bank with ICICI Bank Ltd. (the "Transferee Bank"), with effect from the date on which the Scheme of Amalgamation ("the Scheme") is sanctioned by RBI or such other date as may be specified by RBI by an order in writing passed in this behalf under the provisions of Section 44A of the Banking Regulation Act, 1949, subject to necessary provisions &amp; approvals.</w:t>
      </w:r>
    </w:p>
    <w:p w:rsidR="001F6A26" w:rsidRPr="001F6A26" w:rsidRDefault="001F6A26" w:rsidP="001F6A26">
      <w:pPr>
        <w:rPr>
          <w:rFonts w:ascii="Times New Roman" w:hAnsi="Times New Roman" w:cs="Times New Roman"/>
          <w:sz w:val="28"/>
          <w:szCs w:val="28"/>
        </w:rPr>
      </w:pPr>
      <w:r w:rsidRPr="001F6A26">
        <w:rPr>
          <w:rFonts w:ascii="Times New Roman" w:hAnsi="Times New Roman" w:cs="Times New Roman"/>
          <w:sz w:val="28"/>
          <w:szCs w:val="28"/>
        </w:rPr>
        <w:t>Source : icicidirect.com</w:t>
      </w:r>
    </w:p>
    <w:p w:rsidR="001F6A26" w:rsidRPr="001F6A26" w:rsidRDefault="001F6A26" w:rsidP="001F6A26">
      <w:pPr>
        <w:rPr>
          <w:rFonts w:ascii="Times New Roman" w:hAnsi="Times New Roman" w:cs="Times New Roman"/>
          <w:sz w:val="28"/>
          <w:szCs w:val="28"/>
        </w:rPr>
      </w:pPr>
    </w:p>
    <w:p w:rsidR="001F6A26" w:rsidRPr="001F6A26" w:rsidRDefault="001F6A26" w:rsidP="001F6A26">
      <w:pPr>
        <w:rPr>
          <w:rFonts w:ascii="Times New Roman" w:hAnsi="Times New Roman" w:cs="Times New Roman"/>
          <w:sz w:val="28"/>
          <w:szCs w:val="28"/>
        </w:rPr>
      </w:pPr>
    </w:p>
    <w:p w:rsidR="001F6A26" w:rsidRPr="001F6A26" w:rsidRDefault="001F6A26" w:rsidP="00C23D51">
      <w:pPr>
        <w:rPr>
          <w:rFonts w:ascii="Times New Roman" w:hAnsi="Times New Roman" w:cs="Times New Roman"/>
          <w:sz w:val="28"/>
          <w:szCs w:val="28"/>
        </w:rPr>
      </w:pPr>
    </w:p>
    <w:p w:rsidR="001F6A26" w:rsidRPr="001F6A26" w:rsidRDefault="001F6A26" w:rsidP="001F6A26">
      <w:pPr>
        <w:spacing w:after="0" w:line="240" w:lineRule="auto"/>
        <w:rPr>
          <w:rFonts w:ascii="Times New Roman" w:eastAsia="Times New Roman" w:hAnsi="Times New Roman" w:cs="Times New Roman"/>
          <w:b/>
          <w:sz w:val="28"/>
          <w:szCs w:val="28"/>
        </w:rPr>
      </w:pPr>
      <w:r w:rsidRPr="001F6A26">
        <w:rPr>
          <w:rFonts w:ascii="Times New Roman" w:eastAsia="Times New Roman" w:hAnsi="Times New Roman" w:cs="Times New Roman"/>
          <w:b/>
          <w:sz w:val="28"/>
          <w:szCs w:val="28"/>
          <w:highlight w:val="yellow"/>
        </w:rPr>
        <w:t>BoR sets to hold general meeting on June 21; to seek shareholders approval nod for merger 5/28/2010</w:t>
      </w:r>
    </w:p>
    <w:p w:rsidR="001F6A26" w:rsidRPr="001F6A26" w:rsidRDefault="001F6A26" w:rsidP="001F6A26">
      <w:pPr>
        <w:spacing w:after="0"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   </w:t>
      </w:r>
      <w:r w:rsidR="002D21CD">
        <w:rPr>
          <w:rFonts w:ascii="Times New Roman" w:eastAsia="Times New Roman" w:hAnsi="Times New Roman" w:cs="Times New Roman"/>
          <w:sz w:val="28"/>
          <w:szCs w:val="28"/>
        </w:rPr>
        <w:t xml:space="preserve"> </w:t>
      </w:r>
      <w:r w:rsidRPr="001F6A26">
        <w:rPr>
          <w:rFonts w:ascii="Times New Roman" w:eastAsia="Times New Roman" w:hAnsi="Times New Roman" w:cs="Times New Roman"/>
          <w:sz w:val="28"/>
          <w:szCs w:val="28"/>
        </w:rPr>
        <w:t xml:space="preserve">One of India's oldest private sector banks, the Bank of Rajasthan (BoR) based out of Udaipur has called an extra-ordinary general meeting on June 21, to obtain the shareholders approval for its proposed merger with ICICI Bank.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news was revealed in a BoR filing to the Bombay Stock Exchange on Thursday. The troubled bank has proposed an amalgamation into ICICI and the same need the approval from its shareholders. In a meeting earlier this week between the boards of both the banks a share exchange ratio was decided.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Speaking on the matter to the reporters after the meeting RBI-appointed Managing Director and CEO of Bank of Rajasthan Mr. G Padmanabhan had said, "The board (of BoR) has approved the share swap ratio of 1:4.72. The proposal would now be taken up in an Extra Ordinary General Meeting on June 21". As per the share swap agreement the BoR shareholders will get one ICICI Bank share for every 4.72 shares they held. However the deal will not provide a seat to the Tayal family on the board of the resultant entity.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Further the ICICI Bank also said later on Thursday that it will seek shareholders approval for the deal on the same date. As per the system, once the approval is obtained from the shareholders of both the banks, then both will be required to obtain a clearance for the deal from the Reserve Bank of India. The merger is all set to further enhance the position of ICICI bank both in terms of business and the branch network.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lastRenderedPageBreak/>
        <w:t xml:space="preserve">The merger will take the total business of ICICI Bank past the Rs 4 lakh crore mark and will enhance its branch network by almost 25 per cent. The addition of 463 branches of BoR will push the number of ICICI branches to around 2,500 branches. Meanwhile amidst 1.7 per cent rise in the Bombay stock exchange's bench mark index, both the stocks saw an upward trend at the end of trading on Thursday. The BoR stock moved up 0.31 per cent to close at Rs 162.60, while the ICICI Bank stock marked a rise of 1.06 per cent to close at Rs 856.60 on BSE. </w:t>
      </w:r>
    </w:p>
    <w:p w:rsidR="001F6A26" w:rsidRPr="001F6A26" w:rsidRDefault="001F6A26" w:rsidP="001F6A26">
      <w:pPr>
        <w:rPr>
          <w:rFonts w:ascii="Times New Roman" w:hAnsi="Times New Roman" w:cs="Times New Roman"/>
          <w:sz w:val="28"/>
          <w:szCs w:val="28"/>
        </w:rPr>
      </w:pPr>
      <w:r w:rsidRPr="001F6A26">
        <w:rPr>
          <w:rFonts w:ascii="Times New Roman" w:hAnsi="Times New Roman" w:cs="Times New Roman"/>
          <w:sz w:val="28"/>
          <w:szCs w:val="28"/>
        </w:rPr>
        <w:t>Source : icicidirect.com</w:t>
      </w:r>
    </w:p>
    <w:p w:rsidR="001F6A26" w:rsidRPr="001F6A26" w:rsidRDefault="001F6A26" w:rsidP="001F6A26">
      <w:pPr>
        <w:rPr>
          <w:rFonts w:ascii="Times New Roman" w:hAnsi="Times New Roman" w:cs="Times New Roman"/>
          <w:sz w:val="28"/>
          <w:szCs w:val="28"/>
        </w:rPr>
      </w:pPr>
    </w:p>
    <w:p w:rsidR="001F6A26" w:rsidRPr="001F6A26" w:rsidRDefault="001F6A26" w:rsidP="001F6A26">
      <w:pPr>
        <w:spacing w:after="0"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b/>
          <w:sz w:val="28"/>
          <w:szCs w:val="28"/>
          <w:highlight w:val="yellow"/>
        </w:rPr>
        <w:t>SC refuses to hear BoR shareholders' plea against merger  6/1/2010</w:t>
      </w:r>
      <w:r w:rsidRPr="001F6A26">
        <w:rPr>
          <w:rFonts w:ascii="Times New Roman" w:eastAsia="Times New Roman" w:hAnsi="Times New Roman" w:cs="Times New Roman"/>
          <w:sz w:val="28"/>
          <w:szCs w:val="28"/>
        </w:rPr>
        <w:t xml:space="preserve">   </w:t>
      </w:r>
    </w:p>
    <w:p w:rsidR="001F6A26" w:rsidRPr="001F6A26" w:rsidRDefault="001F6A26" w:rsidP="001F6A26">
      <w:pPr>
        <w:spacing w:after="0"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A two-judge vacation bench of the Supreme Court did not agree to hear a petition filed by shareholders of the Bank of Rajasthan.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These shareholders were objecting to the financial institution's merger with ICICI Bank.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Meanwhile, the bench comprised of Justice G S Singhvi and C K Prasad.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They said that the petitioners may approach another bench as it will not entertain the case.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On May 23, the ICICI Bank had approved the merger of the Bank of Rajasthan through share-swap in a non-cash deal that Valued BoR at about Rs 3,000 crore.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Promoter's Tayal family which have over 50 per cent stake would not get a seat on the amalgamated entity's board.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This is although 25 ICICI shares would be offered with every 118 shares of BoR.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proposed merger is being opposed by BoR employees.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Earlier, Bank of Rajasthan (BoR) announced a drastic loss of Rs 92.3 crore during the March quarter as compared to Rs 2.9 crore profit reported during the year-ago period and this was on the back of higher provisions for mounting bad loans and employee benefits.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For the full year period ending March 2010, the Bank of Rajasthan, which is set to be taken over by ICICI Bank, posted a net loss of Rs 102.13 crore as against a profit of Rs 117.71 crore reported during the previous fiscal.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lastRenderedPageBreak/>
        <w:t xml:space="preserve">Moreover, for the past fiscal, the bank in order to cover its bad loans, had to provide for around Rs 117 crore as against Rs 20 crore in the previous fiscal, its managing director and chief executive G Padmanabhan said.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He also said that the decline in profit was on account of the provisions made in the last year on bad loans and employee benefits like wage revisions and superannuation benefits.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Moreover, he said that the bank's bad loans more than doubled to Rs 133.5 crore in 2010 fiscal as against Rs 57 crore in the previous fiscal. Along with this, the provision against bad assets in the fourth quarter also surged fivefold to Rs 69.47 crore as against Rs 13.44 core.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Besides this, the bank's wage bill during the quarter surged nearly to three times at Rs 165.7 crore as compared to Rs 65 crore reported during the fourth quarter of the previous fiscal.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Meanwhile, liability in respect wage revision up to March, 2010, Rs 49.45 crore has been provided towards estimated.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total income for the year fell to Rs 1,489.48 crore as against Rs 1,507.22 crore reported during the year-ago period.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bank last year provided Rs 50 crore for wage revisions while around Rs 150 crore as additional provisions on superannuation benefits, Padmanabhan said.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Moreover, the deposits fell to Rs 15,062 crore as on March 31 from Rs 15,187 crore in the year-ago period, while the advances surged from Rs 7,884 crore to Rs 8,490 crore.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Besides this, the loan book rose by a modest 7.6 per cent during the year and by around 3.7 per cent in the fourth quarter ended March 31, 2010. </w:t>
      </w:r>
    </w:p>
    <w:p w:rsidR="001F6A26" w:rsidRPr="001F6A26" w:rsidRDefault="001F6A26" w:rsidP="001F6A26">
      <w:pPr>
        <w:rPr>
          <w:rFonts w:ascii="Times New Roman" w:hAnsi="Times New Roman" w:cs="Times New Roman"/>
          <w:sz w:val="28"/>
          <w:szCs w:val="28"/>
        </w:rPr>
      </w:pPr>
      <w:r w:rsidRPr="001F6A26">
        <w:rPr>
          <w:rFonts w:ascii="Times New Roman" w:hAnsi="Times New Roman" w:cs="Times New Roman"/>
          <w:sz w:val="28"/>
          <w:szCs w:val="28"/>
        </w:rPr>
        <w:t>Source : icicidirect.com</w:t>
      </w:r>
    </w:p>
    <w:p w:rsidR="001F6A26" w:rsidRPr="001F6A26" w:rsidRDefault="001F6A26" w:rsidP="001F6A26">
      <w:pPr>
        <w:rPr>
          <w:rFonts w:ascii="Times New Roman" w:hAnsi="Times New Roman" w:cs="Times New Roman"/>
          <w:sz w:val="28"/>
          <w:szCs w:val="28"/>
        </w:rPr>
      </w:pPr>
    </w:p>
    <w:p w:rsidR="001F6A26" w:rsidRPr="001F6A26" w:rsidRDefault="001F6A26" w:rsidP="001F6A26">
      <w:pPr>
        <w:spacing w:after="0"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b/>
          <w:sz w:val="32"/>
          <w:szCs w:val="28"/>
          <w:highlight w:val="yellow"/>
        </w:rPr>
        <w:t>Bank of Rajasthan posts Rs 92 crore loss in Q4 5/31/2010</w:t>
      </w:r>
      <w:r w:rsidRPr="001F6A26">
        <w:rPr>
          <w:rFonts w:ascii="Times New Roman" w:eastAsia="Times New Roman" w:hAnsi="Times New Roman" w:cs="Times New Roman"/>
          <w:sz w:val="28"/>
          <w:szCs w:val="28"/>
        </w:rPr>
        <w:t xml:space="preserve">   Bank of Rajasthan (BoR) last week announced a drastic loss of Rs 92.3 crore during the March quarter as compared to Rs 2.9 crore profit reported during the year-ago period and this was on the back of higher provisions for mounting bad loans and employee benefits.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lastRenderedPageBreak/>
        <w:t xml:space="preserve">For the full year period ending March 2010, the Bank of Rajasthan, which is set to be taken over by ICICI Bank, posted a net loss of Rs 102.13 crore as against a profit of Rs 117.71 crore reported during the previous fiscal.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Moreover, for the past fiscal, the bank in order to cover its bad loans, had to provide for around Rs 117 crore as against Rs 20 crore in the previous fiscal, its managing director and chief executive G Padmanabhan said.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He also said that the decline in profit was on account of the provisions made in the last year on bad loans and employee benefits like wage revisions and superannuation benefits.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Moreover, he said that the bank's bad loans more than doubled to Rs 133.5 crore in 2010 fiscal as against Rs 57 crore in the previous fiscal. Along with this, the provision against bad assets in the fourth quarter also surged fivefold to Rs 69.47 crore as against Rs 13.44 core.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Besides this, the bank's wage bill during the quarter surged nearly to three times at Rs 165.7 crore as compared to Rs 65 crore reported during the fourth quarter of the previous fiscal.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Meanwhile, liability in respect wage revision up to March, 2010, Rs 49.45 crore has been provided towards estimated.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total income for the year fell to Rs 1,489.48 crore as against Rs 1,507.22 crore reported during the year-ago period.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bank last year provided Rs 50 crore for wage revisions while around Rs 150 crore as additional provisions on superannuation benefits, Padmanabhan said.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Moreover, the deposits fell to Rs 15,062 crore as on March 31 from Rs 15,187 crore in the year-ago period, while the advances surged from Rs 7,884 crore to Rs 8,490 crore.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Besides this, the loan book rose by a modest 7.6 per cent during the year and by around 3.7 per cent in the fourth quarter ended March 31, 2010.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Bank of Rajasthan is currently trading at Rs.165, down by 0.54% at 10.27 AM on BSE.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stock hit an intraday high of Rs.165.35 till now, as against the 52-week high of Rs.166.9.The stock hit a low of Rs.159.9 during the day. The stock had hit a 52-week low of Rs.44.7 on July 13, 2009.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lastRenderedPageBreak/>
        <w:t xml:space="preserve">The stock opens at Rs.164.35 at BSE. The total traded volume of the scrip on BSE till now stood at 210357.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Meanwhile today, the BSE Sensex is trading up by 34.11 points, or 0.20% , at 16897.17 on 10:24 AM.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NSE Nifty is trading up by 1.90 points, or 0.04% , at 5068.45.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Bank of Rajasthan has an equity capital of Rs 161.35 crore as of 2009 Dec. The face value per share is Rs 10. At the current price of Rs 165, the P/E multiple stood at 22.6182316655243 with book Value of 39.88 and P/BV at 4.14.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The total shareholding pattern of the company as on Dec 2009 stood at Promoters- 28.60%, Institutional Investors- 6.38%, General Public- 17.21% and other investors- 47.82%. </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 xml:space="preserve">Considering the current price of Rs. 165 at 10:27:00 AM , the stock had outperformed the market over the past one month till 31/05/2010 surged 118.98% as compared to the Sensex's return of -2.81% and NSE Nifty's -2.95 % returns. </w:t>
      </w:r>
    </w:p>
    <w:p w:rsid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sidRPr="001F6A26">
        <w:rPr>
          <w:rFonts w:ascii="Times New Roman" w:eastAsia="Times New Roman" w:hAnsi="Times New Roman" w:cs="Times New Roman"/>
          <w:sz w:val="28"/>
          <w:szCs w:val="28"/>
        </w:rPr>
        <w:t>Considering the current price of Rs. 165 at 10:27:00 AM , the stock had outperformed the market over the past one quarter till 31/05/2010 surged 137.92% as compared to the Sensex's return of -0.6% and NSE Nifty's -0.39 % returns.</w:t>
      </w:r>
    </w:p>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Source : Icicidirect.com</w:t>
      </w:r>
    </w:p>
    <w:p w:rsidR="001F6A26" w:rsidRDefault="001F6A26" w:rsidP="001F6A26"/>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4"/>
          <w:szCs w:val="24"/>
        </w:rPr>
      </w:pPr>
    </w:p>
    <w:p w:rsidR="001F6A26" w:rsidRDefault="001F6A26" w:rsidP="001F6A26"/>
    <w:p w:rsidR="001F6A26" w:rsidRPr="001F6A26" w:rsidRDefault="001F6A26" w:rsidP="001F6A26">
      <w:pPr>
        <w:spacing w:before="100" w:beforeAutospacing="1" w:after="100" w:afterAutospacing="1" w:line="240" w:lineRule="auto"/>
        <w:rPr>
          <w:rFonts w:ascii="Times New Roman" w:eastAsia="Times New Roman" w:hAnsi="Times New Roman" w:cs="Times New Roman"/>
          <w:sz w:val="24"/>
          <w:szCs w:val="24"/>
        </w:rPr>
      </w:pPr>
    </w:p>
    <w:p w:rsidR="001F6A26" w:rsidRPr="009A332D" w:rsidRDefault="001F6A26" w:rsidP="00C23D51"/>
    <w:sectPr w:rsidR="001F6A26" w:rsidRPr="009A332D" w:rsidSect="00C23D51">
      <w:footerReference w:type="default" r:id="rId9"/>
      <w:pgSz w:w="12240" w:h="15840"/>
      <w:pgMar w:top="1418" w:right="720" w:bottom="72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B57" w:rsidRDefault="001D0B57" w:rsidP="00BF0941">
      <w:pPr>
        <w:spacing w:after="0" w:line="240" w:lineRule="auto"/>
      </w:pPr>
      <w:r>
        <w:separator/>
      </w:r>
    </w:p>
  </w:endnote>
  <w:endnote w:type="continuationSeparator" w:id="1">
    <w:p w:rsidR="001D0B57" w:rsidRDefault="001D0B57" w:rsidP="00BF09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941" w:rsidRDefault="00BF0941">
    <w:pPr>
      <w:pStyle w:val="Footer"/>
      <w:pBdr>
        <w:top w:val="thinThickSmallGap" w:sz="24" w:space="1" w:color="622423" w:themeColor="accent2" w:themeShade="7F"/>
      </w:pBdr>
      <w:rPr>
        <w:rFonts w:asciiTheme="majorHAnsi" w:hAnsiTheme="majorHAnsi"/>
      </w:rPr>
    </w:pPr>
    <w:r>
      <w:rPr>
        <w:rFonts w:asciiTheme="majorHAnsi" w:hAnsiTheme="majorHAnsi"/>
      </w:rPr>
      <w:t>Information Compiled By : Madhusudan Kabra</w:t>
    </w:r>
    <w:r>
      <w:rPr>
        <w:rFonts w:asciiTheme="majorHAnsi" w:hAnsiTheme="majorHAnsi"/>
      </w:rPr>
      <w:ptab w:relativeTo="margin" w:alignment="right" w:leader="none"/>
    </w:r>
    <w:r>
      <w:rPr>
        <w:rFonts w:asciiTheme="majorHAnsi" w:hAnsiTheme="majorHAnsi"/>
      </w:rPr>
      <w:t xml:space="preserve">Page </w:t>
    </w:r>
    <w:fldSimple w:instr=" PAGE   \* MERGEFORMAT ">
      <w:r w:rsidR="00727CDB" w:rsidRPr="00727CDB">
        <w:rPr>
          <w:rFonts w:asciiTheme="majorHAnsi" w:hAnsiTheme="majorHAnsi"/>
          <w:noProof/>
        </w:rPr>
        <w:t>1</w:t>
      </w:r>
    </w:fldSimple>
  </w:p>
  <w:p w:rsidR="00BF0941" w:rsidRDefault="00BF0941">
    <w:pPr>
      <w:pStyle w:val="Footer"/>
    </w:pPr>
    <w:r>
      <w:ptab w:relativeTo="margin" w:alignment="center"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B57" w:rsidRDefault="001D0B57" w:rsidP="00BF0941">
      <w:pPr>
        <w:spacing w:after="0" w:line="240" w:lineRule="auto"/>
      </w:pPr>
      <w:r>
        <w:separator/>
      </w:r>
    </w:p>
  </w:footnote>
  <w:footnote w:type="continuationSeparator" w:id="1">
    <w:p w:rsidR="001D0B57" w:rsidRDefault="001D0B57" w:rsidP="00BF09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23D51"/>
    <w:rsid w:val="001D0B57"/>
    <w:rsid w:val="001F6A26"/>
    <w:rsid w:val="002D21CD"/>
    <w:rsid w:val="005D7677"/>
    <w:rsid w:val="006705CB"/>
    <w:rsid w:val="00727CDB"/>
    <w:rsid w:val="009A332D"/>
    <w:rsid w:val="00BF0941"/>
    <w:rsid w:val="00C23D51"/>
    <w:rsid w:val="00D54F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D51"/>
    <w:rPr>
      <w:rFonts w:ascii="Tahoma" w:hAnsi="Tahoma" w:cs="Tahoma"/>
      <w:sz w:val="16"/>
      <w:szCs w:val="16"/>
    </w:rPr>
  </w:style>
  <w:style w:type="paragraph" w:styleId="NormalWeb">
    <w:name w:val="Normal (Web)"/>
    <w:basedOn w:val="Normal"/>
    <w:uiPriority w:val="99"/>
    <w:unhideWhenUsed/>
    <w:rsid w:val="00C23D5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F09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0941"/>
  </w:style>
  <w:style w:type="paragraph" w:styleId="Footer">
    <w:name w:val="footer"/>
    <w:basedOn w:val="Normal"/>
    <w:link w:val="FooterChar"/>
    <w:uiPriority w:val="99"/>
    <w:unhideWhenUsed/>
    <w:rsid w:val="00BF0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941"/>
  </w:style>
  <w:style w:type="character" w:styleId="Strong">
    <w:name w:val="Strong"/>
    <w:basedOn w:val="DefaultParagraphFont"/>
    <w:uiPriority w:val="22"/>
    <w:qFormat/>
    <w:rsid w:val="002D21CD"/>
    <w:rPr>
      <w:b/>
      <w:bCs/>
    </w:rPr>
  </w:style>
</w:styles>
</file>

<file path=word/webSettings.xml><?xml version="1.0" encoding="utf-8"?>
<w:webSettings xmlns:r="http://schemas.openxmlformats.org/officeDocument/2006/relationships" xmlns:w="http://schemas.openxmlformats.org/wordprocessingml/2006/main">
  <w:divs>
    <w:div w:id="78059872">
      <w:bodyDiv w:val="1"/>
      <w:marLeft w:val="0"/>
      <w:marRight w:val="0"/>
      <w:marTop w:val="0"/>
      <w:marBottom w:val="0"/>
      <w:divBdr>
        <w:top w:val="none" w:sz="0" w:space="0" w:color="auto"/>
        <w:left w:val="none" w:sz="0" w:space="0" w:color="auto"/>
        <w:bottom w:val="none" w:sz="0" w:space="0" w:color="auto"/>
        <w:right w:val="none" w:sz="0" w:space="0" w:color="auto"/>
      </w:divBdr>
    </w:div>
    <w:div w:id="144932245">
      <w:bodyDiv w:val="1"/>
      <w:marLeft w:val="0"/>
      <w:marRight w:val="0"/>
      <w:marTop w:val="0"/>
      <w:marBottom w:val="0"/>
      <w:divBdr>
        <w:top w:val="none" w:sz="0" w:space="0" w:color="auto"/>
        <w:left w:val="none" w:sz="0" w:space="0" w:color="auto"/>
        <w:bottom w:val="none" w:sz="0" w:space="0" w:color="auto"/>
        <w:right w:val="none" w:sz="0" w:space="0" w:color="auto"/>
      </w:divBdr>
    </w:div>
    <w:div w:id="234710112">
      <w:bodyDiv w:val="1"/>
      <w:marLeft w:val="0"/>
      <w:marRight w:val="0"/>
      <w:marTop w:val="0"/>
      <w:marBottom w:val="0"/>
      <w:divBdr>
        <w:top w:val="none" w:sz="0" w:space="0" w:color="auto"/>
        <w:left w:val="none" w:sz="0" w:space="0" w:color="auto"/>
        <w:bottom w:val="none" w:sz="0" w:space="0" w:color="auto"/>
        <w:right w:val="none" w:sz="0" w:space="0" w:color="auto"/>
      </w:divBdr>
    </w:div>
    <w:div w:id="667513481">
      <w:bodyDiv w:val="1"/>
      <w:marLeft w:val="0"/>
      <w:marRight w:val="0"/>
      <w:marTop w:val="0"/>
      <w:marBottom w:val="0"/>
      <w:divBdr>
        <w:top w:val="none" w:sz="0" w:space="0" w:color="auto"/>
        <w:left w:val="none" w:sz="0" w:space="0" w:color="auto"/>
        <w:bottom w:val="none" w:sz="0" w:space="0" w:color="auto"/>
        <w:right w:val="none" w:sz="0" w:space="0" w:color="auto"/>
      </w:divBdr>
    </w:div>
    <w:div w:id="778452697">
      <w:bodyDiv w:val="1"/>
      <w:marLeft w:val="0"/>
      <w:marRight w:val="0"/>
      <w:marTop w:val="0"/>
      <w:marBottom w:val="0"/>
      <w:divBdr>
        <w:top w:val="none" w:sz="0" w:space="0" w:color="auto"/>
        <w:left w:val="none" w:sz="0" w:space="0" w:color="auto"/>
        <w:bottom w:val="none" w:sz="0" w:space="0" w:color="auto"/>
        <w:right w:val="none" w:sz="0" w:space="0" w:color="auto"/>
      </w:divBdr>
    </w:div>
    <w:div w:id="1133404270">
      <w:bodyDiv w:val="1"/>
      <w:marLeft w:val="0"/>
      <w:marRight w:val="0"/>
      <w:marTop w:val="0"/>
      <w:marBottom w:val="0"/>
      <w:divBdr>
        <w:top w:val="none" w:sz="0" w:space="0" w:color="auto"/>
        <w:left w:val="none" w:sz="0" w:space="0" w:color="auto"/>
        <w:bottom w:val="none" w:sz="0" w:space="0" w:color="auto"/>
        <w:right w:val="none" w:sz="0" w:space="0" w:color="auto"/>
      </w:divBdr>
    </w:div>
    <w:div w:id="1178301854">
      <w:bodyDiv w:val="1"/>
      <w:marLeft w:val="0"/>
      <w:marRight w:val="0"/>
      <w:marTop w:val="0"/>
      <w:marBottom w:val="0"/>
      <w:divBdr>
        <w:top w:val="none" w:sz="0" w:space="0" w:color="auto"/>
        <w:left w:val="none" w:sz="0" w:space="0" w:color="auto"/>
        <w:bottom w:val="none" w:sz="0" w:space="0" w:color="auto"/>
        <w:right w:val="none" w:sz="0" w:space="0" w:color="auto"/>
      </w:divBdr>
    </w:div>
    <w:div w:id="1204446989">
      <w:bodyDiv w:val="1"/>
      <w:marLeft w:val="0"/>
      <w:marRight w:val="0"/>
      <w:marTop w:val="0"/>
      <w:marBottom w:val="0"/>
      <w:divBdr>
        <w:top w:val="none" w:sz="0" w:space="0" w:color="auto"/>
        <w:left w:val="none" w:sz="0" w:space="0" w:color="auto"/>
        <w:bottom w:val="none" w:sz="0" w:space="0" w:color="auto"/>
        <w:right w:val="none" w:sz="0" w:space="0" w:color="auto"/>
      </w:divBdr>
    </w:div>
    <w:div w:id="1217860171">
      <w:bodyDiv w:val="1"/>
      <w:marLeft w:val="0"/>
      <w:marRight w:val="0"/>
      <w:marTop w:val="0"/>
      <w:marBottom w:val="0"/>
      <w:divBdr>
        <w:top w:val="none" w:sz="0" w:space="0" w:color="auto"/>
        <w:left w:val="none" w:sz="0" w:space="0" w:color="auto"/>
        <w:bottom w:val="none" w:sz="0" w:space="0" w:color="auto"/>
        <w:right w:val="none" w:sz="0" w:space="0" w:color="auto"/>
      </w:divBdr>
    </w:div>
    <w:div w:id="1257136403">
      <w:bodyDiv w:val="1"/>
      <w:marLeft w:val="0"/>
      <w:marRight w:val="0"/>
      <w:marTop w:val="0"/>
      <w:marBottom w:val="0"/>
      <w:divBdr>
        <w:top w:val="none" w:sz="0" w:space="0" w:color="auto"/>
        <w:left w:val="none" w:sz="0" w:space="0" w:color="auto"/>
        <w:bottom w:val="none" w:sz="0" w:space="0" w:color="auto"/>
        <w:right w:val="none" w:sz="0" w:space="0" w:color="auto"/>
      </w:divBdr>
    </w:div>
    <w:div w:id="1263955144">
      <w:bodyDiv w:val="1"/>
      <w:marLeft w:val="0"/>
      <w:marRight w:val="0"/>
      <w:marTop w:val="0"/>
      <w:marBottom w:val="0"/>
      <w:divBdr>
        <w:top w:val="none" w:sz="0" w:space="0" w:color="auto"/>
        <w:left w:val="none" w:sz="0" w:space="0" w:color="auto"/>
        <w:bottom w:val="none" w:sz="0" w:space="0" w:color="auto"/>
        <w:right w:val="none" w:sz="0" w:space="0" w:color="auto"/>
      </w:divBdr>
    </w:div>
    <w:div w:id="1410807824">
      <w:bodyDiv w:val="1"/>
      <w:marLeft w:val="0"/>
      <w:marRight w:val="0"/>
      <w:marTop w:val="0"/>
      <w:marBottom w:val="0"/>
      <w:divBdr>
        <w:top w:val="none" w:sz="0" w:space="0" w:color="auto"/>
        <w:left w:val="none" w:sz="0" w:space="0" w:color="auto"/>
        <w:bottom w:val="none" w:sz="0" w:space="0" w:color="auto"/>
        <w:right w:val="none" w:sz="0" w:space="0" w:color="auto"/>
      </w:divBdr>
    </w:div>
    <w:div w:id="1491828361">
      <w:bodyDiv w:val="1"/>
      <w:marLeft w:val="0"/>
      <w:marRight w:val="0"/>
      <w:marTop w:val="0"/>
      <w:marBottom w:val="0"/>
      <w:divBdr>
        <w:top w:val="none" w:sz="0" w:space="0" w:color="auto"/>
        <w:left w:val="none" w:sz="0" w:space="0" w:color="auto"/>
        <w:bottom w:val="none" w:sz="0" w:space="0" w:color="auto"/>
        <w:right w:val="none" w:sz="0" w:space="0" w:color="auto"/>
      </w:divBdr>
    </w:div>
    <w:div w:id="1578130544">
      <w:bodyDiv w:val="1"/>
      <w:marLeft w:val="0"/>
      <w:marRight w:val="0"/>
      <w:marTop w:val="0"/>
      <w:marBottom w:val="0"/>
      <w:divBdr>
        <w:top w:val="none" w:sz="0" w:space="0" w:color="auto"/>
        <w:left w:val="none" w:sz="0" w:space="0" w:color="auto"/>
        <w:bottom w:val="none" w:sz="0" w:space="0" w:color="auto"/>
        <w:right w:val="none" w:sz="0" w:space="0" w:color="auto"/>
      </w:divBdr>
    </w:div>
    <w:div w:id="1635597573">
      <w:bodyDiv w:val="1"/>
      <w:marLeft w:val="0"/>
      <w:marRight w:val="0"/>
      <w:marTop w:val="0"/>
      <w:marBottom w:val="0"/>
      <w:divBdr>
        <w:top w:val="none" w:sz="0" w:space="0" w:color="auto"/>
        <w:left w:val="none" w:sz="0" w:space="0" w:color="auto"/>
        <w:bottom w:val="none" w:sz="0" w:space="0" w:color="auto"/>
        <w:right w:val="none" w:sz="0" w:space="0" w:color="auto"/>
      </w:divBdr>
    </w:div>
    <w:div w:id="1652363510">
      <w:bodyDiv w:val="1"/>
      <w:marLeft w:val="0"/>
      <w:marRight w:val="0"/>
      <w:marTop w:val="0"/>
      <w:marBottom w:val="0"/>
      <w:divBdr>
        <w:top w:val="none" w:sz="0" w:space="0" w:color="auto"/>
        <w:left w:val="none" w:sz="0" w:space="0" w:color="auto"/>
        <w:bottom w:val="none" w:sz="0" w:space="0" w:color="auto"/>
        <w:right w:val="none" w:sz="0" w:space="0" w:color="auto"/>
      </w:divBdr>
    </w:div>
    <w:div w:id="1746948992">
      <w:bodyDiv w:val="1"/>
      <w:marLeft w:val="0"/>
      <w:marRight w:val="0"/>
      <w:marTop w:val="0"/>
      <w:marBottom w:val="0"/>
      <w:divBdr>
        <w:top w:val="none" w:sz="0" w:space="0" w:color="auto"/>
        <w:left w:val="none" w:sz="0" w:space="0" w:color="auto"/>
        <w:bottom w:val="none" w:sz="0" w:space="0" w:color="auto"/>
        <w:right w:val="none" w:sz="0" w:space="0" w:color="auto"/>
      </w:divBdr>
    </w:div>
    <w:div w:id="1851984089">
      <w:bodyDiv w:val="1"/>
      <w:marLeft w:val="0"/>
      <w:marRight w:val="0"/>
      <w:marTop w:val="0"/>
      <w:marBottom w:val="0"/>
      <w:divBdr>
        <w:top w:val="none" w:sz="0" w:space="0" w:color="auto"/>
        <w:left w:val="none" w:sz="0" w:space="0" w:color="auto"/>
        <w:bottom w:val="none" w:sz="0" w:space="0" w:color="auto"/>
        <w:right w:val="none" w:sz="0" w:space="0" w:color="auto"/>
      </w:divBdr>
    </w:div>
    <w:div w:id="1972592176">
      <w:bodyDiv w:val="1"/>
      <w:marLeft w:val="0"/>
      <w:marRight w:val="0"/>
      <w:marTop w:val="0"/>
      <w:marBottom w:val="0"/>
      <w:divBdr>
        <w:top w:val="none" w:sz="0" w:space="0" w:color="auto"/>
        <w:left w:val="none" w:sz="0" w:space="0" w:color="auto"/>
        <w:bottom w:val="none" w:sz="0" w:space="0" w:color="auto"/>
        <w:right w:val="none" w:sz="0" w:space="0" w:color="auto"/>
      </w:divBdr>
    </w:div>
    <w:div w:id="213097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26746B4-96FE-417F-B0EE-74EC2CE2C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24</Pages>
  <Words>4959</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c:creator>
  <cp:keywords/>
  <dc:description/>
  <cp:lastModifiedBy>ram</cp:lastModifiedBy>
  <cp:revision>4</cp:revision>
  <dcterms:created xsi:type="dcterms:W3CDTF">2010-06-12T06:05:00Z</dcterms:created>
  <dcterms:modified xsi:type="dcterms:W3CDTF">2010-06-12T08:21:00Z</dcterms:modified>
</cp:coreProperties>
</file>