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CellSpacing w:w="0" w:type="dxa"/>
        <w:tblCellMar>
          <w:left w:w="0" w:type="dxa"/>
          <w:right w:w="0" w:type="dxa"/>
        </w:tblCellMar>
        <w:tblLook w:val="04A0"/>
      </w:tblPr>
      <w:tblGrid>
        <w:gridCol w:w="9360"/>
      </w:tblGrid>
      <w:tr w:rsidR="0069501A" w:rsidRPr="00C02CA1" w:rsidTr="004C31A3">
        <w:trPr>
          <w:tblCellSpacing w:w="0" w:type="dxa"/>
          <w:jc w:val="center"/>
        </w:trPr>
        <w:tc>
          <w:tcPr>
            <w:tcW w:w="5000" w:type="pct"/>
            <w:hideMark/>
          </w:tcPr>
          <w:p w:rsidR="0069501A" w:rsidRPr="00C02CA1" w:rsidRDefault="0069501A" w:rsidP="0021514E">
            <w:pPr>
              <w:pStyle w:val="NormalWeb"/>
              <w:rPr>
                <w:rFonts w:ascii="Arial" w:hAnsi="Arial" w:cs="Arial"/>
                <w:sz w:val="20"/>
                <w:szCs w:val="20"/>
              </w:rPr>
            </w:pPr>
            <w:r w:rsidRPr="0021514E">
              <w:rPr>
                <w:rStyle w:val="iepf11"/>
                <w:rFonts w:ascii="Arial" w:hAnsi="Arial" w:cs="Arial"/>
                <w:b/>
                <w:bCs/>
                <w:sz w:val="24"/>
                <w:szCs w:val="24"/>
                <w:u w:val="single"/>
              </w:rPr>
              <w:t>IPOs (Initial Public Offerings)</w:t>
            </w:r>
            <w:r w:rsidRPr="00C02CA1">
              <w:rPr>
                <w:rFonts w:ascii="Arial" w:hAnsi="Arial" w:cs="Arial"/>
                <w:b/>
                <w:bCs/>
                <w:sz w:val="20"/>
                <w:szCs w:val="20"/>
              </w:rPr>
              <w:br/>
            </w:r>
            <w:r w:rsidRPr="00C02CA1">
              <w:rPr>
                <w:rFonts w:ascii="Arial" w:hAnsi="Arial" w:cs="Arial"/>
                <w:b/>
                <w:bCs/>
                <w:sz w:val="20"/>
                <w:szCs w:val="20"/>
              </w:rPr>
              <w:br/>
              <w:t>What is an IPO?</w:t>
            </w:r>
            <w:r w:rsidRPr="00C02CA1">
              <w:rPr>
                <w:rFonts w:ascii="Arial" w:hAnsi="Arial" w:cs="Arial"/>
                <w:sz w:val="20"/>
                <w:szCs w:val="20"/>
              </w:rPr>
              <w:t xml:space="preserve"> </w:t>
            </w:r>
            <w:r w:rsidRPr="00C02CA1">
              <w:rPr>
                <w:rFonts w:ascii="Arial" w:hAnsi="Arial" w:cs="Arial"/>
                <w:sz w:val="20"/>
                <w:szCs w:val="20"/>
              </w:rPr>
              <w:br/>
              <w:t xml:space="preserve">An IPO is when a company which is presently not listed at any stock exchange makes either a fresh issue of shares or makes an offer for sale of its existing shares or both for the first time to the public. Through a public offering, the issuer makes an offer for new investors to enter its shareholding family. </w:t>
            </w:r>
            <w:r w:rsidRPr="00C02CA1">
              <w:rPr>
                <w:rFonts w:ascii="Arial" w:hAnsi="Arial" w:cs="Arial"/>
                <w:sz w:val="20"/>
                <w:szCs w:val="20"/>
              </w:rPr>
              <w:br/>
              <w:t> </w:t>
            </w:r>
            <w:r w:rsidRPr="00C02CA1">
              <w:rPr>
                <w:rFonts w:ascii="Arial" w:hAnsi="Arial" w:cs="Arial"/>
                <w:sz w:val="20"/>
                <w:szCs w:val="20"/>
              </w:rPr>
              <w:br/>
              <w:t>The shares are made available to the investors at the price determined by the promoters of the company in consultation with its investment bankers.</w:t>
            </w:r>
            <w:r w:rsidRPr="00C02CA1">
              <w:rPr>
                <w:rFonts w:ascii="Arial" w:hAnsi="Arial" w:cs="Arial"/>
                <w:sz w:val="20"/>
                <w:szCs w:val="20"/>
              </w:rPr>
              <w:br/>
              <w:t> </w:t>
            </w:r>
            <w:r w:rsidRPr="00C02CA1">
              <w:rPr>
                <w:rFonts w:ascii="Arial" w:hAnsi="Arial" w:cs="Arial"/>
                <w:sz w:val="20"/>
                <w:szCs w:val="20"/>
              </w:rPr>
              <w:br/>
              <w:t xml:space="preserve">The successful completion of an IPO leads to the listing and trading of the company’s shares at the designated stock exchanges. </w:t>
            </w:r>
            <w:r w:rsidRPr="00C02CA1">
              <w:rPr>
                <w:rFonts w:ascii="Arial" w:hAnsi="Arial" w:cs="Arial"/>
                <w:sz w:val="20"/>
                <w:szCs w:val="20"/>
              </w:rPr>
              <w:br/>
              <w:t> </w:t>
            </w:r>
            <w:r w:rsidRPr="00C02CA1">
              <w:rPr>
                <w:rFonts w:ascii="Arial" w:hAnsi="Arial" w:cs="Arial"/>
                <w:sz w:val="20"/>
                <w:szCs w:val="20"/>
              </w:rPr>
              <w:br/>
              <w:t>The past 4 years have seen an active market for IPOs. Though the number of IPOs has been small, the amounts being raised are increasing.</w:t>
            </w:r>
            <w:r w:rsidRPr="00C02CA1">
              <w:rPr>
                <w:rFonts w:ascii="Arial" w:hAnsi="Arial" w:cs="Arial"/>
                <w:sz w:val="20"/>
                <w:szCs w:val="20"/>
              </w:rPr>
              <w:br/>
            </w:r>
          </w:p>
          <w:tbl>
            <w:tblPr>
              <w:tblW w:w="0" w:type="auto"/>
              <w:jc w:val="center"/>
              <w:tblInd w:w="93" w:type="dxa"/>
              <w:tblCellMar>
                <w:left w:w="0" w:type="dxa"/>
                <w:right w:w="0" w:type="dxa"/>
              </w:tblCellMar>
              <w:tblLook w:val="04A0"/>
            </w:tblPr>
            <w:tblGrid>
              <w:gridCol w:w="1635"/>
              <w:gridCol w:w="1080"/>
              <w:gridCol w:w="1800"/>
            </w:tblGrid>
            <w:tr w:rsidR="0069501A" w:rsidRPr="00C02CA1" w:rsidTr="004C31A3">
              <w:trPr>
                <w:trHeight w:val="375"/>
                <w:jc w:val="center"/>
              </w:trPr>
              <w:tc>
                <w:tcPr>
                  <w:tcW w:w="4515" w:type="dxa"/>
                  <w:gridSpan w:val="3"/>
                  <w:noWrap/>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b/>
                      <w:bCs/>
                      <w:color w:val="000000"/>
                      <w:sz w:val="20"/>
                      <w:szCs w:val="20"/>
                    </w:rPr>
                    <w:t>IPOs</w:t>
                  </w:r>
                </w:p>
              </w:tc>
            </w:tr>
            <w:tr w:rsidR="0069501A" w:rsidRPr="00C02CA1" w:rsidTr="004C31A3">
              <w:trPr>
                <w:trHeight w:val="510"/>
                <w:jc w:val="center"/>
              </w:trPr>
              <w:tc>
                <w:tcPr>
                  <w:tcW w:w="1635"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YEAR</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NO.OF</w:t>
                  </w:r>
                  <w:r w:rsidRPr="00C02CA1">
                    <w:rPr>
                      <w:rFonts w:ascii="Arial" w:hAnsi="Arial" w:cs="Arial"/>
                      <w:color w:val="000000"/>
                      <w:sz w:val="20"/>
                      <w:szCs w:val="20"/>
                    </w:rPr>
                    <w:br/>
                    <w:t>IPOs</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AMOUNT</w:t>
                  </w:r>
                  <w:r w:rsidRPr="00C02CA1">
                    <w:rPr>
                      <w:rFonts w:ascii="Arial" w:hAnsi="Arial" w:cs="Arial"/>
                      <w:color w:val="000000"/>
                      <w:sz w:val="20"/>
                      <w:szCs w:val="20"/>
                    </w:rPr>
                    <w:br/>
                    <w:t>(Rs.crore)</w:t>
                  </w:r>
                </w:p>
              </w:tc>
            </w:tr>
            <w:tr w:rsidR="0069501A" w:rsidRPr="00C02CA1" w:rsidTr="004C31A3">
              <w:trPr>
                <w:trHeight w:val="255"/>
                <w:jc w:val="center"/>
              </w:trPr>
              <w:tc>
                <w:tcPr>
                  <w:tcW w:w="163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2003-04</w:t>
                  </w:r>
                </w:p>
              </w:tc>
              <w:tc>
                <w:tcPr>
                  <w:tcW w:w="10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19</w:t>
                  </w:r>
                </w:p>
              </w:tc>
              <w:tc>
                <w:tcPr>
                  <w:tcW w:w="18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3191.10</w:t>
                  </w:r>
                </w:p>
              </w:tc>
            </w:tr>
            <w:tr w:rsidR="0069501A" w:rsidRPr="00C02CA1" w:rsidTr="004C31A3">
              <w:trPr>
                <w:trHeight w:val="255"/>
                <w:jc w:val="center"/>
              </w:trPr>
              <w:tc>
                <w:tcPr>
                  <w:tcW w:w="163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2004-05</w:t>
                  </w:r>
                </w:p>
              </w:tc>
              <w:tc>
                <w:tcPr>
                  <w:tcW w:w="10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23</w:t>
                  </w:r>
                </w:p>
              </w:tc>
              <w:tc>
                <w:tcPr>
                  <w:tcW w:w="18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14662.32</w:t>
                  </w:r>
                </w:p>
              </w:tc>
            </w:tr>
            <w:tr w:rsidR="0069501A" w:rsidRPr="00C02CA1" w:rsidTr="004C31A3">
              <w:trPr>
                <w:trHeight w:val="255"/>
                <w:jc w:val="center"/>
              </w:trPr>
              <w:tc>
                <w:tcPr>
                  <w:tcW w:w="163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2005-06</w:t>
                  </w:r>
                </w:p>
              </w:tc>
              <w:tc>
                <w:tcPr>
                  <w:tcW w:w="10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76</w:t>
                  </w:r>
                </w:p>
              </w:tc>
              <w:tc>
                <w:tcPr>
                  <w:tcW w:w="18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10797.88</w:t>
                  </w:r>
                </w:p>
              </w:tc>
            </w:tr>
            <w:tr w:rsidR="0069501A" w:rsidRPr="00C02CA1" w:rsidTr="004C31A3">
              <w:trPr>
                <w:trHeight w:val="270"/>
                <w:jc w:val="center"/>
              </w:trPr>
              <w:tc>
                <w:tcPr>
                  <w:tcW w:w="163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2006-07</w:t>
                  </w:r>
                </w:p>
              </w:tc>
              <w:tc>
                <w:tcPr>
                  <w:tcW w:w="10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76</w:t>
                  </w:r>
                </w:p>
              </w:tc>
              <w:tc>
                <w:tcPr>
                  <w:tcW w:w="18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23706.16</w:t>
                  </w:r>
                </w:p>
              </w:tc>
            </w:tr>
            <w:tr w:rsidR="0069501A" w:rsidRPr="00C02CA1" w:rsidTr="004C31A3">
              <w:trPr>
                <w:trHeight w:val="270"/>
                <w:jc w:val="center"/>
              </w:trPr>
              <w:tc>
                <w:tcPr>
                  <w:tcW w:w="163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2007-08</w:t>
                  </w:r>
                </w:p>
              </w:tc>
              <w:tc>
                <w:tcPr>
                  <w:tcW w:w="10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84</w:t>
                  </w:r>
                </w:p>
              </w:tc>
              <w:tc>
                <w:tcPr>
                  <w:tcW w:w="18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41323.45</w:t>
                  </w:r>
                </w:p>
              </w:tc>
            </w:tr>
            <w:tr w:rsidR="0069501A" w:rsidRPr="00C02CA1" w:rsidTr="004C31A3">
              <w:trPr>
                <w:trHeight w:val="270"/>
                <w:jc w:val="center"/>
              </w:trPr>
              <w:tc>
                <w:tcPr>
                  <w:tcW w:w="163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2008-09</w:t>
                  </w:r>
                </w:p>
              </w:tc>
              <w:tc>
                <w:tcPr>
                  <w:tcW w:w="10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21</w:t>
                  </w:r>
                </w:p>
              </w:tc>
              <w:tc>
                <w:tcPr>
                  <w:tcW w:w="18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2033.99</w:t>
                  </w:r>
                </w:p>
              </w:tc>
            </w:tr>
          </w:tbl>
          <w:p w:rsidR="0069501A" w:rsidRPr="00C02CA1" w:rsidRDefault="0069501A" w:rsidP="0021514E">
            <w:pPr>
              <w:pStyle w:val="NormalWeb"/>
              <w:rPr>
                <w:rFonts w:ascii="Arial" w:hAnsi="Arial" w:cs="Arial"/>
                <w:sz w:val="20"/>
                <w:szCs w:val="20"/>
              </w:rPr>
            </w:pPr>
            <w:r w:rsidRPr="00C02CA1">
              <w:rPr>
                <w:rFonts w:ascii="Arial" w:hAnsi="Arial" w:cs="Arial"/>
                <w:b/>
                <w:bCs/>
                <w:sz w:val="20"/>
                <w:szCs w:val="20"/>
              </w:rPr>
              <w:t>Why does a company make an IPO?</w:t>
            </w:r>
            <w:r w:rsidRPr="00C02CA1">
              <w:rPr>
                <w:rFonts w:ascii="Arial" w:hAnsi="Arial" w:cs="Arial"/>
                <w:sz w:val="20"/>
                <w:szCs w:val="20"/>
              </w:rPr>
              <w:t xml:space="preserve"> </w:t>
            </w:r>
            <w:r w:rsidRPr="00C02CA1">
              <w:rPr>
                <w:rFonts w:ascii="Arial" w:hAnsi="Arial" w:cs="Arial"/>
                <w:sz w:val="20"/>
                <w:szCs w:val="20"/>
              </w:rPr>
              <w:br/>
              <w:t xml:space="preserve">Going public provides an opportunity to the companies to raise cash for setting up a project or for diversification/expansion or sometimes for working capital or even to retire debt or for potential acquisitions. This is called fresh issue of capital where the proceeds of the issue go to the company. </w:t>
            </w:r>
            <w:r w:rsidRPr="00C02CA1">
              <w:rPr>
                <w:rFonts w:ascii="Arial" w:hAnsi="Arial" w:cs="Arial"/>
                <w:sz w:val="20"/>
                <w:szCs w:val="20"/>
              </w:rPr>
              <w:br/>
            </w:r>
            <w:r w:rsidRPr="00C02CA1">
              <w:rPr>
                <w:rFonts w:ascii="Arial" w:hAnsi="Arial" w:cs="Arial"/>
                <w:sz w:val="20"/>
                <w:szCs w:val="20"/>
              </w:rPr>
              <w:br/>
              <w:t xml:space="preserve">Companies also go public to provide a route for some of the existing shareholders including venture capitalists to exit fully or partially from the company’s shareholding or for promoters to partially dilute their holding. This is called an offer for sale where the proceeds of the issue go to the selling shareholders and not to the company. </w:t>
            </w:r>
            <w:r w:rsidRPr="00C02CA1">
              <w:rPr>
                <w:rFonts w:ascii="Arial" w:hAnsi="Arial" w:cs="Arial"/>
                <w:sz w:val="20"/>
                <w:szCs w:val="20"/>
              </w:rPr>
              <w:br/>
            </w:r>
            <w:r w:rsidRPr="00C02CA1">
              <w:rPr>
                <w:rFonts w:ascii="Arial" w:hAnsi="Arial" w:cs="Arial"/>
                <w:sz w:val="20"/>
                <w:szCs w:val="20"/>
              </w:rPr>
              <w:br/>
              <w:t>Given below is the table of moneys raised through issue of fresh capital and through offers for sale in IPOs.</w:t>
            </w:r>
            <w:r w:rsidRPr="00C02CA1">
              <w:rPr>
                <w:rFonts w:ascii="Arial" w:hAnsi="Arial" w:cs="Arial"/>
                <w:sz w:val="20"/>
                <w:szCs w:val="20"/>
              </w:rPr>
              <w:br/>
            </w:r>
          </w:p>
          <w:tbl>
            <w:tblPr>
              <w:tblW w:w="0" w:type="auto"/>
              <w:jc w:val="center"/>
              <w:tblInd w:w="93" w:type="dxa"/>
              <w:tblCellMar>
                <w:left w:w="0" w:type="dxa"/>
                <w:right w:w="0" w:type="dxa"/>
              </w:tblCellMar>
              <w:tblLook w:val="04A0"/>
            </w:tblPr>
            <w:tblGrid>
              <w:gridCol w:w="1455"/>
              <w:gridCol w:w="1260"/>
              <w:gridCol w:w="1260"/>
              <w:gridCol w:w="900"/>
              <w:gridCol w:w="1260"/>
              <w:gridCol w:w="850"/>
              <w:gridCol w:w="1260"/>
            </w:tblGrid>
            <w:tr w:rsidR="0069501A" w:rsidRPr="00C02CA1" w:rsidTr="004C31A3">
              <w:trPr>
                <w:cantSplit/>
                <w:trHeight w:val="270"/>
                <w:jc w:val="center"/>
              </w:trPr>
              <w:tc>
                <w:tcPr>
                  <w:tcW w:w="1455" w:type="dxa"/>
                  <w:vMerge w:val="restart"/>
                  <w:tcBorders>
                    <w:top w:val="single" w:sz="8" w:space="0" w:color="auto"/>
                    <w:left w:val="single" w:sz="8" w:space="0" w:color="auto"/>
                    <w:bottom w:val="single" w:sz="8" w:space="0" w:color="000000"/>
                    <w:right w:val="single" w:sz="8" w:space="0" w:color="auto"/>
                  </w:tcBorders>
                  <w:noWrap/>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YEAR</w:t>
                  </w:r>
                </w:p>
              </w:tc>
              <w:tc>
                <w:tcPr>
                  <w:tcW w:w="2520" w:type="dxa"/>
                  <w:gridSpan w:val="2"/>
                  <w:tcBorders>
                    <w:top w:val="single" w:sz="8" w:space="0" w:color="auto"/>
                    <w:left w:val="nil"/>
                    <w:bottom w:val="single" w:sz="8" w:space="0" w:color="auto"/>
                    <w:right w:val="nil"/>
                  </w:tcBorders>
                  <w:noWrap/>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b/>
                      <w:bCs/>
                      <w:color w:val="000000"/>
                      <w:sz w:val="20"/>
                      <w:szCs w:val="20"/>
                    </w:rPr>
                    <w:t>FRESH CAPITAL</w:t>
                  </w:r>
                </w:p>
              </w:tc>
              <w:tc>
                <w:tcPr>
                  <w:tcW w:w="2160" w:type="dxa"/>
                  <w:gridSpan w:val="2"/>
                  <w:tcBorders>
                    <w:top w:val="single" w:sz="8" w:space="0" w:color="auto"/>
                    <w:left w:val="single" w:sz="8" w:space="0" w:color="auto"/>
                    <w:bottom w:val="single" w:sz="8" w:space="0" w:color="auto"/>
                    <w:right w:val="single" w:sz="8" w:space="0" w:color="000000"/>
                  </w:tcBorders>
                  <w:noWrap/>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b/>
                      <w:bCs/>
                      <w:color w:val="000000"/>
                      <w:sz w:val="20"/>
                      <w:szCs w:val="20"/>
                    </w:rPr>
                    <w:t>OFFERS FOR SALE</w:t>
                  </w:r>
                </w:p>
              </w:tc>
              <w:tc>
                <w:tcPr>
                  <w:tcW w:w="1980" w:type="dxa"/>
                  <w:gridSpan w:val="2"/>
                  <w:tcBorders>
                    <w:top w:val="single" w:sz="8" w:space="0" w:color="auto"/>
                    <w:left w:val="nil"/>
                    <w:bottom w:val="single" w:sz="8" w:space="0" w:color="auto"/>
                    <w:right w:val="single" w:sz="8" w:space="0" w:color="000000"/>
                  </w:tcBorders>
                  <w:noWrap/>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b/>
                      <w:bCs/>
                      <w:color w:val="000000"/>
                      <w:sz w:val="20"/>
                      <w:szCs w:val="20"/>
                    </w:rPr>
                    <w:t>TOTAL</w:t>
                  </w:r>
                </w:p>
              </w:tc>
            </w:tr>
            <w:tr w:rsidR="0069501A" w:rsidRPr="00C02CA1" w:rsidTr="004C31A3">
              <w:trPr>
                <w:cantSplit/>
                <w:trHeight w:val="765"/>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69501A" w:rsidRPr="00C02CA1" w:rsidRDefault="0069501A" w:rsidP="0021514E">
                  <w:pPr>
                    <w:rPr>
                      <w:rFonts w:ascii="Arial" w:hAnsi="Arial" w:cs="Arial"/>
                      <w:color w:val="000000"/>
                      <w:sz w:val="20"/>
                      <w:szCs w:val="20"/>
                    </w:rPr>
                  </w:pP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NO.OF</w:t>
                  </w:r>
                  <w:r w:rsidRPr="00C02CA1">
                    <w:rPr>
                      <w:rFonts w:ascii="Arial" w:hAnsi="Arial" w:cs="Arial"/>
                      <w:color w:val="000000"/>
                      <w:sz w:val="20"/>
                      <w:szCs w:val="20"/>
                    </w:rPr>
                    <w:br/>
                    <w:t>IPOs</w:t>
                  </w: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AMOUNT</w:t>
                  </w:r>
                  <w:r w:rsidRPr="00C02CA1">
                    <w:rPr>
                      <w:rFonts w:ascii="Arial" w:hAnsi="Arial" w:cs="Arial"/>
                      <w:color w:val="000000"/>
                      <w:sz w:val="20"/>
                      <w:szCs w:val="20"/>
                    </w:rPr>
                    <w:br/>
                    <w:t>(Rs.crore)</w:t>
                  </w:r>
                </w:p>
              </w:tc>
              <w:tc>
                <w:tcPr>
                  <w:tcW w:w="900" w:type="dxa"/>
                  <w:tcBorders>
                    <w:top w:val="nil"/>
                    <w:left w:val="nil"/>
                    <w:bottom w:val="single" w:sz="8" w:space="0" w:color="auto"/>
                    <w:right w:val="single" w:sz="8" w:space="0" w:color="auto"/>
                  </w:tcBorders>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NO.OF</w:t>
                  </w:r>
                  <w:r w:rsidRPr="00C02CA1">
                    <w:rPr>
                      <w:rFonts w:ascii="Arial" w:hAnsi="Arial" w:cs="Arial"/>
                      <w:color w:val="000000"/>
                      <w:sz w:val="20"/>
                      <w:szCs w:val="20"/>
                    </w:rPr>
                    <w:br/>
                    <w:t>IPOs</w:t>
                  </w: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AMOUNT</w:t>
                  </w:r>
                  <w:r w:rsidRPr="00C02CA1">
                    <w:rPr>
                      <w:rFonts w:ascii="Arial" w:hAnsi="Arial" w:cs="Arial"/>
                      <w:color w:val="000000"/>
                      <w:sz w:val="20"/>
                      <w:szCs w:val="20"/>
                    </w:rPr>
                    <w:br/>
                    <w:t>(Rs.crore)</w:t>
                  </w:r>
                </w:p>
              </w:tc>
              <w:tc>
                <w:tcPr>
                  <w:tcW w:w="720" w:type="dxa"/>
                  <w:tcBorders>
                    <w:top w:val="nil"/>
                    <w:left w:val="nil"/>
                    <w:bottom w:val="single" w:sz="8" w:space="0" w:color="auto"/>
                    <w:right w:val="single" w:sz="8" w:space="0" w:color="auto"/>
                  </w:tcBorders>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NO.OF</w:t>
                  </w:r>
                  <w:r w:rsidRPr="00C02CA1">
                    <w:rPr>
                      <w:rFonts w:ascii="Arial" w:hAnsi="Arial" w:cs="Arial"/>
                      <w:color w:val="000000"/>
                      <w:sz w:val="20"/>
                      <w:szCs w:val="20"/>
                    </w:rPr>
                    <w:br/>
                    <w:t>IPOs</w:t>
                  </w: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AMOUNT</w:t>
                  </w:r>
                  <w:r w:rsidRPr="00C02CA1">
                    <w:rPr>
                      <w:rFonts w:ascii="Arial" w:hAnsi="Arial" w:cs="Arial"/>
                      <w:color w:val="000000"/>
                      <w:sz w:val="20"/>
                      <w:szCs w:val="20"/>
                    </w:rPr>
                    <w:br/>
                    <w:t>(Rs.crore)</w:t>
                  </w:r>
                </w:p>
              </w:tc>
            </w:tr>
            <w:tr w:rsidR="0069501A" w:rsidRPr="00C02CA1" w:rsidTr="004C31A3">
              <w:trPr>
                <w:trHeight w:val="255"/>
                <w:jc w:val="center"/>
              </w:trPr>
              <w:tc>
                <w:tcPr>
                  <w:tcW w:w="145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2003-04</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16</w:t>
                  </w:r>
                </w:p>
              </w:tc>
              <w:tc>
                <w:tcPr>
                  <w:tcW w:w="1260" w:type="dxa"/>
                  <w:tcBorders>
                    <w:top w:val="nil"/>
                    <w:left w:val="nil"/>
                    <w:bottom w:val="single" w:sz="8" w:space="0" w:color="auto"/>
                    <w:right w:val="nil"/>
                  </w:tcBorders>
                  <w:shd w:val="clear" w:color="auto" w:fill="FFFFFF"/>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1813.42</w:t>
                  </w:r>
                </w:p>
              </w:tc>
              <w:tc>
                <w:tcPr>
                  <w:tcW w:w="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5</w:t>
                  </w: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1377.68</w:t>
                  </w:r>
                </w:p>
              </w:tc>
              <w:tc>
                <w:tcPr>
                  <w:tcW w:w="7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19</w:t>
                  </w: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3191.10</w:t>
                  </w:r>
                </w:p>
              </w:tc>
            </w:tr>
            <w:tr w:rsidR="0069501A" w:rsidRPr="00C02CA1" w:rsidTr="004C31A3">
              <w:trPr>
                <w:trHeight w:val="255"/>
                <w:jc w:val="center"/>
              </w:trPr>
              <w:tc>
                <w:tcPr>
                  <w:tcW w:w="145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2004-05</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21</w:t>
                  </w:r>
                </w:p>
              </w:tc>
              <w:tc>
                <w:tcPr>
                  <w:tcW w:w="1260" w:type="dxa"/>
                  <w:tcBorders>
                    <w:top w:val="nil"/>
                    <w:left w:val="nil"/>
                    <w:bottom w:val="single" w:sz="8" w:space="0" w:color="auto"/>
                    <w:right w:val="nil"/>
                  </w:tcBorders>
                  <w:shd w:val="clear" w:color="auto" w:fill="FFFFFF"/>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8099.59</w:t>
                  </w:r>
                </w:p>
              </w:tc>
              <w:tc>
                <w:tcPr>
                  <w:tcW w:w="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9</w:t>
                  </w: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6562.73</w:t>
                  </w:r>
                </w:p>
              </w:tc>
              <w:tc>
                <w:tcPr>
                  <w:tcW w:w="7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23</w:t>
                  </w: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14662.32</w:t>
                  </w:r>
                </w:p>
              </w:tc>
            </w:tr>
            <w:tr w:rsidR="0069501A" w:rsidRPr="00C02CA1" w:rsidTr="004C31A3">
              <w:trPr>
                <w:trHeight w:val="255"/>
                <w:jc w:val="center"/>
              </w:trPr>
              <w:tc>
                <w:tcPr>
                  <w:tcW w:w="145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2005-06</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76</w:t>
                  </w:r>
                </w:p>
              </w:tc>
              <w:tc>
                <w:tcPr>
                  <w:tcW w:w="1260" w:type="dxa"/>
                  <w:tcBorders>
                    <w:top w:val="nil"/>
                    <w:left w:val="nil"/>
                    <w:bottom w:val="single" w:sz="8" w:space="0" w:color="auto"/>
                    <w:right w:val="nil"/>
                  </w:tcBorders>
                  <w:shd w:val="clear" w:color="auto" w:fill="FFFFFF"/>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9130.21</w:t>
                  </w:r>
                </w:p>
              </w:tc>
              <w:tc>
                <w:tcPr>
                  <w:tcW w:w="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11</w:t>
                  </w: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1667.67</w:t>
                  </w:r>
                </w:p>
              </w:tc>
              <w:tc>
                <w:tcPr>
                  <w:tcW w:w="7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76</w:t>
                  </w: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10797.88</w:t>
                  </w:r>
                </w:p>
              </w:tc>
            </w:tr>
            <w:tr w:rsidR="0069501A" w:rsidRPr="00C02CA1" w:rsidTr="004C31A3">
              <w:trPr>
                <w:trHeight w:val="270"/>
                <w:jc w:val="center"/>
              </w:trPr>
              <w:tc>
                <w:tcPr>
                  <w:tcW w:w="145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2006-07</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74</w:t>
                  </w:r>
                </w:p>
              </w:tc>
              <w:tc>
                <w:tcPr>
                  <w:tcW w:w="1260" w:type="dxa"/>
                  <w:tcBorders>
                    <w:top w:val="nil"/>
                    <w:left w:val="nil"/>
                    <w:bottom w:val="single" w:sz="8" w:space="0" w:color="auto"/>
                    <w:right w:val="nil"/>
                  </w:tcBorders>
                  <w:shd w:val="clear" w:color="auto" w:fill="FFFFFF"/>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22745.44</w:t>
                  </w:r>
                </w:p>
              </w:tc>
              <w:tc>
                <w:tcPr>
                  <w:tcW w:w="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12</w:t>
                  </w: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960.72</w:t>
                  </w:r>
                </w:p>
              </w:tc>
              <w:tc>
                <w:tcPr>
                  <w:tcW w:w="7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76</w:t>
                  </w: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23706.16</w:t>
                  </w:r>
                </w:p>
              </w:tc>
            </w:tr>
            <w:tr w:rsidR="0069501A" w:rsidRPr="00C02CA1" w:rsidTr="004C31A3">
              <w:trPr>
                <w:trHeight w:val="270"/>
                <w:jc w:val="center"/>
              </w:trPr>
              <w:tc>
                <w:tcPr>
                  <w:tcW w:w="145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2007-08</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82</w:t>
                  </w:r>
                </w:p>
              </w:tc>
              <w:tc>
                <w:tcPr>
                  <w:tcW w:w="1260" w:type="dxa"/>
                  <w:tcBorders>
                    <w:top w:val="nil"/>
                    <w:left w:val="nil"/>
                    <w:bottom w:val="single" w:sz="8" w:space="0" w:color="auto"/>
                    <w:right w:val="nil"/>
                  </w:tcBorders>
                  <w:shd w:val="clear" w:color="auto" w:fill="FFFFFF"/>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38634.65</w:t>
                  </w:r>
                </w:p>
              </w:tc>
              <w:tc>
                <w:tcPr>
                  <w:tcW w:w="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9</w:t>
                  </w: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2688.81</w:t>
                  </w:r>
                </w:p>
              </w:tc>
              <w:tc>
                <w:tcPr>
                  <w:tcW w:w="7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84</w:t>
                  </w: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41323.45</w:t>
                  </w:r>
                </w:p>
              </w:tc>
            </w:tr>
            <w:tr w:rsidR="0069501A" w:rsidRPr="00C02CA1" w:rsidTr="004C31A3">
              <w:trPr>
                <w:trHeight w:val="270"/>
                <w:jc w:val="center"/>
              </w:trPr>
              <w:tc>
                <w:tcPr>
                  <w:tcW w:w="1455"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lastRenderedPageBreak/>
                    <w:t>2008-09</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21</w:t>
                  </w:r>
                </w:p>
              </w:tc>
              <w:tc>
                <w:tcPr>
                  <w:tcW w:w="1260" w:type="dxa"/>
                  <w:tcBorders>
                    <w:top w:val="nil"/>
                    <w:left w:val="nil"/>
                    <w:bottom w:val="single" w:sz="8" w:space="0" w:color="auto"/>
                    <w:right w:val="nil"/>
                  </w:tcBorders>
                  <w:shd w:val="clear" w:color="auto" w:fill="FFFFFF"/>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1985.08</w:t>
                  </w:r>
                </w:p>
              </w:tc>
              <w:tc>
                <w:tcPr>
                  <w:tcW w:w="9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3</w:t>
                  </w: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48.92</w:t>
                  </w:r>
                </w:p>
              </w:tc>
              <w:tc>
                <w:tcPr>
                  <w:tcW w:w="7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21</w:t>
                  </w:r>
                </w:p>
              </w:tc>
              <w:tc>
                <w:tcPr>
                  <w:tcW w:w="126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9501A" w:rsidRPr="00C02CA1" w:rsidRDefault="0069501A" w:rsidP="0021514E">
                  <w:pPr>
                    <w:spacing w:before="100" w:beforeAutospacing="1" w:after="100" w:afterAutospacing="1"/>
                    <w:rPr>
                      <w:rFonts w:ascii="Arial" w:hAnsi="Arial" w:cs="Arial"/>
                      <w:color w:val="000000"/>
                      <w:sz w:val="20"/>
                      <w:szCs w:val="20"/>
                    </w:rPr>
                  </w:pPr>
                  <w:r w:rsidRPr="00C02CA1">
                    <w:rPr>
                      <w:rFonts w:ascii="Arial" w:hAnsi="Arial" w:cs="Arial"/>
                      <w:color w:val="000000"/>
                      <w:sz w:val="20"/>
                      <w:szCs w:val="20"/>
                    </w:rPr>
                    <w:t>2033.99</w:t>
                  </w:r>
                </w:p>
              </w:tc>
            </w:tr>
          </w:tbl>
          <w:p w:rsidR="0069501A" w:rsidRPr="00C02CA1" w:rsidRDefault="0069501A" w:rsidP="0021514E">
            <w:pPr>
              <w:pStyle w:val="NormalWeb"/>
              <w:rPr>
                <w:rFonts w:ascii="Arial" w:hAnsi="Arial" w:cs="Arial"/>
                <w:sz w:val="20"/>
                <w:szCs w:val="20"/>
              </w:rPr>
            </w:pPr>
            <w:r w:rsidRPr="00C02CA1">
              <w:rPr>
                <w:rFonts w:ascii="Arial" w:hAnsi="Arial" w:cs="Arial"/>
                <w:sz w:val="20"/>
                <w:szCs w:val="20"/>
              </w:rPr>
              <w:t xml:space="preserve">Listing offers several benefits. For one, it increases the company’s ability to raise debt at finer rates. The company also gets a continuing window for raising more capital, both from the domestic and overseas equity markets. Acquisitions also become simpler as instead of cash payouts, companies can use shares as a currency. </w:t>
            </w:r>
            <w:r w:rsidRPr="00C02CA1">
              <w:rPr>
                <w:rFonts w:ascii="Arial" w:hAnsi="Arial" w:cs="Arial"/>
                <w:sz w:val="20"/>
                <w:szCs w:val="20"/>
              </w:rPr>
              <w:br/>
              <w:t> </w:t>
            </w:r>
            <w:r w:rsidRPr="00C02CA1">
              <w:rPr>
                <w:rFonts w:ascii="Arial" w:hAnsi="Arial" w:cs="Arial"/>
                <w:sz w:val="20"/>
                <w:szCs w:val="20"/>
              </w:rPr>
              <w:br/>
              <w:t xml:space="preserve">Listing also lends liquidity to the stock, which is very critical for the success of employee stock ownership plans, which help to attract top talent. </w:t>
            </w:r>
            <w:r w:rsidRPr="00C02CA1">
              <w:rPr>
                <w:rFonts w:ascii="Arial" w:hAnsi="Arial" w:cs="Arial"/>
                <w:sz w:val="20"/>
                <w:szCs w:val="20"/>
              </w:rPr>
              <w:br/>
              <w:t> </w:t>
            </w:r>
            <w:r w:rsidRPr="00C02CA1">
              <w:rPr>
                <w:rFonts w:ascii="Arial" w:hAnsi="Arial" w:cs="Arial"/>
                <w:sz w:val="20"/>
                <w:szCs w:val="20"/>
              </w:rPr>
              <w:br/>
              <w:t xml:space="preserve">Of course, listing carries a considerable degree of prestige for the company. </w:t>
            </w:r>
            <w:r w:rsidRPr="00C02CA1">
              <w:rPr>
                <w:rFonts w:ascii="Arial" w:hAnsi="Arial" w:cs="Arial"/>
                <w:b/>
                <w:bCs/>
                <w:sz w:val="20"/>
                <w:szCs w:val="20"/>
              </w:rPr>
              <w:t> </w:t>
            </w:r>
          </w:p>
        </w:tc>
      </w:tr>
    </w:tbl>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21514E">
        <w:rPr>
          <w:rFonts w:ascii="Arial" w:eastAsia="Times New Roman" w:hAnsi="Arial" w:cs="Arial"/>
          <w:b/>
          <w:bCs/>
          <w:color w:val="000000"/>
          <w:u w:val="single"/>
        </w:rPr>
        <w:lastRenderedPageBreak/>
        <w:t>Regulations for IPOs</w:t>
      </w:r>
      <w:r w:rsidRPr="007A48B4">
        <w:rPr>
          <w:rFonts w:ascii="Arial" w:eastAsia="Times New Roman" w:hAnsi="Arial" w:cs="Arial"/>
          <w:color w:val="000000"/>
        </w:rPr>
        <w:br/>
      </w:r>
      <w:r w:rsidRPr="007A48B4">
        <w:rPr>
          <w:rFonts w:ascii="Arial" w:eastAsia="Times New Roman" w:hAnsi="Arial" w:cs="Arial"/>
          <w:color w:val="000000"/>
          <w:sz w:val="20"/>
          <w:szCs w:val="20"/>
        </w:rPr>
        <w:br/>
        <w:t xml:space="preserve">Because of the public participation, SEBI oversees that such companies act in a reasonable and fair manner, especially with reference to the minority shareholders. For example, such companies should have a board of directors, where at least half the members are independent of the promoters/company. Moreover, companies have to comply with the listing agreement, which among other things, stipulate continuing disclosures in specified formats and frequency. </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SEBI’s Role in IPOs</w:t>
      </w:r>
      <w:r w:rsidRPr="007A48B4">
        <w:rPr>
          <w:rFonts w:ascii="Arial" w:eastAsia="Times New Roman" w:hAnsi="Arial" w:cs="Arial"/>
          <w:color w:val="000000"/>
          <w:sz w:val="20"/>
          <w:szCs w:val="20"/>
        </w:rPr>
        <w:br/>
        <w:t>Any company making an IPO is required to file a draft offer document with SEBI for its observations. Officials of SEBI at various levels examine the compliance with DIP guidelines and ensure that all necessary material information is disclosed in the draft offer documents.</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t>The validity period of SEBI’s observation letter is three months only i.e. the company has to open its issue within three months period.</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Does it mean that SEBI recommends an issue?</w:t>
      </w:r>
      <w:r w:rsidRPr="007A48B4">
        <w:rPr>
          <w:rFonts w:ascii="Arial" w:eastAsia="Times New Roman" w:hAnsi="Arial" w:cs="Arial"/>
          <w:color w:val="000000"/>
          <w:sz w:val="20"/>
          <w:szCs w:val="20"/>
        </w:rPr>
        <w:br/>
        <w:t xml:space="preserve">SEBI does not recommend any issue nor does take any responsibility either for the financial soundness of any scheme or the project for which the issue is proposed to be made or for the correctness of the statements made or opinions expressed in the offer document. </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Does SEBI approve the contents of the offer document?</w:t>
      </w:r>
      <w:r w:rsidRPr="007A48B4">
        <w:rPr>
          <w:rFonts w:ascii="Arial" w:eastAsia="Times New Roman" w:hAnsi="Arial" w:cs="Arial"/>
          <w:color w:val="000000"/>
          <w:sz w:val="20"/>
          <w:szCs w:val="20"/>
        </w:rPr>
        <w:br/>
        <w:t>Submission of offer document to SEBI should not in any way be deemed or construed that the same has been cleared or approved by SEBI. The Lead manager certifies that the disclosures made in the offer document are generally adequate and are in conformity with SEBI guidelines for disclosures and investor protection in force for the time being. This requirement is to facilitate investors to take an informed decision for making investment in the proposed issue.</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Does the SEBI clearance tag make the IPO safe for the investors?</w:t>
      </w:r>
      <w:r w:rsidRPr="007A48B4">
        <w:rPr>
          <w:rFonts w:ascii="Arial" w:eastAsia="Times New Roman" w:hAnsi="Arial" w:cs="Arial"/>
          <w:color w:val="000000"/>
          <w:sz w:val="20"/>
          <w:szCs w:val="20"/>
        </w:rPr>
        <w:br/>
        <w:t>The investors should make an informed decision purely by themselves based on the contents disclosed in the offer documents. SEBI does not associate itself with any issue/issuer and should in no way be construed as a guarantee for the funds that the investor proposes to invest through the issue. However, the investors are generally advised to study all the material facts pertaining to the issue including the risk factors before considering any investment. They are strongly warned against any ‘tips’ or news through unofficial means.</w:t>
      </w:r>
      <w:r w:rsidRPr="007A48B4">
        <w:rPr>
          <w:rFonts w:ascii="Arial" w:eastAsia="Times New Roman" w:hAnsi="Arial" w:cs="Arial"/>
          <w:b/>
          <w:bCs/>
          <w:color w:val="000000"/>
          <w:sz w:val="20"/>
          <w:szCs w:val="20"/>
        </w:rPr>
        <w:t> </w:t>
      </w:r>
    </w:p>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21514E">
        <w:rPr>
          <w:rFonts w:ascii="Arial" w:eastAsia="Times New Roman" w:hAnsi="Arial" w:cs="Arial"/>
          <w:b/>
          <w:bCs/>
          <w:color w:val="000000"/>
          <w:u w:val="single"/>
        </w:rPr>
        <w:t>Eligibility norms for making an IPO</w:t>
      </w:r>
      <w:r w:rsidRPr="007A48B4">
        <w:rPr>
          <w:rFonts w:ascii="Arial" w:eastAsia="Times New Roman" w:hAnsi="Arial" w:cs="Arial"/>
          <w:b/>
          <w:bCs/>
          <w:color w:val="000000"/>
          <w:sz w:val="20"/>
          <w:szCs w:val="20"/>
        </w:rPr>
        <w:br/>
      </w:r>
      <w:r w:rsidRPr="007A48B4">
        <w:rPr>
          <w:rFonts w:ascii="Arial" w:eastAsia="Times New Roman" w:hAnsi="Arial" w:cs="Arial"/>
          <w:b/>
          <w:bCs/>
          <w:color w:val="000000"/>
          <w:sz w:val="20"/>
          <w:szCs w:val="20"/>
        </w:rPr>
        <w:br/>
      </w:r>
      <w:r w:rsidRPr="007A48B4">
        <w:rPr>
          <w:rFonts w:ascii="Arial" w:eastAsia="Times New Roman" w:hAnsi="Arial" w:cs="Arial"/>
          <w:color w:val="000000"/>
          <w:sz w:val="20"/>
          <w:szCs w:val="20"/>
        </w:rPr>
        <w:t xml:space="preserve">SEBI has stipulated the eligibility norms for companies planning an IPO </w:t>
      </w:r>
      <w:r w:rsidRPr="007A48B4">
        <w:rPr>
          <w:rFonts w:ascii="Arial" w:eastAsia="Times New Roman" w:hAnsi="Arial" w:cs="Arial"/>
          <w:color w:val="000000"/>
          <w:sz w:val="20"/>
          <w:szCs w:val="20"/>
        </w:rPr>
        <w:br/>
        <w:t xml:space="preserve">which are as follows: </w:t>
      </w:r>
    </w:p>
    <w:tbl>
      <w:tblPr>
        <w:tblW w:w="5000" w:type="pct"/>
        <w:jc w:val="center"/>
        <w:tblCellSpacing w:w="0" w:type="dxa"/>
        <w:tblCellMar>
          <w:left w:w="0" w:type="dxa"/>
          <w:right w:w="0" w:type="dxa"/>
        </w:tblCellMar>
        <w:tblLook w:val="04A0"/>
      </w:tblPr>
      <w:tblGrid>
        <w:gridCol w:w="187"/>
        <w:gridCol w:w="9173"/>
      </w:tblGrid>
      <w:tr w:rsidR="007A48B4" w:rsidRPr="007A48B4">
        <w:trPr>
          <w:tblCellSpacing w:w="0" w:type="dxa"/>
          <w:jc w:val="center"/>
        </w:trPr>
        <w:tc>
          <w:tcPr>
            <w:tcW w:w="100" w:type="pct"/>
            <w:hideMark/>
          </w:tcPr>
          <w:p w:rsidR="007A48B4" w:rsidRPr="007A48B4" w:rsidRDefault="007A48B4" w:rsidP="0021514E">
            <w:pPr>
              <w:rPr>
                <w:rFonts w:ascii="Arial" w:eastAsia="Times New Roman" w:hAnsi="Arial" w:cs="Arial"/>
                <w:color w:val="000000"/>
                <w:sz w:val="20"/>
                <w:szCs w:val="20"/>
              </w:rPr>
            </w:pPr>
            <w:r w:rsidRPr="007A48B4">
              <w:rPr>
                <w:rFonts w:ascii="Arial" w:eastAsia="Times New Roman" w:hAnsi="Arial" w:cs="Arial"/>
                <w:color w:val="000000"/>
                <w:sz w:val="20"/>
                <w:szCs w:val="20"/>
              </w:rPr>
              <w:t>a)</w:t>
            </w:r>
          </w:p>
        </w:tc>
        <w:tc>
          <w:tcPr>
            <w:tcW w:w="4900" w:type="pct"/>
            <w:vAlign w:val="center"/>
            <w:hideMark/>
          </w:tcPr>
          <w:p w:rsidR="007A48B4" w:rsidRPr="007A48B4" w:rsidRDefault="007A48B4" w:rsidP="0021514E">
            <w:pPr>
              <w:rPr>
                <w:rFonts w:ascii="Arial" w:eastAsia="Times New Roman" w:hAnsi="Arial" w:cs="Arial"/>
                <w:color w:val="000000"/>
                <w:sz w:val="20"/>
                <w:szCs w:val="20"/>
              </w:rPr>
            </w:pPr>
            <w:r w:rsidRPr="007A48B4">
              <w:rPr>
                <w:rFonts w:ascii="Arial" w:eastAsia="Times New Roman" w:hAnsi="Arial" w:cs="Arial"/>
                <w:color w:val="000000"/>
                <w:sz w:val="20"/>
                <w:szCs w:val="20"/>
              </w:rPr>
              <w:t xml:space="preserve">Net tangible assets of at least Rs 3 crore for three full years </w:t>
            </w:r>
          </w:p>
        </w:tc>
      </w:tr>
      <w:tr w:rsidR="007A48B4" w:rsidRPr="007A48B4">
        <w:trPr>
          <w:tblCellSpacing w:w="0" w:type="dxa"/>
          <w:jc w:val="center"/>
        </w:trPr>
        <w:tc>
          <w:tcPr>
            <w:tcW w:w="0" w:type="auto"/>
            <w:hideMark/>
          </w:tcPr>
          <w:p w:rsidR="007A48B4" w:rsidRPr="007A48B4" w:rsidRDefault="007A48B4" w:rsidP="0021514E">
            <w:pPr>
              <w:rPr>
                <w:rFonts w:ascii="Arial" w:eastAsia="Times New Roman" w:hAnsi="Arial" w:cs="Arial"/>
                <w:color w:val="000000"/>
                <w:sz w:val="20"/>
                <w:szCs w:val="20"/>
              </w:rPr>
            </w:pPr>
            <w:r w:rsidRPr="007A48B4">
              <w:rPr>
                <w:rFonts w:ascii="Arial" w:eastAsia="Times New Roman" w:hAnsi="Arial" w:cs="Arial"/>
                <w:color w:val="000000"/>
                <w:sz w:val="20"/>
                <w:szCs w:val="20"/>
              </w:rPr>
              <w:lastRenderedPageBreak/>
              <w:t>b)</w:t>
            </w:r>
          </w:p>
        </w:tc>
        <w:tc>
          <w:tcPr>
            <w:tcW w:w="0" w:type="auto"/>
            <w:vAlign w:val="center"/>
            <w:hideMark/>
          </w:tcPr>
          <w:p w:rsidR="007A48B4" w:rsidRPr="007A48B4" w:rsidRDefault="007A48B4" w:rsidP="0021514E">
            <w:pPr>
              <w:rPr>
                <w:rFonts w:ascii="Arial" w:eastAsia="Times New Roman" w:hAnsi="Arial" w:cs="Arial"/>
                <w:color w:val="000000"/>
                <w:sz w:val="20"/>
                <w:szCs w:val="20"/>
              </w:rPr>
            </w:pPr>
            <w:r w:rsidRPr="007A48B4">
              <w:rPr>
                <w:rFonts w:ascii="Arial" w:eastAsia="Times New Roman" w:hAnsi="Arial" w:cs="Arial"/>
                <w:color w:val="000000"/>
                <w:sz w:val="20"/>
                <w:szCs w:val="20"/>
              </w:rPr>
              <w:t xml:space="preserve">Distributable profits in at least three years </w:t>
            </w:r>
          </w:p>
        </w:tc>
      </w:tr>
      <w:tr w:rsidR="007A48B4" w:rsidRPr="007A48B4">
        <w:trPr>
          <w:tblCellSpacing w:w="0" w:type="dxa"/>
          <w:jc w:val="center"/>
        </w:trPr>
        <w:tc>
          <w:tcPr>
            <w:tcW w:w="0" w:type="auto"/>
            <w:hideMark/>
          </w:tcPr>
          <w:p w:rsidR="007A48B4" w:rsidRPr="007A48B4" w:rsidRDefault="007A48B4" w:rsidP="0021514E">
            <w:pPr>
              <w:rPr>
                <w:rFonts w:ascii="Arial" w:eastAsia="Times New Roman" w:hAnsi="Arial" w:cs="Arial"/>
                <w:color w:val="000000"/>
                <w:sz w:val="20"/>
                <w:szCs w:val="20"/>
              </w:rPr>
            </w:pPr>
            <w:r w:rsidRPr="007A48B4">
              <w:rPr>
                <w:rFonts w:ascii="Arial" w:eastAsia="Times New Roman" w:hAnsi="Arial" w:cs="Arial"/>
                <w:color w:val="000000"/>
                <w:sz w:val="20"/>
                <w:szCs w:val="20"/>
              </w:rPr>
              <w:t>c)</w:t>
            </w:r>
          </w:p>
        </w:tc>
        <w:tc>
          <w:tcPr>
            <w:tcW w:w="0" w:type="auto"/>
            <w:vAlign w:val="center"/>
            <w:hideMark/>
          </w:tcPr>
          <w:p w:rsidR="007A48B4" w:rsidRPr="007A48B4" w:rsidRDefault="007A48B4" w:rsidP="0021514E">
            <w:pPr>
              <w:rPr>
                <w:rFonts w:ascii="Arial" w:eastAsia="Times New Roman" w:hAnsi="Arial" w:cs="Arial"/>
                <w:color w:val="000000"/>
                <w:sz w:val="20"/>
                <w:szCs w:val="20"/>
              </w:rPr>
            </w:pPr>
            <w:r w:rsidRPr="007A48B4">
              <w:rPr>
                <w:rFonts w:ascii="Arial" w:eastAsia="Times New Roman" w:hAnsi="Arial" w:cs="Arial"/>
                <w:color w:val="000000"/>
                <w:sz w:val="20"/>
                <w:szCs w:val="20"/>
              </w:rPr>
              <w:t>Net worth of at least Rs 1 crore in three years</w:t>
            </w:r>
          </w:p>
        </w:tc>
      </w:tr>
      <w:tr w:rsidR="007A48B4" w:rsidRPr="007A48B4">
        <w:trPr>
          <w:tblCellSpacing w:w="0" w:type="dxa"/>
          <w:jc w:val="center"/>
        </w:trPr>
        <w:tc>
          <w:tcPr>
            <w:tcW w:w="0" w:type="auto"/>
            <w:hideMark/>
          </w:tcPr>
          <w:p w:rsidR="007A48B4" w:rsidRPr="007A48B4" w:rsidRDefault="007A48B4" w:rsidP="0021514E">
            <w:pPr>
              <w:rPr>
                <w:rFonts w:ascii="Arial" w:eastAsia="Times New Roman" w:hAnsi="Arial" w:cs="Arial"/>
                <w:color w:val="000000"/>
                <w:sz w:val="20"/>
                <w:szCs w:val="20"/>
              </w:rPr>
            </w:pPr>
            <w:r w:rsidRPr="007A48B4">
              <w:rPr>
                <w:rFonts w:ascii="Arial" w:eastAsia="Times New Roman" w:hAnsi="Arial" w:cs="Arial"/>
                <w:color w:val="000000"/>
                <w:sz w:val="20"/>
                <w:szCs w:val="20"/>
              </w:rPr>
              <w:t>d)</w:t>
            </w:r>
          </w:p>
        </w:tc>
        <w:tc>
          <w:tcPr>
            <w:tcW w:w="0" w:type="auto"/>
            <w:vAlign w:val="center"/>
            <w:hideMark/>
          </w:tcPr>
          <w:p w:rsidR="007A48B4" w:rsidRPr="007A48B4" w:rsidRDefault="007A48B4" w:rsidP="0021514E">
            <w:pPr>
              <w:rPr>
                <w:rFonts w:ascii="Arial" w:eastAsia="Times New Roman" w:hAnsi="Arial" w:cs="Arial"/>
                <w:color w:val="000000"/>
                <w:sz w:val="20"/>
                <w:szCs w:val="20"/>
              </w:rPr>
            </w:pPr>
            <w:r w:rsidRPr="007A48B4">
              <w:rPr>
                <w:rFonts w:ascii="Arial" w:eastAsia="Times New Roman" w:hAnsi="Arial" w:cs="Arial"/>
                <w:color w:val="000000"/>
                <w:sz w:val="20"/>
                <w:szCs w:val="20"/>
              </w:rPr>
              <w:t xml:space="preserve">The issue size should not exceed 5 times the pre-issue net worth </w:t>
            </w:r>
          </w:p>
        </w:tc>
      </w:tr>
      <w:tr w:rsidR="007A48B4" w:rsidRPr="007A48B4">
        <w:trPr>
          <w:tblCellSpacing w:w="0" w:type="dxa"/>
          <w:jc w:val="center"/>
        </w:trPr>
        <w:tc>
          <w:tcPr>
            <w:tcW w:w="0" w:type="auto"/>
            <w:hideMark/>
          </w:tcPr>
          <w:p w:rsidR="007A48B4" w:rsidRPr="007A48B4" w:rsidRDefault="007A48B4" w:rsidP="0021514E">
            <w:pPr>
              <w:rPr>
                <w:rFonts w:ascii="Arial" w:eastAsia="Times New Roman" w:hAnsi="Arial" w:cs="Arial"/>
                <w:color w:val="000000"/>
                <w:sz w:val="20"/>
                <w:szCs w:val="20"/>
              </w:rPr>
            </w:pPr>
            <w:r w:rsidRPr="007A48B4">
              <w:rPr>
                <w:rFonts w:ascii="Arial" w:eastAsia="Times New Roman" w:hAnsi="Arial" w:cs="Arial"/>
                <w:color w:val="000000"/>
                <w:sz w:val="20"/>
                <w:szCs w:val="20"/>
              </w:rPr>
              <w:t>e)</w:t>
            </w:r>
          </w:p>
        </w:tc>
        <w:tc>
          <w:tcPr>
            <w:tcW w:w="0" w:type="auto"/>
            <w:vAlign w:val="center"/>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If there has been a change in the company’s name, at least 50 per cent of the revenue for preceding one year should be from the new activity denoted by the new name</w:t>
            </w:r>
          </w:p>
        </w:tc>
      </w:tr>
    </w:tbl>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b/>
          <w:bCs/>
          <w:color w:val="000000"/>
          <w:sz w:val="20"/>
          <w:szCs w:val="20"/>
        </w:rPr>
        <w:t>Alternative routes</w:t>
      </w:r>
      <w:r w:rsidRPr="007A48B4">
        <w:rPr>
          <w:rFonts w:ascii="Arial" w:eastAsia="Times New Roman" w:hAnsi="Arial" w:cs="Arial"/>
          <w:color w:val="000000"/>
          <w:sz w:val="20"/>
          <w:szCs w:val="20"/>
        </w:rPr>
        <w:br/>
        <w:t>Recognizing that many good companies, for one reason or the other, may not be able to comply with all the eligibility norms, two other alternative routes are available to such companies:</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t xml:space="preserve">Alternative I: </w:t>
      </w:r>
    </w:p>
    <w:tbl>
      <w:tblPr>
        <w:tblW w:w="5000" w:type="pct"/>
        <w:jc w:val="center"/>
        <w:tblCellSpacing w:w="0" w:type="dxa"/>
        <w:tblCellMar>
          <w:left w:w="0" w:type="dxa"/>
          <w:right w:w="0" w:type="dxa"/>
        </w:tblCellMar>
        <w:tblLook w:val="04A0"/>
      </w:tblPr>
      <w:tblGrid>
        <w:gridCol w:w="245"/>
        <w:gridCol w:w="9115"/>
      </w:tblGrid>
      <w:tr w:rsidR="007A48B4" w:rsidRPr="007A48B4">
        <w:trPr>
          <w:tblCellSpacing w:w="0" w:type="dxa"/>
          <w:jc w:val="center"/>
        </w:trPr>
        <w:tc>
          <w:tcPr>
            <w:tcW w:w="100" w:type="pct"/>
            <w:hideMark/>
          </w:tcPr>
          <w:p w:rsidR="007A48B4" w:rsidRPr="007A48B4" w:rsidRDefault="007A48B4" w:rsidP="0021514E">
            <w:pPr>
              <w:rPr>
                <w:rFonts w:ascii="Arial" w:eastAsia="Times New Roman" w:hAnsi="Arial" w:cs="Arial"/>
                <w:color w:val="000000"/>
                <w:sz w:val="20"/>
                <w:szCs w:val="20"/>
              </w:rPr>
            </w:pPr>
            <w:r w:rsidRPr="007A48B4">
              <w:rPr>
                <w:rFonts w:ascii="Arial" w:eastAsia="Times New Roman" w:hAnsi="Arial" w:cs="Arial"/>
                <w:color w:val="000000"/>
                <w:sz w:val="20"/>
                <w:szCs w:val="20"/>
              </w:rPr>
              <w:t>(a)</w:t>
            </w:r>
          </w:p>
        </w:tc>
        <w:tc>
          <w:tcPr>
            <w:tcW w:w="4900" w:type="pct"/>
            <w:vAlign w:val="center"/>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Issue shall be through book building route, with at least 50% to be mandatory allotted to the Qualified Institutional Buyers (QIBs). (b) The minimum post-issue face value capital shall be Rs. 10 crore or there shall be a compulsory market-making for at least 2 years</w:t>
            </w:r>
          </w:p>
        </w:tc>
      </w:tr>
    </w:tbl>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OR</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t xml:space="preserve">Alternative II: </w:t>
      </w:r>
    </w:p>
    <w:tbl>
      <w:tblPr>
        <w:tblW w:w="5000" w:type="pct"/>
        <w:jc w:val="center"/>
        <w:tblCellSpacing w:w="0" w:type="dxa"/>
        <w:tblCellMar>
          <w:left w:w="0" w:type="dxa"/>
          <w:right w:w="0" w:type="dxa"/>
        </w:tblCellMar>
        <w:tblLook w:val="04A0"/>
      </w:tblPr>
      <w:tblGrid>
        <w:gridCol w:w="245"/>
        <w:gridCol w:w="9115"/>
      </w:tblGrid>
      <w:tr w:rsidR="007A48B4" w:rsidRPr="007A48B4">
        <w:trPr>
          <w:tblCellSpacing w:w="0" w:type="dxa"/>
          <w:jc w:val="center"/>
        </w:trPr>
        <w:tc>
          <w:tcPr>
            <w:tcW w:w="100" w:type="pct"/>
            <w:hideMark/>
          </w:tcPr>
          <w:p w:rsidR="007A48B4" w:rsidRPr="007A48B4" w:rsidRDefault="007A48B4" w:rsidP="0021514E">
            <w:pPr>
              <w:rPr>
                <w:rFonts w:ascii="Arial" w:eastAsia="Times New Roman" w:hAnsi="Arial" w:cs="Arial"/>
                <w:color w:val="000000"/>
                <w:sz w:val="20"/>
                <w:szCs w:val="20"/>
              </w:rPr>
            </w:pPr>
            <w:r w:rsidRPr="007A48B4">
              <w:rPr>
                <w:rFonts w:ascii="Arial" w:eastAsia="Times New Roman" w:hAnsi="Arial" w:cs="Arial"/>
                <w:color w:val="000000"/>
                <w:sz w:val="20"/>
                <w:szCs w:val="20"/>
              </w:rPr>
              <w:t>(a)</w:t>
            </w:r>
          </w:p>
        </w:tc>
        <w:tc>
          <w:tcPr>
            <w:tcW w:w="4900" w:type="pct"/>
            <w:vAlign w:val="center"/>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The “project” is appraised and participated to the extent of 15% by FIs/Scheduled Commercial Banks of which at least 10% comes from the appraiser(s).</w:t>
            </w:r>
          </w:p>
        </w:tc>
      </w:tr>
      <w:tr w:rsidR="007A48B4" w:rsidRPr="007A48B4">
        <w:trPr>
          <w:tblCellSpacing w:w="0" w:type="dxa"/>
          <w:jc w:val="center"/>
        </w:trPr>
        <w:tc>
          <w:tcPr>
            <w:tcW w:w="0" w:type="auto"/>
            <w:hideMark/>
          </w:tcPr>
          <w:p w:rsidR="007A48B4" w:rsidRPr="007A48B4" w:rsidRDefault="007A48B4" w:rsidP="0021514E">
            <w:pPr>
              <w:rPr>
                <w:rFonts w:ascii="Arial" w:eastAsia="Times New Roman" w:hAnsi="Arial" w:cs="Arial"/>
                <w:color w:val="000000"/>
                <w:sz w:val="20"/>
                <w:szCs w:val="20"/>
              </w:rPr>
            </w:pPr>
            <w:r w:rsidRPr="007A48B4">
              <w:rPr>
                <w:rFonts w:ascii="Arial" w:eastAsia="Times New Roman" w:hAnsi="Arial" w:cs="Arial"/>
                <w:color w:val="000000"/>
                <w:sz w:val="20"/>
                <w:szCs w:val="20"/>
              </w:rPr>
              <w:t>(b)</w:t>
            </w:r>
          </w:p>
        </w:tc>
        <w:tc>
          <w:tcPr>
            <w:tcW w:w="0" w:type="auto"/>
            <w:vAlign w:val="center"/>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The minimum post-issue face value capital shall be Rs. 10 crore or there shall be a compulsory market-making for at least 2 years. In addition to satisfying the aforesaid eligibility norms, the company shall also satisfy the criteria of having at least 1000 prospective allottees in its issue.</w:t>
            </w:r>
          </w:p>
        </w:tc>
      </w:tr>
    </w:tbl>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b/>
          <w:bCs/>
          <w:color w:val="000000"/>
          <w:sz w:val="20"/>
          <w:szCs w:val="20"/>
        </w:rPr>
        <w:t>Exemptions to certain category of entities from the eligibility norms</w:t>
      </w:r>
      <w:r w:rsidRPr="007A48B4">
        <w:rPr>
          <w:rFonts w:ascii="Arial" w:eastAsia="Times New Roman" w:hAnsi="Arial" w:cs="Arial"/>
          <w:color w:val="000000"/>
          <w:sz w:val="20"/>
          <w:szCs w:val="20"/>
        </w:rPr>
        <w:br/>
        <w:t xml:space="preserve">The following categories of entities are eligible for exemption from </w:t>
      </w:r>
      <w:r w:rsidRPr="007A48B4">
        <w:rPr>
          <w:rFonts w:ascii="Arial" w:eastAsia="Times New Roman" w:hAnsi="Arial" w:cs="Arial"/>
          <w:color w:val="000000"/>
          <w:sz w:val="20"/>
          <w:szCs w:val="20"/>
        </w:rPr>
        <w:br/>
        <w:t xml:space="preserve">entry norms. </w:t>
      </w:r>
    </w:p>
    <w:tbl>
      <w:tblPr>
        <w:tblW w:w="5000" w:type="pct"/>
        <w:jc w:val="center"/>
        <w:tblCellSpacing w:w="0" w:type="dxa"/>
        <w:tblCellMar>
          <w:left w:w="0" w:type="dxa"/>
          <w:right w:w="0" w:type="dxa"/>
        </w:tblCellMar>
        <w:tblLook w:val="04A0"/>
      </w:tblPr>
      <w:tblGrid>
        <w:gridCol w:w="260"/>
        <w:gridCol w:w="9100"/>
      </w:tblGrid>
      <w:tr w:rsidR="007A48B4" w:rsidRPr="007A48B4" w:rsidTr="007A48B4">
        <w:trPr>
          <w:tblCellSpacing w:w="0" w:type="dxa"/>
          <w:jc w:val="center"/>
        </w:trPr>
        <w:tc>
          <w:tcPr>
            <w:tcW w:w="139" w:type="pct"/>
            <w:hideMark/>
          </w:tcPr>
          <w:p w:rsidR="007A48B4" w:rsidRPr="007A48B4" w:rsidRDefault="007A48B4" w:rsidP="0021514E">
            <w:pPr>
              <w:rPr>
                <w:rFonts w:ascii="Arial" w:eastAsia="Times New Roman" w:hAnsi="Arial" w:cs="Arial"/>
                <w:color w:val="000000"/>
                <w:sz w:val="20"/>
                <w:szCs w:val="20"/>
              </w:rPr>
            </w:pPr>
            <w:r w:rsidRPr="007A48B4">
              <w:rPr>
                <w:rFonts w:ascii="Arial" w:eastAsia="Times New Roman" w:hAnsi="Arial" w:cs="Arial"/>
                <w:color w:val="000000"/>
                <w:sz w:val="20"/>
                <w:szCs w:val="20"/>
              </w:rPr>
              <w:t>(a)</w:t>
            </w:r>
          </w:p>
        </w:tc>
        <w:tc>
          <w:tcPr>
            <w:tcW w:w="4861" w:type="pct"/>
            <w:vAlign w:val="center"/>
            <w:hideMark/>
          </w:tcPr>
          <w:p w:rsidR="007A48B4" w:rsidRPr="007A48B4" w:rsidRDefault="007A48B4" w:rsidP="0021514E">
            <w:pPr>
              <w:rPr>
                <w:rFonts w:ascii="Arial" w:eastAsia="Times New Roman" w:hAnsi="Arial" w:cs="Arial"/>
                <w:color w:val="000000"/>
                <w:sz w:val="20"/>
                <w:szCs w:val="20"/>
              </w:rPr>
            </w:pPr>
            <w:r w:rsidRPr="007A48B4">
              <w:rPr>
                <w:rFonts w:ascii="Arial" w:eastAsia="Times New Roman" w:hAnsi="Arial" w:cs="Arial"/>
                <w:color w:val="000000"/>
                <w:sz w:val="20"/>
                <w:szCs w:val="20"/>
              </w:rPr>
              <w:t>Private Sector Banks</w:t>
            </w:r>
          </w:p>
        </w:tc>
      </w:tr>
      <w:tr w:rsidR="007A48B4" w:rsidRPr="007A48B4">
        <w:trPr>
          <w:tblCellSpacing w:w="0" w:type="dxa"/>
          <w:jc w:val="center"/>
        </w:trPr>
        <w:tc>
          <w:tcPr>
            <w:tcW w:w="0" w:type="auto"/>
            <w:hideMark/>
          </w:tcPr>
          <w:p w:rsidR="007A48B4" w:rsidRPr="007A48B4" w:rsidRDefault="007A48B4" w:rsidP="0021514E">
            <w:pPr>
              <w:rPr>
                <w:rFonts w:ascii="Arial" w:eastAsia="Times New Roman" w:hAnsi="Arial" w:cs="Arial"/>
                <w:color w:val="000000"/>
                <w:sz w:val="20"/>
                <w:szCs w:val="20"/>
              </w:rPr>
            </w:pPr>
            <w:r w:rsidRPr="007A48B4">
              <w:rPr>
                <w:rFonts w:ascii="Arial" w:eastAsia="Times New Roman" w:hAnsi="Arial" w:cs="Arial"/>
                <w:color w:val="000000"/>
                <w:sz w:val="20"/>
                <w:szCs w:val="20"/>
              </w:rPr>
              <w:t>(b)</w:t>
            </w:r>
          </w:p>
        </w:tc>
        <w:tc>
          <w:tcPr>
            <w:tcW w:w="0" w:type="auto"/>
            <w:vAlign w:val="center"/>
            <w:hideMark/>
          </w:tcPr>
          <w:p w:rsidR="007A48B4" w:rsidRPr="007A48B4" w:rsidRDefault="007A48B4" w:rsidP="0021514E">
            <w:pPr>
              <w:rPr>
                <w:rFonts w:ascii="Arial" w:eastAsia="Times New Roman" w:hAnsi="Arial" w:cs="Arial"/>
                <w:color w:val="000000"/>
                <w:sz w:val="20"/>
                <w:szCs w:val="20"/>
              </w:rPr>
            </w:pPr>
            <w:r w:rsidRPr="007A48B4">
              <w:rPr>
                <w:rFonts w:ascii="Arial" w:eastAsia="Times New Roman" w:hAnsi="Arial" w:cs="Arial"/>
                <w:color w:val="000000"/>
                <w:sz w:val="20"/>
                <w:szCs w:val="20"/>
              </w:rPr>
              <w:t>Public sector banks</w:t>
            </w:r>
          </w:p>
        </w:tc>
      </w:tr>
      <w:tr w:rsidR="007A48B4" w:rsidRPr="007A48B4">
        <w:trPr>
          <w:tblCellSpacing w:w="0" w:type="dxa"/>
          <w:jc w:val="center"/>
        </w:trPr>
        <w:tc>
          <w:tcPr>
            <w:tcW w:w="0" w:type="auto"/>
            <w:hideMark/>
          </w:tcPr>
          <w:p w:rsidR="007A48B4" w:rsidRPr="007A48B4" w:rsidRDefault="007A48B4" w:rsidP="0021514E">
            <w:pPr>
              <w:rPr>
                <w:rFonts w:ascii="Arial" w:eastAsia="Times New Roman" w:hAnsi="Arial" w:cs="Arial"/>
                <w:color w:val="000000"/>
                <w:sz w:val="20"/>
                <w:szCs w:val="20"/>
              </w:rPr>
            </w:pPr>
            <w:r w:rsidRPr="007A48B4">
              <w:rPr>
                <w:rFonts w:ascii="Arial" w:eastAsia="Times New Roman" w:hAnsi="Arial" w:cs="Arial"/>
                <w:color w:val="000000"/>
                <w:sz w:val="20"/>
                <w:szCs w:val="20"/>
              </w:rPr>
              <w:t>(c)</w:t>
            </w:r>
          </w:p>
        </w:tc>
        <w:tc>
          <w:tcPr>
            <w:tcW w:w="0" w:type="auto"/>
            <w:vAlign w:val="center"/>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An infrastructure company whose project has been appraised by a PFI or IDFC or IL&amp;FS or a bank which was earlier a PFI and not less than 5% of the project cost is financed by any of these institutions.</w:t>
            </w:r>
          </w:p>
        </w:tc>
      </w:tr>
    </w:tbl>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C02CA1">
        <w:rPr>
          <w:rFonts w:ascii="Arial" w:eastAsia="Times New Roman" w:hAnsi="Arial" w:cs="Arial"/>
          <w:b/>
          <w:bCs/>
          <w:color w:val="000000"/>
          <w:sz w:val="20"/>
          <w:szCs w:val="20"/>
        </w:rPr>
        <w:t>Disclosures/Offer Documents</w:t>
      </w:r>
      <w:r w:rsidRPr="007A48B4">
        <w:rPr>
          <w:rFonts w:ascii="Arial" w:eastAsia="Times New Roman" w:hAnsi="Arial" w:cs="Arial"/>
          <w:b/>
          <w:bCs/>
          <w:color w:val="000000"/>
          <w:sz w:val="20"/>
          <w:szCs w:val="20"/>
        </w:rPr>
        <w:br/>
      </w:r>
      <w:r w:rsidRPr="007A48B4">
        <w:rPr>
          <w:rFonts w:ascii="Arial" w:eastAsia="Times New Roman" w:hAnsi="Arial" w:cs="Arial"/>
          <w:b/>
          <w:bCs/>
          <w:color w:val="000000"/>
          <w:sz w:val="20"/>
          <w:szCs w:val="20"/>
        </w:rPr>
        <w:br/>
      </w:r>
      <w:r w:rsidRPr="007A48B4">
        <w:rPr>
          <w:rFonts w:ascii="Arial" w:eastAsia="Times New Roman" w:hAnsi="Arial" w:cs="Arial"/>
          <w:color w:val="000000"/>
          <w:sz w:val="20"/>
          <w:szCs w:val="20"/>
        </w:rPr>
        <w:t>Since 1992, the entire IPO regulation is driven by disclosures-inform the investors as much as is possible and is relevant for him to take an informed investment decision. The disclosure requirements regarding the issuance of securities are covered in detail in the SEBI (Disclosure and Investor Protection) Guidelines, 2000.</w:t>
      </w:r>
      <w:r w:rsidRPr="007A48B4">
        <w:rPr>
          <w:rFonts w:ascii="Arial" w:eastAsia="Times New Roman" w:hAnsi="Arial" w:cs="Arial"/>
          <w:color w:val="000000"/>
          <w:sz w:val="20"/>
          <w:szCs w:val="20"/>
        </w:rPr>
        <w:br/>
      </w:r>
      <w:r w:rsidRPr="007A48B4">
        <w:rPr>
          <w:rFonts w:ascii="Arial" w:eastAsia="Times New Roman" w:hAnsi="Arial" w:cs="Arial"/>
          <w:b/>
          <w:color w:val="000000"/>
        </w:rPr>
        <w:br/>
      </w:r>
      <w:r w:rsidRPr="007A48B4">
        <w:rPr>
          <w:rFonts w:ascii="Arial" w:eastAsia="Times New Roman" w:hAnsi="Arial" w:cs="Arial"/>
          <w:b/>
          <w:bCs/>
          <w:color w:val="000000"/>
          <w:u w:val="single"/>
        </w:rPr>
        <w:t>Types of offer documents</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Draft offer document</w:t>
      </w:r>
      <w:r w:rsidRPr="007A48B4">
        <w:rPr>
          <w:rFonts w:ascii="Arial" w:eastAsia="Times New Roman" w:hAnsi="Arial" w:cs="Arial"/>
          <w:color w:val="000000"/>
          <w:sz w:val="20"/>
          <w:szCs w:val="20"/>
        </w:rPr>
        <w:t xml:space="preserve"> refers to the first document filed by companies with SEBI and stock exchanges for approval, who after reviewing, communicate their observations to the Company, which the company has to incorporate in the offer document. SEBI typically requires a period of 30 days for processing a draft offer document. The draft offer document is placed by SEBI on its website for public comments for a period of 21 days. </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Red herring prospectus</w:t>
      </w:r>
      <w:r w:rsidRPr="007A48B4">
        <w:rPr>
          <w:rFonts w:ascii="Arial" w:eastAsia="Times New Roman" w:hAnsi="Arial" w:cs="Arial"/>
          <w:color w:val="000000"/>
          <w:sz w:val="20"/>
          <w:szCs w:val="20"/>
        </w:rPr>
        <w:t xml:space="preserve"> A red herring prospectus (RHP) is a preliminary registration document that is filed with SEBI in the case of bookbuilding issue which does not have details of either price or number of shares being offered or the amount of issue. This means that in case price is not disclosed, the number of </w:t>
      </w:r>
      <w:r w:rsidRPr="007A48B4">
        <w:rPr>
          <w:rFonts w:ascii="Arial" w:eastAsia="Times New Roman" w:hAnsi="Arial" w:cs="Arial"/>
          <w:color w:val="000000"/>
          <w:sz w:val="20"/>
          <w:szCs w:val="20"/>
        </w:rPr>
        <w:lastRenderedPageBreak/>
        <w:t xml:space="preserve">shares and the upper and lower price bands are disclosed. On the other hand, an issuer can state the issue size and the number of shares are determined later. In the case of book-built issues, it is a process of price discovery as the price cannot be determined until the bidding process is completed. Hence, such details are not shown in the Red Herring prospectus filed with ROC in terms of the provisions of the Companies Act. Only on </w:t>
      </w:r>
      <w:r w:rsidRPr="007A48B4">
        <w:rPr>
          <w:rFonts w:ascii="Arial" w:eastAsia="Times New Roman" w:hAnsi="Arial" w:cs="Arial"/>
          <w:color w:val="000000"/>
          <w:sz w:val="20"/>
          <w:szCs w:val="20"/>
        </w:rPr>
        <w:br/>
        <w:t>completion of the bidding process, the details of the final price are included in the offer document. The offer document filed thereafter with ROC is called a prospectus.</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Offer document</w:t>
      </w:r>
      <w:r w:rsidRPr="007A48B4">
        <w:rPr>
          <w:rFonts w:ascii="Arial" w:eastAsia="Times New Roman" w:hAnsi="Arial" w:cs="Arial"/>
          <w:color w:val="000000"/>
          <w:sz w:val="20"/>
          <w:szCs w:val="20"/>
        </w:rPr>
        <w:t xml:space="preserve"> means the final prospectus in the case of a public issue/offer for sale which is filed and registered with the Registrar of Companies and the stock exchanges. An offer document covers all the relevant information required to be disclosed under various regulations and incorporates the observations of the Registrar of Companies and SEBI. </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Abridged Prospectus</w:t>
      </w:r>
      <w:r w:rsidRPr="007A48B4">
        <w:rPr>
          <w:rFonts w:ascii="Arial" w:eastAsia="Times New Roman" w:hAnsi="Arial" w:cs="Arial"/>
          <w:color w:val="000000"/>
          <w:sz w:val="20"/>
          <w:szCs w:val="20"/>
        </w:rPr>
        <w:t xml:space="preserve"> means the memorandum as prescribed in Form 2A under sub-section (3) of section 56 of the Companies Act, 1956. It contains all the salient features of a prospectus. It accompanies the application form of public issues.</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Accessing draft offer documents before even the IPO is cleared by SEBI</w:t>
      </w:r>
      <w:r w:rsidRPr="007A48B4">
        <w:rPr>
          <w:rFonts w:ascii="Arial" w:eastAsia="Times New Roman" w:hAnsi="Arial" w:cs="Arial"/>
          <w:color w:val="000000"/>
          <w:sz w:val="20"/>
          <w:szCs w:val="20"/>
        </w:rPr>
        <w:br/>
        <w:t xml:space="preserve">The draft offer document/letter of offer remains posted on SEBI website for a period of 21 days from the date of filing the same to SEBI and can also be downloaded from there. </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 xml:space="preserve">Public comments/complaints on the issuer company or others connected </w:t>
      </w:r>
      <w:r w:rsidRPr="007A48B4">
        <w:rPr>
          <w:rFonts w:ascii="Arial" w:eastAsia="Times New Roman" w:hAnsi="Arial" w:cs="Arial"/>
          <w:b/>
          <w:bCs/>
          <w:color w:val="000000"/>
          <w:sz w:val="20"/>
          <w:szCs w:val="20"/>
        </w:rPr>
        <w:br/>
        <w:t>with the issue</w:t>
      </w:r>
      <w:r w:rsidRPr="007A48B4">
        <w:rPr>
          <w:rFonts w:ascii="Arial" w:eastAsia="Times New Roman" w:hAnsi="Arial" w:cs="Arial"/>
          <w:color w:val="000000"/>
          <w:sz w:val="20"/>
          <w:szCs w:val="20"/>
        </w:rPr>
        <w:t xml:space="preserve"> </w:t>
      </w:r>
      <w:r w:rsidRPr="007A48B4">
        <w:rPr>
          <w:rFonts w:ascii="Arial" w:eastAsia="Times New Roman" w:hAnsi="Arial" w:cs="Arial"/>
          <w:color w:val="000000"/>
          <w:sz w:val="20"/>
          <w:szCs w:val="20"/>
        </w:rPr>
        <w:br/>
        <w:t xml:space="preserve">The objective of making an offer document public is to invite public comments. The comments should be submitted within 21 days of the filing of the draft offer document by the company with SEBI. </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Obtaining full copy of the offer document</w:t>
      </w:r>
      <w:r w:rsidRPr="007A48B4">
        <w:rPr>
          <w:rFonts w:ascii="Arial" w:eastAsia="Times New Roman" w:hAnsi="Arial" w:cs="Arial"/>
          <w:color w:val="000000"/>
          <w:sz w:val="20"/>
          <w:szCs w:val="20"/>
        </w:rPr>
        <w:br/>
        <w:t>Full copy of the offer document is available from the company, its lead managers and syndicate members. These are also available on the websites of SEBI, the lead managers, the stock exchanges and the company.</w:t>
      </w:r>
    </w:p>
    <w:p w:rsidR="000539E9" w:rsidRPr="00C02CA1" w:rsidRDefault="007A48B4" w:rsidP="0021514E">
      <w:pPr>
        <w:rPr>
          <w:rFonts w:ascii="Arial" w:hAnsi="Arial" w:cs="Arial"/>
          <w:sz w:val="20"/>
          <w:szCs w:val="20"/>
        </w:rPr>
      </w:pPr>
      <w:r w:rsidRPr="0021514E">
        <w:rPr>
          <w:rStyle w:val="iepf11"/>
          <w:rFonts w:ascii="Arial" w:hAnsi="Arial" w:cs="Arial"/>
          <w:b/>
          <w:bCs/>
          <w:sz w:val="24"/>
          <w:szCs w:val="24"/>
          <w:u w:val="single"/>
        </w:rPr>
        <w:t>Pricing</w:t>
      </w:r>
      <w:r w:rsidRPr="00C02CA1">
        <w:rPr>
          <w:rFonts w:ascii="Arial" w:hAnsi="Arial" w:cs="Arial"/>
          <w:b/>
          <w:bCs/>
          <w:sz w:val="20"/>
          <w:szCs w:val="20"/>
        </w:rPr>
        <w:br/>
      </w:r>
      <w:r w:rsidRPr="00C02CA1">
        <w:rPr>
          <w:rFonts w:ascii="Arial" w:hAnsi="Arial" w:cs="Arial"/>
          <w:b/>
          <w:bCs/>
          <w:sz w:val="20"/>
          <w:szCs w:val="20"/>
        </w:rPr>
        <w:br/>
        <w:t xml:space="preserve">Any restrictions on pricing by companies? </w:t>
      </w:r>
      <w:r w:rsidRPr="00C02CA1">
        <w:rPr>
          <w:rFonts w:ascii="Arial" w:hAnsi="Arial" w:cs="Arial"/>
          <w:sz w:val="20"/>
          <w:szCs w:val="20"/>
        </w:rPr>
        <w:br/>
        <w:t xml:space="preserve">Since 1992, companies have been allowed to freely price their issues. SEBI does not play any role in deciding the price for issues. As such, the single prices in case of fixed price issue as well as the price band in the case of a bookbuilding issue are determined by the company. The companies are however required to give in the offer document a detailed justification of the price. The basis of issue price is disclosed in the offer document. The issuer is required to disclose in detail about the qualitative and quantitative factors justifying the issue price. </w:t>
      </w:r>
      <w:r w:rsidRPr="00C02CA1">
        <w:rPr>
          <w:rFonts w:ascii="Arial" w:hAnsi="Arial" w:cs="Arial"/>
          <w:sz w:val="20"/>
          <w:szCs w:val="20"/>
        </w:rPr>
        <w:br/>
      </w:r>
      <w:r w:rsidRPr="00C02CA1">
        <w:rPr>
          <w:rFonts w:ascii="Arial" w:hAnsi="Arial" w:cs="Arial"/>
          <w:sz w:val="20"/>
          <w:szCs w:val="20"/>
        </w:rPr>
        <w:br/>
      </w:r>
      <w:r w:rsidRPr="00C02CA1">
        <w:rPr>
          <w:rFonts w:ascii="Arial" w:hAnsi="Arial" w:cs="Arial"/>
          <w:b/>
          <w:bCs/>
          <w:sz w:val="20"/>
          <w:szCs w:val="20"/>
        </w:rPr>
        <w:t xml:space="preserve">Differential pricing </w:t>
      </w:r>
      <w:r w:rsidRPr="00C02CA1">
        <w:rPr>
          <w:rFonts w:ascii="Arial" w:hAnsi="Arial" w:cs="Arial"/>
          <w:sz w:val="20"/>
          <w:szCs w:val="20"/>
        </w:rPr>
        <w:br/>
        <w:t>Pricing of an issue where one category is offered shares at a price different from the other category is called differential pricing. In DIP Guidelines, differential pricing is allowed only if the securities to applicants in the firm allotment category are at a price higher than the price at which the net offer to the public is made. The net offer to the public means the offer made to the Indian public and does not include firm allotments or reservations or promoters’ contributions.</w:t>
      </w:r>
    </w:p>
    <w:p w:rsidR="007A48B4" w:rsidRPr="00C02CA1" w:rsidRDefault="007A48B4" w:rsidP="0021514E">
      <w:pPr>
        <w:rPr>
          <w:rFonts w:ascii="Arial" w:hAnsi="Arial" w:cs="Arial"/>
          <w:sz w:val="20"/>
          <w:szCs w:val="20"/>
        </w:rPr>
      </w:pPr>
    </w:p>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21514E">
        <w:rPr>
          <w:rFonts w:ascii="Arial" w:eastAsia="Times New Roman" w:hAnsi="Arial" w:cs="Arial"/>
          <w:b/>
          <w:bCs/>
          <w:color w:val="000000"/>
          <w:u w:val="single"/>
        </w:rPr>
        <w:t>Types of Issues: Fixed Price &amp; Bookbuilding</w:t>
      </w:r>
      <w:r w:rsidRPr="007A48B4">
        <w:rPr>
          <w:rFonts w:ascii="Arial" w:eastAsia="Times New Roman" w:hAnsi="Arial" w:cs="Arial"/>
          <w:b/>
          <w:bCs/>
          <w:color w:val="000000"/>
          <w:sz w:val="20"/>
          <w:szCs w:val="20"/>
        </w:rPr>
        <w:br/>
      </w:r>
      <w:r w:rsidRPr="007A48B4">
        <w:rPr>
          <w:rFonts w:ascii="Arial" w:eastAsia="Times New Roman" w:hAnsi="Arial" w:cs="Arial"/>
          <w:b/>
          <w:bCs/>
          <w:color w:val="000000"/>
          <w:sz w:val="20"/>
          <w:szCs w:val="20"/>
        </w:rPr>
        <w:br/>
      </w:r>
      <w:r w:rsidRPr="007A48B4">
        <w:rPr>
          <w:rFonts w:ascii="Arial" w:eastAsia="Times New Roman" w:hAnsi="Arial" w:cs="Arial"/>
          <w:color w:val="000000"/>
          <w:sz w:val="20"/>
          <w:szCs w:val="20"/>
        </w:rPr>
        <w:t>There are two types of issues</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Fixed Price issues</w:t>
      </w:r>
      <w:r w:rsidRPr="007A48B4">
        <w:rPr>
          <w:rFonts w:ascii="Arial" w:eastAsia="Times New Roman" w:hAnsi="Arial" w:cs="Arial"/>
          <w:color w:val="000000"/>
          <w:sz w:val="20"/>
          <w:szCs w:val="20"/>
        </w:rPr>
        <w:br/>
        <w:t xml:space="preserve">An issuer company is allowed to freely price the issue. The basis of issue price is disclosed in the offer </w:t>
      </w:r>
      <w:r w:rsidRPr="007A48B4">
        <w:rPr>
          <w:rFonts w:ascii="Arial" w:eastAsia="Times New Roman" w:hAnsi="Arial" w:cs="Arial"/>
          <w:color w:val="000000"/>
          <w:sz w:val="20"/>
          <w:szCs w:val="20"/>
        </w:rPr>
        <w:lastRenderedPageBreak/>
        <w:t>document where the issuer discloses in detail about the qualitative and quantitative factors justifying the issue price. The Issuer company can mention a price band of 20% (cap in the price band should not be more than 20% of the floor price) in the Draft offer documents filed with SEBI and actual price can be determined at a later date before filing of the final offer document with SEBI/ROCs.</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Price discovery through book building process</w:t>
      </w:r>
      <w:r w:rsidRPr="007A48B4">
        <w:rPr>
          <w:rFonts w:ascii="Arial" w:eastAsia="Times New Roman" w:hAnsi="Arial" w:cs="Arial"/>
          <w:color w:val="000000"/>
          <w:sz w:val="20"/>
          <w:szCs w:val="20"/>
        </w:rPr>
        <w:br/>
        <w:t>“Book Building” means a process undertaken by which a demand for the securities proposed to be issued by a body corporate is elicited and built up and the price for the securities is assessed on the basis of the bids obtained for the quantum of securities offered for subscription by the issuer. This method provides an opportunity to the market to discover the price for securities.</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t xml:space="preserve">The process is named so because it refers to collection of bids from investors, which is based on a price range. The issue price is fixed after the closing date of the bid. </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t xml:space="preserve">A company planning an IPO appoints a merchant bank as a book runner. A particular time frame is fixed as the bidding period. The book runner then builds an order book that collates bids from various investors. Potential investors are allowed to revise their bids at any time during the bidding period. At the end of bidding period the order book is closed and consequently the quantum of shares ordered and the respective prices offered are known. The determination of final price is based on demand at various prices. </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t>Bookbuilding has become the preferred route of raising capital, as can be seen from the table below. Though there are fixed price issues, by amount, the bookbuilding IPOs dominate.</w:t>
      </w:r>
      <w:r w:rsidRPr="007A48B4">
        <w:rPr>
          <w:rFonts w:ascii="Arial" w:eastAsia="Times New Roman" w:hAnsi="Arial" w:cs="Arial"/>
          <w:color w:val="000000"/>
          <w:sz w:val="20"/>
          <w:szCs w:val="20"/>
        </w:rPr>
        <w:br/>
        <w:t xml:space="preserve">  </w:t>
      </w:r>
    </w:p>
    <w:tbl>
      <w:tblPr>
        <w:tblW w:w="9155" w:type="dxa"/>
        <w:jc w:val="center"/>
        <w:tblInd w:w="93" w:type="dxa"/>
        <w:tblCellMar>
          <w:left w:w="0" w:type="dxa"/>
          <w:right w:w="0" w:type="dxa"/>
        </w:tblCellMar>
        <w:tblLook w:val="04A0"/>
      </w:tblPr>
      <w:tblGrid>
        <w:gridCol w:w="1000"/>
        <w:gridCol w:w="850"/>
        <w:gridCol w:w="1160"/>
        <w:gridCol w:w="840"/>
        <w:gridCol w:w="1020"/>
        <w:gridCol w:w="1105"/>
        <w:gridCol w:w="1225"/>
        <w:gridCol w:w="850"/>
        <w:gridCol w:w="1105"/>
      </w:tblGrid>
      <w:tr w:rsidR="007A48B4" w:rsidRPr="007A48B4">
        <w:trPr>
          <w:cantSplit/>
          <w:trHeight w:val="255"/>
          <w:jc w:val="center"/>
        </w:trPr>
        <w:tc>
          <w:tcPr>
            <w:tcW w:w="1000" w:type="dxa"/>
            <w:vMerge w:val="restar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YEAR</w:t>
            </w:r>
          </w:p>
        </w:tc>
        <w:tc>
          <w:tcPr>
            <w:tcW w:w="2850" w:type="dxa"/>
            <w:gridSpan w:val="3"/>
            <w:tcBorders>
              <w:top w:val="single" w:sz="8" w:space="0" w:color="auto"/>
              <w:left w:val="nil"/>
              <w:bottom w:val="single" w:sz="8" w:space="0" w:color="auto"/>
              <w:right w:val="single" w:sz="8" w:space="0" w:color="000000"/>
            </w:tcBorders>
            <w:noWrap/>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b/>
                <w:bCs/>
                <w:color w:val="000000"/>
                <w:sz w:val="20"/>
                <w:szCs w:val="20"/>
              </w:rPr>
              <w:t xml:space="preserve">BOOKBUILDING </w:t>
            </w:r>
          </w:p>
        </w:tc>
        <w:tc>
          <w:tcPr>
            <w:tcW w:w="3350" w:type="dxa"/>
            <w:gridSpan w:val="3"/>
            <w:tcBorders>
              <w:top w:val="single" w:sz="8" w:space="0" w:color="auto"/>
              <w:left w:val="nil"/>
              <w:bottom w:val="single" w:sz="8" w:space="0" w:color="auto"/>
              <w:right w:val="single" w:sz="8" w:space="0" w:color="000000"/>
            </w:tcBorders>
            <w:noWrap/>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b/>
                <w:bCs/>
                <w:color w:val="000000"/>
                <w:sz w:val="20"/>
                <w:szCs w:val="20"/>
              </w:rPr>
              <w:t>FIXED PRICE</w:t>
            </w:r>
          </w:p>
        </w:tc>
        <w:tc>
          <w:tcPr>
            <w:tcW w:w="1955" w:type="dxa"/>
            <w:gridSpan w:val="2"/>
            <w:tcBorders>
              <w:top w:val="single" w:sz="8" w:space="0" w:color="auto"/>
              <w:left w:val="nil"/>
              <w:bottom w:val="single" w:sz="8" w:space="0" w:color="auto"/>
              <w:right w:val="single" w:sz="8" w:space="0" w:color="000000"/>
            </w:tcBorders>
            <w:noWrap/>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b/>
                <w:bCs/>
                <w:color w:val="000000"/>
                <w:sz w:val="20"/>
                <w:szCs w:val="20"/>
              </w:rPr>
              <w:t>TOTAL</w:t>
            </w:r>
          </w:p>
        </w:tc>
      </w:tr>
      <w:tr w:rsidR="007A48B4" w:rsidRPr="007A48B4">
        <w:trPr>
          <w:cantSplit/>
          <w:trHeight w:val="51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7A48B4" w:rsidRPr="007A48B4" w:rsidRDefault="007A48B4" w:rsidP="0021514E">
            <w:pPr>
              <w:rPr>
                <w:rFonts w:ascii="Arial" w:eastAsia="Times New Roman" w:hAnsi="Arial" w:cs="Arial"/>
                <w:color w:val="000000"/>
                <w:sz w:val="20"/>
                <w:szCs w:val="20"/>
              </w:rPr>
            </w:pPr>
          </w:p>
        </w:tc>
        <w:tc>
          <w:tcPr>
            <w:tcW w:w="8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NO.OF</w:t>
            </w:r>
            <w:r w:rsidRPr="007A48B4">
              <w:rPr>
                <w:rFonts w:ascii="Arial" w:eastAsia="Times New Roman" w:hAnsi="Arial" w:cs="Arial"/>
                <w:color w:val="000000"/>
                <w:sz w:val="20"/>
                <w:szCs w:val="20"/>
              </w:rPr>
              <w:br/>
              <w:t>IPOs</w:t>
            </w:r>
          </w:p>
        </w:tc>
        <w:tc>
          <w:tcPr>
            <w:tcW w:w="116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AMOUNT</w:t>
            </w:r>
            <w:r w:rsidRPr="007A48B4">
              <w:rPr>
                <w:rFonts w:ascii="Arial" w:eastAsia="Times New Roman" w:hAnsi="Arial" w:cs="Arial"/>
                <w:color w:val="000000"/>
                <w:sz w:val="20"/>
                <w:szCs w:val="20"/>
              </w:rPr>
              <w:br/>
              <w:t>(Rs.crore)</w:t>
            </w:r>
          </w:p>
        </w:tc>
        <w:tc>
          <w:tcPr>
            <w:tcW w:w="8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NO.OF</w:t>
            </w:r>
            <w:r w:rsidRPr="007A48B4">
              <w:rPr>
                <w:rFonts w:ascii="Arial" w:eastAsia="Times New Roman" w:hAnsi="Arial" w:cs="Arial"/>
                <w:color w:val="000000"/>
                <w:sz w:val="20"/>
                <w:szCs w:val="20"/>
              </w:rPr>
              <w:br/>
              <w:t>IPOs</w:t>
            </w:r>
          </w:p>
        </w:tc>
        <w:tc>
          <w:tcPr>
            <w:tcW w:w="110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AMOUNT</w:t>
            </w:r>
            <w:r w:rsidRPr="007A48B4">
              <w:rPr>
                <w:rFonts w:ascii="Arial" w:eastAsia="Times New Roman" w:hAnsi="Arial" w:cs="Arial"/>
                <w:color w:val="000000"/>
                <w:sz w:val="20"/>
                <w:szCs w:val="20"/>
              </w:rPr>
              <w:br/>
              <w:t>(Rs.crore)</w:t>
            </w:r>
          </w:p>
        </w:tc>
        <w:tc>
          <w:tcPr>
            <w:tcW w:w="12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w:t>
            </w:r>
          </w:p>
        </w:tc>
        <w:tc>
          <w:tcPr>
            <w:tcW w:w="85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NO.OF</w:t>
            </w:r>
            <w:r w:rsidRPr="007A48B4">
              <w:rPr>
                <w:rFonts w:ascii="Arial" w:eastAsia="Times New Roman" w:hAnsi="Arial" w:cs="Arial"/>
                <w:color w:val="000000"/>
                <w:sz w:val="20"/>
                <w:szCs w:val="20"/>
              </w:rPr>
              <w:br/>
              <w:t>IPOs</w:t>
            </w:r>
          </w:p>
        </w:tc>
        <w:tc>
          <w:tcPr>
            <w:tcW w:w="1105"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AMOUNT</w:t>
            </w:r>
            <w:r w:rsidRPr="007A48B4">
              <w:rPr>
                <w:rFonts w:ascii="Arial" w:eastAsia="Times New Roman" w:hAnsi="Arial" w:cs="Arial"/>
                <w:color w:val="000000"/>
                <w:sz w:val="20"/>
                <w:szCs w:val="20"/>
              </w:rPr>
              <w:br/>
              <w:t>(Rs.crore)</w:t>
            </w:r>
          </w:p>
        </w:tc>
      </w:tr>
      <w:tr w:rsidR="007A48B4" w:rsidRPr="007A48B4">
        <w:trPr>
          <w:trHeight w:val="255"/>
          <w:jc w:val="center"/>
        </w:trPr>
        <w:tc>
          <w:tcPr>
            <w:tcW w:w="10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2003-04</w:t>
            </w:r>
          </w:p>
        </w:tc>
        <w:tc>
          <w:tcPr>
            <w:tcW w:w="8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9</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2641.04</w:t>
            </w:r>
          </w:p>
        </w:tc>
        <w:tc>
          <w:tcPr>
            <w:tcW w:w="8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82.8</w:t>
            </w:r>
          </w:p>
        </w:tc>
        <w:tc>
          <w:tcPr>
            <w:tcW w:w="10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10</w:t>
            </w:r>
          </w:p>
        </w:tc>
        <w:tc>
          <w:tcPr>
            <w:tcW w:w="110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550.07</w:t>
            </w:r>
          </w:p>
        </w:tc>
        <w:tc>
          <w:tcPr>
            <w:tcW w:w="12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17.2</w:t>
            </w:r>
          </w:p>
        </w:tc>
        <w:tc>
          <w:tcPr>
            <w:tcW w:w="8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19</w:t>
            </w:r>
          </w:p>
        </w:tc>
        <w:tc>
          <w:tcPr>
            <w:tcW w:w="110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3191.10</w:t>
            </w:r>
          </w:p>
        </w:tc>
      </w:tr>
      <w:tr w:rsidR="007A48B4" w:rsidRPr="007A48B4">
        <w:trPr>
          <w:trHeight w:val="255"/>
          <w:jc w:val="center"/>
        </w:trPr>
        <w:tc>
          <w:tcPr>
            <w:tcW w:w="10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2004-05</w:t>
            </w:r>
          </w:p>
        </w:tc>
        <w:tc>
          <w:tcPr>
            <w:tcW w:w="8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15</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14507.04</w:t>
            </w:r>
          </w:p>
        </w:tc>
        <w:tc>
          <w:tcPr>
            <w:tcW w:w="8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98.9</w:t>
            </w:r>
          </w:p>
        </w:tc>
        <w:tc>
          <w:tcPr>
            <w:tcW w:w="10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8</w:t>
            </w:r>
          </w:p>
        </w:tc>
        <w:tc>
          <w:tcPr>
            <w:tcW w:w="110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155.28</w:t>
            </w:r>
          </w:p>
        </w:tc>
        <w:tc>
          <w:tcPr>
            <w:tcW w:w="12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1.1</w:t>
            </w:r>
          </w:p>
        </w:tc>
        <w:tc>
          <w:tcPr>
            <w:tcW w:w="8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23</w:t>
            </w:r>
          </w:p>
        </w:tc>
        <w:tc>
          <w:tcPr>
            <w:tcW w:w="110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14662.32</w:t>
            </w:r>
          </w:p>
        </w:tc>
      </w:tr>
      <w:tr w:rsidR="007A48B4" w:rsidRPr="007A48B4">
        <w:trPr>
          <w:trHeight w:val="255"/>
          <w:jc w:val="center"/>
        </w:trPr>
        <w:tc>
          <w:tcPr>
            <w:tcW w:w="10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2005-06</w:t>
            </w:r>
          </w:p>
        </w:tc>
        <w:tc>
          <w:tcPr>
            <w:tcW w:w="8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53</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10225.43</w:t>
            </w:r>
          </w:p>
        </w:tc>
        <w:tc>
          <w:tcPr>
            <w:tcW w:w="8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94.7</w:t>
            </w:r>
          </w:p>
        </w:tc>
        <w:tc>
          <w:tcPr>
            <w:tcW w:w="10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23</w:t>
            </w:r>
          </w:p>
        </w:tc>
        <w:tc>
          <w:tcPr>
            <w:tcW w:w="110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572.45</w:t>
            </w:r>
          </w:p>
        </w:tc>
        <w:tc>
          <w:tcPr>
            <w:tcW w:w="12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5.3</w:t>
            </w:r>
          </w:p>
        </w:tc>
        <w:tc>
          <w:tcPr>
            <w:tcW w:w="8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76</w:t>
            </w:r>
          </w:p>
        </w:tc>
        <w:tc>
          <w:tcPr>
            <w:tcW w:w="110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10797.88</w:t>
            </w:r>
          </w:p>
        </w:tc>
      </w:tr>
      <w:tr w:rsidR="007A48B4" w:rsidRPr="007A48B4">
        <w:trPr>
          <w:trHeight w:val="270"/>
          <w:jc w:val="center"/>
        </w:trPr>
        <w:tc>
          <w:tcPr>
            <w:tcW w:w="10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2006-07</w:t>
            </w:r>
          </w:p>
        </w:tc>
        <w:tc>
          <w:tcPr>
            <w:tcW w:w="8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65</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23469.07</w:t>
            </w:r>
          </w:p>
        </w:tc>
        <w:tc>
          <w:tcPr>
            <w:tcW w:w="8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99.0</w:t>
            </w:r>
          </w:p>
        </w:tc>
        <w:tc>
          <w:tcPr>
            <w:tcW w:w="10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11</w:t>
            </w:r>
          </w:p>
        </w:tc>
        <w:tc>
          <w:tcPr>
            <w:tcW w:w="110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237.10</w:t>
            </w:r>
          </w:p>
        </w:tc>
        <w:tc>
          <w:tcPr>
            <w:tcW w:w="12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1.0</w:t>
            </w:r>
          </w:p>
        </w:tc>
        <w:tc>
          <w:tcPr>
            <w:tcW w:w="8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76</w:t>
            </w:r>
          </w:p>
        </w:tc>
        <w:tc>
          <w:tcPr>
            <w:tcW w:w="110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23706.16</w:t>
            </w:r>
          </w:p>
        </w:tc>
      </w:tr>
      <w:tr w:rsidR="007A48B4" w:rsidRPr="007A48B4">
        <w:trPr>
          <w:trHeight w:val="270"/>
          <w:jc w:val="center"/>
        </w:trPr>
        <w:tc>
          <w:tcPr>
            <w:tcW w:w="10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2007-08</w:t>
            </w:r>
          </w:p>
        </w:tc>
        <w:tc>
          <w:tcPr>
            <w:tcW w:w="8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74</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41068.98</w:t>
            </w:r>
          </w:p>
        </w:tc>
        <w:tc>
          <w:tcPr>
            <w:tcW w:w="8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99.4</w:t>
            </w:r>
          </w:p>
        </w:tc>
        <w:tc>
          <w:tcPr>
            <w:tcW w:w="10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10</w:t>
            </w:r>
          </w:p>
        </w:tc>
        <w:tc>
          <w:tcPr>
            <w:tcW w:w="110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254.47</w:t>
            </w:r>
          </w:p>
        </w:tc>
        <w:tc>
          <w:tcPr>
            <w:tcW w:w="12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0.6</w:t>
            </w:r>
          </w:p>
        </w:tc>
        <w:tc>
          <w:tcPr>
            <w:tcW w:w="8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84</w:t>
            </w:r>
          </w:p>
        </w:tc>
        <w:tc>
          <w:tcPr>
            <w:tcW w:w="110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41323.45</w:t>
            </w:r>
          </w:p>
        </w:tc>
      </w:tr>
      <w:tr w:rsidR="007A48B4" w:rsidRPr="007A48B4">
        <w:trPr>
          <w:trHeight w:val="270"/>
          <w:jc w:val="center"/>
        </w:trPr>
        <w:tc>
          <w:tcPr>
            <w:tcW w:w="100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2008-09</w:t>
            </w:r>
          </w:p>
        </w:tc>
        <w:tc>
          <w:tcPr>
            <w:tcW w:w="8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17</w:t>
            </w:r>
          </w:p>
        </w:tc>
        <w:tc>
          <w:tcPr>
            <w:tcW w:w="11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1959.92</w:t>
            </w:r>
          </w:p>
        </w:tc>
        <w:tc>
          <w:tcPr>
            <w:tcW w:w="84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96.4</w:t>
            </w:r>
          </w:p>
        </w:tc>
        <w:tc>
          <w:tcPr>
            <w:tcW w:w="102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4</w:t>
            </w:r>
          </w:p>
        </w:tc>
        <w:tc>
          <w:tcPr>
            <w:tcW w:w="110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74.07</w:t>
            </w:r>
          </w:p>
        </w:tc>
        <w:tc>
          <w:tcPr>
            <w:tcW w:w="122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3.6</w:t>
            </w:r>
          </w:p>
        </w:tc>
        <w:tc>
          <w:tcPr>
            <w:tcW w:w="8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21</w:t>
            </w:r>
          </w:p>
        </w:tc>
        <w:tc>
          <w:tcPr>
            <w:tcW w:w="110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2033.99</w:t>
            </w:r>
          </w:p>
        </w:tc>
      </w:tr>
    </w:tbl>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b/>
          <w:bCs/>
          <w:color w:val="000000"/>
          <w:sz w:val="20"/>
          <w:szCs w:val="20"/>
        </w:rPr>
        <w:t>Open bookbuilding</w:t>
      </w:r>
      <w:r w:rsidRPr="007A48B4">
        <w:rPr>
          <w:rFonts w:ascii="Arial" w:eastAsia="Times New Roman" w:hAnsi="Arial" w:cs="Arial"/>
          <w:color w:val="000000"/>
          <w:sz w:val="20"/>
          <w:szCs w:val="20"/>
        </w:rPr>
        <w:t xml:space="preserve"> </w:t>
      </w:r>
      <w:r w:rsidRPr="007A48B4">
        <w:rPr>
          <w:rFonts w:ascii="Arial" w:eastAsia="Times New Roman" w:hAnsi="Arial" w:cs="Arial"/>
          <w:color w:val="000000"/>
          <w:sz w:val="20"/>
          <w:szCs w:val="20"/>
        </w:rPr>
        <w:br/>
        <w:t xml:space="preserve">In book-built issues, it is mandatory to have an online display of the demand and bids during the bidding period. This is known as open book system. (Under closed book building, the book is not made public and the bidders have to take a call on the price at which they intend to make a bid without having any information on the bids submitted by other bidders). As per SEBI, only electronic facility is allowed to be used in case of book building. </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Price band</w:t>
      </w:r>
      <w:r w:rsidRPr="007A48B4">
        <w:rPr>
          <w:rFonts w:ascii="Arial" w:eastAsia="Times New Roman" w:hAnsi="Arial" w:cs="Arial"/>
          <w:color w:val="000000"/>
          <w:sz w:val="20"/>
          <w:szCs w:val="20"/>
        </w:rPr>
        <w:br/>
        <w:t xml:space="preserve">The offer document may have a floor price for the securities or a price band within which the investors can bid. The spread between the floor and the cap of the price band </w:t>
      </w:r>
      <w:r w:rsidR="008B226F" w:rsidRPr="007A48B4">
        <w:rPr>
          <w:rFonts w:ascii="Arial" w:eastAsia="Times New Roman" w:hAnsi="Arial" w:cs="Arial"/>
          <w:color w:val="000000"/>
          <w:sz w:val="20"/>
          <w:szCs w:val="20"/>
        </w:rPr>
        <w:t>cannot</w:t>
      </w:r>
      <w:r w:rsidRPr="007A48B4">
        <w:rPr>
          <w:rFonts w:ascii="Arial" w:eastAsia="Times New Roman" w:hAnsi="Arial" w:cs="Arial"/>
          <w:color w:val="000000"/>
          <w:sz w:val="20"/>
          <w:szCs w:val="20"/>
        </w:rPr>
        <w:t xml:space="preserve"> be more than 20%. In other words, it means that the cap should not be more than 120% of the floor price. The company decides the price band in consultation with the investment bankers, and typically after undertaking a pre-marketing exercise with some leading QIBs.</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t xml:space="preserve">The price band can have a revision. SEBI requires that any revision in the price band has to be widely disseminated by informing the stock exchanges, by issuing press release and also indicating the change on the relevant website and the terminals of the syndicate members. When the price band is revised, the bidding period has to be extended for a further period of three days, subject to the total bidding period not </w:t>
      </w:r>
      <w:r w:rsidRPr="007A48B4">
        <w:rPr>
          <w:rFonts w:ascii="Arial" w:eastAsia="Times New Roman" w:hAnsi="Arial" w:cs="Arial"/>
          <w:color w:val="000000"/>
          <w:sz w:val="20"/>
          <w:szCs w:val="20"/>
        </w:rPr>
        <w:lastRenderedPageBreak/>
        <w:t>exceeding thirteen days.</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Floor price</w:t>
      </w:r>
      <w:r w:rsidRPr="007A48B4">
        <w:rPr>
          <w:rFonts w:ascii="Arial" w:eastAsia="Times New Roman" w:hAnsi="Arial" w:cs="Arial"/>
          <w:color w:val="000000"/>
          <w:sz w:val="20"/>
          <w:szCs w:val="20"/>
        </w:rPr>
        <w:t xml:space="preserve"> </w:t>
      </w:r>
      <w:r w:rsidRPr="007A48B4">
        <w:rPr>
          <w:rFonts w:ascii="Arial" w:eastAsia="Times New Roman" w:hAnsi="Arial" w:cs="Arial"/>
          <w:color w:val="000000"/>
          <w:sz w:val="20"/>
          <w:szCs w:val="20"/>
        </w:rPr>
        <w:br/>
        <w:t xml:space="preserve">Floor price is the minimum price at which bids can be made. </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Cut-off price</w:t>
      </w:r>
      <w:r w:rsidRPr="007A48B4">
        <w:rPr>
          <w:rFonts w:ascii="Arial" w:eastAsia="Times New Roman" w:hAnsi="Arial" w:cs="Arial"/>
          <w:color w:val="000000"/>
          <w:sz w:val="20"/>
          <w:szCs w:val="20"/>
        </w:rPr>
        <w:br/>
        <w:t>In Book building issue, the issuer is required to indicate either the price band or a floor price in the red herring prospectus. The actual discovered issue price can be any price in the price band or any price above the floor price. This issue price is called “Cut off price”. This is decided by the issuer and LM after considering the book and investors’ appetite for the stock. SEBI (DIP) guidelines permit only retail individual investors to have an option of applying at cut off price.</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Final issue price</w:t>
      </w:r>
      <w:r w:rsidRPr="007A48B4">
        <w:rPr>
          <w:rFonts w:ascii="Arial" w:eastAsia="Times New Roman" w:hAnsi="Arial" w:cs="Arial"/>
          <w:color w:val="000000"/>
          <w:sz w:val="20"/>
          <w:szCs w:val="20"/>
        </w:rPr>
        <w:br/>
        <w:t>The demand at various price levels within the price band is made available on the websites of the designated stock exchanges during the entire tenure of the issue and once the issue closes, the final price is determined by the issuer and made known to the investors.</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 xml:space="preserve">Minimum number of days for which an IPO subscription list has to remain open </w:t>
      </w:r>
      <w:r w:rsidRPr="007A48B4">
        <w:rPr>
          <w:rFonts w:ascii="Arial" w:eastAsia="Times New Roman" w:hAnsi="Arial" w:cs="Arial"/>
          <w:color w:val="000000"/>
          <w:sz w:val="20"/>
          <w:szCs w:val="20"/>
        </w:rPr>
        <w:br/>
        <w:t>In the case of fixed price issues, subscription list for public issues has to remain open for at least 3 working days and not more than 10 working days.</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t xml:space="preserve">In case of bookbuilding issues, the minimum and maximum period for which bidding has to remain open is 3 – 7 working days extendable by 3 days in case of a revision in the price band. </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t xml:space="preserve">The public issue made by an infrastructure company, satisfying the requirements in Clause 2.4.1 (iii) of Chapter II may be kept open for a maximum period of 21 working days. </w:t>
      </w:r>
    </w:p>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21514E">
        <w:rPr>
          <w:rFonts w:ascii="Arial" w:eastAsia="Times New Roman" w:hAnsi="Arial" w:cs="Arial"/>
          <w:b/>
          <w:bCs/>
          <w:color w:val="000000"/>
          <w:u w:val="single"/>
        </w:rPr>
        <w:t>Allocations in an IPO</w:t>
      </w:r>
      <w:r w:rsidRPr="007A48B4">
        <w:rPr>
          <w:rFonts w:ascii="Arial" w:eastAsia="Times New Roman" w:hAnsi="Arial" w:cs="Arial"/>
          <w:b/>
          <w:bCs/>
          <w:color w:val="000000"/>
          <w:u w:val="single"/>
        </w:rPr>
        <w:br/>
      </w:r>
      <w:r w:rsidRPr="007A48B4">
        <w:rPr>
          <w:rFonts w:ascii="Arial" w:eastAsia="Times New Roman" w:hAnsi="Arial" w:cs="Arial"/>
          <w:b/>
          <w:bCs/>
          <w:color w:val="000000"/>
          <w:sz w:val="20"/>
          <w:szCs w:val="20"/>
        </w:rPr>
        <w:br/>
        <w:t>Fixed price IPOs</w:t>
      </w:r>
      <w:r w:rsidRPr="007A48B4">
        <w:rPr>
          <w:rFonts w:ascii="Arial" w:eastAsia="Times New Roman" w:hAnsi="Arial" w:cs="Arial"/>
          <w:color w:val="000000"/>
          <w:sz w:val="20"/>
          <w:szCs w:val="20"/>
        </w:rPr>
        <w:br/>
        <w:t>There are two buckets in the fixed price IPOs: Investors applying for Rs. 1, 00,000 or more and Investors applying for upto Rs.1, 00,000.</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Bookbuilding IPOs</w:t>
      </w:r>
      <w:r w:rsidRPr="007A48B4">
        <w:rPr>
          <w:rFonts w:ascii="Arial" w:eastAsia="Times New Roman" w:hAnsi="Arial" w:cs="Arial"/>
          <w:color w:val="000000"/>
          <w:sz w:val="20"/>
          <w:szCs w:val="20"/>
        </w:rPr>
        <w:br/>
        <w:t xml:space="preserve">In a book built issue, allocation to Retail Individual Investors (RIIs), Non Institutional Investors (NIIs) and Qualified Institutional Buyers (QIBs) is in the ratio of 35:15: 50 respectively. In case the book built issues are made pursuant to the requirement of mandatory allocation of 60% to QIBs in terms of Rule 19(2) (b) of SCRR, the respective figures are 30:10:60. </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Definition of Retail Individual Investors (RIIs)</w:t>
      </w:r>
      <w:r w:rsidRPr="007A48B4">
        <w:rPr>
          <w:rFonts w:ascii="Arial" w:eastAsia="Times New Roman" w:hAnsi="Arial" w:cs="Arial"/>
          <w:color w:val="000000"/>
          <w:sz w:val="20"/>
          <w:szCs w:val="20"/>
        </w:rPr>
        <w:br/>
        <w:t xml:space="preserve">‘Retail individual investor’ means an investor who applies or bids for securities of or for a value of not more than Rs.1, 00,000. </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Definition of Non Institutional Investors (NIIs)</w:t>
      </w:r>
      <w:r w:rsidRPr="007A48B4">
        <w:rPr>
          <w:rFonts w:ascii="Arial" w:eastAsia="Times New Roman" w:hAnsi="Arial" w:cs="Arial"/>
          <w:color w:val="000000"/>
          <w:sz w:val="20"/>
          <w:szCs w:val="20"/>
        </w:rPr>
        <w:br/>
        <w:t xml:space="preserve">All applicants, other than QIBs or individuals applying for less than Rs. 1, 00,000 are considered as NIIs. Typically, this category includes High Net </w:t>
      </w:r>
      <w:r w:rsidR="00140FB0" w:rsidRPr="007A48B4">
        <w:rPr>
          <w:rFonts w:ascii="Arial" w:eastAsia="Times New Roman" w:hAnsi="Arial" w:cs="Arial"/>
          <w:color w:val="000000"/>
          <w:sz w:val="20"/>
          <w:szCs w:val="20"/>
        </w:rPr>
        <w:t>worth</w:t>
      </w:r>
      <w:r w:rsidRPr="007A48B4">
        <w:rPr>
          <w:rFonts w:ascii="Arial" w:eastAsia="Times New Roman" w:hAnsi="Arial" w:cs="Arial"/>
          <w:color w:val="000000"/>
          <w:sz w:val="20"/>
          <w:szCs w:val="20"/>
        </w:rPr>
        <w:t xml:space="preserve"> Individuals (HNIs) and corporate bodies.</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 xml:space="preserve">Definition of Qualified Institutional Buyers (QIBs) </w:t>
      </w:r>
      <w:r w:rsidRPr="007A48B4">
        <w:rPr>
          <w:rFonts w:ascii="Arial" w:eastAsia="Times New Roman" w:hAnsi="Arial" w:cs="Arial"/>
          <w:color w:val="000000"/>
          <w:sz w:val="20"/>
          <w:szCs w:val="20"/>
        </w:rPr>
        <w:br/>
        <w:t>QIBs are those institutional investors who are perceived to possess expertise and the financial strength to evaluate and invest in the capital markets. A QIB is defined by SEBI as</w:t>
      </w:r>
    </w:p>
    <w:tbl>
      <w:tblPr>
        <w:tblW w:w="5000" w:type="pct"/>
        <w:jc w:val="center"/>
        <w:tblCellSpacing w:w="0" w:type="dxa"/>
        <w:tblCellMar>
          <w:left w:w="0" w:type="dxa"/>
          <w:right w:w="0" w:type="dxa"/>
        </w:tblCellMar>
        <w:tblLook w:val="04A0"/>
      </w:tblPr>
      <w:tblGrid>
        <w:gridCol w:w="187"/>
        <w:gridCol w:w="9173"/>
      </w:tblGrid>
      <w:tr w:rsidR="007A48B4" w:rsidRPr="007A48B4">
        <w:trPr>
          <w:tblCellSpacing w:w="0" w:type="dxa"/>
          <w:jc w:val="center"/>
        </w:trPr>
        <w:tc>
          <w:tcPr>
            <w:tcW w:w="100" w:type="pct"/>
            <w:hideMark/>
          </w:tcPr>
          <w:p w:rsidR="007A48B4" w:rsidRPr="007A48B4" w:rsidRDefault="007A48B4" w:rsidP="0021514E">
            <w:pPr>
              <w:rPr>
                <w:rFonts w:ascii="Arial" w:eastAsia="Times New Roman" w:hAnsi="Arial" w:cs="Arial"/>
                <w:color w:val="000000"/>
                <w:sz w:val="20"/>
                <w:szCs w:val="20"/>
              </w:rPr>
            </w:pPr>
            <w:r w:rsidRPr="007A48B4">
              <w:rPr>
                <w:rFonts w:ascii="Arial" w:eastAsia="Times New Roman" w:hAnsi="Arial" w:cs="Arial"/>
                <w:color w:val="000000"/>
                <w:sz w:val="20"/>
                <w:szCs w:val="20"/>
              </w:rPr>
              <w:t>a.</w:t>
            </w:r>
          </w:p>
        </w:tc>
        <w:tc>
          <w:tcPr>
            <w:tcW w:w="4900" w:type="pct"/>
            <w:vAlign w:val="center"/>
            <w:hideMark/>
          </w:tcPr>
          <w:p w:rsidR="007A48B4" w:rsidRPr="007A48B4" w:rsidRDefault="007A48B4" w:rsidP="0021514E">
            <w:pPr>
              <w:rPr>
                <w:rFonts w:ascii="Arial" w:eastAsia="Times New Roman" w:hAnsi="Arial" w:cs="Arial"/>
                <w:color w:val="000000"/>
                <w:sz w:val="20"/>
                <w:szCs w:val="20"/>
              </w:rPr>
            </w:pPr>
            <w:r w:rsidRPr="007A48B4">
              <w:rPr>
                <w:rFonts w:ascii="Arial" w:eastAsia="Times New Roman" w:hAnsi="Arial" w:cs="Arial"/>
                <w:color w:val="000000"/>
                <w:sz w:val="20"/>
                <w:szCs w:val="20"/>
              </w:rPr>
              <w:t>public financial institution as defined in section 4A of the Companies Act, 1956;</w:t>
            </w:r>
          </w:p>
        </w:tc>
      </w:tr>
      <w:tr w:rsidR="007A48B4" w:rsidRPr="007A48B4">
        <w:trPr>
          <w:tblCellSpacing w:w="0" w:type="dxa"/>
          <w:jc w:val="center"/>
        </w:trPr>
        <w:tc>
          <w:tcPr>
            <w:tcW w:w="0" w:type="auto"/>
            <w:hideMark/>
          </w:tcPr>
          <w:p w:rsidR="007A48B4" w:rsidRPr="007A48B4" w:rsidRDefault="007A48B4" w:rsidP="0021514E">
            <w:pPr>
              <w:rPr>
                <w:rFonts w:ascii="Arial" w:eastAsia="Times New Roman" w:hAnsi="Arial" w:cs="Arial"/>
                <w:color w:val="000000"/>
                <w:sz w:val="20"/>
                <w:szCs w:val="20"/>
              </w:rPr>
            </w:pPr>
            <w:r w:rsidRPr="007A48B4">
              <w:rPr>
                <w:rFonts w:ascii="Arial" w:eastAsia="Times New Roman" w:hAnsi="Arial" w:cs="Arial"/>
                <w:color w:val="000000"/>
                <w:sz w:val="20"/>
                <w:szCs w:val="20"/>
              </w:rPr>
              <w:t>b.</w:t>
            </w:r>
          </w:p>
        </w:tc>
        <w:tc>
          <w:tcPr>
            <w:tcW w:w="0" w:type="auto"/>
            <w:vAlign w:val="center"/>
            <w:hideMark/>
          </w:tcPr>
          <w:p w:rsidR="007A48B4" w:rsidRPr="007A48B4" w:rsidRDefault="007A48B4" w:rsidP="0021514E">
            <w:pPr>
              <w:rPr>
                <w:rFonts w:ascii="Arial" w:eastAsia="Times New Roman" w:hAnsi="Arial" w:cs="Arial"/>
                <w:color w:val="000000"/>
                <w:sz w:val="20"/>
                <w:szCs w:val="20"/>
              </w:rPr>
            </w:pPr>
            <w:r w:rsidRPr="007A48B4">
              <w:rPr>
                <w:rFonts w:ascii="Arial" w:eastAsia="Times New Roman" w:hAnsi="Arial" w:cs="Arial"/>
                <w:color w:val="000000"/>
                <w:sz w:val="20"/>
                <w:szCs w:val="20"/>
              </w:rPr>
              <w:t>scheduled commercial banks;</w:t>
            </w:r>
          </w:p>
        </w:tc>
      </w:tr>
      <w:tr w:rsidR="007A48B4" w:rsidRPr="007A48B4">
        <w:trPr>
          <w:tblCellSpacing w:w="0" w:type="dxa"/>
          <w:jc w:val="center"/>
        </w:trPr>
        <w:tc>
          <w:tcPr>
            <w:tcW w:w="0" w:type="auto"/>
            <w:hideMark/>
          </w:tcPr>
          <w:p w:rsidR="007A48B4" w:rsidRPr="007A48B4" w:rsidRDefault="007A48B4" w:rsidP="0021514E">
            <w:pPr>
              <w:rPr>
                <w:rFonts w:ascii="Arial" w:eastAsia="Times New Roman" w:hAnsi="Arial" w:cs="Arial"/>
                <w:color w:val="000000"/>
                <w:sz w:val="20"/>
                <w:szCs w:val="20"/>
              </w:rPr>
            </w:pPr>
            <w:r w:rsidRPr="007A48B4">
              <w:rPr>
                <w:rFonts w:ascii="Arial" w:eastAsia="Times New Roman" w:hAnsi="Arial" w:cs="Arial"/>
                <w:color w:val="000000"/>
                <w:sz w:val="20"/>
                <w:szCs w:val="20"/>
              </w:rPr>
              <w:t>c.</w:t>
            </w:r>
          </w:p>
        </w:tc>
        <w:tc>
          <w:tcPr>
            <w:tcW w:w="0" w:type="auto"/>
            <w:vAlign w:val="center"/>
            <w:hideMark/>
          </w:tcPr>
          <w:p w:rsidR="007A48B4" w:rsidRPr="007A48B4" w:rsidRDefault="007A48B4" w:rsidP="0021514E">
            <w:pPr>
              <w:rPr>
                <w:rFonts w:ascii="Arial" w:eastAsia="Times New Roman" w:hAnsi="Arial" w:cs="Arial"/>
                <w:color w:val="000000"/>
                <w:sz w:val="20"/>
                <w:szCs w:val="20"/>
              </w:rPr>
            </w:pPr>
            <w:r w:rsidRPr="007A48B4">
              <w:rPr>
                <w:rFonts w:ascii="Arial" w:eastAsia="Times New Roman" w:hAnsi="Arial" w:cs="Arial"/>
                <w:color w:val="000000"/>
                <w:sz w:val="20"/>
                <w:szCs w:val="20"/>
              </w:rPr>
              <w:t>mutual funds;</w:t>
            </w:r>
          </w:p>
        </w:tc>
      </w:tr>
      <w:tr w:rsidR="007A48B4" w:rsidRPr="007A48B4">
        <w:trPr>
          <w:tblCellSpacing w:w="0" w:type="dxa"/>
          <w:jc w:val="center"/>
        </w:trPr>
        <w:tc>
          <w:tcPr>
            <w:tcW w:w="0" w:type="auto"/>
            <w:hideMark/>
          </w:tcPr>
          <w:p w:rsidR="007A48B4" w:rsidRPr="007A48B4" w:rsidRDefault="007A48B4" w:rsidP="0021514E">
            <w:pPr>
              <w:rPr>
                <w:rFonts w:ascii="Arial" w:eastAsia="Times New Roman" w:hAnsi="Arial" w:cs="Arial"/>
                <w:color w:val="000000"/>
                <w:sz w:val="20"/>
                <w:szCs w:val="20"/>
              </w:rPr>
            </w:pPr>
            <w:r w:rsidRPr="007A48B4">
              <w:rPr>
                <w:rFonts w:ascii="Arial" w:eastAsia="Times New Roman" w:hAnsi="Arial" w:cs="Arial"/>
                <w:color w:val="000000"/>
                <w:sz w:val="20"/>
                <w:szCs w:val="20"/>
              </w:rPr>
              <w:t>d.</w:t>
            </w:r>
          </w:p>
        </w:tc>
        <w:tc>
          <w:tcPr>
            <w:tcW w:w="0" w:type="auto"/>
            <w:vAlign w:val="center"/>
            <w:hideMark/>
          </w:tcPr>
          <w:p w:rsidR="007A48B4" w:rsidRPr="007A48B4" w:rsidRDefault="007A48B4" w:rsidP="0021514E">
            <w:pPr>
              <w:rPr>
                <w:rFonts w:ascii="Arial" w:eastAsia="Times New Roman" w:hAnsi="Arial" w:cs="Arial"/>
                <w:color w:val="000000"/>
                <w:sz w:val="20"/>
                <w:szCs w:val="20"/>
              </w:rPr>
            </w:pPr>
            <w:r w:rsidRPr="007A48B4">
              <w:rPr>
                <w:rFonts w:ascii="Arial" w:eastAsia="Times New Roman" w:hAnsi="Arial" w:cs="Arial"/>
                <w:color w:val="000000"/>
                <w:sz w:val="20"/>
                <w:szCs w:val="20"/>
              </w:rPr>
              <w:t>foreign institutional investor registered with SEBI;</w:t>
            </w:r>
          </w:p>
        </w:tc>
      </w:tr>
      <w:tr w:rsidR="007A48B4" w:rsidRPr="007A48B4">
        <w:trPr>
          <w:tblCellSpacing w:w="0" w:type="dxa"/>
          <w:jc w:val="center"/>
        </w:trPr>
        <w:tc>
          <w:tcPr>
            <w:tcW w:w="0" w:type="auto"/>
            <w:hideMark/>
          </w:tcPr>
          <w:p w:rsidR="007A48B4" w:rsidRPr="007A48B4" w:rsidRDefault="007A48B4" w:rsidP="0021514E">
            <w:pPr>
              <w:rPr>
                <w:rFonts w:ascii="Arial" w:eastAsia="Times New Roman" w:hAnsi="Arial" w:cs="Arial"/>
                <w:color w:val="000000"/>
                <w:sz w:val="20"/>
                <w:szCs w:val="20"/>
              </w:rPr>
            </w:pPr>
            <w:r w:rsidRPr="007A48B4">
              <w:rPr>
                <w:rFonts w:ascii="Arial" w:eastAsia="Times New Roman" w:hAnsi="Arial" w:cs="Arial"/>
                <w:color w:val="000000"/>
                <w:sz w:val="20"/>
                <w:szCs w:val="20"/>
              </w:rPr>
              <w:lastRenderedPageBreak/>
              <w:t>e.</w:t>
            </w:r>
          </w:p>
        </w:tc>
        <w:tc>
          <w:tcPr>
            <w:tcW w:w="0" w:type="auto"/>
            <w:vAlign w:val="center"/>
            <w:hideMark/>
          </w:tcPr>
          <w:p w:rsidR="007A48B4" w:rsidRPr="007A48B4" w:rsidRDefault="007A48B4" w:rsidP="0021514E">
            <w:pPr>
              <w:rPr>
                <w:rFonts w:ascii="Arial" w:eastAsia="Times New Roman" w:hAnsi="Arial" w:cs="Arial"/>
                <w:color w:val="000000"/>
                <w:sz w:val="20"/>
                <w:szCs w:val="20"/>
              </w:rPr>
            </w:pPr>
            <w:r w:rsidRPr="007A48B4">
              <w:rPr>
                <w:rFonts w:ascii="Arial" w:eastAsia="Times New Roman" w:hAnsi="Arial" w:cs="Arial"/>
                <w:color w:val="000000"/>
                <w:sz w:val="20"/>
                <w:szCs w:val="20"/>
              </w:rPr>
              <w:t>multilateral and bilateral development financial institutions;</w:t>
            </w:r>
          </w:p>
        </w:tc>
      </w:tr>
      <w:tr w:rsidR="007A48B4" w:rsidRPr="007A48B4">
        <w:trPr>
          <w:tblCellSpacing w:w="0" w:type="dxa"/>
          <w:jc w:val="center"/>
        </w:trPr>
        <w:tc>
          <w:tcPr>
            <w:tcW w:w="0" w:type="auto"/>
            <w:hideMark/>
          </w:tcPr>
          <w:p w:rsidR="007A48B4" w:rsidRPr="007A48B4" w:rsidRDefault="007A48B4" w:rsidP="0021514E">
            <w:pPr>
              <w:rPr>
                <w:rFonts w:ascii="Arial" w:eastAsia="Times New Roman" w:hAnsi="Arial" w:cs="Arial"/>
                <w:color w:val="000000"/>
                <w:sz w:val="20"/>
                <w:szCs w:val="20"/>
              </w:rPr>
            </w:pPr>
            <w:r w:rsidRPr="007A48B4">
              <w:rPr>
                <w:rFonts w:ascii="Arial" w:eastAsia="Times New Roman" w:hAnsi="Arial" w:cs="Arial"/>
                <w:color w:val="000000"/>
                <w:sz w:val="20"/>
                <w:szCs w:val="20"/>
              </w:rPr>
              <w:t>f.</w:t>
            </w:r>
          </w:p>
        </w:tc>
        <w:tc>
          <w:tcPr>
            <w:tcW w:w="0" w:type="auto"/>
            <w:vAlign w:val="center"/>
            <w:hideMark/>
          </w:tcPr>
          <w:p w:rsidR="007A48B4" w:rsidRPr="007A48B4" w:rsidRDefault="007A48B4" w:rsidP="0021514E">
            <w:pPr>
              <w:rPr>
                <w:rFonts w:ascii="Arial" w:eastAsia="Times New Roman" w:hAnsi="Arial" w:cs="Arial"/>
                <w:color w:val="000000"/>
                <w:sz w:val="20"/>
                <w:szCs w:val="20"/>
              </w:rPr>
            </w:pPr>
            <w:r w:rsidRPr="007A48B4">
              <w:rPr>
                <w:rFonts w:ascii="Arial" w:eastAsia="Times New Roman" w:hAnsi="Arial" w:cs="Arial"/>
                <w:color w:val="000000"/>
                <w:sz w:val="20"/>
                <w:szCs w:val="20"/>
              </w:rPr>
              <w:t>venture capital funds registered with SEBI.</w:t>
            </w:r>
          </w:p>
        </w:tc>
      </w:tr>
      <w:tr w:rsidR="007A48B4" w:rsidRPr="007A48B4">
        <w:trPr>
          <w:tblCellSpacing w:w="0" w:type="dxa"/>
          <w:jc w:val="center"/>
        </w:trPr>
        <w:tc>
          <w:tcPr>
            <w:tcW w:w="0" w:type="auto"/>
            <w:hideMark/>
          </w:tcPr>
          <w:p w:rsidR="007A48B4" w:rsidRPr="007A48B4" w:rsidRDefault="007A48B4" w:rsidP="0021514E">
            <w:pPr>
              <w:rPr>
                <w:rFonts w:ascii="Arial" w:eastAsia="Times New Roman" w:hAnsi="Arial" w:cs="Arial"/>
                <w:color w:val="000000"/>
                <w:sz w:val="20"/>
                <w:szCs w:val="20"/>
              </w:rPr>
            </w:pPr>
            <w:r w:rsidRPr="007A48B4">
              <w:rPr>
                <w:rFonts w:ascii="Arial" w:eastAsia="Times New Roman" w:hAnsi="Arial" w:cs="Arial"/>
                <w:color w:val="000000"/>
                <w:sz w:val="20"/>
                <w:szCs w:val="20"/>
              </w:rPr>
              <w:t>g.</w:t>
            </w:r>
          </w:p>
        </w:tc>
        <w:tc>
          <w:tcPr>
            <w:tcW w:w="0" w:type="auto"/>
            <w:vAlign w:val="center"/>
            <w:hideMark/>
          </w:tcPr>
          <w:p w:rsidR="007A48B4" w:rsidRPr="007A48B4" w:rsidRDefault="007A48B4" w:rsidP="0021514E">
            <w:pPr>
              <w:rPr>
                <w:rFonts w:ascii="Arial" w:eastAsia="Times New Roman" w:hAnsi="Arial" w:cs="Arial"/>
                <w:color w:val="000000"/>
                <w:sz w:val="20"/>
                <w:szCs w:val="20"/>
              </w:rPr>
            </w:pPr>
            <w:r w:rsidRPr="007A48B4">
              <w:rPr>
                <w:rFonts w:ascii="Arial" w:eastAsia="Times New Roman" w:hAnsi="Arial" w:cs="Arial"/>
                <w:color w:val="000000"/>
                <w:sz w:val="20"/>
                <w:szCs w:val="20"/>
              </w:rPr>
              <w:t>foreign Venture capital investors registered with SEBI.</w:t>
            </w:r>
          </w:p>
        </w:tc>
      </w:tr>
      <w:tr w:rsidR="007A48B4" w:rsidRPr="007A48B4">
        <w:trPr>
          <w:tblCellSpacing w:w="0" w:type="dxa"/>
          <w:jc w:val="center"/>
        </w:trPr>
        <w:tc>
          <w:tcPr>
            <w:tcW w:w="0" w:type="auto"/>
            <w:hideMark/>
          </w:tcPr>
          <w:p w:rsidR="007A48B4" w:rsidRPr="007A48B4" w:rsidRDefault="007A48B4" w:rsidP="0021514E">
            <w:pPr>
              <w:rPr>
                <w:rFonts w:ascii="Arial" w:eastAsia="Times New Roman" w:hAnsi="Arial" w:cs="Arial"/>
                <w:color w:val="000000"/>
                <w:sz w:val="20"/>
                <w:szCs w:val="20"/>
              </w:rPr>
            </w:pPr>
            <w:r w:rsidRPr="007A48B4">
              <w:rPr>
                <w:rFonts w:ascii="Arial" w:eastAsia="Times New Roman" w:hAnsi="Arial" w:cs="Arial"/>
                <w:color w:val="000000"/>
                <w:sz w:val="20"/>
                <w:szCs w:val="20"/>
              </w:rPr>
              <w:t>h.</w:t>
            </w:r>
          </w:p>
        </w:tc>
        <w:tc>
          <w:tcPr>
            <w:tcW w:w="0" w:type="auto"/>
            <w:vAlign w:val="center"/>
            <w:hideMark/>
          </w:tcPr>
          <w:p w:rsidR="007A48B4" w:rsidRPr="007A48B4" w:rsidRDefault="007A48B4" w:rsidP="0021514E">
            <w:pPr>
              <w:rPr>
                <w:rFonts w:ascii="Arial" w:eastAsia="Times New Roman" w:hAnsi="Arial" w:cs="Arial"/>
                <w:color w:val="000000"/>
                <w:sz w:val="20"/>
                <w:szCs w:val="20"/>
              </w:rPr>
            </w:pPr>
            <w:r w:rsidRPr="007A48B4">
              <w:rPr>
                <w:rFonts w:ascii="Arial" w:eastAsia="Times New Roman" w:hAnsi="Arial" w:cs="Arial"/>
                <w:color w:val="000000"/>
                <w:sz w:val="20"/>
                <w:szCs w:val="20"/>
              </w:rPr>
              <w:t>state Industrial Development Corporations.</w:t>
            </w:r>
          </w:p>
        </w:tc>
      </w:tr>
      <w:tr w:rsidR="007A48B4" w:rsidRPr="007A48B4">
        <w:trPr>
          <w:tblCellSpacing w:w="0" w:type="dxa"/>
          <w:jc w:val="center"/>
        </w:trPr>
        <w:tc>
          <w:tcPr>
            <w:tcW w:w="0" w:type="auto"/>
            <w:hideMark/>
          </w:tcPr>
          <w:p w:rsidR="007A48B4" w:rsidRPr="007A48B4" w:rsidRDefault="007A48B4" w:rsidP="0021514E">
            <w:pPr>
              <w:rPr>
                <w:rFonts w:ascii="Arial" w:eastAsia="Times New Roman" w:hAnsi="Arial" w:cs="Arial"/>
                <w:color w:val="000000"/>
                <w:sz w:val="20"/>
                <w:szCs w:val="20"/>
              </w:rPr>
            </w:pPr>
            <w:r w:rsidRPr="007A48B4">
              <w:rPr>
                <w:rFonts w:ascii="Arial" w:eastAsia="Times New Roman" w:hAnsi="Arial" w:cs="Arial"/>
                <w:color w:val="000000"/>
                <w:sz w:val="20"/>
                <w:szCs w:val="20"/>
              </w:rPr>
              <w:t>i.</w:t>
            </w:r>
          </w:p>
        </w:tc>
        <w:tc>
          <w:tcPr>
            <w:tcW w:w="0" w:type="auto"/>
            <w:vAlign w:val="center"/>
            <w:hideMark/>
          </w:tcPr>
          <w:p w:rsidR="007A48B4" w:rsidRPr="007A48B4" w:rsidRDefault="007A48B4" w:rsidP="0021514E">
            <w:pPr>
              <w:rPr>
                <w:rFonts w:ascii="Arial" w:eastAsia="Times New Roman" w:hAnsi="Arial" w:cs="Arial"/>
                <w:color w:val="000000"/>
                <w:sz w:val="20"/>
                <w:szCs w:val="20"/>
              </w:rPr>
            </w:pPr>
            <w:r w:rsidRPr="007A48B4">
              <w:rPr>
                <w:rFonts w:ascii="Arial" w:eastAsia="Times New Roman" w:hAnsi="Arial" w:cs="Arial"/>
                <w:color w:val="000000"/>
                <w:sz w:val="20"/>
                <w:szCs w:val="20"/>
              </w:rPr>
              <w:t>insurance Companies registered with the Insurance Regulatory and Development Authority (IRDA).</w:t>
            </w:r>
          </w:p>
        </w:tc>
      </w:tr>
      <w:tr w:rsidR="007A48B4" w:rsidRPr="007A48B4">
        <w:trPr>
          <w:tblCellSpacing w:w="0" w:type="dxa"/>
          <w:jc w:val="center"/>
        </w:trPr>
        <w:tc>
          <w:tcPr>
            <w:tcW w:w="0" w:type="auto"/>
            <w:hideMark/>
          </w:tcPr>
          <w:p w:rsidR="007A48B4" w:rsidRPr="007A48B4" w:rsidRDefault="007A48B4" w:rsidP="0021514E">
            <w:pPr>
              <w:rPr>
                <w:rFonts w:ascii="Arial" w:eastAsia="Times New Roman" w:hAnsi="Arial" w:cs="Arial"/>
                <w:color w:val="000000"/>
                <w:sz w:val="20"/>
                <w:szCs w:val="20"/>
              </w:rPr>
            </w:pPr>
            <w:r w:rsidRPr="007A48B4">
              <w:rPr>
                <w:rFonts w:ascii="Arial" w:eastAsia="Times New Roman" w:hAnsi="Arial" w:cs="Arial"/>
                <w:color w:val="000000"/>
                <w:sz w:val="20"/>
                <w:szCs w:val="20"/>
              </w:rPr>
              <w:t>j.</w:t>
            </w:r>
          </w:p>
        </w:tc>
        <w:tc>
          <w:tcPr>
            <w:tcW w:w="0" w:type="auto"/>
            <w:vAlign w:val="center"/>
            <w:hideMark/>
          </w:tcPr>
          <w:p w:rsidR="007A48B4" w:rsidRPr="007A48B4" w:rsidRDefault="007A48B4" w:rsidP="0021514E">
            <w:pPr>
              <w:rPr>
                <w:rFonts w:ascii="Arial" w:eastAsia="Times New Roman" w:hAnsi="Arial" w:cs="Arial"/>
                <w:color w:val="000000"/>
                <w:sz w:val="20"/>
                <w:szCs w:val="20"/>
              </w:rPr>
            </w:pPr>
            <w:r w:rsidRPr="007A48B4">
              <w:rPr>
                <w:rFonts w:ascii="Arial" w:eastAsia="Times New Roman" w:hAnsi="Arial" w:cs="Arial"/>
                <w:color w:val="000000"/>
                <w:sz w:val="20"/>
                <w:szCs w:val="20"/>
              </w:rPr>
              <w:t>provident Funds with minimum corpus of Rs. 25 crores</w:t>
            </w:r>
          </w:p>
        </w:tc>
      </w:tr>
      <w:tr w:rsidR="007A48B4" w:rsidRPr="007A48B4">
        <w:trPr>
          <w:tblCellSpacing w:w="0" w:type="dxa"/>
          <w:jc w:val="center"/>
        </w:trPr>
        <w:tc>
          <w:tcPr>
            <w:tcW w:w="0" w:type="auto"/>
            <w:hideMark/>
          </w:tcPr>
          <w:p w:rsidR="007A48B4" w:rsidRPr="007A48B4" w:rsidRDefault="007A48B4" w:rsidP="0021514E">
            <w:pPr>
              <w:rPr>
                <w:rFonts w:ascii="Arial" w:eastAsia="Times New Roman" w:hAnsi="Arial" w:cs="Arial"/>
                <w:color w:val="000000"/>
                <w:sz w:val="20"/>
                <w:szCs w:val="20"/>
              </w:rPr>
            </w:pPr>
            <w:r w:rsidRPr="007A48B4">
              <w:rPr>
                <w:rFonts w:ascii="Arial" w:eastAsia="Times New Roman" w:hAnsi="Arial" w:cs="Arial"/>
                <w:color w:val="000000"/>
                <w:sz w:val="20"/>
                <w:szCs w:val="20"/>
              </w:rPr>
              <w:t>k.</w:t>
            </w:r>
          </w:p>
        </w:tc>
        <w:tc>
          <w:tcPr>
            <w:tcW w:w="0" w:type="auto"/>
            <w:vAlign w:val="center"/>
            <w:hideMark/>
          </w:tcPr>
          <w:p w:rsidR="007A48B4" w:rsidRPr="007A48B4" w:rsidRDefault="007A48B4" w:rsidP="0021514E">
            <w:pPr>
              <w:rPr>
                <w:rFonts w:ascii="Arial" w:eastAsia="Times New Roman" w:hAnsi="Arial" w:cs="Arial"/>
                <w:color w:val="000000"/>
                <w:sz w:val="20"/>
                <w:szCs w:val="20"/>
              </w:rPr>
            </w:pPr>
            <w:r w:rsidRPr="007A48B4">
              <w:rPr>
                <w:rFonts w:ascii="Arial" w:eastAsia="Times New Roman" w:hAnsi="Arial" w:cs="Arial"/>
                <w:color w:val="000000"/>
                <w:sz w:val="20"/>
                <w:szCs w:val="20"/>
              </w:rPr>
              <w:t>pension Funds with minimum corpus of Rs. 25 crores)</w:t>
            </w:r>
          </w:p>
        </w:tc>
      </w:tr>
    </w:tbl>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 xml:space="preserve">These entities are not required to be registered with SEBI as QIBs. Any entities falling under the categories specified above are considered as QIBs for the purpose of participating in primary issuance process. </w:t>
      </w:r>
    </w:p>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21514E">
        <w:rPr>
          <w:rFonts w:ascii="Arial" w:eastAsia="Times New Roman" w:hAnsi="Arial" w:cs="Arial"/>
          <w:b/>
          <w:bCs/>
          <w:color w:val="000000"/>
          <w:u w:val="single"/>
        </w:rPr>
        <w:t>Understanding an offer document</w:t>
      </w:r>
      <w:r w:rsidRPr="007A48B4">
        <w:rPr>
          <w:rFonts w:ascii="Arial" w:eastAsia="Times New Roman" w:hAnsi="Arial" w:cs="Arial"/>
          <w:b/>
          <w:bCs/>
          <w:color w:val="000000"/>
          <w:sz w:val="20"/>
          <w:szCs w:val="20"/>
        </w:rPr>
        <w:br/>
      </w:r>
      <w:r w:rsidRPr="007A48B4">
        <w:rPr>
          <w:rFonts w:ascii="Arial" w:eastAsia="Times New Roman" w:hAnsi="Arial" w:cs="Arial"/>
          <w:b/>
          <w:bCs/>
          <w:color w:val="000000"/>
          <w:sz w:val="20"/>
          <w:szCs w:val="20"/>
        </w:rPr>
        <w:br/>
      </w:r>
      <w:r w:rsidRPr="007A48B4">
        <w:rPr>
          <w:rFonts w:ascii="Arial" w:eastAsia="Times New Roman" w:hAnsi="Arial" w:cs="Arial"/>
          <w:color w:val="000000"/>
          <w:sz w:val="20"/>
          <w:szCs w:val="20"/>
        </w:rPr>
        <w:t>This section basically deals with the contents in an offer document, to enable an investor navigate through it.</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Cover Page</w:t>
      </w:r>
      <w:r w:rsidRPr="007A48B4">
        <w:rPr>
          <w:rFonts w:ascii="Arial" w:eastAsia="Times New Roman" w:hAnsi="Arial" w:cs="Arial"/>
          <w:color w:val="000000"/>
          <w:sz w:val="20"/>
          <w:szCs w:val="20"/>
        </w:rPr>
        <w:br/>
        <w:t>The Cover Page of the offer document covers full contact details of the issuer company, lead managers and registrars, the nature, number, price and amount of instruments offered and issue size, and the particulars regarding listing. Other details such as Credit Rating, risks in relation to the first issue, etc are disclosed if applicable.</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Risk Factors</w:t>
      </w:r>
      <w:r w:rsidRPr="007A48B4">
        <w:rPr>
          <w:rFonts w:ascii="Arial" w:eastAsia="Times New Roman" w:hAnsi="Arial" w:cs="Arial"/>
          <w:color w:val="000000"/>
          <w:sz w:val="20"/>
          <w:szCs w:val="20"/>
        </w:rPr>
        <w:br/>
        <w:t>Here, the issuer’s management gives its view on the Internal and external risks faced by the company. Here, the company also makes a note on the forward looking statements. This information is disclosed in the initial pages of the document and it is also clearly disclosed in the abridged prospectus. It is generally advised that the investors should go through all the risk factors of the company before making an investment decision.</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Introduction</w:t>
      </w:r>
      <w:r w:rsidRPr="007A48B4">
        <w:rPr>
          <w:rFonts w:ascii="Arial" w:eastAsia="Times New Roman" w:hAnsi="Arial" w:cs="Arial"/>
          <w:color w:val="000000"/>
          <w:sz w:val="20"/>
          <w:szCs w:val="20"/>
        </w:rPr>
        <w:br/>
        <w:t>The introduction covers a summary of the industry and business of the issuer company, the offering details in brief, summary of consolidated financial, operating and other data.</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t>General Information about the company, the merchant bankers and their responsibilities, the details of brokers/syndicate members to the Issue, credit rating (in case of debt issue), debenture trustees (in case of debt issue), monitoring agency, book building process in brief and details of underwriting Agreements are given here. Important details of capital structure, objects of the offering, funds requirement, funding plan, schedule of implementation, funds deployed, sources of financing of funds already deployed, sources of financing for the balance fund requirement, interim use of funds, basic terms of issue, basis for issue price, tax benefits are covered.</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About us</w:t>
      </w:r>
      <w:r w:rsidRPr="007A48B4">
        <w:rPr>
          <w:rFonts w:ascii="Arial" w:eastAsia="Times New Roman" w:hAnsi="Arial" w:cs="Arial"/>
          <w:color w:val="000000"/>
          <w:sz w:val="20"/>
          <w:szCs w:val="20"/>
        </w:rPr>
        <w:br/>
        <w:t xml:space="preserve">This presents a review of on the details of the business of the company, business strategy, competitive strengths, insurance, industry-regulation (if applicable), history and corporate structure, main objects, subsidiary details, management and board of directors, compensation, corporate governance, related party transactions, exchange rates, currency of presentation dividend policy and management's discussion and analysis of financial condition and results of operations are given. </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Financial statements</w:t>
      </w:r>
      <w:r w:rsidRPr="007A48B4">
        <w:rPr>
          <w:rFonts w:ascii="Arial" w:eastAsia="Times New Roman" w:hAnsi="Arial" w:cs="Arial"/>
          <w:color w:val="000000"/>
          <w:sz w:val="20"/>
          <w:szCs w:val="20"/>
        </w:rPr>
        <w:br/>
        <w:t>Financial statement, changes in accounting policies in the last three years and differences between the accounting policies and the Indian Accounting Policies (if the Company has presented its Financial Statements also as per Either US GAAP/IAS are presented.</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Legal and other information</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lastRenderedPageBreak/>
        <w:t>Outstanding litigations and material developments, litigations involving the company and its subsidiaries, promoters and group companies are disclosed. Also material developments since the last balance sheet date, government approvals/licensing arrangements, investment approvals (FIPB/RBI etc.), all government and other approvals, technical approvals, indebtedness, etc. are disclosed.</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Other regulatory and statutory disclosures</w:t>
      </w:r>
      <w:r w:rsidRPr="007A48B4">
        <w:rPr>
          <w:rFonts w:ascii="Arial" w:eastAsia="Times New Roman" w:hAnsi="Arial" w:cs="Arial"/>
          <w:color w:val="000000"/>
          <w:sz w:val="20"/>
          <w:szCs w:val="20"/>
        </w:rPr>
        <w:br/>
        <w:t>Under this head, the following information is covered: authority for the Issue, prohibition by SEBI, eligibility of the company to enter the capital market, disclaimer clause, disclaimer in respect of jurisdiction, distribution of information to investors, disclaimer clause of the stock exchanges, listing, impersonation, minimum subscription, letters of allotment or refund orders, consents, expert opinion, changes in the auditors in the last 3 years, expenses of the issue, fees payable to the lead managers, fees payable to the issue management team, fees payable to the registrars, underwriting commission, brokerage and selling commission, previous rights and public issues, previous issues for cash, issues otherwise than for cash, outstanding debentures or bonds, outstanding preference shares, commission and brokerage on, previous issues, capitalization of reserves or profits, option to subscribe in the issue, purchase of property, revaluation of assets, classes of shares, stock market data for equity, shares of the company, promise vis-à-vis performance in the past issues and mechanism for redressal of investor grievances.</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Offering information</w:t>
      </w:r>
      <w:r w:rsidRPr="007A48B4">
        <w:rPr>
          <w:rFonts w:ascii="Arial" w:eastAsia="Times New Roman" w:hAnsi="Arial" w:cs="Arial"/>
          <w:color w:val="000000"/>
          <w:sz w:val="20"/>
          <w:szCs w:val="20"/>
        </w:rPr>
        <w:br/>
        <w:t>Under this head, the following information is covered: Terms of the Issue, ranking of equity shares, mode of payment of dividend, face value and issue price, rights of the equity shareholder, market lot, nomination facility to investor, issue procedure, book building procedure if applicable, bid form, who can bid, maximum and minimum bid size, bidding process, bidding bids at different price levels, escrow mechanism, terms of payment and payment into the escrow collection account, electronic registration of bids, build up of the book and revision of bids, price discovery and allocation, signing of underwriting agreement and filing of prospectus with SEBI/ROC, announcement of statutory advertisement, issuance of confirmation of allocation note("can") and allotment in the issue, designated date, general instructions, instructions for completing the bid form, payment instructions, submission of bid form, other instructions, disposal of application and application moneys, , interest on refund of excess bid amount, basis of allotment or allocation, method of proportionate allotment, dispatch of refund orders, communications, undertaking by the company, utilization of issue proceeds, restrictions on foreign ownership of Indian securities, etc.,</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Other Information</w:t>
      </w:r>
      <w:r w:rsidRPr="007A48B4">
        <w:rPr>
          <w:rFonts w:ascii="Arial" w:eastAsia="Times New Roman" w:hAnsi="Arial" w:cs="Arial"/>
          <w:color w:val="000000"/>
          <w:sz w:val="20"/>
          <w:szCs w:val="20"/>
        </w:rPr>
        <w:br/>
        <w:t>This covers description of equity shares and terms of the Articles of Association, material contracts and documents for inspection, declaration, definitions and abbreviations, etc.,</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Past track record of defaults/economic offences</w:t>
      </w:r>
      <w:r w:rsidRPr="007A48B4">
        <w:rPr>
          <w:rFonts w:ascii="Arial" w:eastAsia="Times New Roman" w:hAnsi="Arial" w:cs="Arial"/>
          <w:color w:val="000000"/>
          <w:sz w:val="20"/>
          <w:szCs w:val="20"/>
        </w:rPr>
        <w:br/>
        <w:t>Investors should also visit www.watchoutinvestors.com, a website aided and sponsored by the Ministry of Company Affairs under its Investor Education &amp; Protection Fund. This website is a national registry of all entities and individuals who have been indicted by various regulators ( like MCA, RBI, SEBI, BSE,NSE etc) for an economic offence and/or for non-compliance laws/guidelines and/or who are no longer in the specified activity.</w:t>
      </w:r>
    </w:p>
    <w:tbl>
      <w:tblPr>
        <w:tblW w:w="5000" w:type="pct"/>
        <w:jc w:val="center"/>
        <w:tblCellSpacing w:w="15" w:type="dxa"/>
        <w:tblCellMar>
          <w:top w:w="15" w:type="dxa"/>
          <w:left w:w="15" w:type="dxa"/>
          <w:bottom w:w="15" w:type="dxa"/>
          <w:right w:w="15" w:type="dxa"/>
        </w:tblCellMar>
        <w:tblLook w:val="04A0"/>
      </w:tblPr>
      <w:tblGrid>
        <w:gridCol w:w="9450"/>
      </w:tblGrid>
      <w:tr w:rsidR="007A48B4" w:rsidRPr="007A48B4">
        <w:trPr>
          <w:tblCellSpacing w:w="15" w:type="dxa"/>
          <w:jc w:val="center"/>
        </w:trPr>
        <w:tc>
          <w:tcPr>
            <w:tcW w:w="0" w:type="auto"/>
            <w:noWrap/>
            <w:hideMark/>
          </w:tcPr>
          <w:tbl>
            <w:tblPr>
              <w:tblW w:w="5000" w:type="pct"/>
              <w:tblCellSpacing w:w="22" w:type="dxa"/>
              <w:tblCellMar>
                <w:left w:w="0" w:type="dxa"/>
                <w:right w:w="0" w:type="dxa"/>
              </w:tblCellMar>
              <w:tblLook w:val="04A0"/>
            </w:tblPr>
            <w:tblGrid>
              <w:gridCol w:w="9360"/>
            </w:tblGrid>
            <w:tr w:rsidR="007A48B4" w:rsidRPr="007A48B4">
              <w:trPr>
                <w:tblCellSpacing w:w="22" w:type="dxa"/>
              </w:trPr>
              <w:tc>
                <w:tcPr>
                  <w:tcW w:w="0" w:type="auto"/>
                  <w:vAlign w:val="center"/>
                  <w:hideMark/>
                </w:tcPr>
                <w:tbl>
                  <w:tblPr>
                    <w:tblW w:w="5000" w:type="pct"/>
                    <w:jc w:val="center"/>
                    <w:tblCellSpacing w:w="0" w:type="dxa"/>
                    <w:tblCellMar>
                      <w:left w:w="0" w:type="dxa"/>
                      <w:right w:w="0" w:type="dxa"/>
                    </w:tblCellMar>
                    <w:tblLook w:val="04A0"/>
                  </w:tblPr>
                  <w:tblGrid>
                    <w:gridCol w:w="9272"/>
                  </w:tblGrid>
                  <w:tr w:rsidR="007A48B4" w:rsidRPr="007A48B4">
                    <w:trPr>
                      <w:tblCellSpacing w:w="0" w:type="dxa"/>
                      <w:jc w:val="center"/>
                    </w:trPr>
                    <w:tc>
                      <w:tcPr>
                        <w:tcW w:w="5000" w:type="pct"/>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2E45C7">
                          <w:rPr>
                            <w:rFonts w:ascii="Arial" w:eastAsia="Times New Roman" w:hAnsi="Arial" w:cs="Arial"/>
                            <w:b/>
                            <w:bCs/>
                            <w:color w:val="000000"/>
                            <w:u w:val="single"/>
                          </w:rPr>
                          <w:t>Applying in an IPO</w:t>
                        </w:r>
                        <w:r w:rsidRPr="007A48B4">
                          <w:rPr>
                            <w:rFonts w:ascii="Arial" w:eastAsia="Times New Roman" w:hAnsi="Arial" w:cs="Arial"/>
                            <w:b/>
                            <w:bCs/>
                            <w:color w:val="000000"/>
                            <w:sz w:val="20"/>
                            <w:szCs w:val="20"/>
                          </w:rPr>
                          <w:br/>
                        </w:r>
                        <w:r w:rsidRPr="007A48B4">
                          <w:rPr>
                            <w:rFonts w:ascii="Arial" w:eastAsia="Times New Roman" w:hAnsi="Arial" w:cs="Arial"/>
                            <w:b/>
                            <w:bCs/>
                            <w:color w:val="000000"/>
                            <w:sz w:val="20"/>
                            <w:szCs w:val="20"/>
                          </w:rPr>
                          <w:br/>
                          <w:t xml:space="preserve">Prerequisites </w:t>
                        </w:r>
                        <w:r w:rsidRPr="007A48B4">
                          <w:rPr>
                            <w:rFonts w:ascii="Arial" w:eastAsia="Times New Roman" w:hAnsi="Arial" w:cs="Arial"/>
                            <w:color w:val="000000"/>
                            <w:sz w:val="20"/>
                            <w:szCs w:val="20"/>
                          </w:rPr>
                          <w:br/>
                          <w:t xml:space="preserve">  </w:t>
                        </w:r>
                      </w:p>
                      <w:tbl>
                        <w:tblPr>
                          <w:tblW w:w="5000" w:type="pct"/>
                          <w:jc w:val="center"/>
                          <w:tblCellSpacing w:w="0" w:type="dxa"/>
                          <w:tblCellMar>
                            <w:left w:w="0" w:type="dxa"/>
                            <w:right w:w="0" w:type="dxa"/>
                          </w:tblCellMar>
                          <w:tblLook w:val="04A0"/>
                        </w:tblPr>
                        <w:tblGrid>
                          <w:gridCol w:w="185"/>
                          <w:gridCol w:w="9087"/>
                        </w:tblGrid>
                        <w:tr w:rsidR="007A48B4" w:rsidRPr="007A48B4">
                          <w:trPr>
                            <w:tblCellSpacing w:w="0" w:type="dxa"/>
                            <w:jc w:val="center"/>
                          </w:trPr>
                          <w:tc>
                            <w:tcPr>
                              <w:tcW w:w="100" w:type="pct"/>
                              <w:vAlign w:val="center"/>
                              <w:hideMark/>
                            </w:tcPr>
                            <w:p w:rsidR="007A48B4" w:rsidRPr="007A48B4" w:rsidRDefault="007A48B4" w:rsidP="0021514E">
                              <w:pPr>
                                <w:rPr>
                                  <w:rFonts w:ascii="Arial" w:eastAsia="Times New Roman" w:hAnsi="Arial" w:cs="Arial"/>
                                  <w:color w:val="000000"/>
                                  <w:sz w:val="20"/>
                                  <w:szCs w:val="20"/>
                                </w:rPr>
                              </w:pPr>
                              <w:r w:rsidRPr="007A48B4">
                                <w:rPr>
                                  <w:rFonts w:ascii="Arial" w:eastAsia="Times New Roman" w:hAnsi="Arial" w:cs="Arial"/>
                                  <w:b/>
                                  <w:bCs/>
                                  <w:color w:val="000000"/>
                                  <w:sz w:val="20"/>
                                  <w:szCs w:val="20"/>
                                </w:rPr>
                                <w:t>1.</w:t>
                              </w:r>
                            </w:p>
                          </w:tc>
                          <w:tc>
                            <w:tcPr>
                              <w:tcW w:w="4900" w:type="pct"/>
                              <w:vAlign w:val="center"/>
                              <w:hideMark/>
                            </w:tcPr>
                            <w:p w:rsidR="007A48B4" w:rsidRPr="007A48B4" w:rsidRDefault="007A48B4" w:rsidP="0021514E">
                              <w:pPr>
                                <w:rPr>
                                  <w:rFonts w:ascii="Arial" w:eastAsia="Times New Roman" w:hAnsi="Arial" w:cs="Arial"/>
                                  <w:color w:val="000000"/>
                                  <w:sz w:val="20"/>
                                  <w:szCs w:val="20"/>
                                </w:rPr>
                              </w:pPr>
                              <w:r w:rsidRPr="007A48B4">
                                <w:rPr>
                                  <w:rFonts w:ascii="Arial" w:eastAsia="Times New Roman" w:hAnsi="Arial" w:cs="Arial"/>
                                  <w:b/>
                                  <w:bCs/>
                                  <w:color w:val="000000"/>
                                  <w:sz w:val="20"/>
                                  <w:szCs w:val="20"/>
                                </w:rPr>
                                <w:t>Demat account</w:t>
                              </w:r>
                            </w:p>
                          </w:tc>
                        </w:tr>
                        <w:tr w:rsidR="007A48B4" w:rsidRPr="007A48B4">
                          <w:trPr>
                            <w:tblCellSpacing w:w="0" w:type="dxa"/>
                            <w:jc w:val="center"/>
                          </w:trPr>
                          <w:tc>
                            <w:tcPr>
                              <w:tcW w:w="0" w:type="auto"/>
                              <w:vAlign w:val="center"/>
                              <w:hideMark/>
                            </w:tcPr>
                            <w:p w:rsidR="007A48B4" w:rsidRPr="007A48B4" w:rsidRDefault="007A48B4" w:rsidP="0021514E">
                              <w:pPr>
                                <w:rPr>
                                  <w:rFonts w:ascii="Arial" w:eastAsia="Times New Roman" w:hAnsi="Arial" w:cs="Arial"/>
                                  <w:color w:val="000000"/>
                                  <w:sz w:val="20"/>
                                  <w:szCs w:val="20"/>
                                </w:rPr>
                              </w:pPr>
                              <w:r w:rsidRPr="007A48B4">
                                <w:rPr>
                                  <w:rFonts w:ascii="Arial" w:eastAsia="Times New Roman" w:hAnsi="Arial" w:cs="Arial"/>
                                  <w:color w:val="000000"/>
                                  <w:sz w:val="20"/>
                                  <w:szCs w:val="20"/>
                                </w:rPr>
                                <w:t> </w:t>
                              </w:r>
                            </w:p>
                          </w:tc>
                          <w:tc>
                            <w:tcPr>
                              <w:tcW w:w="0" w:type="auto"/>
                              <w:vAlign w:val="center"/>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 xml:space="preserve">An investor has the option to apply for and receive the shares in physical form. However, it is advisable to get the allotment in demat form as the shares issued through an IPO are tradable only in the demat form. In any case, for all IPOs of any security of issue size of Rs 10 crore or more, issues </w:t>
                              </w:r>
                              <w:r w:rsidRPr="007A48B4">
                                <w:rPr>
                                  <w:rFonts w:ascii="Arial" w:eastAsia="Times New Roman" w:hAnsi="Arial" w:cs="Arial"/>
                                  <w:color w:val="000000"/>
                                  <w:sz w:val="20"/>
                                  <w:szCs w:val="20"/>
                                </w:rPr>
                                <w:lastRenderedPageBreak/>
                                <w:t xml:space="preserve">have to be compulsorily be only in dematerialized form, while QIBs and large investors (applying for more than Rs. 1,00,000), can apply only in demat form. </w:t>
                              </w:r>
                              <w:r w:rsidRPr="007A48B4">
                                <w:rPr>
                                  <w:rFonts w:ascii="Arial" w:eastAsia="Times New Roman" w:hAnsi="Arial" w:cs="Arial"/>
                                  <w:color w:val="000000"/>
                                  <w:sz w:val="20"/>
                                  <w:szCs w:val="20"/>
                                </w:rPr>
                                <w:br/>
                                <w:t> </w:t>
                              </w:r>
                              <w:r w:rsidRPr="007A48B4">
                                <w:rPr>
                                  <w:rFonts w:ascii="Arial" w:eastAsia="Times New Roman" w:hAnsi="Arial" w:cs="Arial"/>
                                  <w:color w:val="000000"/>
                                  <w:sz w:val="20"/>
                                  <w:szCs w:val="20"/>
                                </w:rPr>
                                <w:br/>
                                <w:t xml:space="preserve">There are two depositories in the country-National Securities Depository Ltd. (NSDL) and Central Depository Services ( India) Ltd. (CDSL) .Both have An extensive network of authorized Depository Participants (DPs). An investor can open a demat account with any of these DPs. </w:t>
                              </w:r>
                              <w:r w:rsidRPr="007A48B4">
                                <w:rPr>
                                  <w:rFonts w:ascii="Arial" w:eastAsia="Times New Roman" w:hAnsi="Arial" w:cs="Arial"/>
                                  <w:color w:val="000000"/>
                                  <w:sz w:val="20"/>
                                  <w:szCs w:val="20"/>
                                </w:rPr>
                                <w:br/>
                                <w:t> </w:t>
                              </w:r>
                              <w:r w:rsidRPr="007A48B4">
                                <w:rPr>
                                  <w:rFonts w:ascii="Arial" w:eastAsia="Times New Roman" w:hAnsi="Arial" w:cs="Arial"/>
                                  <w:color w:val="000000"/>
                                  <w:sz w:val="20"/>
                                  <w:szCs w:val="20"/>
                                </w:rPr>
                                <w:br/>
                                <w:t>The investor should fill in his the correct DP ID and Client ID details in the application forms.</w:t>
                              </w:r>
                              <w:r w:rsidRPr="007A48B4">
                                <w:rPr>
                                  <w:rFonts w:ascii="Arial" w:eastAsia="Times New Roman" w:hAnsi="Arial" w:cs="Arial"/>
                                  <w:color w:val="000000"/>
                                  <w:sz w:val="20"/>
                                  <w:szCs w:val="20"/>
                                </w:rPr>
                                <w:br/>
                                <w:t> </w:t>
                              </w:r>
                            </w:p>
                          </w:tc>
                        </w:tr>
                        <w:tr w:rsidR="007A48B4" w:rsidRPr="007A48B4">
                          <w:trPr>
                            <w:tblCellSpacing w:w="0" w:type="dxa"/>
                            <w:jc w:val="center"/>
                          </w:trPr>
                          <w:tc>
                            <w:tcPr>
                              <w:tcW w:w="0" w:type="auto"/>
                              <w:vAlign w:val="center"/>
                              <w:hideMark/>
                            </w:tcPr>
                            <w:p w:rsidR="007A48B4" w:rsidRPr="007A48B4" w:rsidRDefault="007A48B4" w:rsidP="0021514E">
                              <w:pPr>
                                <w:rPr>
                                  <w:rFonts w:ascii="Arial" w:eastAsia="Times New Roman" w:hAnsi="Arial" w:cs="Arial"/>
                                  <w:color w:val="000000"/>
                                  <w:sz w:val="20"/>
                                  <w:szCs w:val="20"/>
                                </w:rPr>
                              </w:pPr>
                              <w:r w:rsidRPr="007A48B4">
                                <w:rPr>
                                  <w:rFonts w:ascii="Arial" w:eastAsia="Times New Roman" w:hAnsi="Arial" w:cs="Arial"/>
                                  <w:b/>
                                  <w:bCs/>
                                  <w:color w:val="000000"/>
                                  <w:sz w:val="20"/>
                                  <w:szCs w:val="20"/>
                                </w:rPr>
                                <w:lastRenderedPageBreak/>
                                <w:t>2.</w:t>
                              </w:r>
                            </w:p>
                          </w:tc>
                          <w:tc>
                            <w:tcPr>
                              <w:tcW w:w="0" w:type="auto"/>
                              <w:vAlign w:val="center"/>
                              <w:hideMark/>
                            </w:tcPr>
                            <w:p w:rsidR="007A48B4" w:rsidRPr="007A48B4" w:rsidRDefault="007A48B4" w:rsidP="0021514E">
                              <w:pPr>
                                <w:rPr>
                                  <w:rFonts w:ascii="Arial" w:eastAsia="Times New Roman" w:hAnsi="Arial" w:cs="Arial"/>
                                  <w:color w:val="000000"/>
                                  <w:sz w:val="20"/>
                                  <w:szCs w:val="20"/>
                                </w:rPr>
                              </w:pPr>
                              <w:r w:rsidRPr="007A48B4">
                                <w:rPr>
                                  <w:rFonts w:ascii="Arial" w:eastAsia="Times New Roman" w:hAnsi="Arial" w:cs="Arial"/>
                                  <w:b/>
                                  <w:bCs/>
                                  <w:color w:val="000000"/>
                                  <w:sz w:val="20"/>
                                  <w:szCs w:val="20"/>
                                </w:rPr>
                                <w:t>Permanent Account Number (PAN)</w:t>
                              </w:r>
                            </w:p>
                          </w:tc>
                        </w:tr>
                        <w:tr w:rsidR="007A48B4" w:rsidRPr="007A48B4">
                          <w:trPr>
                            <w:tblCellSpacing w:w="0" w:type="dxa"/>
                            <w:jc w:val="center"/>
                          </w:trPr>
                          <w:tc>
                            <w:tcPr>
                              <w:tcW w:w="0" w:type="auto"/>
                              <w:vAlign w:val="center"/>
                              <w:hideMark/>
                            </w:tcPr>
                            <w:p w:rsidR="007A48B4" w:rsidRPr="007A48B4" w:rsidRDefault="007A48B4" w:rsidP="0021514E">
                              <w:pPr>
                                <w:rPr>
                                  <w:rFonts w:ascii="Arial" w:eastAsia="Times New Roman" w:hAnsi="Arial" w:cs="Arial"/>
                                  <w:color w:val="000000"/>
                                  <w:sz w:val="20"/>
                                  <w:szCs w:val="20"/>
                                </w:rPr>
                              </w:pPr>
                              <w:r w:rsidRPr="007A48B4">
                                <w:rPr>
                                  <w:rFonts w:ascii="Arial" w:eastAsia="Times New Roman" w:hAnsi="Arial" w:cs="Arial"/>
                                  <w:color w:val="000000"/>
                                  <w:sz w:val="20"/>
                                  <w:szCs w:val="20"/>
                                </w:rPr>
                                <w:t> </w:t>
                              </w:r>
                            </w:p>
                          </w:tc>
                          <w:tc>
                            <w:tcPr>
                              <w:tcW w:w="0" w:type="auto"/>
                              <w:vAlign w:val="center"/>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Where the bids are for Rs. 50,000 or more, the bidder, or in case of a bid in joint names, each of the bidders, should mention his/her PAN allotted under the Income Tax Act. The copy of PAN card or PAN allotment letter is required to be submitted with the application form. Applications without this information and documents are treated incomplete and are liable to be rejected. (For more details, the investors should read the application form)</w:t>
                              </w:r>
                              <w:r w:rsidRPr="007A48B4">
                                <w:rPr>
                                  <w:rFonts w:ascii="Arial" w:eastAsia="Times New Roman" w:hAnsi="Arial" w:cs="Arial"/>
                                  <w:color w:val="000000"/>
                                  <w:sz w:val="20"/>
                                  <w:szCs w:val="20"/>
                                </w:rPr>
                                <w:br/>
                                <w:t> </w:t>
                              </w:r>
                            </w:p>
                          </w:tc>
                        </w:tr>
                        <w:tr w:rsidR="007A48B4" w:rsidRPr="007A48B4">
                          <w:trPr>
                            <w:tblCellSpacing w:w="0" w:type="dxa"/>
                            <w:jc w:val="center"/>
                          </w:trPr>
                          <w:tc>
                            <w:tcPr>
                              <w:tcW w:w="0" w:type="auto"/>
                              <w:vAlign w:val="center"/>
                              <w:hideMark/>
                            </w:tcPr>
                            <w:p w:rsidR="007A48B4" w:rsidRPr="007A48B4" w:rsidRDefault="007A48B4" w:rsidP="0021514E">
                              <w:pPr>
                                <w:rPr>
                                  <w:rFonts w:ascii="Arial" w:eastAsia="Times New Roman" w:hAnsi="Arial" w:cs="Arial"/>
                                  <w:color w:val="000000"/>
                                  <w:sz w:val="20"/>
                                  <w:szCs w:val="20"/>
                                </w:rPr>
                              </w:pPr>
                              <w:r w:rsidRPr="007A48B4">
                                <w:rPr>
                                  <w:rFonts w:ascii="Arial" w:eastAsia="Times New Roman" w:hAnsi="Arial" w:cs="Arial"/>
                                  <w:b/>
                                  <w:bCs/>
                                  <w:color w:val="000000"/>
                                  <w:sz w:val="20"/>
                                  <w:szCs w:val="20"/>
                                </w:rPr>
                                <w:t>3.</w:t>
                              </w:r>
                            </w:p>
                          </w:tc>
                          <w:tc>
                            <w:tcPr>
                              <w:tcW w:w="0" w:type="auto"/>
                              <w:vAlign w:val="center"/>
                              <w:hideMark/>
                            </w:tcPr>
                            <w:p w:rsidR="007A48B4" w:rsidRPr="007A48B4" w:rsidRDefault="007A48B4" w:rsidP="0021514E">
                              <w:pPr>
                                <w:rPr>
                                  <w:rFonts w:ascii="Arial" w:eastAsia="Times New Roman" w:hAnsi="Arial" w:cs="Arial"/>
                                  <w:color w:val="000000"/>
                                  <w:sz w:val="20"/>
                                  <w:szCs w:val="20"/>
                                </w:rPr>
                              </w:pPr>
                              <w:r w:rsidRPr="007A48B4">
                                <w:rPr>
                                  <w:rFonts w:ascii="Arial" w:eastAsia="Times New Roman" w:hAnsi="Arial" w:cs="Arial"/>
                                  <w:b/>
                                  <w:bCs/>
                                  <w:color w:val="000000"/>
                                  <w:sz w:val="20"/>
                                  <w:szCs w:val="20"/>
                                </w:rPr>
                                <w:t>Bank account/DD</w:t>
                              </w:r>
                            </w:p>
                          </w:tc>
                        </w:tr>
                        <w:tr w:rsidR="007A48B4" w:rsidRPr="007A48B4">
                          <w:trPr>
                            <w:tblCellSpacing w:w="0" w:type="dxa"/>
                            <w:jc w:val="center"/>
                          </w:trPr>
                          <w:tc>
                            <w:tcPr>
                              <w:tcW w:w="0" w:type="auto"/>
                              <w:vAlign w:val="center"/>
                              <w:hideMark/>
                            </w:tcPr>
                            <w:p w:rsidR="007A48B4" w:rsidRPr="007A48B4" w:rsidRDefault="007A48B4" w:rsidP="0021514E">
                              <w:pPr>
                                <w:rPr>
                                  <w:rFonts w:ascii="Arial" w:eastAsia="Times New Roman" w:hAnsi="Arial" w:cs="Arial"/>
                                  <w:color w:val="000000"/>
                                  <w:sz w:val="20"/>
                                  <w:szCs w:val="20"/>
                                </w:rPr>
                              </w:pPr>
                              <w:r w:rsidRPr="007A48B4">
                                <w:rPr>
                                  <w:rFonts w:ascii="Arial" w:eastAsia="Times New Roman" w:hAnsi="Arial" w:cs="Arial"/>
                                  <w:color w:val="000000"/>
                                  <w:sz w:val="20"/>
                                  <w:szCs w:val="20"/>
                                </w:rPr>
                                <w:t> </w:t>
                              </w:r>
                            </w:p>
                          </w:tc>
                          <w:tc>
                            <w:tcPr>
                              <w:tcW w:w="0" w:type="auto"/>
                              <w:vAlign w:val="center"/>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Applications for IPOs are valid only if payment is made through a cheque or a demand draft. Application money cannot be paid in cash.</w:t>
                              </w:r>
                              <w:r w:rsidRPr="007A48B4">
                                <w:rPr>
                                  <w:rFonts w:ascii="Arial" w:eastAsia="Times New Roman" w:hAnsi="Arial" w:cs="Arial"/>
                                  <w:color w:val="000000"/>
                                  <w:sz w:val="20"/>
                                  <w:szCs w:val="20"/>
                                </w:rPr>
                                <w:br/>
                                <w:t> </w:t>
                              </w:r>
                            </w:p>
                          </w:tc>
                        </w:tr>
                        <w:tr w:rsidR="007A48B4" w:rsidRPr="007A48B4">
                          <w:trPr>
                            <w:tblCellSpacing w:w="0" w:type="dxa"/>
                            <w:jc w:val="center"/>
                          </w:trPr>
                          <w:tc>
                            <w:tcPr>
                              <w:tcW w:w="0" w:type="auto"/>
                              <w:gridSpan w:val="2"/>
                              <w:vAlign w:val="center"/>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b/>
                                  <w:bCs/>
                                  <w:color w:val="000000"/>
                                  <w:sz w:val="20"/>
                                  <w:szCs w:val="20"/>
                                </w:rPr>
                                <w:t xml:space="preserve">Process of applying in an IPO </w:t>
                              </w:r>
                              <w:r w:rsidRPr="007A48B4">
                                <w:rPr>
                                  <w:rFonts w:ascii="Arial" w:eastAsia="Times New Roman" w:hAnsi="Arial" w:cs="Arial"/>
                                  <w:color w:val="000000"/>
                                  <w:sz w:val="20"/>
                                  <w:szCs w:val="20"/>
                                </w:rPr>
                                <w:br/>
                                <w:t>An investor needs to first obtain an IPO application form. Forms are normally available from share brokers, lead managers, syndicate members and collecting banks. Application forms can also be picked up from the vendors at major commercial streets in most towns (for example outside the Bombay Stock Exchange)</w:t>
                              </w:r>
                              <w:r w:rsidRPr="007A48B4">
                                <w:rPr>
                                  <w:rFonts w:ascii="Arial" w:eastAsia="Times New Roman" w:hAnsi="Arial" w:cs="Arial"/>
                                  <w:color w:val="000000"/>
                                  <w:sz w:val="20"/>
                                  <w:szCs w:val="20"/>
                                </w:rPr>
                                <w:br/>
                                <w:t> </w:t>
                              </w:r>
                              <w:r w:rsidRPr="007A48B4">
                                <w:rPr>
                                  <w:rFonts w:ascii="Arial" w:eastAsia="Times New Roman" w:hAnsi="Arial" w:cs="Arial"/>
                                  <w:color w:val="000000"/>
                                  <w:sz w:val="20"/>
                                  <w:szCs w:val="20"/>
                                </w:rPr>
                                <w:br/>
                                <w:t>In the case of fixed price issues, the application form along with a cheque/demand draft for the requisite amount has to be deposited with the designated collecting bankers to the issue, whose names and addresses are printed on the application form.</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t>In the case of bookbuilding issues, the application form along with a cheque for the requisite amount has to be deposited with the designated syndicate members of the issue, whose names and addresses are printed on the application form.</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t xml:space="preserve">Application forms should be filled carefully as incomplete/incorrect forms can be rejected due to incomplete details. </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Applying for IPOs on the internet</w:t>
                              </w:r>
                              <w:r w:rsidRPr="007A48B4">
                                <w:rPr>
                                  <w:rFonts w:ascii="Arial" w:eastAsia="Times New Roman" w:hAnsi="Arial" w:cs="Arial"/>
                                  <w:color w:val="000000"/>
                                  <w:sz w:val="20"/>
                                  <w:szCs w:val="20"/>
                                </w:rPr>
                                <w:br/>
                                <w:t>Websites of various brokerage firms now allow the facility to their clients to apply for IPOs online.</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Withdrawal of an application after the closure of an IPO</w:t>
                              </w:r>
                              <w:r w:rsidRPr="007A48B4">
                                <w:rPr>
                                  <w:rFonts w:ascii="Arial" w:eastAsia="Times New Roman" w:hAnsi="Arial" w:cs="Arial"/>
                                  <w:color w:val="000000"/>
                                  <w:sz w:val="20"/>
                                  <w:szCs w:val="20"/>
                                </w:rPr>
                                <w:br/>
                                <w:t>The Indian laws allow for a withdrawal of an application before the date of allotment.</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Proof a bidder can request from a trading member for entering bids</w:t>
                              </w:r>
                              <w:r w:rsidRPr="007A48B4">
                                <w:rPr>
                                  <w:rFonts w:ascii="Arial" w:eastAsia="Times New Roman" w:hAnsi="Arial" w:cs="Arial"/>
                                  <w:color w:val="000000"/>
                                  <w:sz w:val="20"/>
                                  <w:szCs w:val="20"/>
                                </w:rPr>
                                <w:t xml:space="preserve"> </w:t>
                              </w:r>
                              <w:r w:rsidRPr="007A48B4">
                                <w:rPr>
                                  <w:rFonts w:ascii="Arial" w:eastAsia="Times New Roman" w:hAnsi="Arial" w:cs="Arial"/>
                                  <w:color w:val="000000"/>
                                  <w:sz w:val="20"/>
                                  <w:szCs w:val="20"/>
                                </w:rPr>
                                <w:br/>
                                <w:t>The syndicate member returns the counterfoil with the signature, date and stamp of the syndicate member. The investor can retain this as a sufficient proof that the bids have been taken into account.</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Changing/revising the bids</w:t>
                              </w:r>
                              <w:r w:rsidRPr="007A48B4">
                                <w:rPr>
                                  <w:rFonts w:ascii="Arial" w:eastAsia="Times New Roman" w:hAnsi="Arial" w:cs="Arial"/>
                                  <w:color w:val="000000"/>
                                  <w:sz w:val="20"/>
                                  <w:szCs w:val="20"/>
                                </w:rPr>
                                <w:br/>
                                <w:t>The investor can change or revise the quantity or price in the bid using the form for changing/revising the bid that is available along with the application form. However, the entire process of changing of revising the bids should be completed within the date of closure of the issue.</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 xml:space="preserve">Knowing about IPOs currently open or are about to hit the market </w:t>
                              </w:r>
                              <w:r w:rsidRPr="007A48B4">
                                <w:rPr>
                                  <w:rFonts w:ascii="Arial" w:eastAsia="Times New Roman" w:hAnsi="Arial" w:cs="Arial"/>
                                  <w:color w:val="000000"/>
                                  <w:sz w:val="20"/>
                                  <w:szCs w:val="20"/>
                                </w:rPr>
                                <w:br/>
                                <w:t xml:space="preserve">Every week SEBI issues press releases for information of the public, details of offer documents filed with SEBI and observations issued. </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lastRenderedPageBreak/>
                                <w:br/>
                              </w:r>
                              <w:r w:rsidRPr="007A48B4">
                                <w:rPr>
                                  <w:rFonts w:ascii="Arial" w:eastAsia="Times New Roman" w:hAnsi="Arial" w:cs="Arial"/>
                                  <w:b/>
                                  <w:bCs/>
                                  <w:color w:val="000000"/>
                                  <w:sz w:val="20"/>
                                  <w:szCs w:val="20"/>
                                </w:rPr>
                                <w:t>At what price should a retail investor apply?</w:t>
                              </w:r>
                              <w:r w:rsidRPr="007A48B4">
                                <w:rPr>
                                  <w:rFonts w:ascii="Arial" w:eastAsia="Times New Roman" w:hAnsi="Arial" w:cs="Arial"/>
                                  <w:color w:val="000000"/>
                                  <w:sz w:val="20"/>
                                  <w:szCs w:val="20"/>
                                </w:rPr>
                                <w:br/>
                                <w:t xml:space="preserve">A retail investor is not required to make his bid at a specific price. Since he is not able to take a call on the right price, he should use the cut-off option. This would ensure that his application will be considered valid at all prices, including the final price decided by the issuer. For making bids at cut-off price, the payment has to be made at the highest price of the price band. In case a lower price is finalized or in case the investor is an unsuccessful allottee or is allotted lesser shares than applied for, he would get the necessary refund. </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How to improve the chances of allotment in an IPO?</w:t>
                              </w:r>
                              <w:r w:rsidRPr="007A48B4">
                                <w:rPr>
                                  <w:rFonts w:ascii="Arial" w:eastAsia="Times New Roman" w:hAnsi="Arial" w:cs="Arial"/>
                                  <w:color w:val="000000"/>
                                  <w:sz w:val="20"/>
                                  <w:szCs w:val="20"/>
                                </w:rPr>
                                <w:br/>
                                <w:t>As most IPOs get oversubscribed, a retail investor is often disappointed in not getting any allotments or getting miniscule allotments. If an investor has decided on investing in a specific IPO based upon merits, he should commit as much resources as he can to that IPO. He should apply for as many shares as possible, within the limit of Rs.1, 00,000. It would also be worthwhile to apply in the names of all family members, provided all of them are applying from their own accounts and all of them have a valid demat account.</w:t>
                              </w:r>
                            </w:p>
                          </w:tc>
                        </w:tr>
                      </w:tbl>
                      <w:p w:rsidR="007A48B4" w:rsidRPr="007A48B4" w:rsidRDefault="007A48B4" w:rsidP="0021514E">
                        <w:pPr>
                          <w:rPr>
                            <w:rFonts w:ascii="Arial" w:eastAsia="Times New Roman" w:hAnsi="Arial" w:cs="Arial"/>
                            <w:sz w:val="20"/>
                            <w:szCs w:val="20"/>
                          </w:rPr>
                        </w:pPr>
                      </w:p>
                    </w:tc>
                  </w:tr>
                </w:tbl>
                <w:p w:rsidR="007A48B4" w:rsidRPr="007A48B4" w:rsidRDefault="007A48B4" w:rsidP="0021514E">
                  <w:pPr>
                    <w:rPr>
                      <w:rFonts w:ascii="Arial" w:eastAsia="Times New Roman" w:hAnsi="Arial" w:cs="Arial"/>
                      <w:color w:val="000000"/>
                      <w:sz w:val="20"/>
                      <w:szCs w:val="20"/>
                    </w:rPr>
                  </w:pPr>
                </w:p>
              </w:tc>
            </w:tr>
          </w:tbl>
          <w:p w:rsidR="007A48B4" w:rsidRPr="007A48B4" w:rsidRDefault="007A48B4" w:rsidP="0021514E">
            <w:pPr>
              <w:rPr>
                <w:rFonts w:ascii="Arial" w:eastAsia="Times New Roman" w:hAnsi="Arial" w:cs="Arial"/>
                <w:color w:val="000000"/>
                <w:sz w:val="20"/>
                <w:szCs w:val="20"/>
              </w:rPr>
            </w:pPr>
          </w:p>
        </w:tc>
      </w:tr>
    </w:tbl>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2E45C7">
        <w:rPr>
          <w:rFonts w:ascii="Arial" w:eastAsia="Times New Roman" w:hAnsi="Arial" w:cs="Arial"/>
          <w:b/>
          <w:bCs/>
          <w:color w:val="000000"/>
          <w:u w:val="single"/>
        </w:rPr>
        <w:lastRenderedPageBreak/>
        <w:t>Allotments in IPOs</w:t>
      </w:r>
      <w:r w:rsidRPr="007A48B4">
        <w:rPr>
          <w:rFonts w:ascii="Arial" w:eastAsia="Times New Roman" w:hAnsi="Arial" w:cs="Arial"/>
          <w:b/>
          <w:bCs/>
          <w:color w:val="000000"/>
          <w:sz w:val="20"/>
          <w:szCs w:val="20"/>
        </w:rPr>
        <w:br/>
      </w:r>
      <w:r w:rsidRPr="007A48B4">
        <w:rPr>
          <w:rFonts w:ascii="Arial" w:eastAsia="Times New Roman" w:hAnsi="Arial" w:cs="Arial"/>
          <w:b/>
          <w:bCs/>
          <w:color w:val="000000"/>
          <w:sz w:val="20"/>
          <w:szCs w:val="20"/>
        </w:rPr>
        <w:br/>
        <w:t>Firm allotments</w:t>
      </w:r>
      <w:r w:rsidRPr="007A48B4">
        <w:rPr>
          <w:rFonts w:ascii="Arial" w:eastAsia="Times New Roman" w:hAnsi="Arial" w:cs="Arial"/>
          <w:color w:val="000000"/>
          <w:sz w:val="20"/>
          <w:szCs w:val="20"/>
        </w:rPr>
        <w:br/>
        <w:t>A company making an issue to public can reserve some shares on “allotment on firm basis” for some categories as specified in DIP guidelines. Allotment on firm basis indicates that allotment to the investor is on firm basis. DIP guidelines provide for maximum % of shares which can be reserved on firm basis. The shares to be allotted on “firm allotment category” can be issued at a price different from the price at which the net offer to the public is made provided that the price at which the security is being offered to the applicants in firm allotment category is higher than the price at which securities are offered to public.</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Reservations on a competitive basis</w:t>
      </w:r>
      <w:r w:rsidRPr="007A48B4">
        <w:rPr>
          <w:rFonts w:ascii="Arial" w:eastAsia="Times New Roman" w:hAnsi="Arial" w:cs="Arial"/>
          <w:color w:val="000000"/>
          <w:sz w:val="20"/>
          <w:szCs w:val="20"/>
        </w:rPr>
        <w:br/>
        <w:t>Reservation on Competitive Basis is when allotment of shares is made in proportion to the shares applied for by the concerned reserved categories. Reservation on competitive basis can be made in a public issue to the Employees of the company, Shareholders of the promoting companies in the case of a new company and shareholders of group companies in the case of an existing company, Indian Mutual Funds, Foreign Institutional Investors (including non resident Indians and overseas corporate bodies), Indian and Multilateral development Institutions and Scheduled Banks.</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Any preference while doing the allotment?</w:t>
      </w:r>
      <w:r w:rsidRPr="007A48B4">
        <w:rPr>
          <w:rFonts w:ascii="Arial" w:eastAsia="Times New Roman" w:hAnsi="Arial" w:cs="Arial"/>
          <w:color w:val="000000"/>
          <w:sz w:val="20"/>
          <w:szCs w:val="20"/>
        </w:rPr>
        <w:br/>
        <w:t>No, there cannot be any discretion in the allotment process. Prior to the SEBI Circular on DIP Guidelines dated September 19, 2005, the allotment to the Qualified Institutional Buyers (QIBs) was on a discretionary basis. This however has been amended and all allottees are allotted shares on a proportionate basis within their respective categories.</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 xml:space="preserve">Basis of allotment </w:t>
      </w:r>
      <w:r w:rsidRPr="007A48B4">
        <w:rPr>
          <w:rFonts w:ascii="Arial" w:eastAsia="Times New Roman" w:hAnsi="Arial" w:cs="Arial"/>
          <w:color w:val="000000"/>
          <w:sz w:val="20"/>
          <w:szCs w:val="20"/>
        </w:rPr>
        <w:br/>
        <w:t xml:space="preserve">In case of over-subscription in a fixed price issue, the allotment is done on a proportionate basis. </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t xml:space="preserve">In the case of a bookbuilding issue, after its closure, the bids received are aggregated under different categories, such as reserved allotments, Qualified Institutional Buyers (QIBs), Non-Institutional Buyers (NIIs) and Retail Individual Investors. The oversubscription ratios are calculated for each of the categories against the shares reserved for each of the categories in the offer document. Within each of these segments, the bids are segregated into different categories based on the number of shares applied for. The oversubscription ratio is then applied to the number of shares applied for and the number of shares to be allotted for applicants in each of the buckets is determined. Then, the number of successful allottees is determined. </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t xml:space="preserve">In the case of a fixed price issue, after its closure, the applications received are aggregated under two categories; applications below Rs. 1, 00,000 and those above this amount. The oversubscription ratios </w:t>
      </w:r>
      <w:r w:rsidRPr="007A48B4">
        <w:rPr>
          <w:rFonts w:ascii="Arial" w:eastAsia="Times New Roman" w:hAnsi="Arial" w:cs="Arial"/>
          <w:color w:val="000000"/>
          <w:sz w:val="20"/>
          <w:szCs w:val="20"/>
        </w:rPr>
        <w:lastRenderedPageBreak/>
        <w:t>are calculated for each of the categories against the shares reserved for each of the categories in the offer document. Within each of these segments, the bids are segregated into different categories based on the number of shares applied for. The oversubscription ratio is then applied to the number of shares applied for and the number of shares to be allotted for applicants in each of the buckets is determined. Then, the number of successful allottees is determined.</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Number of days for an investor to receive the refund order/allotment advice</w:t>
      </w:r>
      <w:r w:rsidRPr="007A48B4">
        <w:rPr>
          <w:rFonts w:ascii="Arial" w:eastAsia="Times New Roman" w:hAnsi="Arial" w:cs="Arial"/>
          <w:color w:val="000000"/>
          <w:sz w:val="20"/>
          <w:szCs w:val="20"/>
        </w:rPr>
        <w:br/>
        <w:t>Companies are required to finalize the basis of allotment within 30 days from the closure of the issue in case of a fixed price issue and within 15 days from the closure of the issue in case of a book building issue or else they are liable to pay interest at the rate of 15 per cent per annum. The refund orders/allotment advice is dispatched within two working days of finalizing the basis of allotment.</w:t>
      </w:r>
    </w:p>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2E45C7">
        <w:rPr>
          <w:rFonts w:ascii="Arial" w:eastAsia="Times New Roman" w:hAnsi="Arial" w:cs="Arial"/>
          <w:b/>
          <w:bCs/>
          <w:color w:val="000000"/>
          <w:u w:val="single"/>
        </w:rPr>
        <w:t>Listing &amp; Trading</w:t>
      </w:r>
      <w:r w:rsidRPr="007A48B4">
        <w:rPr>
          <w:rFonts w:ascii="Arial" w:eastAsia="Times New Roman" w:hAnsi="Arial" w:cs="Arial"/>
          <w:b/>
          <w:bCs/>
          <w:color w:val="000000"/>
          <w:sz w:val="20"/>
          <w:szCs w:val="20"/>
        </w:rPr>
        <w:br/>
      </w:r>
      <w:r w:rsidRPr="007A48B4">
        <w:rPr>
          <w:rFonts w:ascii="Arial" w:eastAsia="Times New Roman" w:hAnsi="Arial" w:cs="Arial"/>
          <w:b/>
          <w:bCs/>
          <w:color w:val="000000"/>
          <w:sz w:val="20"/>
          <w:szCs w:val="20"/>
        </w:rPr>
        <w:br/>
        <w:t>Number of days for a company to get its securities listed after the issue</w:t>
      </w:r>
      <w:r w:rsidRPr="007A48B4">
        <w:rPr>
          <w:rFonts w:ascii="Arial" w:eastAsia="Times New Roman" w:hAnsi="Arial" w:cs="Arial"/>
          <w:color w:val="000000"/>
          <w:sz w:val="20"/>
          <w:szCs w:val="20"/>
        </w:rPr>
        <w:t xml:space="preserve"> </w:t>
      </w:r>
      <w:r w:rsidRPr="007A48B4">
        <w:rPr>
          <w:rFonts w:ascii="Arial" w:eastAsia="Times New Roman" w:hAnsi="Arial" w:cs="Arial"/>
          <w:color w:val="000000"/>
          <w:sz w:val="20"/>
          <w:szCs w:val="20"/>
        </w:rPr>
        <w:br/>
        <w:t xml:space="preserve">The post-issue lead manager ensures that all steps for completion of the necessary formalities for listing and commencement of trading at all stock exchanges where the securities are to be listed are taken within 7 working days of finalization of basis of allotment. Ideally, it is around 3 weeks after the closure of the book built issue and around 37 days after closure of a fixed price. </w:t>
      </w:r>
    </w:p>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 </w:t>
      </w:r>
    </w:p>
    <w:tbl>
      <w:tblPr>
        <w:tblW w:w="5000" w:type="pct"/>
        <w:tblCellSpacing w:w="22" w:type="dxa"/>
        <w:tblCellMar>
          <w:left w:w="0" w:type="dxa"/>
          <w:right w:w="0" w:type="dxa"/>
        </w:tblCellMar>
        <w:tblLook w:val="04A0"/>
      </w:tblPr>
      <w:tblGrid>
        <w:gridCol w:w="9448"/>
      </w:tblGrid>
      <w:tr w:rsidR="007A48B4" w:rsidRPr="007A48B4">
        <w:trPr>
          <w:tblCellSpacing w:w="22" w:type="dxa"/>
        </w:trPr>
        <w:tc>
          <w:tcPr>
            <w:tcW w:w="0" w:type="auto"/>
            <w:vAlign w:val="center"/>
            <w:hideMark/>
          </w:tcPr>
          <w:tbl>
            <w:tblPr>
              <w:tblW w:w="5000" w:type="pct"/>
              <w:jc w:val="center"/>
              <w:tblCellSpacing w:w="0" w:type="dxa"/>
              <w:tblCellMar>
                <w:left w:w="0" w:type="dxa"/>
                <w:right w:w="0" w:type="dxa"/>
              </w:tblCellMar>
              <w:tblLook w:val="04A0"/>
            </w:tblPr>
            <w:tblGrid>
              <w:gridCol w:w="9360"/>
            </w:tblGrid>
            <w:tr w:rsidR="007A48B4" w:rsidRPr="007A48B4">
              <w:trPr>
                <w:tblCellSpacing w:w="0" w:type="dxa"/>
                <w:jc w:val="center"/>
              </w:trPr>
              <w:tc>
                <w:tcPr>
                  <w:tcW w:w="5000" w:type="pct"/>
                  <w:hideMark/>
                </w:tcPr>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2E45C7">
                    <w:rPr>
                      <w:rFonts w:ascii="Arial" w:eastAsia="Times New Roman" w:hAnsi="Arial" w:cs="Arial"/>
                      <w:b/>
                      <w:bCs/>
                      <w:color w:val="000000"/>
                      <w:u w:val="single"/>
                    </w:rPr>
                    <w:t>Key Intermediaries</w:t>
                  </w:r>
                  <w:r w:rsidRPr="007A48B4">
                    <w:rPr>
                      <w:rFonts w:ascii="Arial" w:eastAsia="Times New Roman" w:hAnsi="Arial" w:cs="Arial"/>
                      <w:b/>
                      <w:bCs/>
                      <w:color w:val="000000"/>
                      <w:sz w:val="20"/>
                      <w:szCs w:val="20"/>
                    </w:rPr>
                    <w:br/>
                  </w:r>
                  <w:r w:rsidRPr="007A48B4">
                    <w:rPr>
                      <w:rFonts w:ascii="Arial" w:eastAsia="Times New Roman" w:hAnsi="Arial" w:cs="Arial"/>
                      <w:b/>
                      <w:bCs/>
                      <w:color w:val="000000"/>
                      <w:sz w:val="20"/>
                      <w:szCs w:val="20"/>
                    </w:rPr>
                    <w:br/>
                    <w:t>Bookrunning Lead Managers/Lead Managers</w:t>
                  </w:r>
                  <w:r w:rsidRPr="007A48B4">
                    <w:rPr>
                      <w:rFonts w:ascii="Arial" w:eastAsia="Times New Roman" w:hAnsi="Arial" w:cs="Arial"/>
                      <w:color w:val="000000"/>
                      <w:sz w:val="20"/>
                      <w:szCs w:val="20"/>
                    </w:rPr>
                    <w:br/>
                    <w:t>A Merchant banker possessing a valid SEBI registration in accordance with the SEBI (Merchant Bankers) Regulations, 1992 is eligible to act as a Book Running Lead Manager to an issue.</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t>In the pre-issue process, the Lead Manager (LM) takes up the due diligence of company’s operations/ management/ business plans/ legal etc. Other activities of the LM include drafting and design of Offer documents, Prospectus, statutory advertisements and memorandum containing salient features of the Prospectus. The BRLMs shall ensure compliance with stipulated requirements and completion of prescribed formalities with the Stock Exchanges, RoC and SEBI including finalization of Prospectus and RoC filing. Appointment of other intermediaries viz., Registrar(s), Printers, Advertising Agency and Bankers to the Offer is also included in the pre-issue processes. The LM also draws up the various marketing strategies for the issue.</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t>The post issue activities including management of escrow accounts, coordinate non-institutional allocation, intimation of allocation and dispatch of refunds to bidders etc are performed by the LM. The post Offer activities for the Offer will involve essential follow-up steps, which include the finalization of trading and dealing of instruments and dispatch of certificates and demat of delivery of shares, with the various agencies connected with the work such as the Registrar(s) to the Offer and Bankers to the Offer and the bank handling refund business. The merchant banker shall be responsible for ensuring that these agencies fulfill their functions and enable it to discharge this responsibility through suitable agreements with the Company.</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Syndicate members</w:t>
                  </w:r>
                  <w:r w:rsidRPr="007A48B4">
                    <w:rPr>
                      <w:rFonts w:ascii="Arial" w:eastAsia="Times New Roman" w:hAnsi="Arial" w:cs="Arial"/>
                      <w:color w:val="000000"/>
                      <w:sz w:val="20"/>
                      <w:szCs w:val="20"/>
                    </w:rPr>
                    <w:t xml:space="preserve"> </w:t>
                  </w:r>
                  <w:r w:rsidRPr="007A48B4">
                    <w:rPr>
                      <w:rFonts w:ascii="Arial" w:eastAsia="Times New Roman" w:hAnsi="Arial" w:cs="Arial"/>
                      <w:color w:val="000000"/>
                      <w:sz w:val="20"/>
                      <w:szCs w:val="20"/>
                    </w:rPr>
                    <w:br/>
                    <w:t>The Book Runner(s) may appoint those intermediaries who are registered with the Board and who are permitted to carry on activity as an ‘Underwriter’ as syndicate members. The syndicate members are mainly appointed to collect and entire the bid forms in a book built issue.</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Registrar</w:t>
                  </w:r>
                  <w:r w:rsidRPr="007A48B4">
                    <w:rPr>
                      <w:rFonts w:ascii="Arial" w:eastAsia="Times New Roman" w:hAnsi="Arial" w:cs="Arial"/>
                      <w:color w:val="000000"/>
                      <w:sz w:val="20"/>
                      <w:szCs w:val="20"/>
                    </w:rPr>
                    <w:br/>
                    <w:t xml:space="preserve">The Registrar finalizes the list of eligible allottees after deleting the invalid applications and ensures that the corporate action for crediting of shares to the demat accounts of the applicants is done and the </w:t>
                  </w:r>
                  <w:r w:rsidRPr="007A48B4">
                    <w:rPr>
                      <w:rFonts w:ascii="Arial" w:eastAsia="Times New Roman" w:hAnsi="Arial" w:cs="Arial"/>
                      <w:color w:val="000000"/>
                      <w:sz w:val="20"/>
                      <w:szCs w:val="20"/>
                    </w:rPr>
                    <w:lastRenderedPageBreak/>
                    <w:t>dispatch of refund orders to those applicable are sent. The Lead manager coordinates with the Registrar to ensure follow up so that that the flow of applications from collecting bank branches, processing of the applications and other matters till the basis of allotment is finalized, dispatch security certificates and refund orders completed and securities listed.</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Bankers to the issue</w:t>
                  </w:r>
                  <w:r w:rsidRPr="007A48B4">
                    <w:rPr>
                      <w:rFonts w:ascii="Arial" w:eastAsia="Times New Roman" w:hAnsi="Arial" w:cs="Arial"/>
                      <w:color w:val="000000"/>
                      <w:sz w:val="20"/>
                      <w:szCs w:val="20"/>
                    </w:rPr>
                    <w:br/>
                    <w:t>Bankers to the issue, as the name suggests, carries out all the activities of ensuring that the funds are collected and transferred to the Escrow accounts. The Lead Merchant Banker shall ensure that Bankers to the Issue are appointed in all the mandatory collection centers as specified in DIP Guidelines. The LM also ensures follow-up with bankers to the issue to get quick estimates of collection and advising the issuer about closure of the issue, based on the correct figures.</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t>The issuer discloses the addresses, telephone/fax numbers and email addresses of these intermediaries. In addition to this, the issuer also discloses the details of the compliance officer appointed by the company for the purpose of the issue.</w:t>
                  </w:r>
                </w:p>
              </w:tc>
            </w:tr>
          </w:tbl>
          <w:p w:rsidR="007A48B4" w:rsidRPr="007A48B4" w:rsidRDefault="007A48B4" w:rsidP="0021514E">
            <w:pPr>
              <w:rPr>
                <w:rFonts w:ascii="Arial" w:eastAsia="Times New Roman" w:hAnsi="Arial" w:cs="Arial"/>
                <w:color w:val="000000"/>
                <w:sz w:val="20"/>
                <w:szCs w:val="20"/>
              </w:rPr>
            </w:pPr>
          </w:p>
        </w:tc>
      </w:tr>
    </w:tbl>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A403DB">
        <w:rPr>
          <w:rFonts w:ascii="Arial" w:eastAsia="Times New Roman" w:hAnsi="Arial" w:cs="Arial"/>
          <w:b/>
          <w:bCs/>
          <w:color w:val="000000"/>
          <w:u w:val="single"/>
        </w:rPr>
        <w:lastRenderedPageBreak/>
        <w:t>Filing Investor Grievances</w:t>
      </w:r>
      <w:r w:rsidRPr="007A48B4">
        <w:rPr>
          <w:rFonts w:ascii="Arial" w:eastAsia="Times New Roman" w:hAnsi="Arial" w:cs="Arial"/>
          <w:b/>
          <w:bCs/>
          <w:color w:val="000000"/>
          <w:sz w:val="20"/>
          <w:szCs w:val="20"/>
        </w:rPr>
        <w:br/>
      </w:r>
      <w:r w:rsidRPr="007A48B4">
        <w:rPr>
          <w:rFonts w:ascii="Arial" w:eastAsia="Times New Roman" w:hAnsi="Arial" w:cs="Arial"/>
          <w:b/>
          <w:bCs/>
          <w:color w:val="000000"/>
          <w:sz w:val="20"/>
          <w:szCs w:val="20"/>
        </w:rPr>
        <w:br/>
      </w:r>
      <w:r w:rsidRPr="007A48B4">
        <w:rPr>
          <w:rFonts w:ascii="Arial" w:eastAsia="Times New Roman" w:hAnsi="Arial" w:cs="Arial"/>
          <w:color w:val="000000"/>
          <w:sz w:val="20"/>
          <w:szCs w:val="20"/>
        </w:rPr>
        <w:t>Most of the issue complaints pertain to non-receipt of refund or allotment, or delay in receipt of refund or allotment and payment of interest thereon. These complaints shall be made to the post issue Lead Manger, who in turn will take up the matter with registrar to redress the complaints. In case the investor does not receive any reply within a reasonable time, investor may complain to SEBI, Office of investors Assistance.</w:t>
      </w:r>
      <w:r w:rsidRPr="007A48B4">
        <w:rPr>
          <w:rFonts w:ascii="Arial" w:eastAsia="Times New Roman" w:hAnsi="Arial" w:cs="Arial"/>
          <w:color w:val="000000"/>
          <w:sz w:val="20"/>
          <w:szCs w:val="20"/>
        </w:rPr>
        <w:br/>
        <w:t> </w:t>
      </w:r>
      <w:r w:rsidRPr="007A48B4">
        <w:rPr>
          <w:rFonts w:ascii="Arial" w:eastAsia="Times New Roman" w:hAnsi="Arial" w:cs="Arial"/>
          <w:color w:val="000000"/>
          <w:sz w:val="20"/>
          <w:szCs w:val="20"/>
        </w:rPr>
        <w:br/>
        <w:t xml:space="preserve">Investors can also lodge their complaints at </w:t>
      </w:r>
      <w:hyperlink r:id="rId5" w:tgtFrame="_blank" w:history="1">
        <w:r w:rsidRPr="00C02CA1">
          <w:rPr>
            <w:rFonts w:ascii="Arial" w:eastAsia="Times New Roman" w:hAnsi="Arial" w:cs="Arial"/>
            <w:color w:val="4477AA"/>
            <w:sz w:val="20"/>
            <w:szCs w:val="20"/>
            <w:u w:val="single"/>
          </w:rPr>
          <w:t>www.investorhelpline.in</w:t>
        </w:r>
      </w:hyperlink>
      <w:r w:rsidRPr="007A48B4">
        <w:rPr>
          <w:rFonts w:ascii="Arial" w:eastAsia="Times New Roman" w:hAnsi="Arial" w:cs="Arial"/>
          <w:color w:val="000000"/>
          <w:sz w:val="20"/>
          <w:szCs w:val="20"/>
        </w:rPr>
        <w:t xml:space="preserve">, a website aided and sponsored by the Ministry of Company Affairs under its Investor Education &amp; Protection Fund. </w:t>
      </w:r>
    </w:p>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 </w:t>
      </w:r>
    </w:p>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2E45C7">
        <w:rPr>
          <w:rFonts w:ascii="Arial" w:eastAsia="Times New Roman" w:hAnsi="Arial" w:cs="Arial"/>
          <w:b/>
          <w:bCs/>
          <w:color w:val="000000"/>
          <w:u w:val="single"/>
        </w:rPr>
        <w:t>Other Aspects</w:t>
      </w:r>
      <w:r w:rsidRPr="007A48B4">
        <w:rPr>
          <w:rFonts w:ascii="Arial" w:eastAsia="Times New Roman" w:hAnsi="Arial" w:cs="Arial"/>
          <w:b/>
          <w:bCs/>
          <w:color w:val="000000"/>
          <w:sz w:val="20"/>
          <w:szCs w:val="20"/>
        </w:rPr>
        <w:br/>
      </w:r>
      <w:r w:rsidRPr="007A48B4">
        <w:rPr>
          <w:rFonts w:ascii="Arial" w:eastAsia="Times New Roman" w:hAnsi="Arial" w:cs="Arial"/>
          <w:b/>
          <w:bCs/>
          <w:color w:val="000000"/>
          <w:sz w:val="20"/>
          <w:szCs w:val="20"/>
        </w:rPr>
        <w:br/>
        <w:t>Lock-in</w:t>
      </w:r>
      <w:r w:rsidRPr="007A48B4">
        <w:rPr>
          <w:rFonts w:ascii="Arial" w:eastAsia="Times New Roman" w:hAnsi="Arial" w:cs="Arial"/>
          <w:color w:val="000000"/>
          <w:sz w:val="20"/>
          <w:szCs w:val="20"/>
        </w:rPr>
        <w:br/>
        <w:t>“Lock-in” indicates a freeze on the shares. SEBI (DIP) Guidelines have stipulated lock-in requirements on shares of promoters mainly to ensure that the promoters or main persons, who are controlling the company, shall continue to hold some minimum percentage in the company after the public issue. The requirements are detailed in Chapter IV of DIP guidelines.</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Promoter</w:t>
      </w:r>
      <w:r w:rsidRPr="007A48B4">
        <w:rPr>
          <w:rFonts w:ascii="Arial" w:eastAsia="Times New Roman" w:hAnsi="Arial" w:cs="Arial"/>
          <w:color w:val="000000"/>
          <w:sz w:val="20"/>
          <w:szCs w:val="20"/>
        </w:rPr>
        <w:br/>
        <w:t xml:space="preserve">The promoter has been defined as a person or persons who are in over-all control of the company, who are instrumental in the formulation of a plan or programme pursuant to which the securities are offered to the public and those named in the prospectus as promoters(s). It may be noted that a director / officer of the issuer company or person, if they are acting as such merely in their professional capacity are not be included in the definition of a promoter. 'Promoter Group' includes the promoter, an immediate relative of the promoter (i.e. any spouse of that person, or any parent, brother, sister or child of the person or of the spouse). In case promoter is a company, a subsidiary or holding company of that company; any company in which the promoter holds 10% or more of the equity capital or which holds 10% or more of the equity capital of the Promoter; any company in which a group of individuals or companies or combinations thereof who holds 20% or more of the equity capital in that company also holds 20% or more of the equity capital of the issuer company. In case the promoter is an individual, any company in which 10% or more of the share capital is held by the promoter or an immediate relative of the promoter' or a firm or HUF in which the 'Promoter' or any one or more of his immediate relative is a member; any company in which a company specified in (i) above, holds 10% or more, of the share capital; any HUF or firm in which the aggregate share of the promoter and his immediate relatives is equal to or more than 10% of the total, and all persons whose shareholding is aggregated for the purpose of disclosing in the prospectus </w:t>
      </w:r>
      <w:r w:rsidRPr="007A48B4">
        <w:rPr>
          <w:rFonts w:ascii="Arial" w:eastAsia="Times New Roman" w:hAnsi="Arial" w:cs="Arial"/>
          <w:color w:val="000000"/>
          <w:sz w:val="20"/>
          <w:szCs w:val="20"/>
        </w:rPr>
        <w:lastRenderedPageBreak/>
        <w:t>"shareholding of the promoter group"</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t>The details are provided in the explanatory notes to Clause 6.4.2 of the SEBI (DIP) Guidelines on Notes to Capital Structure.</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Promoter's contribution and lock-in</w:t>
      </w:r>
      <w:r w:rsidRPr="007A48B4">
        <w:rPr>
          <w:rFonts w:ascii="Arial" w:eastAsia="Times New Roman" w:hAnsi="Arial" w:cs="Arial"/>
          <w:color w:val="000000"/>
          <w:sz w:val="20"/>
          <w:szCs w:val="20"/>
        </w:rPr>
        <w:t xml:space="preserve"> </w:t>
      </w:r>
      <w:r w:rsidRPr="007A48B4">
        <w:rPr>
          <w:rFonts w:ascii="Arial" w:eastAsia="Times New Roman" w:hAnsi="Arial" w:cs="Arial"/>
          <w:color w:val="000000"/>
          <w:sz w:val="20"/>
          <w:szCs w:val="20"/>
        </w:rPr>
        <w:br/>
        <w:t xml:space="preserve">In case of an IPO, the promoters have to necessarily offer at least 20 per cent of the post issue capital. In case of public issues by listed companies, the promoters shall participate either to the extent of 20 per cent of the proposed issue or ensure post-issue share holding to the extent of 20 per cent of the post-issue capital. </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t>In case of any issue of capital to the public the minimum contribution of promoters shall be locked in for a period of three years, both for an IPO and public issue by listed companies. In case of an IPO, if the promoters' contribution in the proposed issue exceeds the required minimum contribution, such excess contribution shall also be locked in for a period of one year. In addition, the entire pre-issue share capital, or paid up share capital prior to IPO, and shares issued on a firm allotment basis along with issue shall be locked-in for a period of one year from the date of allotment in public issue.</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Greenshoe option</w:t>
      </w:r>
      <w:r w:rsidRPr="007A48B4">
        <w:rPr>
          <w:rFonts w:ascii="Arial" w:eastAsia="Times New Roman" w:hAnsi="Arial" w:cs="Arial"/>
          <w:color w:val="000000"/>
          <w:sz w:val="20"/>
          <w:szCs w:val="20"/>
        </w:rPr>
        <w:t xml:space="preserve"> </w:t>
      </w:r>
      <w:r w:rsidRPr="007A48B4">
        <w:rPr>
          <w:rFonts w:ascii="Arial" w:eastAsia="Times New Roman" w:hAnsi="Arial" w:cs="Arial"/>
          <w:color w:val="000000"/>
          <w:sz w:val="20"/>
          <w:szCs w:val="20"/>
        </w:rPr>
        <w:br/>
        <w:t>A Green Shoe option means an option of allocating shares in excess of the shares included in the public issue and operating a post-listing price stabilizing mechanism for a period not exceeding 30 days in accordance with the provisions of Chapter VIIIA of DIP Guidelines, which is granted to a company to be exercised through a Stabilizing Agent. This is an arrangement wherein the issue would be over allotted to the extent of a maximum of 15% of the issue size. From an investor’s perspective, an issue with green shoe option provides more probability of getting shares and also that post listing price may show relatively more stability as compared to market.</w:t>
      </w:r>
      <w:r w:rsidRPr="007A48B4">
        <w:rPr>
          <w:rFonts w:ascii="Arial" w:eastAsia="Times New Roman" w:hAnsi="Arial" w:cs="Arial"/>
          <w:color w:val="000000"/>
          <w:sz w:val="20"/>
          <w:szCs w:val="20"/>
        </w:rPr>
        <w:br/>
        <w:t> </w:t>
      </w:r>
      <w:r w:rsidRPr="007A48B4">
        <w:rPr>
          <w:rFonts w:ascii="Arial" w:eastAsia="Times New Roman" w:hAnsi="Arial" w:cs="Arial"/>
          <w:color w:val="000000"/>
          <w:sz w:val="20"/>
          <w:szCs w:val="20"/>
        </w:rPr>
        <w:br/>
        <w:t xml:space="preserve">The name comes from the fact that Green Shoe Company was the first to issue this type of option. </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Safety net</w:t>
      </w:r>
      <w:r w:rsidRPr="007A48B4">
        <w:rPr>
          <w:rFonts w:ascii="Arial" w:eastAsia="Times New Roman" w:hAnsi="Arial" w:cs="Arial"/>
          <w:color w:val="000000"/>
          <w:sz w:val="20"/>
          <w:szCs w:val="20"/>
        </w:rPr>
        <w:br/>
        <w:t xml:space="preserve">Any safety net scheme or buy-back arrangements of the shares proposed in any public issue shall be finalized by an issuer company with the lead merchant banker in advance and disclosed in the prospectus. Such buy back or safety net arrangements shall be made available only to all original resident individual allottees limited up to a maximum of 1000 shares per allottee and the offer is kept open for a period of 6 months from the last date of dispatch of securities. </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i/>
          <w:iCs/>
          <w:color w:val="000000"/>
          <w:sz w:val="20"/>
          <w:szCs w:val="20"/>
        </w:rPr>
        <w:t>Underwriting</w:t>
      </w:r>
      <w:r w:rsidRPr="007A48B4">
        <w:rPr>
          <w:rFonts w:ascii="Arial" w:eastAsia="Times New Roman" w:hAnsi="Arial" w:cs="Arial"/>
          <w:color w:val="000000"/>
          <w:sz w:val="20"/>
          <w:szCs w:val="20"/>
        </w:rPr>
        <w:t xml:space="preserve"> </w:t>
      </w:r>
      <w:r w:rsidRPr="007A48B4">
        <w:rPr>
          <w:rFonts w:ascii="Arial" w:eastAsia="Times New Roman" w:hAnsi="Arial" w:cs="Arial"/>
          <w:color w:val="000000"/>
          <w:sz w:val="20"/>
          <w:szCs w:val="20"/>
        </w:rPr>
        <w:br/>
        <w:t>There are two types of underwriting.</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i/>
          <w:iCs/>
          <w:color w:val="000000"/>
          <w:sz w:val="20"/>
          <w:szCs w:val="20"/>
        </w:rPr>
        <w:t>Hard underwriting</w:t>
      </w:r>
      <w:r w:rsidRPr="007A48B4">
        <w:rPr>
          <w:rFonts w:ascii="Arial" w:eastAsia="Times New Roman" w:hAnsi="Arial" w:cs="Arial"/>
          <w:color w:val="000000"/>
          <w:sz w:val="20"/>
          <w:szCs w:val="20"/>
        </w:rPr>
        <w:br/>
        <w:t>Hard underwriting is when an underwriter agrees to buy his commitment at its earliest stage. The underwriter guarantees a fixed amount to the issuer from the issue. Thus, in case the shares are not subscribed by investors, the issue is devolved on underwriters and they have to bring in the amount by subscribing to the shares. The underwriter bears a risk which is much higher in soft underwriting.</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i/>
          <w:iCs/>
          <w:color w:val="000000"/>
          <w:sz w:val="20"/>
          <w:szCs w:val="20"/>
        </w:rPr>
        <w:t>Soft underwriting</w:t>
      </w:r>
      <w:r w:rsidRPr="007A48B4">
        <w:rPr>
          <w:rFonts w:ascii="Arial" w:eastAsia="Times New Roman" w:hAnsi="Arial" w:cs="Arial"/>
          <w:color w:val="000000"/>
          <w:sz w:val="20"/>
          <w:szCs w:val="20"/>
        </w:rPr>
        <w:br/>
        <w:t>Soft underwriting is when an underwriter agrees to buy the shares at later stages as soon as the pricing process is complete. He then, immediately places those shares with institutional players. The risk faced by the underwriter as such is reduced to a small window of time. Also, the soft underwriter has the option to invoke a force Majeure (acts of God) clause in case there are certain factors beyond the control that can affect the underwriter’s ability to place the shares with the buyers.</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Primary capital market</w:t>
      </w:r>
      <w:r w:rsidRPr="007A48B4">
        <w:rPr>
          <w:rFonts w:ascii="Arial" w:eastAsia="Times New Roman" w:hAnsi="Arial" w:cs="Arial"/>
          <w:color w:val="000000"/>
          <w:sz w:val="20"/>
          <w:szCs w:val="20"/>
        </w:rPr>
        <w:t xml:space="preserve"> </w:t>
      </w:r>
      <w:r w:rsidRPr="007A48B4">
        <w:rPr>
          <w:rFonts w:ascii="Arial" w:eastAsia="Times New Roman" w:hAnsi="Arial" w:cs="Arial"/>
          <w:color w:val="000000"/>
          <w:sz w:val="20"/>
          <w:szCs w:val="20"/>
        </w:rPr>
        <w:br/>
        <w:t xml:space="preserve">Sale of securities by the company or its promoters through an IPO or an FPO or through rights issue is referred to as primary capital market. The shares are issued by the company to the investors against </w:t>
      </w:r>
      <w:r w:rsidRPr="007A48B4">
        <w:rPr>
          <w:rFonts w:ascii="Arial" w:eastAsia="Times New Roman" w:hAnsi="Arial" w:cs="Arial"/>
          <w:color w:val="000000"/>
          <w:sz w:val="20"/>
          <w:szCs w:val="20"/>
        </w:rPr>
        <w:lastRenderedPageBreak/>
        <w:t>applications</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t>In the secondary market transactions, an investor purchases shares from another investor</w:t>
      </w:r>
    </w:p>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2E45C7">
        <w:rPr>
          <w:rFonts w:ascii="Arial" w:eastAsia="Times New Roman" w:hAnsi="Arial" w:cs="Arial"/>
          <w:b/>
          <w:bCs/>
          <w:color w:val="000000"/>
          <w:u w:val="single"/>
        </w:rPr>
        <w:t>Frequently Asked Questions on IPO Grading</w:t>
      </w:r>
      <w:r w:rsidRPr="007A48B4">
        <w:rPr>
          <w:rFonts w:ascii="Arial" w:eastAsia="Times New Roman" w:hAnsi="Arial" w:cs="Arial"/>
          <w:b/>
          <w:bCs/>
          <w:color w:val="000000"/>
          <w:sz w:val="20"/>
          <w:szCs w:val="20"/>
        </w:rPr>
        <w:br/>
      </w:r>
      <w:r w:rsidRPr="007A48B4">
        <w:rPr>
          <w:rFonts w:ascii="Arial" w:eastAsia="Times New Roman" w:hAnsi="Arial" w:cs="Arial"/>
          <w:b/>
          <w:bCs/>
          <w:color w:val="000000"/>
          <w:sz w:val="20"/>
          <w:szCs w:val="20"/>
        </w:rPr>
        <w:br/>
      </w:r>
      <w:r w:rsidRPr="007A48B4">
        <w:rPr>
          <w:rFonts w:ascii="Arial" w:eastAsia="Times New Roman" w:hAnsi="Arial" w:cs="Arial"/>
          <w:color w:val="000000"/>
          <w:sz w:val="20"/>
          <w:szCs w:val="20"/>
        </w:rPr>
        <w:t xml:space="preserve">All details regarding operational aspects of IPO grading like, grading methodology, validity of grading, scope of grading etc, as given below are based on the information obtained from the Credit Rating Agencies(CRAs) (including their FAQs) and are meant only for general informational purpose regarding the overall functioning of the IPO Grading system. </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t>Specific details regarding IPO grading may be obtained directly from the respective Credit Rating Agencies.</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What is ‘IPO Grading’?</w:t>
      </w:r>
      <w:r w:rsidRPr="007A48B4">
        <w:rPr>
          <w:rFonts w:ascii="Arial" w:eastAsia="Times New Roman" w:hAnsi="Arial" w:cs="Arial"/>
          <w:color w:val="000000"/>
          <w:sz w:val="20"/>
          <w:szCs w:val="20"/>
        </w:rPr>
        <w:br/>
        <w:t xml:space="preserve">IPO grading is the grade assigned by a Credit Rating Agency registered with SEBI, to the initial public offering (IPO) of equity shares or any other security which may be converted into or exchanged with equity shares at a later date. The grade represents a relative assessment of the fundamentals of that issue in relation to the other listed equity securities in India. Such grading is generally assigned on a five-point point scale with a higher score indicating stronger fundamentals and vice versa as below. </w:t>
      </w:r>
    </w:p>
    <w:p w:rsidR="007A48B4" w:rsidRPr="007A48B4" w:rsidRDefault="007A48B4" w:rsidP="0021514E">
      <w:pPr>
        <w:spacing w:beforeAutospacing="1"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IPO grade 1: Poor fundamentals</w:t>
      </w:r>
      <w:r w:rsidRPr="007A48B4">
        <w:rPr>
          <w:rFonts w:ascii="Arial" w:eastAsia="Times New Roman" w:hAnsi="Arial" w:cs="Arial"/>
          <w:color w:val="000000"/>
          <w:sz w:val="20"/>
          <w:szCs w:val="20"/>
        </w:rPr>
        <w:br/>
        <w:t>IPO grade 2: Below-average fundamentals</w:t>
      </w:r>
      <w:r w:rsidRPr="007A48B4">
        <w:rPr>
          <w:rFonts w:ascii="Arial" w:eastAsia="Times New Roman" w:hAnsi="Arial" w:cs="Arial"/>
          <w:color w:val="000000"/>
          <w:sz w:val="20"/>
          <w:szCs w:val="20"/>
        </w:rPr>
        <w:br/>
        <w:t>IPO grade 3: Average fundamentals</w:t>
      </w:r>
      <w:r w:rsidRPr="007A48B4">
        <w:rPr>
          <w:rFonts w:ascii="Arial" w:eastAsia="Times New Roman" w:hAnsi="Arial" w:cs="Arial"/>
          <w:color w:val="000000"/>
          <w:sz w:val="20"/>
          <w:szCs w:val="20"/>
        </w:rPr>
        <w:br/>
        <w:t>IPO grade 4: Above-average fundamentals</w:t>
      </w:r>
      <w:r w:rsidRPr="007A48B4">
        <w:rPr>
          <w:rFonts w:ascii="Arial" w:eastAsia="Times New Roman" w:hAnsi="Arial" w:cs="Arial"/>
          <w:color w:val="000000"/>
          <w:sz w:val="20"/>
          <w:szCs w:val="20"/>
        </w:rPr>
        <w:br/>
        <w:t>IPO grade 5: Strong fundamentals</w:t>
      </w:r>
    </w:p>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IPO grading has been introduced as an endeavor to make additional information available for the investors in order to facilitate their assessment of equity issues offered through an IPO.</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I am an issuer. By when am I required to obtain the grade for the IPO?</w:t>
      </w:r>
      <w:r w:rsidRPr="007A48B4">
        <w:rPr>
          <w:rFonts w:ascii="Arial" w:eastAsia="Times New Roman" w:hAnsi="Arial" w:cs="Arial"/>
          <w:b/>
          <w:bCs/>
          <w:color w:val="000000"/>
          <w:sz w:val="20"/>
          <w:szCs w:val="20"/>
        </w:rPr>
        <w:br/>
      </w:r>
      <w:r w:rsidRPr="007A48B4">
        <w:rPr>
          <w:rFonts w:ascii="Arial" w:eastAsia="Times New Roman" w:hAnsi="Arial" w:cs="Arial"/>
          <w:color w:val="000000"/>
          <w:sz w:val="20"/>
          <w:szCs w:val="20"/>
        </w:rPr>
        <w:t>IPO grading can be done either before filing the draft offer documents with SEBI or thereafter. However, the Prospectus/Red Herring Prospectus, as the case may be, must contain the grade/s given to the IPO by all CRAs approached by the company for grading such IPO. Further information regarding the grading process may be obtained from the Credit Rating Agencies</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Who bears the cost of the IPO grading process?</w:t>
      </w:r>
      <w:r w:rsidRPr="007A48B4">
        <w:rPr>
          <w:rFonts w:ascii="Arial" w:eastAsia="Times New Roman" w:hAnsi="Arial" w:cs="Arial"/>
          <w:color w:val="000000"/>
          <w:sz w:val="20"/>
          <w:szCs w:val="20"/>
        </w:rPr>
        <w:br/>
        <w:t>The company desirous of making the IPO is required to bear the expenses incurred for grading such IPO.</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Is grading optional?</w:t>
      </w:r>
      <w:r w:rsidRPr="007A48B4">
        <w:rPr>
          <w:rFonts w:ascii="Arial" w:eastAsia="Times New Roman" w:hAnsi="Arial" w:cs="Arial"/>
          <w:color w:val="000000"/>
          <w:sz w:val="20"/>
          <w:szCs w:val="20"/>
        </w:rPr>
        <w:br/>
        <w:t>No, IPO grading is not optional. A company which has filed the draft offer document for its IPO with SEBI, on or after 1st May, 2007, is required to obtain a grade for the IPO from at least one CRA.</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Can the issuer company reject an IPO grade?</w:t>
      </w:r>
      <w:r w:rsidRPr="007A48B4">
        <w:rPr>
          <w:rFonts w:ascii="Arial" w:eastAsia="Times New Roman" w:hAnsi="Arial" w:cs="Arial"/>
          <w:color w:val="000000"/>
          <w:sz w:val="20"/>
          <w:szCs w:val="20"/>
        </w:rPr>
        <w:br/>
        <w:t>IPO grade/s cannot be rejected. Irrespective of whether the issuer finds the grade given by the rating agency acceptable or not, the grade has to be disclosed as required under the DIP Guidelines. However the issuer has the option of opting for another grading by a different agency. In such an event all grades obtained for the IPO will have to be disclosed in the offer documents, advertisements etc.</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Will IPO grading delay the process of issue?</w:t>
      </w:r>
      <w:r w:rsidRPr="007A48B4">
        <w:rPr>
          <w:rFonts w:ascii="Arial" w:eastAsia="Times New Roman" w:hAnsi="Arial" w:cs="Arial"/>
          <w:color w:val="000000"/>
          <w:sz w:val="20"/>
          <w:szCs w:val="20"/>
        </w:rPr>
        <w:br/>
        <w:t>IPO grading is intended to run parallel to the filing of offer document with SEBI and the consequent issuance of observations. Since issuance of observation by SEBI and the grading process, function independently, IPO grading is not expected to delay the issue process.</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 xml:space="preserve">What are the factors that are evaluated to assess the fundamentals of the issue while arriving at </w:t>
      </w:r>
      <w:r w:rsidRPr="007A48B4">
        <w:rPr>
          <w:rFonts w:ascii="Arial" w:eastAsia="Times New Roman" w:hAnsi="Arial" w:cs="Arial"/>
          <w:b/>
          <w:bCs/>
          <w:color w:val="000000"/>
          <w:sz w:val="20"/>
          <w:szCs w:val="20"/>
        </w:rPr>
        <w:lastRenderedPageBreak/>
        <w:t>the IPO grade?</w:t>
      </w:r>
      <w:r w:rsidRPr="007A48B4">
        <w:rPr>
          <w:rFonts w:ascii="Arial" w:eastAsia="Times New Roman" w:hAnsi="Arial" w:cs="Arial"/>
          <w:b/>
          <w:bCs/>
          <w:color w:val="000000"/>
          <w:sz w:val="20"/>
          <w:szCs w:val="20"/>
        </w:rPr>
        <w:br/>
      </w:r>
      <w:r w:rsidRPr="007A48B4">
        <w:rPr>
          <w:rFonts w:ascii="Arial" w:eastAsia="Times New Roman" w:hAnsi="Arial" w:cs="Arial"/>
          <w:color w:val="000000"/>
          <w:sz w:val="20"/>
          <w:szCs w:val="20"/>
        </w:rPr>
        <w:t xml:space="preserve">The IPO grading process is expected to take into account the prospects of the industry in which the company operates, the competitive strengths of the company that would allow it to address the risks inherent in the business (es) and </w:t>
      </w:r>
      <w:r w:rsidR="008B226F" w:rsidRPr="007A48B4">
        <w:rPr>
          <w:rFonts w:ascii="Arial" w:eastAsia="Times New Roman" w:hAnsi="Arial" w:cs="Arial"/>
          <w:color w:val="000000"/>
          <w:sz w:val="20"/>
          <w:szCs w:val="20"/>
        </w:rPr>
        <w:t>capitalize</w:t>
      </w:r>
      <w:r w:rsidRPr="007A48B4">
        <w:rPr>
          <w:rFonts w:ascii="Arial" w:eastAsia="Times New Roman" w:hAnsi="Arial" w:cs="Arial"/>
          <w:color w:val="000000"/>
          <w:sz w:val="20"/>
          <w:szCs w:val="20"/>
        </w:rPr>
        <w:t xml:space="preserve"> on the opportunities available, as well as the company’s financial position. </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t xml:space="preserve">While the actual factors considered for grading may not be identical or limited to the following, the areas listed below are generally looked into by the rating agencies, while arriving at an IPO grade </w:t>
      </w:r>
    </w:p>
    <w:p w:rsidR="007A48B4" w:rsidRPr="007A48B4" w:rsidRDefault="007A48B4" w:rsidP="0021514E">
      <w:pPr>
        <w:numPr>
          <w:ilvl w:val="0"/>
          <w:numId w:val="1"/>
        </w:num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Business Prospects and Competitive Position</w:t>
      </w:r>
      <w:r w:rsidRPr="007A48B4">
        <w:rPr>
          <w:rFonts w:ascii="Arial" w:eastAsia="Times New Roman" w:hAnsi="Arial" w:cs="Arial"/>
          <w:color w:val="000000"/>
          <w:sz w:val="20"/>
          <w:szCs w:val="20"/>
        </w:rPr>
        <w:br/>
        <w:t>     i. Industry Prospects</w:t>
      </w:r>
      <w:r w:rsidRPr="007A48B4">
        <w:rPr>
          <w:rFonts w:ascii="Arial" w:eastAsia="Times New Roman" w:hAnsi="Arial" w:cs="Arial"/>
          <w:color w:val="000000"/>
          <w:sz w:val="20"/>
          <w:szCs w:val="20"/>
        </w:rPr>
        <w:br/>
        <w:t xml:space="preserve">     ii. Company Prospects </w:t>
      </w:r>
    </w:p>
    <w:p w:rsidR="007A48B4" w:rsidRPr="007A48B4" w:rsidRDefault="007A48B4" w:rsidP="0021514E">
      <w:pPr>
        <w:numPr>
          <w:ilvl w:val="0"/>
          <w:numId w:val="1"/>
        </w:num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 xml:space="preserve">Financial Position </w:t>
      </w:r>
    </w:p>
    <w:p w:rsidR="007A48B4" w:rsidRPr="007A48B4" w:rsidRDefault="007A48B4" w:rsidP="0021514E">
      <w:pPr>
        <w:numPr>
          <w:ilvl w:val="0"/>
          <w:numId w:val="1"/>
        </w:num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 xml:space="preserve">Management Quality </w:t>
      </w:r>
    </w:p>
    <w:p w:rsidR="007A48B4" w:rsidRPr="007A48B4" w:rsidRDefault="007A48B4" w:rsidP="0021514E">
      <w:pPr>
        <w:numPr>
          <w:ilvl w:val="0"/>
          <w:numId w:val="1"/>
        </w:num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 xml:space="preserve">Corporate Governance Practices </w:t>
      </w:r>
    </w:p>
    <w:p w:rsidR="007A48B4" w:rsidRPr="007A48B4" w:rsidRDefault="007A48B4" w:rsidP="0021514E">
      <w:pPr>
        <w:numPr>
          <w:ilvl w:val="0"/>
          <w:numId w:val="1"/>
        </w:num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 xml:space="preserve">Compliance and Litigation History </w:t>
      </w:r>
    </w:p>
    <w:p w:rsidR="007A48B4" w:rsidRPr="007A48B4" w:rsidRDefault="007A48B4" w:rsidP="0021514E">
      <w:pPr>
        <w:numPr>
          <w:ilvl w:val="0"/>
          <w:numId w:val="1"/>
        </w:num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 xml:space="preserve">New Projects—Risks and Prospects </w:t>
      </w:r>
    </w:p>
    <w:p w:rsidR="007A48B4" w:rsidRPr="007A48B4" w:rsidRDefault="007A48B4" w:rsidP="0021514E">
      <w:pPr>
        <w:spacing w:before="100" w:beforeAutospacing="1" w:after="100" w:afterAutospacing="1"/>
        <w:rPr>
          <w:rFonts w:ascii="Arial" w:eastAsia="Times New Roman" w:hAnsi="Arial" w:cs="Arial"/>
          <w:color w:val="000000"/>
          <w:sz w:val="20"/>
          <w:szCs w:val="20"/>
        </w:rPr>
      </w:pPr>
      <w:r w:rsidRPr="007A48B4">
        <w:rPr>
          <w:rFonts w:ascii="Arial" w:eastAsia="Times New Roman" w:hAnsi="Arial" w:cs="Arial"/>
          <w:color w:val="000000"/>
          <w:sz w:val="20"/>
          <w:szCs w:val="20"/>
        </w:rPr>
        <w:t xml:space="preserve">It may be noted that the above is only indicative of some of the factors considered in the IPO grading process and may vary on a case to case basis. </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Does IPO grading consider the price at which the shares are offered in the issue?</w:t>
      </w:r>
      <w:r w:rsidRPr="007A48B4">
        <w:rPr>
          <w:rFonts w:ascii="Arial" w:eastAsia="Times New Roman" w:hAnsi="Arial" w:cs="Arial"/>
          <w:color w:val="000000"/>
          <w:sz w:val="20"/>
          <w:szCs w:val="20"/>
        </w:rPr>
        <w:br/>
        <w:t>No. IPO grading is done without taking into account the price at which the security is offered in the IPO. Since IPO grading does not consider the issue price, the investor needs to make an independent judgment regarding the price at which to bid for/subscribe to the shares offered through the IPO.</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Where can I find the grades obtained for the IPO and details of the grading process?</w:t>
      </w:r>
      <w:r w:rsidRPr="007A48B4">
        <w:rPr>
          <w:rFonts w:ascii="Arial" w:eastAsia="Times New Roman" w:hAnsi="Arial" w:cs="Arial"/>
          <w:color w:val="000000"/>
          <w:sz w:val="20"/>
          <w:szCs w:val="20"/>
        </w:rPr>
        <w:br/>
        <w:t>All grades obtained for the IPO along with a description of the grades can be found in the Prospectus. Abridged Prospectus, issue advertisement or any other place where the issuer company is making advertisement for its issue. Further the Grading letter of the Credit Rating Agency which contains the detailed rationale for assigning the particular grade will be included among the Material Documents available for Inspection.</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Does an IPO grade, which indicates ‘above average or strong fundamentals’ mean I could subscribe safely to the issue?</w:t>
      </w:r>
      <w:r w:rsidRPr="007A48B4">
        <w:rPr>
          <w:rFonts w:ascii="Arial" w:eastAsia="Times New Roman" w:hAnsi="Arial" w:cs="Arial"/>
          <w:color w:val="000000"/>
          <w:sz w:val="20"/>
          <w:szCs w:val="20"/>
        </w:rPr>
        <w:br/>
        <w:t>An IPO grade is NOT a suggestion or recommendation as to whether one should subscribe to the IPO or not. IPO grade needs to be read together with the disclosures made in the prospectus including the risk factors as well as the price at which the shares are offered in the issue.</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How do I interpret the IPO Grades?</w:t>
      </w:r>
      <w:r w:rsidRPr="007A48B4">
        <w:rPr>
          <w:rFonts w:ascii="Arial" w:eastAsia="Times New Roman" w:hAnsi="Arial" w:cs="Arial"/>
          <w:color w:val="000000"/>
          <w:sz w:val="20"/>
          <w:szCs w:val="20"/>
        </w:rPr>
        <w:br/>
        <w:t>The grades are allocated on a 5-point scale, the lowest being Grade 1 and highest Grade 5.The meaning of these grades have been explained under Question 1 in this FAQ.</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How does IPO Grading help in deciding about investing in an IPO?</w:t>
      </w:r>
      <w:r w:rsidRPr="007A48B4">
        <w:rPr>
          <w:rFonts w:ascii="Arial" w:eastAsia="Times New Roman" w:hAnsi="Arial" w:cs="Arial"/>
          <w:color w:val="000000"/>
          <w:sz w:val="20"/>
          <w:szCs w:val="20"/>
        </w:rPr>
        <w:br/>
        <w:t>IPO Grading is intended to provide the investor with an informed and objective opinion expressed by a professional rating agency after analyzing factors like business and financial prospects, management quality and corporate governance practices etc. However, irrespective of the grade obtained by the issuer, the investor needs to make his/her own independent decision regarding investing in any issue after studying the contents of the prospectus including risk factors carefully.</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What is the role of SEBI in IPO grading exercise?</w:t>
      </w:r>
      <w:r w:rsidRPr="007A48B4">
        <w:rPr>
          <w:rFonts w:ascii="Arial" w:eastAsia="Times New Roman" w:hAnsi="Arial" w:cs="Arial"/>
          <w:color w:val="000000"/>
          <w:sz w:val="20"/>
          <w:szCs w:val="20"/>
        </w:rPr>
        <w:br/>
        <w:t xml:space="preserve">SEBI does not play any role in the assessment made by the grading agency. The grading is intended to be an independent and unbiased opinion of that agency. </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Will IPO Grading given by CRAs be a parameter for SEBI to issue its observations?</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lastRenderedPageBreak/>
        <w:t xml:space="preserve">The grading is intended to be an independent and unbiased opinion of a rating agency. SEBI does not pass any judgment on the quality of the issuer company. SEBI’s observations on the IPO document are entirely independent of the IPO grading process or the grades received by the company. </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Which credit rating agencies are registered with SEBI?</w:t>
      </w:r>
      <w:r w:rsidRPr="007A48B4">
        <w:rPr>
          <w:rFonts w:ascii="Arial" w:eastAsia="Times New Roman" w:hAnsi="Arial" w:cs="Arial"/>
          <w:color w:val="000000"/>
          <w:sz w:val="20"/>
          <w:szCs w:val="20"/>
        </w:rPr>
        <w:br/>
        <w:t xml:space="preserve">The following four credit rating agencies are registered with SEBI. </w:t>
      </w:r>
    </w:p>
    <w:p w:rsidR="007A48B4" w:rsidRPr="007A48B4" w:rsidRDefault="007A48B4" w:rsidP="0021514E">
      <w:pPr>
        <w:spacing w:beforeAutospacing="1" w:afterAutospacing="1"/>
        <w:rPr>
          <w:rFonts w:ascii="Arial" w:eastAsia="Times New Roman" w:hAnsi="Arial" w:cs="Arial"/>
          <w:color w:val="000000"/>
          <w:sz w:val="20"/>
          <w:szCs w:val="20"/>
        </w:rPr>
      </w:pPr>
      <w:r w:rsidRPr="007A48B4">
        <w:rPr>
          <w:rFonts w:ascii="Arial" w:eastAsia="Times New Roman" w:hAnsi="Arial" w:cs="Arial"/>
          <w:b/>
          <w:bCs/>
          <w:color w:val="000000"/>
          <w:sz w:val="20"/>
          <w:szCs w:val="20"/>
        </w:rPr>
        <w:t xml:space="preserve">Credit Analysis &amp; Research Ltd. </w:t>
      </w:r>
      <w:r w:rsidRPr="007A48B4">
        <w:rPr>
          <w:rFonts w:ascii="Arial" w:eastAsia="Times New Roman" w:hAnsi="Arial" w:cs="Arial"/>
          <w:color w:val="000000"/>
          <w:sz w:val="20"/>
          <w:szCs w:val="20"/>
        </w:rPr>
        <w:br/>
        <w:t>4th Floor, Godrej Coliseum</w:t>
      </w:r>
      <w:r w:rsidRPr="007A48B4">
        <w:rPr>
          <w:rFonts w:ascii="Arial" w:eastAsia="Times New Roman" w:hAnsi="Arial" w:cs="Arial"/>
          <w:color w:val="000000"/>
          <w:sz w:val="20"/>
          <w:szCs w:val="20"/>
        </w:rPr>
        <w:br/>
        <w:t xml:space="preserve">Somaiya Hospital Road </w:t>
      </w:r>
      <w:r w:rsidRPr="007A48B4">
        <w:rPr>
          <w:rFonts w:ascii="Arial" w:eastAsia="Times New Roman" w:hAnsi="Arial" w:cs="Arial"/>
          <w:color w:val="000000"/>
          <w:sz w:val="20"/>
          <w:szCs w:val="20"/>
        </w:rPr>
        <w:br/>
        <w:t xml:space="preserve">Off Eastern Express Highway </w:t>
      </w:r>
      <w:r w:rsidRPr="007A48B4">
        <w:rPr>
          <w:rFonts w:ascii="Arial" w:eastAsia="Times New Roman" w:hAnsi="Arial" w:cs="Arial"/>
          <w:color w:val="000000"/>
          <w:sz w:val="20"/>
          <w:szCs w:val="20"/>
        </w:rPr>
        <w:br/>
        <w:t xml:space="preserve">Sion (East) </w:t>
      </w:r>
      <w:r w:rsidRPr="007A48B4">
        <w:rPr>
          <w:rFonts w:ascii="Arial" w:eastAsia="Times New Roman" w:hAnsi="Arial" w:cs="Arial"/>
          <w:color w:val="000000"/>
          <w:sz w:val="20"/>
          <w:szCs w:val="20"/>
        </w:rPr>
        <w:br/>
        <w:t>Mumbai-400022</w:t>
      </w:r>
      <w:r w:rsidRPr="007A48B4">
        <w:rPr>
          <w:rFonts w:ascii="Arial" w:eastAsia="Times New Roman" w:hAnsi="Arial" w:cs="Arial"/>
          <w:color w:val="000000"/>
          <w:sz w:val="20"/>
          <w:szCs w:val="20"/>
        </w:rPr>
        <w:br/>
        <w:t>http://www.careratings.com</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ICRA Ltd.</w:t>
      </w:r>
      <w:r w:rsidRPr="007A48B4">
        <w:rPr>
          <w:rFonts w:ascii="Arial" w:eastAsia="Times New Roman" w:hAnsi="Arial" w:cs="Arial"/>
          <w:color w:val="000000"/>
          <w:sz w:val="20"/>
          <w:szCs w:val="20"/>
        </w:rPr>
        <w:br/>
        <w:t xml:space="preserve">1105, Kailash Building, 11th Floor </w:t>
      </w:r>
      <w:r w:rsidRPr="007A48B4">
        <w:rPr>
          <w:rFonts w:ascii="Arial" w:eastAsia="Times New Roman" w:hAnsi="Arial" w:cs="Arial"/>
          <w:color w:val="000000"/>
          <w:sz w:val="20"/>
          <w:szCs w:val="20"/>
        </w:rPr>
        <w:br/>
        <w:t>26, Kasturba Gandhi Marg</w:t>
      </w:r>
      <w:r w:rsidRPr="007A48B4">
        <w:rPr>
          <w:rFonts w:ascii="Arial" w:eastAsia="Times New Roman" w:hAnsi="Arial" w:cs="Arial"/>
          <w:color w:val="000000"/>
          <w:sz w:val="20"/>
          <w:szCs w:val="20"/>
        </w:rPr>
        <w:br/>
        <w:t>New Delhi-110 001</w:t>
      </w:r>
      <w:r w:rsidRPr="007A48B4">
        <w:rPr>
          <w:rFonts w:ascii="Arial" w:eastAsia="Times New Roman" w:hAnsi="Arial" w:cs="Arial"/>
          <w:color w:val="000000"/>
          <w:sz w:val="20"/>
          <w:szCs w:val="20"/>
        </w:rPr>
        <w:br/>
        <w:t>http://www.icra.in</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CRISIL Ltd.</w:t>
      </w:r>
      <w:r w:rsidRPr="007A48B4">
        <w:rPr>
          <w:rFonts w:ascii="Arial" w:eastAsia="Times New Roman" w:hAnsi="Arial" w:cs="Arial"/>
          <w:color w:val="000000"/>
          <w:sz w:val="20"/>
          <w:szCs w:val="20"/>
        </w:rPr>
        <w:br/>
        <w:t>CRISIL House</w:t>
      </w:r>
      <w:r w:rsidRPr="007A48B4">
        <w:rPr>
          <w:rFonts w:ascii="Arial" w:eastAsia="Times New Roman" w:hAnsi="Arial" w:cs="Arial"/>
          <w:color w:val="000000"/>
          <w:sz w:val="20"/>
          <w:szCs w:val="20"/>
        </w:rPr>
        <w:br/>
        <w:t>121-122 Andheri Kurla Road</w:t>
      </w:r>
      <w:r w:rsidRPr="007A48B4">
        <w:rPr>
          <w:rFonts w:ascii="Arial" w:eastAsia="Times New Roman" w:hAnsi="Arial" w:cs="Arial"/>
          <w:color w:val="000000"/>
          <w:sz w:val="20"/>
          <w:szCs w:val="20"/>
        </w:rPr>
        <w:br/>
        <w:t>Andheri (East)</w:t>
      </w:r>
      <w:r w:rsidRPr="007A48B4">
        <w:rPr>
          <w:rFonts w:ascii="Arial" w:eastAsia="Times New Roman" w:hAnsi="Arial" w:cs="Arial"/>
          <w:color w:val="000000"/>
          <w:sz w:val="20"/>
          <w:szCs w:val="20"/>
        </w:rPr>
        <w:br/>
        <w:t>Mumbai–400093</w:t>
      </w:r>
      <w:r w:rsidRPr="007A48B4">
        <w:rPr>
          <w:rFonts w:ascii="Arial" w:eastAsia="Times New Roman" w:hAnsi="Arial" w:cs="Arial"/>
          <w:color w:val="000000"/>
          <w:sz w:val="20"/>
          <w:szCs w:val="20"/>
        </w:rPr>
        <w:br/>
        <w:t>http://www.crisil.com</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Fitch Ratings India Pvt.Ltd.</w:t>
      </w:r>
      <w:r w:rsidRPr="007A48B4">
        <w:rPr>
          <w:rFonts w:ascii="Arial" w:eastAsia="Times New Roman" w:hAnsi="Arial" w:cs="Arial"/>
          <w:color w:val="000000"/>
          <w:sz w:val="20"/>
          <w:szCs w:val="20"/>
        </w:rPr>
        <w:br/>
        <w:t>Apeejay House, 6th Floor</w:t>
      </w:r>
      <w:r w:rsidRPr="007A48B4">
        <w:rPr>
          <w:rFonts w:ascii="Arial" w:eastAsia="Times New Roman" w:hAnsi="Arial" w:cs="Arial"/>
          <w:color w:val="000000"/>
          <w:sz w:val="20"/>
          <w:szCs w:val="20"/>
        </w:rPr>
        <w:br/>
        <w:t>3, Dinshaw Vachha Road</w:t>
      </w:r>
      <w:r w:rsidRPr="007A48B4">
        <w:rPr>
          <w:rFonts w:ascii="Arial" w:eastAsia="Times New Roman" w:hAnsi="Arial" w:cs="Arial"/>
          <w:color w:val="000000"/>
          <w:sz w:val="20"/>
          <w:szCs w:val="20"/>
        </w:rPr>
        <w:br/>
        <w:t>Churchgate</w:t>
      </w:r>
      <w:r w:rsidRPr="007A48B4">
        <w:rPr>
          <w:rFonts w:ascii="Arial" w:eastAsia="Times New Roman" w:hAnsi="Arial" w:cs="Arial"/>
          <w:color w:val="000000"/>
          <w:sz w:val="20"/>
          <w:szCs w:val="20"/>
        </w:rPr>
        <w:br/>
        <w:t>Mumbai-400020</w:t>
      </w:r>
      <w:r w:rsidRPr="007A48B4">
        <w:rPr>
          <w:rFonts w:ascii="Arial" w:eastAsia="Times New Roman" w:hAnsi="Arial" w:cs="Arial"/>
          <w:color w:val="000000"/>
          <w:sz w:val="20"/>
          <w:szCs w:val="20"/>
        </w:rPr>
        <w:br/>
        <w:t>http://www.fitchindia.com</w:t>
      </w:r>
      <w:r w:rsidRPr="007A48B4">
        <w:rPr>
          <w:rFonts w:ascii="Arial" w:eastAsia="Times New Roman" w:hAnsi="Arial" w:cs="Arial"/>
          <w:color w:val="000000"/>
          <w:sz w:val="20"/>
          <w:szCs w:val="20"/>
        </w:rPr>
        <w:br/>
      </w:r>
      <w:r w:rsidRPr="007A48B4">
        <w:rPr>
          <w:rFonts w:ascii="Arial" w:eastAsia="Times New Roman" w:hAnsi="Arial" w:cs="Arial"/>
          <w:color w:val="000000"/>
          <w:sz w:val="20"/>
          <w:szCs w:val="20"/>
        </w:rPr>
        <w:br/>
      </w:r>
      <w:r w:rsidRPr="007A48B4">
        <w:rPr>
          <w:rFonts w:ascii="Arial" w:eastAsia="Times New Roman" w:hAnsi="Arial" w:cs="Arial"/>
          <w:b/>
          <w:bCs/>
          <w:color w:val="000000"/>
          <w:sz w:val="20"/>
          <w:szCs w:val="20"/>
        </w:rPr>
        <w:t>Brickwork Ratings India Pvt.Ltd.</w:t>
      </w:r>
      <w:r w:rsidRPr="007A48B4">
        <w:rPr>
          <w:rFonts w:ascii="Arial" w:eastAsia="Times New Roman" w:hAnsi="Arial" w:cs="Arial"/>
          <w:color w:val="000000"/>
          <w:sz w:val="20"/>
          <w:szCs w:val="20"/>
        </w:rPr>
        <w:br/>
        <w:t>#39/2,Sagar Complex,2nd Floor</w:t>
      </w:r>
      <w:r w:rsidRPr="007A48B4">
        <w:rPr>
          <w:rFonts w:ascii="Arial" w:eastAsia="Times New Roman" w:hAnsi="Arial" w:cs="Arial"/>
          <w:color w:val="000000"/>
          <w:sz w:val="20"/>
          <w:szCs w:val="20"/>
        </w:rPr>
        <w:br/>
        <w:t>Bannerghatta Road</w:t>
      </w:r>
      <w:r w:rsidRPr="007A48B4">
        <w:rPr>
          <w:rFonts w:ascii="Arial" w:eastAsia="Times New Roman" w:hAnsi="Arial" w:cs="Arial"/>
          <w:color w:val="000000"/>
          <w:sz w:val="20"/>
          <w:szCs w:val="20"/>
        </w:rPr>
        <w:br/>
        <w:t>Near Diary Circle</w:t>
      </w:r>
      <w:r w:rsidRPr="007A48B4">
        <w:rPr>
          <w:rFonts w:ascii="Arial" w:eastAsia="Times New Roman" w:hAnsi="Arial" w:cs="Arial"/>
          <w:color w:val="000000"/>
          <w:sz w:val="20"/>
          <w:szCs w:val="20"/>
        </w:rPr>
        <w:br/>
        <w:t>Bangalore-560029</w:t>
      </w:r>
      <w:r w:rsidRPr="007A48B4">
        <w:rPr>
          <w:rFonts w:ascii="Arial" w:eastAsia="Times New Roman" w:hAnsi="Arial" w:cs="Arial"/>
          <w:color w:val="000000"/>
          <w:sz w:val="20"/>
          <w:szCs w:val="20"/>
        </w:rPr>
        <w:br/>
        <w:t>http://www.brickworkratings.com</w:t>
      </w:r>
    </w:p>
    <w:p w:rsidR="007A48B4" w:rsidRPr="00C02CA1" w:rsidRDefault="007A48B4" w:rsidP="0021514E">
      <w:pPr>
        <w:rPr>
          <w:rFonts w:ascii="Arial" w:hAnsi="Arial" w:cs="Arial"/>
          <w:sz w:val="20"/>
          <w:szCs w:val="20"/>
        </w:rPr>
      </w:pPr>
    </w:p>
    <w:p w:rsidR="008B226F" w:rsidRPr="00C02CA1" w:rsidRDefault="008B226F">
      <w:pPr>
        <w:rPr>
          <w:rFonts w:ascii="Arial" w:hAnsi="Arial" w:cs="Arial"/>
          <w:sz w:val="20"/>
          <w:szCs w:val="20"/>
        </w:rPr>
      </w:pPr>
    </w:p>
    <w:sectPr w:rsidR="008B226F" w:rsidRPr="00C02CA1" w:rsidSect="007A48B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85644B"/>
    <w:multiLevelType w:val="multilevel"/>
    <w:tmpl w:val="2646A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9501A"/>
    <w:rsid w:val="000539E9"/>
    <w:rsid w:val="00140FB0"/>
    <w:rsid w:val="0021514E"/>
    <w:rsid w:val="002E45C7"/>
    <w:rsid w:val="003E422A"/>
    <w:rsid w:val="0069501A"/>
    <w:rsid w:val="007A48B4"/>
    <w:rsid w:val="00897401"/>
    <w:rsid w:val="008B226F"/>
    <w:rsid w:val="00A403DB"/>
    <w:rsid w:val="00C02C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501A"/>
    <w:pPr>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9501A"/>
    <w:pPr>
      <w:spacing w:before="100" w:beforeAutospacing="1" w:after="100" w:afterAutospacing="1"/>
    </w:pPr>
    <w:rPr>
      <w:rFonts w:ascii="Verdana" w:hAnsi="Verdana"/>
      <w:color w:val="000000"/>
      <w:sz w:val="17"/>
      <w:szCs w:val="17"/>
    </w:rPr>
  </w:style>
  <w:style w:type="character" w:customStyle="1" w:styleId="iepf11">
    <w:name w:val="iepf11"/>
    <w:basedOn w:val="DefaultParagraphFont"/>
    <w:rsid w:val="0069501A"/>
    <w:rPr>
      <w:rFonts w:ascii="Verdana" w:hAnsi="Verdana" w:hint="default"/>
      <w:sz w:val="22"/>
      <w:szCs w:val="22"/>
    </w:rPr>
  </w:style>
  <w:style w:type="paragraph" w:customStyle="1" w:styleId="cpse6">
    <w:name w:val="cpse6"/>
    <w:basedOn w:val="Normal"/>
    <w:rsid w:val="007A48B4"/>
    <w:pPr>
      <w:spacing w:before="100" w:beforeAutospacing="1" w:after="100" w:afterAutospacing="1"/>
    </w:pPr>
    <w:rPr>
      <w:rFonts w:ascii="Verdana" w:eastAsia="Times New Roman" w:hAnsi="Verdana"/>
      <w:color w:val="000000"/>
      <w:sz w:val="17"/>
      <w:szCs w:val="17"/>
    </w:rPr>
  </w:style>
  <w:style w:type="character" w:styleId="Hyperlink">
    <w:name w:val="Hyperlink"/>
    <w:basedOn w:val="DefaultParagraphFont"/>
    <w:uiPriority w:val="99"/>
    <w:semiHidden/>
    <w:unhideWhenUsed/>
    <w:rsid w:val="007A48B4"/>
    <w:rPr>
      <w:strike w:val="0"/>
      <w:dstrike w:val="0"/>
      <w:color w:val="4477AA"/>
      <w:u w:val="none"/>
      <w:effect w:val="none"/>
    </w:rPr>
  </w:style>
</w:styles>
</file>

<file path=word/webSettings.xml><?xml version="1.0" encoding="utf-8"?>
<w:webSettings xmlns:r="http://schemas.openxmlformats.org/officeDocument/2006/relationships" xmlns:w="http://schemas.openxmlformats.org/wordprocessingml/2006/main">
  <w:divs>
    <w:div w:id="1401977616">
      <w:bodyDiv w:val="1"/>
      <w:marLeft w:val="0"/>
      <w:marRight w:val="0"/>
      <w:marTop w:val="0"/>
      <w:marBottom w:val="0"/>
      <w:divBdr>
        <w:top w:val="none" w:sz="0" w:space="0" w:color="auto"/>
        <w:left w:val="none" w:sz="0" w:space="0" w:color="auto"/>
        <w:bottom w:val="none" w:sz="0" w:space="0" w:color="auto"/>
        <w:right w:val="none" w:sz="0" w:space="0" w:color="auto"/>
      </w:divBdr>
      <w:divsChild>
        <w:div w:id="2129661468">
          <w:blockQuote w:val="1"/>
          <w:marLeft w:val="720"/>
          <w:marRight w:val="720"/>
          <w:marTop w:val="100"/>
          <w:marBottom w:val="100"/>
          <w:divBdr>
            <w:top w:val="none" w:sz="0" w:space="0" w:color="auto"/>
            <w:left w:val="none" w:sz="0" w:space="0" w:color="auto"/>
            <w:bottom w:val="none" w:sz="0" w:space="0" w:color="auto"/>
            <w:right w:val="none" w:sz="0" w:space="0" w:color="auto"/>
          </w:divBdr>
        </w:div>
        <w:div w:id="5367434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037501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investorhelpline.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16</Pages>
  <Words>7589</Words>
  <Characters>43259</Characters>
  <Application>Microsoft Office Word</Application>
  <DocSecurity>0</DocSecurity>
  <Lines>360</Lines>
  <Paragraphs>101</Paragraphs>
  <ScaleCrop>false</ScaleCrop>
  <Company/>
  <LinksUpToDate>false</LinksUpToDate>
  <CharactersWithSpaces>50747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as15854</dc:creator>
  <cp:keywords/>
  <dc:description/>
  <cp:lastModifiedBy>as15854</cp:lastModifiedBy>
  <cp:revision>9</cp:revision>
  <dcterms:created xsi:type="dcterms:W3CDTF">2009-12-14T09:06:00Z</dcterms:created>
  <dcterms:modified xsi:type="dcterms:W3CDTF">2009-12-14T09:27:00Z</dcterms:modified>
</cp:coreProperties>
</file>