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1A3" w:rsidRPr="00E731A3" w:rsidRDefault="00E731A3" w:rsidP="00E731A3">
      <w:pPr>
        <w:spacing w:before="100" w:beforeAutospacing="1" w:after="100" w:afterAutospacing="1" w:line="240" w:lineRule="auto"/>
        <w:jc w:val="center"/>
        <w:rPr>
          <w:rFonts w:ascii="Verdana" w:eastAsia="Times New Roman" w:hAnsi="Verdana" w:cs="Times New Roman"/>
          <w:color w:val="000000"/>
          <w:sz w:val="17"/>
          <w:szCs w:val="17"/>
        </w:rPr>
      </w:pPr>
      <w:r w:rsidRPr="00E731A3">
        <w:rPr>
          <w:rFonts w:ascii="Verdana" w:eastAsia="Times New Roman" w:hAnsi="Verdana" w:cs="Times New Roman"/>
          <w:b/>
          <w:bCs/>
          <w:color w:val="000000"/>
        </w:rPr>
        <w:t xml:space="preserve">Types of Issues: Fixed Price &amp; </w:t>
      </w:r>
      <w:proofErr w:type="spellStart"/>
      <w:r w:rsidRPr="00E731A3">
        <w:rPr>
          <w:rFonts w:ascii="Verdana" w:eastAsia="Times New Roman" w:hAnsi="Verdana" w:cs="Times New Roman"/>
          <w:b/>
          <w:bCs/>
          <w:color w:val="000000"/>
        </w:rPr>
        <w:t>Bookbuilding</w:t>
      </w:r>
      <w:proofErr w:type="spellEnd"/>
      <w:r w:rsidRPr="00E731A3">
        <w:rPr>
          <w:rFonts w:ascii="Verdana" w:eastAsia="Times New Roman" w:hAnsi="Verdana" w:cs="Times New Roman"/>
          <w:b/>
          <w:bCs/>
          <w:color w:val="000000"/>
          <w:sz w:val="17"/>
          <w:szCs w:val="17"/>
        </w:rPr>
        <w:br/>
      </w:r>
      <w:r w:rsidRPr="00E731A3">
        <w:rPr>
          <w:rFonts w:ascii="Verdana" w:eastAsia="Times New Roman" w:hAnsi="Verdana" w:cs="Times New Roman"/>
          <w:b/>
          <w:bCs/>
          <w:color w:val="000000"/>
          <w:sz w:val="17"/>
          <w:szCs w:val="17"/>
        </w:rPr>
        <w:br/>
      </w:r>
      <w:proofErr w:type="gramStart"/>
      <w:r w:rsidRPr="00E731A3">
        <w:rPr>
          <w:rFonts w:ascii="Verdana" w:eastAsia="Times New Roman" w:hAnsi="Verdana" w:cs="Times New Roman"/>
          <w:color w:val="000000"/>
          <w:sz w:val="17"/>
          <w:szCs w:val="17"/>
        </w:rPr>
        <w:t>There</w:t>
      </w:r>
      <w:proofErr w:type="gramEnd"/>
      <w:r w:rsidRPr="00E731A3">
        <w:rPr>
          <w:rFonts w:ascii="Verdana" w:eastAsia="Times New Roman" w:hAnsi="Verdana" w:cs="Times New Roman"/>
          <w:color w:val="000000"/>
          <w:sz w:val="17"/>
          <w:szCs w:val="17"/>
        </w:rPr>
        <w:t xml:space="preserve"> are two types of issues</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r>
      <w:r w:rsidRPr="00E731A3">
        <w:rPr>
          <w:rFonts w:ascii="Verdana" w:eastAsia="Times New Roman" w:hAnsi="Verdana" w:cs="Times New Roman"/>
          <w:b/>
          <w:bCs/>
          <w:color w:val="000000"/>
          <w:sz w:val="17"/>
          <w:szCs w:val="17"/>
        </w:rPr>
        <w:t>Fixed Price issues</w:t>
      </w:r>
      <w:r w:rsidRPr="00E731A3">
        <w:rPr>
          <w:rFonts w:ascii="Verdana" w:eastAsia="Times New Roman" w:hAnsi="Verdana" w:cs="Times New Roman"/>
          <w:color w:val="000000"/>
          <w:sz w:val="17"/>
          <w:szCs w:val="17"/>
        </w:rPr>
        <w:br/>
        <w:t>An issuer company is allowed to freely price the issue. The basis of issue price is disclosed in the offer document where the issuer discloses in detail about the qualitative and quantitative factors justifying the issue price. The Issuer company can mention a price band of 20% (cap in the price band should not be more than 20% of the floor price) in the Draft offer documents filed with SEBI and actual price can be determined at a later date before filing of the final offer document with SEBI/ROCs.</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r>
      <w:r w:rsidRPr="00E731A3">
        <w:rPr>
          <w:rFonts w:ascii="Verdana" w:eastAsia="Times New Roman" w:hAnsi="Verdana" w:cs="Times New Roman"/>
          <w:b/>
          <w:bCs/>
          <w:color w:val="000000"/>
          <w:sz w:val="17"/>
          <w:szCs w:val="17"/>
        </w:rPr>
        <w:t>Price discovery through book building process</w:t>
      </w:r>
      <w:r w:rsidRPr="00E731A3">
        <w:rPr>
          <w:rFonts w:ascii="Verdana" w:eastAsia="Times New Roman" w:hAnsi="Verdana" w:cs="Times New Roman"/>
          <w:color w:val="000000"/>
          <w:sz w:val="17"/>
          <w:szCs w:val="17"/>
        </w:rPr>
        <w:br/>
        <w:t>“Book Building” means a process undertaken by which a demand for the securities proposed to be issued by a body corporate is elicited and built up and the price for the securities is assessed on the basis of the bids obtained for the quantum of securities offered for subscription by the issuer. This method provides an opportunity to the market to discover the price for securities.</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t xml:space="preserve">The process is named so because it refers to collection of bids from investors, which is based on a price range. The issue price is fixed after the closing date of the bid. </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t xml:space="preserve">A company planning an IPO appoints a merchant bank as a book runner. A particular time frame is fixed as the bidding period. The book runner then builds an order book that collates bids from various investors. Potential investors are allowed to revise their bids at any time during the bidding period. At the end of bidding period the order book is closed and consequently the quantum of shares ordered and the respective prices offered are known. The determination of final price is based on demand at various prices. </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r>
      <w:proofErr w:type="spellStart"/>
      <w:r w:rsidRPr="00E731A3">
        <w:rPr>
          <w:rFonts w:ascii="Verdana" w:eastAsia="Times New Roman" w:hAnsi="Verdana" w:cs="Times New Roman"/>
          <w:color w:val="000000"/>
          <w:sz w:val="17"/>
          <w:szCs w:val="17"/>
        </w:rPr>
        <w:t>Bookbuilding</w:t>
      </w:r>
      <w:proofErr w:type="spellEnd"/>
      <w:r w:rsidRPr="00E731A3">
        <w:rPr>
          <w:rFonts w:ascii="Verdana" w:eastAsia="Times New Roman" w:hAnsi="Verdana" w:cs="Times New Roman"/>
          <w:color w:val="000000"/>
          <w:sz w:val="17"/>
          <w:szCs w:val="17"/>
        </w:rPr>
        <w:t xml:space="preserve"> has become the preferred route of raising capital, as can be seen from the table below. Though there are fixed price issues, by amount, the </w:t>
      </w:r>
      <w:proofErr w:type="spellStart"/>
      <w:r w:rsidRPr="00E731A3">
        <w:rPr>
          <w:rFonts w:ascii="Verdana" w:eastAsia="Times New Roman" w:hAnsi="Verdana" w:cs="Times New Roman"/>
          <w:color w:val="000000"/>
          <w:sz w:val="17"/>
          <w:szCs w:val="17"/>
        </w:rPr>
        <w:t>bookbuilding</w:t>
      </w:r>
      <w:proofErr w:type="spellEnd"/>
      <w:r w:rsidRPr="00E731A3">
        <w:rPr>
          <w:rFonts w:ascii="Verdana" w:eastAsia="Times New Roman" w:hAnsi="Verdana" w:cs="Times New Roman"/>
          <w:color w:val="000000"/>
          <w:sz w:val="17"/>
          <w:szCs w:val="17"/>
        </w:rPr>
        <w:t xml:space="preserve"> IPOs dominate.</w:t>
      </w:r>
      <w:r w:rsidRPr="00E731A3">
        <w:rPr>
          <w:rFonts w:ascii="Verdana" w:eastAsia="Times New Roman" w:hAnsi="Verdana" w:cs="Times New Roman"/>
          <w:color w:val="000000"/>
          <w:sz w:val="17"/>
          <w:szCs w:val="17"/>
        </w:rPr>
        <w:br/>
        <w:t xml:space="preserve">  </w:t>
      </w:r>
    </w:p>
    <w:tbl>
      <w:tblPr>
        <w:tblW w:w="9155" w:type="dxa"/>
        <w:jc w:val="center"/>
        <w:tblInd w:w="93" w:type="dxa"/>
        <w:tblCellMar>
          <w:left w:w="0" w:type="dxa"/>
          <w:right w:w="0" w:type="dxa"/>
        </w:tblCellMar>
        <w:tblLook w:val="04A0"/>
      </w:tblPr>
      <w:tblGrid>
        <w:gridCol w:w="974"/>
        <w:gridCol w:w="905"/>
        <w:gridCol w:w="1233"/>
        <w:gridCol w:w="818"/>
        <w:gridCol w:w="992"/>
        <w:gridCol w:w="1233"/>
        <w:gridCol w:w="1190"/>
        <w:gridCol w:w="905"/>
        <w:gridCol w:w="1233"/>
      </w:tblGrid>
      <w:tr w:rsidR="00E731A3" w:rsidRPr="00E731A3">
        <w:trPr>
          <w:cantSplit/>
          <w:trHeight w:val="255"/>
          <w:jc w:val="center"/>
        </w:trPr>
        <w:tc>
          <w:tcPr>
            <w:tcW w:w="1000"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YEAR</w:t>
            </w:r>
          </w:p>
        </w:tc>
        <w:tc>
          <w:tcPr>
            <w:tcW w:w="2850" w:type="dxa"/>
            <w:gridSpan w:val="3"/>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b/>
                <w:bCs/>
                <w:color w:val="000000"/>
                <w:sz w:val="24"/>
                <w:szCs w:val="24"/>
              </w:rPr>
              <w:t xml:space="preserve">BOOKBUILDING </w:t>
            </w:r>
          </w:p>
        </w:tc>
        <w:tc>
          <w:tcPr>
            <w:tcW w:w="3350" w:type="dxa"/>
            <w:gridSpan w:val="3"/>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b/>
                <w:bCs/>
                <w:color w:val="000000"/>
                <w:sz w:val="24"/>
                <w:szCs w:val="24"/>
              </w:rPr>
              <w:t>FIXED PRICE</w:t>
            </w:r>
          </w:p>
        </w:tc>
        <w:tc>
          <w:tcPr>
            <w:tcW w:w="1955"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b/>
                <w:bCs/>
                <w:color w:val="000000"/>
                <w:sz w:val="24"/>
                <w:szCs w:val="24"/>
              </w:rPr>
              <w:t>TOTAL</w:t>
            </w:r>
          </w:p>
        </w:tc>
      </w:tr>
      <w:tr w:rsidR="00E731A3" w:rsidRPr="00E731A3">
        <w:trPr>
          <w:cantSplit/>
          <w:trHeight w:val="51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E731A3" w:rsidRPr="00E731A3" w:rsidRDefault="00E731A3" w:rsidP="00E731A3">
            <w:pPr>
              <w:spacing w:after="0" w:line="240" w:lineRule="auto"/>
              <w:rPr>
                <w:rFonts w:ascii="Times New Roman" w:eastAsia="Times New Roman" w:hAnsi="Times New Roman" w:cs="Times New Roman"/>
                <w:color w:val="000000"/>
                <w:sz w:val="24"/>
                <w:szCs w:val="24"/>
              </w:rPr>
            </w:pP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NO.OF</w:t>
            </w:r>
            <w:r w:rsidRPr="00E731A3">
              <w:rPr>
                <w:rFonts w:ascii="Times New Roman" w:eastAsia="Times New Roman" w:hAnsi="Times New Roman" w:cs="Times New Roman"/>
                <w:color w:val="000000"/>
                <w:sz w:val="24"/>
                <w:szCs w:val="24"/>
              </w:rPr>
              <w:br/>
              <w:t>IPOs</w:t>
            </w: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AMOUNT</w:t>
            </w:r>
            <w:r w:rsidRPr="00E731A3">
              <w:rPr>
                <w:rFonts w:ascii="Times New Roman" w:eastAsia="Times New Roman" w:hAnsi="Times New Roman" w:cs="Times New Roman"/>
                <w:color w:val="000000"/>
                <w:sz w:val="24"/>
                <w:szCs w:val="24"/>
              </w:rPr>
              <w:br/>
              <w:t>(Rs.crore)</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NO.OF</w:t>
            </w:r>
            <w:r w:rsidRPr="00E731A3">
              <w:rPr>
                <w:rFonts w:ascii="Times New Roman" w:eastAsia="Times New Roman" w:hAnsi="Times New Roman" w:cs="Times New Roman"/>
                <w:color w:val="000000"/>
                <w:sz w:val="24"/>
                <w:szCs w:val="24"/>
              </w:rPr>
              <w:br/>
              <w:t>IPOs</w:t>
            </w:r>
          </w:p>
        </w:tc>
        <w:tc>
          <w:tcPr>
            <w:tcW w:w="110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AMOUNT</w:t>
            </w:r>
            <w:r w:rsidRPr="00E731A3">
              <w:rPr>
                <w:rFonts w:ascii="Times New Roman" w:eastAsia="Times New Roman" w:hAnsi="Times New Roman" w:cs="Times New Roman"/>
                <w:color w:val="000000"/>
                <w:sz w:val="24"/>
                <w:szCs w:val="24"/>
              </w:rPr>
              <w:br/>
              <w:t>(Rs.crore)</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NO.OF</w:t>
            </w:r>
            <w:r w:rsidRPr="00E731A3">
              <w:rPr>
                <w:rFonts w:ascii="Times New Roman" w:eastAsia="Times New Roman" w:hAnsi="Times New Roman" w:cs="Times New Roman"/>
                <w:color w:val="000000"/>
                <w:sz w:val="24"/>
                <w:szCs w:val="24"/>
              </w:rPr>
              <w:br/>
              <w:t>IPOs</w:t>
            </w:r>
          </w:p>
        </w:tc>
        <w:tc>
          <w:tcPr>
            <w:tcW w:w="110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center"/>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AMOUNT</w:t>
            </w:r>
            <w:r w:rsidRPr="00E731A3">
              <w:rPr>
                <w:rFonts w:ascii="Times New Roman" w:eastAsia="Times New Roman" w:hAnsi="Times New Roman" w:cs="Times New Roman"/>
                <w:color w:val="000000"/>
                <w:sz w:val="24"/>
                <w:szCs w:val="24"/>
              </w:rPr>
              <w:br/>
              <w:t>(Rs.crore)</w:t>
            </w:r>
          </w:p>
        </w:tc>
      </w:tr>
      <w:tr w:rsidR="00E731A3" w:rsidRPr="00E731A3">
        <w:trPr>
          <w:trHeight w:val="255"/>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2003-04</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2641.04</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82.8</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10</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550.07</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17.2</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19</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3191.10</w:t>
            </w:r>
          </w:p>
        </w:tc>
      </w:tr>
      <w:tr w:rsidR="00E731A3" w:rsidRPr="00E731A3">
        <w:trPr>
          <w:trHeight w:val="255"/>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2004-05</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15</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14507.04</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98.9</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8</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155.28</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1.1</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23</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14662.32</w:t>
            </w:r>
          </w:p>
        </w:tc>
      </w:tr>
      <w:tr w:rsidR="00E731A3" w:rsidRPr="00E731A3">
        <w:trPr>
          <w:trHeight w:val="255"/>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2005-06</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53</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10225.43</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94.7</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23</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572.45</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5.3</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76</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10797.88</w:t>
            </w:r>
          </w:p>
        </w:tc>
      </w:tr>
      <w:tr w:rsidR="00E731A3" w:rsidRPr="00E731A3">
        <w:trPr>
          <w:trHeight w:val="270"/>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2006-07</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65</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23469.07</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99.0</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11</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237.10</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1.0</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76</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Times New Roman" w:eastAsia="Times New Roman" w:hAnsi="Times New Roman" w:cs="Times New Roman"/>
                <w:color w:val="000000"/>
                <w:sz w:val="24"/>
                <w:szCs w:val="24"/>
              </w:rPr>
            </w:pPr>
            <w:r w:rsidRPr="00E731A3">
              <w:rPr>
                <w:rFonts w:ascii="Times New Roman" w:eastAsia="Times New Roman" w:hAnsi="Times New Roman" w:cs="Times New Roman"/>
                <w:color w:val="000000"/>
                <w:sz w:val="24"/>
                <w:szCs w:val="24"/>
              </w:rPr>
              <w:t>23706.16</w:t>
            </w:r>
          </w:p>
        </w:tc>
      </w:tr>
      <w:tr w:rsidR="00E731A3" w:rsidRPr="00E731A3">
        <w:trPr>
          <w:trHeight w:val="270"/>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2007-08</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74</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41068.98</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99.4</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10</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254.47</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0.6</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84</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41323.45</w:t>
            </w:r>
          </w:p>
        </w:tc>
      </w:tr>
      <w:tr w:rsidR="00E731A3" w:rsidRPr="00E731A3">
        <w:trPr>
          <w:trHeight w:val="270"/>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2008-09</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17</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1959.92</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96.4</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4</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74.07</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3.6</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21</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E731A3" w:rsidRPr="00E731A3" w:rsidRDefault="00E731A3" w:rsidP="00E731A3">
            <w:pPr>
              <w:spacing w:before="100" w:beforeAutospacing="1" w:after="100" w:afterAutospacing="1" w:line="240" w:lineRule="auto"/>
              <w:jc w:val="right"/>
              <w:rPr>
                <w:rFonts w:ascii="Verdana" w:eastAsia="Times New Roman" w:hAnsi="Verdana" w:cs="Times New Roman"/>
                <w:color w:val="000000"/>
                <w:sz w:val="17"/>
                <w:szCs w:val="17"/>
              </w:rPr>
            </w:pPr>
            <w:r w:rsidRPr="00E731A3">
              <w:rPr>
                <w:rFonts w:ascii="Verdana" w:eastAsia="Times New Roman" w:hAnsi="Verdana" w:cs="Times New Roman"/>
                <w:color w:val="000000"/>
                <w:sz w:val="17"/>
                <w:szCs w:val="17"/>
              </w:rPr>
              <w:t>2033.99</w:t>
            </w:r>
          </w:p>
        </w:tc>
      </w:tr>
    </w:tbl>
    <w:p w:rsidR="00E731A3" w:rsidRPr="00E731A3" w:rsidRDefault="00E731A3" w:rsidP="00E731A3">
      <w:pPr>
        <w:spacing w:before="100" w:beforeAutospacing="1" w:after="100" w:afterAutospacing="1" w:line="240" w:lineRule="auto"/>
        <w:jc w:val="center"/>
        <w:rPr>
          <w:rFonts w:ascii="Verdana" w:eastAsia="Times New Roman" w:hAnsi="Verdana" w:cs="Times New Roman"/>
          <w:color w:val="000000"/>
          <w:sz w:val="17"/>
          <w:szCs w:val="17"/>
        </w:rPr>
      </w:pPr>
      <w:r w:rsidRPr="00E731A3">
        <w:rPr>
          <w:rFonts w:ascii="Verdana" w:eastAsia="Times New Roman" w:hAnsi="Verdana" w:cs="Times New Roman"/>
          <w:b/>
          <w:bCs/>
          <w:color w:val="000000"/>
          <w:sz w:val="17"/>
          <w:szCs w:val="17"/>
        </w:rPr>
        <w:t xml:space="preserve">Open </w:t>
      </w:r>
      <w:proofErr w:type="spellStart"/>
      <w:r w:rsidRPr="00E731A3">
        <w:rPr>
          <w:rFonts w:ascii="Verdana" w:eastAsia="Times New Roman" w:hAnsi="Verdana" w:cs="Times New Roman"/>
          <w:b/>
          <w:bCs/>
          <w:color w:val="000000"/>
          <w:sz w:val="17"/>
          <w:szCs w:val="17"/>
        </w:rPr>
        <w:t>bookbuilding</w:t>
      </w:r>
      <w:proofErr w:type="spellEnd"/>
      <w:r w:rsidRPr="00E731A3">
        <w:rPr>
          <w:rFonts w:ascii="Verdana" w:eastAsia="Times New Roman" w:hAnsi="Verdana" w:cs="Times New Roman"/>
          <w:color w:val="000000"/>
          <w:sz w:val="17"/>
          <w:szCs w:val="17"/>
        </w:rPr>
        <w:t xml:space="preserve"> </w:t>
      </w:r>
      <w:r w:rsidRPr="00E731A3">
        <w:rPr>
          <w:rFonts w:ascii="Verdana" w:eastAsia="Times New Roman" w:hAnsi="Verdana" w:cs="Times New Roman"/>
          <w:color w:val="000000"/>
          <w:sz w:val="17"/>
          <w:szCs w:val="17"/>
        </w:rPr>
        <w:br/>
        <w:t xml:space="preserve">In book-built issues, it is mandatory to have an online display of the demand and bids during the bidding period. This is known as open book system. (Under closed book building, the book is not made public and the bidders have to take a call on the price at which they intend to make a bid without having any information on the bids submitted by other bidders). As per SEBI, only electronic facility is allowed to be used in case of book building. </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r>
      <w:r w:rsidRPr="00E731A3">
        <w:rPr>
          <w:rFonts w:ascii="Verdana" w:eastAsia="Times New Roman" w:hAnsi="Verdana" w:cs="Times New Roman"/>
          <w:b/>
          <w:bCs/>
          <w:color w:val="000000"/>
          <w:sz w:val="17"/>
          <w:szCs w:val="17"/>
        </w:rPr>
        <w:t>Price band</w:t>
      </w:r>
      <w:r w:rsidRPr="00E731A3">
        <w:rPr>
          <w:rFonts w:ascii="Verdana" w:eastAsia="Times New Roman" w:hAnsi="Verdana" w:cs="Times New Roman"/>
          <w:color w:val="000000"/>
          <w:sz w:val="17"/>
          <w:szCs w:val="17"/>
        </w:rPr>
        <w:br/>
      </w:r>
      <w:proofErr w:type="gramStart"/>
      <w:r w:rsidRPr="00E731A3">
        <w:rPr>
          <w:rFonts w:ascii="Verdana" w:eastAsia="Times New Roman" w:hAnsi="Verdana" w:cs="Times New Roman"/>
          <w:color w:val="000000"/>
          <w:sz w:val="17"/>
          <w:szCs w:val="17"/>
        </w:rPr>
        <w:t>The</w:t>
      </w:r>
      <w:proofErr w:type="gramEnd"/>
      <w:r w:rsidRPr="00E731A3">
        <w:rPr>
          <w:rFonts w:ascii="Verdana" w:eastAsia="Times New Roman" w:hAnsi="Verdana" w:cs="Times New Roman"/>
          <w:color w:val="000000"/>
          <w:sz w:val="17"/>
          <w:szCs w:val="17"/>
        </w:rPr>
        <w:t xml:space="preserve"> offer document may have a floor price for the securities or a price band within which the investors can bid. The spread between the floor and the cap of the price band </w:t>
      </w:r>
      <w:proofErr w:type="spellStart"/>
      <w:r w:rsidRPr="00E731A3">
        <w:rPr>
          <w:rFonts w:ascii="Verdana" w:eastAsia="Times New Roman" w:hAnsi="Verdana" w:cs="Times New Roman"/>
          <w:color w:val="000000"/>
          <w:sz w:val="17"/>
          <w:szCs w:val="17"/>
        </w:rPr>
        <w:t>can not</w:t>
      </w:r>
      <w:proofErr w:type="spellEnd"/>
      <w:r w:rsidRPr="00E731A3">
        <w:rPr>
          <w:rFonts w:ascii="Verdana" w:eastAsia="Times New Roman" w:hAnsi="Verdana" w:cs="Times New Roman"/>
          <w:color w:val="000000"/>
          <w:sz w:val="17"/>
          <w:szCs w:val="17"/>
        </w:rPr>
        <w:t xml:space="preserve"> be more than 20%. In other words, it means that the cap should not be more than 120% of the floor price. The company decides the price band </w:t>
      </w:r>
      <w:r w:rsidRPr="00E731A3">
        <w:rPr>
          <w:rFonts w:ascii="Verdana" w:eastAsia="Times New Roman" w:hAnsi="Verdana" w:cs="Times New Roman"/>
          <w:color w:val="000000"/>
          <w:sz w:val="17"/>
          <w:szCs w:val="17"/>
        </w:rPr>
        <w:lastRenderedPageBreak/>
        <w:t>in consultation with the investment bankers, and typically after undertaking a pre-marketing exercise with some leading QIBs.</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t>The price band can have a revision. SEBI requires that any revision in the price band has to be widely disseminated by informing the stock exchanges, by issuing press release and also indicating the change on the relevant website and the terminals of the syndicate members. When the price band is revised, the bidding period has to be extended for a further period of three days, subject to the total bidding period not exceeding thirteen days.</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r>
      <w:r w:rsidRPr="00E731A3">
        <w:rPr>
          <w:rFonts w:ascii="Verdana" w:eastAsia="Times New Roman" w:hAnsi="Verdana" w:cs="Times New Roman"/>
          <w:b/>
          <w:bCs/>
          <w:color w:val="000000"/>
          <w:sz w:val="17"/>
          <w:szCs w:val="17"/>
        </w:rPr>
        <w:t>Floor price</w:t>
      </w:r>
      <w:r w:rsidRPr="00E731A3">
        <w:rPr>
          <w:rFonts w:ascii="Verdana" w:eastAsia="Times New Roman" w:hAnsi="Verdana" w:cs="Times New Roman"/>
          <w:color w:val="000000"/>
          <w:sz w:val="17"/>
          <w:szCs w:val="17"/>
        </w:rPr>
        <w:t xml:space="preserve"> </w:t>
      </w:r>
      <w:r w:rsidRPr="00E731A3">
        <w:rPr>
          <w:rFonts w:ascii="Verdana" w:eastAsia="Times New Roman" w:hAnsi="Verdana" w:cs="Times New Roman"/>
          <w:color w:val="000000"/>
          <w:sz w:val="17"/>
          <w:szCs w:val="17"/>
        </w:rPr>
        <w:br/>
        <w:t xml:space="preserve">Floor price is the minimum price at which bids can be made. </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r>
      <w:r w:rsidRPr="00E731A3">
        <w:rPr>
          <w:rFonts w:ascii="Verdana" w:eastAsia="Times New Roman" w:hAnsi="Verdana" w:cs="Times New Roman"/>
          <w:b/>
          <w:bCs/>
          <w:color w:val="000000"/>
          <w:sz w:val="17"/>
          <w:szCs w:val="17"/>
        </w:rPr>
        <w:t>Cut-off price</w:t>
      </w:r>
      <w:r w:rsidRPr="00E731A3">
        <w:rPr>
          <w:rFonts w:ascii="Verdana" w:eastAsia="Times New Roman" w:hAnsi="Verdana" w:cs="Times New Roman"/>
          <w:color w:val="000000"/>
          <w:sz w:val="17"/>
          <w:szCs w:val="17"/>
        </w:rPr>
        <w:br/>
        <w:t>In Book building issue, the issuer is required to indicate either the price band or a floor price in the red herring prospectus. The actual discovered issue price can be any price in the price band or any price above the floor price. This issue price is called “Cut off price”. This is decided by the issuer and LM after considering the book and investors’ appetite for the stock. SEBI (DIP) guidelines permit only retail individual investors to have an option of applying at cut off price.</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r>
      <w:r w:rsidRPr="00E731A3">
        <w:rPr>
          <w:rFonts w:ascii="Verdana" w:eastAsia="Times New Roman" w:hAnsi="Verdana" w:cs="Times New Roman"/>
          <w:b/>
          <w:bCs/>
          <w:color w:val="000000"/>
          <w:sz w:val="17"/>
          <w:szCs w:val="17"/>
        </w:rPr>
        <w:t>Final issue price</w:t>
      </w:r>
      <w:r w:rsidRPr="00E731A3">
        <w:rPr>
          <w:rFonts w:ascii="Verdana" w:eastAsia="Times New Roman" w:hAnsi="Verdana" w:cs="Times New Roman"/>
          <w:color w:val="000000"/>
          <w:sz w:val="17"/>
          <w:szCs w:val="17"/>
        </w:rPr>
        <w:br/>
      </w:r>
      <w:proofErr w:type="gramStart"/>
      <w:r w:rsidRPr="00E731A3">
        <w:rPr>
          <w:rFonts w:ascii="Verdana" w:eastAsia="Times New Roman" w:hAnsi="Verdana" w:cs="Times New Roman"/>
          <w:color w:val="000000"/>
          <w:sz w:val="17"/>
          <w:szCs w:val="17"/>
        </w:rPr>
        <w:t>The</w:t>
      </w:r>
      <w:proofErr w:type="gramEnd"/>
      <w:r w:rsidRPr="00E731A3">
        <w:rPr>
          <w:rFonts w:ascii="Verdana" w:eastAsia="Times New Roman" w:hAnsi="Verdana" w:cs="Times New Roman"/>
          <w:color w:val="000000"/>
          <w:sz w:val="17"/>
          <w:szCs w:val="17"/>
        </w:rPr>
        <w:t xml:space="preserve"> demand at various price levels within the price band is made available on the websites of the designated stock exchanges during the entire tenure of the issue and once the issue closes, the final price is determined by the issuer and made known to the investors.</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r>
      <w:r w:rsidRPr="00E731A3">
        <w:rPr>
          <w:rFonts w:ascii="Verdana" w:eastAsia="Times New Roman" w:hAnsi="Verdana" w:cs="Times New Roman"/>
          <w:b/>
          <w:bCs/>
          <w:color w:val="000000"/>
          <w:sz w:val="17"/>
          <w:szCs w:val="17"/>
        </w:rPr>
        <w:t xml:space="preserve">Minimum number of days for which an IPO subscription list has to remain open </w:t>
      </w:r>
      <w:r w:rsidRPr="00E731A3">
        <w:rPr>
          <w:rFonts w:ascii="Verdana" w:eastAsia="Times New Roman" w:hAnsi="Verdana" w:cs="Times New Roman"/>
          <w:color w:val="000000"/>
          <w:sz w:val="17"/>
          <w:szCs w:val="17"/>
        </w:rPr>
        <w:br/>
        <w:t xml:space="preserve">In the case of fixed price </w:t>
      </w:r>
      <w:proofErr w:type="gramStart"/>
      <w:r w:rsidRPr="00E731A3">
        <w:rPr>
          <w:rFonts w:ascii="Verdana" w:eastAsia="Times New Roman" w:hAnsi="Verdana" w:cs="Times New Roman"/>
          <w:color w:val="000000"/>
          <w:sz w:val="17"/>
          <w:szCs w:val="17"/>
        </w:rPr>
        <w:t>issues,</w:t>
      </w:r>
      <w:proofErr w:type="gramEnd"/>
      <w:r w:rsidRPr="00E731A3">
        <w:rPr>
          <w:rFonts w:ascii="Verdana" w:eastAsia="Times New Roman" w:hAnsi="Verdana" w:cs="Times New Roman"/>
          <w:color w:val="000000"/>
          <w:sz w:val="17"/>
          <w:szCs w:val="17"/>
        </w:rPr>
        <w:t xml:space="preserve"> subscription list for public issues has to remain open for at least 3 working days and not more than 10 working days.</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t xml:space="preserve">In case of </w:t>
      </w:r>
      <w:proofErr w:type="spellStart"/>
      <w:r w:rsidRPr="00E731A3">
        <w:rPr>
          <w:rFonts w:ascii="Verdana" w:eastAsia="Times New Roman" w:hAnsi="Verdana" w:cs="Times New Roman"/>
          <w:color w:val="000000"/>
          <w:sz w:val="17"/>
          <w:szCs w:val="17"/>
        </w:rPr>
        <w:t>bookbuilding</w:t>
      </w:r>
      <w:proofErr w:type="spellEnd"/>
      <w:r w:rsidRPr="00E731A3">
        <w:rPr>
          <w:rFonts w:ascii="Verdana" w:eastAsia="Times New Roman" w:hAnsi="Verdana" w:cs="Times New Roman"/>
          <w:color w:val="000000"/>
          <w:sz w:val="17"/>
          <w:szCs w:val="17"/>
        </w:rPr>
        <w:t xml:space="preserve"> issues, the minimum and maximum period for which bidding has to remain open is 3 – 7 working days extendable by 3 days in case of a revision in the price band. </w:t>
      </w:r>
      <w:r w:rsidRPr="00E731A3">
        <w:rPr>
          <w:rFonts w:ascii="Verdana" w:eastAsia="Times New Roman" w:hAnsi="Verdana" w:cs="Times New Roman"/>
          <w:color w:val="000000"/>
          <w:sz w:val="17"/>
          <w:szCs w:val="17"/>
        </w:rPr>
        <w:br/>
      </w:r>
      <w:r w:rsidRPr="00E731A3">
        <w:rPr>
          <w:rFonts w:ascii="Verdana" w:eastAsia="Times New Roman" w:hAnsi="Verdana" w:cs="Times New Roman"/>
          <w:color w:val="000000"/>
          <w:sz w:val="17"/>
          <w:szCs w:val="17"/>
        </w:rPr>
        <w:br/>
        <w:t xml:space="preserve">The public issue made by an infrastructure company, satisfying the requirements in Clause 2.4.1 (iii) of Chapter II may be kept open for a maximum period of 21 working days. </w:t>
      </w:r>
    </w:p>
    <w:p w:rsidR="00627278" w:rsidRDefault="00627278"/>
    <w:sectPr w:rsidR="00627278" w:rsidSect="006272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731A3"/>
    <w:rsid w:val="00627278"/>
    <w:rsid w:val="00E731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2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31A3"/>
    <w:pPr>
      <w:spacing w:before="100" w:beforeAutospacing="1" w:after="100" w:afterAutospacing="1" w:line="240" w:lineRule="auto"/>
    </w:pPr>
    <w:rPr>
      <w:rFonts w:ascii="Verdana" w:eastAsia="Times New Roman" w:hAnsi="Verdana" w:cs="Times New Roman"/>
      <w:color w:val="000000"/>
      <w:sz w:val="17"/>
      <w:szCs w:val="17"/>
    </w:rPr>
  </w:style>
  <w:style w:type="character" w:customStyle="1" w:styleId="iepf11">
    <w:name w:val="iepf11"/>
    <w:basedOn w:val="DefaultParagraphFont"/>
    <w:rsid w:val="00E731A3"/>
    <w:rPr>
      <w:rFonts w:ascii="Verdana" w:hAnsi="Verdana" w:hint="default"/>
      <w:sz w:val="22"/>
      <w:szCs w:val="22"/>
    </w:rPr>
  </w:style>
  <w:style w:type="paragraph" w:customStyle="1" w:styleId="cpse6">
    <w:name w:val="cpse6"/>
    <w:basedOn w:val="Normal"/>
    <w:rsid w:val="00E731A3"/>
    <w:pPr>
      <w:spacing w:before="100" w:beforeAutospacing="1" w:after="100" w:afterAutospacing="1" w:line="240" w:lineRule="auto"/>
    </w:pPr>
    <w:rPr>
      <w:rFonts w:ascii="Verdana" w:eastAsia="Times New Roman" w:hAnsi="Verdana" w:cs="Times New Roman"/>
      <w:color w:val="000000"/>
      <w:sz w:val="17"/>
      <w:szCs w:val="1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4408</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as15854</dc:creator>
  <cp:keywords/>
  <dc:description/>
  <cp:lastModifiedBy>as15854</cp:lastModifiedBy>
  <cp:revision>1</cp:revision>
  <dcterms:created xsi:type="dcterms:W3CDTF">2009-12-14T09:11:00Z</dcterms:created>
  <dcterms:modified xsi:type="dcterms:W3CDTF">2009-12-14T09:11:00Z</dcterms:modified>
</cp:coreProperties>
</file>