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72C" w:rsidRPr="00A8372C" w:rsidRDefault="00A8372C" w:rsidP="00A8372C">
      <w:pPr>
        <w:spacing w:before="100" w:beforeAutospacing="1" w:after="100" w:afterAutospacing="1" w:line="240" w:lineRule="auto"/>
        <w:jc w:val="center"/>
        <w:rPr>
          <w:rFonts w:ascii="Verdana" w:eastAsia="Times New Roman" w:hAnsi="Verdana" w:cs="Times New Roman"/>
          <w:color w:val="000000"/>
          <w:sz w:val="17"/>
          <w:szCs w:val="17"/>
        </w:rPr>
      </w:pPr>
      <w:proofErr w:type="gramStart"/>
      <w:r w:rsidRPr="00A8372C">
        <w:rPr>
          <w:rFonts w:ascii="Verdana" w:eastAsia="Times New Roman" w:hAnsi="Verdana" w:cs="Times New Roman"/>
          <w:b/>
          <w:bCs/>
          <w:color w:val="000000"/>
        </w:rPr>
        <w:t>Eligibility norms for making an IPO</w:t>
      </w:r>
      <w:r w:rsidRPr="00A8372C">
        <w:rPr>
          <w:rFonts w:ascii="Verdana" w:eastAsia="Times New Roman" w:hAnsi="Verdana" w:cs="Times New Roman"/>
          <w:b/>
          <w:bCs/>
          <w:color w:val="000000"/>
          <w:sz w:val="17"/>
          <w:szCs w:val="17"/>
        </w:rPr>
        <w:br/>
      </w:r>
      <w:r w:rsidRPr="00A8372C">
        <w:rPr>
          <w:rFonts w:ascii="Verdana" w:eastAsia="Times New Roman" w:hAnsi="Verdana" w:cs="Times New Roman"/>
          <w:b/>
          <w:bCs/>
          <w:color w:val="000000"/>
          <w:sz w:val="17"/>
          <w:szCs w:val="17"/>
        </w:rPr>
        <w:br/>
      </w:r>
      <w:r w:rsidRPr="00A8372C">
        <w:rPr>
          <w:rFonts w:ascii="Verdana" w:eastAsia="Times New Roman" w:hAnsi="Verdana" w:cs="Times New Roman"/>
          <w:color w:val="000000"/>
          <w:sz w:val="17"/>
          <w:szCs w:val="17"/>
        </w:rPr>
        <w:t>SEBI has</w:t>
      </w:r>
      <w:proofErr w:type="gramEnd"/>
      <w:r w:rsidRPr="00A8372C">
        <w:rPr>
          <w:rFonts w:ascii="Verdana" w:eastAsia="Times New Roman" w:hAnsi="Verdana" w:cs="Times New Roman"/>
          <w:color w:val="000000"/>
          <w:sz w:val="17"/>
          <w:szCs w:val="17"/>
        </w:rPr>
        <w:t xml:space="preserve"> stipulated the eligibility norms for companies planning an IPO </w:t>
      </w:r>
      <w:r w:rsidRPr="00A8372C">
        <w:rPr>
          <w:rFonts w:ascii="Verdana" w:eastAsia="Times New Roman" w:hAnsi="Verdana" w:cs="Times New Roman"/>
          <w:color w:val="000000"/>
          <w:sz w:val="17"/>
          <w:szCs w:val="17"/>
        </w:rPr>
        <w:br/>
        <w:t xml:space="preserve">which are as follows: </w:t>
      </w:r>
    </w:p>
    <w:tbl>
      <w:tblPr>
        <w:tblW w:w="5000" w:type="pct"/>
        <w:jc w:val="center"/>
        <w:tblCellSpacing w:w="0" w:type="dxa"/>
        <w:tblCellMar>
          <w:left w:w="0" w:type="dxa"/>
          <w:right w:w="0" w:type="dxa"/>
        </w:tblCellMar>
        <w:tblLook w:val="04A0"/>
      </w:tblPr>
      <w:tblGrid>
        <w:gridCol w:w="187"/>
        <w:gridCol w:w="9173"/>
      </w:tblGrid>
      <w:tr w:rsidR="00A8372C" w:rsidRPr="00A8372C">
        <w:trPr>
          <w:tblCellSpacing w:w="0" w:type="dxa"/>
          <w:jc w:val="center"/>
        </w:trPr>
        <w:tc>
          <w:tcPr>
            <w:tcW w:w="100" w:type="pct"/>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a)</w:t>
            </w:r>
          </w:p>
        </w:tc>
        <w:tc>
          <w:tcPr>
            <w:tcW w:w="4900" w:type="pct"/>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Net tangible assets of at least Rs 3 </w:t>
            </w:r>
            <w:proofErr w:type="spellStart"/>
            <w:r w:rsidRPr="00A8372C">
              <w:rPr>
                <w:rFonts w:ascii="Verdana" w:eastAsia="Times New Roman" w:hAnsi="Verdana" w:cs="Times New Roman"/>
                <w:color w:val="000000"/>
                <w:sz w:val="17"/>
                <w:szCs w:val="17"/>
              </w:rPr>
              <w:t>crore</w:t>
            </w:r>
            <w:proofErr w:type="spellEnd"/>
            <w:r w:rsidRPr="00A8372C">
              <w:rPr>
                <w:rFonts w:ascii="Verdana" w:eastAsia="Times New Roman" w:hAnsi="Verdana" w:cs="Times New Roman"/>
                <w:color w:val="000000"/>
                <w:sz w:val="17"/>
                <w:szCs w:val="17"/>
              </w:rPr>
              <w:t xml:space="preserve"> for three full years </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b)</w:t>
            </w:r>
          </w:p>
        </w:tc>
        <w:tc>
          <w:tcPr>
            <w:tcW w:w="0" w:type="auto"/>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Distributable profits in at least three years </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c)</w:t>
            </w:r>
          </w:p>
        </w:tc>
        <w:tc>
          <w:tcPr>
            <w:tcW w:w="0" w:type="auto"/>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Net worth of at least Rs 1 </w:t>
            </w:r>
            <w:proofErr w:type="spellStart"/>
            <w:r w:rsidRPr="00A8372C">
              <w:rPr>
                <w:rFonts w:ascii="Verdana" w:eastAsia="Times New Roman" w:hAnsi="Verdana" w:cs="Times New Roman"/>
                <w:color w:val="000000"/>
                <w:sz w:val="17"/>
                <w:szCs w:val="17"/>
              </w:rPr>
              <w:t>crore</w:t>
            </w:r>
            <w:proofErr w:type="spellEnd"/>
            <w:r w:rsidRPr="00A8372C">
              <w:rPr>
                <w:rFonts w:ascii="Verdana" w:eastAsia="Times New Roman" w:hAnsi="Verdana" w:cs="Times New Roman"/>
                <w:color w:val="000000"/>
                <w:sz w:val="17"/>
                <w:szCs w:val="17"/>
              </w:rPr>
              <w:t xml:space="preserve"> in three years</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d)</w:t>
            </w:r>
          </w:p>
        </w:tc>
        <w:tc>
          <w:tcPr>
            <w:tcW w:w="0" w:type="auto"/>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The issue size should not exceed 5 times the pre-issue net worth </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e)</w:t>
            </w:r>
          </w:p>
        </w:tc>
        <w:tc>
          <w:tcPr>
            <w:tcW w:w="0" w:type="auto"/>
            <w:vAlign w:val="center"/>
            <w:hideMark/>
          </w:tcPr>
          <w:p w:rsidR="00A8372C" w:rsidRPr="00A8372C" w:rsidRDefault="00A8372C" w:rsidP="00A8372C">
            <w:pPr>
              <w:spacing w:before="100" w:beforeAutospacing="1" w:after="100" w:afterAutospacing="1"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If there has been a change in the company’s name, at least 50 per cent of the revenue for preceding one year should be from the new activity denoted by the new name</w:t>
            </w:r>
          </w:p>
        </w:tc>
      </w:tr>
    </w:tbl>
    <w:p w:rsidR="00A8372C" w:rsidRPr="00A8372C" w:rsidRDefault="00A8372C" w:rsidP="00A8372C">
      <w:pPr>
        <w:spacing w:before="100" w:beforeAutospacing="1" w:after="100" w:afterAutospacing="1" w:line="240" w:lineRule="auto"/>
        <w:jc w:val="center"/>
        <w:rPr>
          <w:rFonts w:ascii="Verdana" w:eastAsia="Times New Roman" w:hAnsi="Verdana" w:cs="Times New Roman"/>
          <w:color w:val="000000"/>
          <w:sz w:val="17"/>
          <w:szCs w:val="17"/>
        </w:rPr>
      </w:pPr>
      <w:r w:rsidRPr="00A8372C">
        <w:rPr>
          <w:rFonts w:ascii="Verdana" w:eastAsia="Times New Roman" w:hAnsi="Verdana" w:cs="Times New Roman"/>
          <w:b/>
          <w:bCs/>
          <w:color w:val="000000"/>
          <w:sz w:val="17"/>
          <w:szCs w:val="17"/>
        </w:rPr>
        <w:t>Alternative routes</w:t>
      </w:r>
      <w:r w:rsidRPr="00A8372C">
        <w:rPr>
          <w:rFonts w:ascii="Verdana" w:eastAsia="Times New Roman" w:hAnsi="Verdana" w:cs="Times New Roman"/>
          <w:color w:val="000000"/>
          <w:sz w:val="17"/>
          <w:szCs w:val="17"/>
        </w:rPr>
        <w:br/>
        <w:t>Recognizing that many good companies, for one reason or the other, may not be able to comply with all the eligibility norms, two other alternative routes are available to such companies</w:t>
      </w:r>
      <w:proofErr w:type="gramStart"/>
      <w:r w:rsidRPr="00A8372C">
        <w:rPr>
          <w:rFonts w:ascii="Verdana" w:eastAsia="Times New Roman" w:hAnsi="Verdana" w:cs="Times New Roman"/>
          <w:color w:val="000000"/>
          <w:sz w:val="17"/>
          <w:szCs w:val="17"/>
        </w:rPr>
        <w:t>:</w:t>
      </w:r>
      <w:proofErr w:type="gramEnd"/>
      <w:r w:rsidRPr="00A8372C">
        <w:rPr>
          <w:rFonts w:ascii="Verdana" w:eastAsia="Times New Roman" w:hAnsi="Verdana" w:cs="Times New Roman"/>
          <w:color w:val="000000"/>
          <w:sz w:val="17"/>
          <w:szCs w:val="17"/>
        </w:rPr>
        <w:br/>
      </w:r>
      <w:r w:rsidRPr="00A8372C">
        <w:rPr>
          <w:rFonts w:ascii="Verdana" w:eastAsia="Times New Roman" w:hAnsi="Verdana" w:cs="Times New Roman"/>
          <w:color w:val="000000"/>
          <w:sz w:val="17"/>
          <w:szCs w:val="17"/>
        </w:rPr>
        <w:br/>
        <w:t xml:space="preserve">Alternative I: </w:t>
      </w:r>
    </w:p>
    <w:tbl>
      <w:tblPr>
        <w:tblW w:w="5000" w:type="pct"/>
        <w:jc w:val="center"/>
        <w:tblCellSpacing w:w="0" w:type="dxa"/>
        <w:tblCellMar>
          <w:left w:w="0" w:type="dxa"/>
          <w:right w:w="0" w:type="dxa"/>
        </w:tblCellMar>
        <w:tblLook w:val="04A0"/>
      </w:tblPr>
      <w:tblGrid>
        <w:gridCol w:w="257"/>
        <w:gridCol w:w="9103"/>
      </w:tblGrid>
      <w:tr w:rsidR="00A8372C" w:rsidRPr="00A8372C">
        <w:trPr>
          <w:tblCellSpacing w:w="0" w:type="dxa"/>
          <w:jc w:val="center"/>
        </w:trPr>
        <w:tc>
          <w:tcPr>
            <w:tcW w:w="100" w:type="pct"/>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(a)</w:t>
            </w:r>
          </w:p>
        </w:tc>
        <w:tc>
          <w:tcPr>
            <w:tcW w:w="4900" w:type="pct"/>
            <w:vAlign w:val="center"/>
            <w:hideMark/>
          </w:tcPr>
          <w:p w:rsidR="00A8372C" w:rsidRPr="00A8372C" w:rsidRDefault="00A8372C" w:rsidP="00A8372C">
            <w:pPr>
              <w:spacing w:before="100" w:beforeAutospacing="1" w:after="100" w:afterAutospacing="1"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Issue shall be through book building route, with at least 50% to be mandatory allotted to the Qualified Institutional Buyers (QIBs). (b) The minimum post-issue face value capital shall be Rs. 10 </w:t>
            </w:r>
            <w:proofErr w:type="spellStart"/>
            <w:r w:rsidRPr="00A8372C">
              <w:rPr>
                <w:rFonts w:ascii="Verdana" w:eastAsia="Times New Roman" w:hAnsi="Verdana" w:cs="Times New Roman"/>
                <w:color w:val="000000"/>
                <w:sz w:val="17"/>
                <w:szCs w:val="17"/>
              </w:rPr>
              <w:t>crore</w:t>
            </w:r>
            <w:proofErr w:type="spellEnd"/>
            <w:r w:rsidRPr="00A8372C">
              <w:rPr>
                <w:rFonts w:ascii="Verdana" w:eastAsia="Times New Roman" w:hAnsi="Verdana" w:cs="Times New Roman"/>
                <w:color w:val="000000"/>
                <w:sz w:val="17"/>
                <w:szCs w:val="17"/>
              </w:rPr>
              <w:t xml:space="preserve"> or there shall be a compulsory market-making for at least 2 years</w:t>
            </w:r>
          </w:p>
        </w:tc>
      </w:tr>
    </w:tbl>
    <w:p w:rsidR="00A8372C" w:rsidRPr="00A8372C" w:rsidRDefault="00A8372C" w:rsidP="00A8372C">
      <w:pPr>
        <w:spacing w:before="100" w:beforeAutospacing="1" w:after="100" w:afterAutospacing="1" w:line="240" w:lineRule="auto"/>
        <w:jc w:val="center"/>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OR</w:t>
      </w:r>
      <w:r w:rsidRPr="00A8372C">
        <w:rPr>
          <w:rFonts w:ascii="Verdana" w:eastAsia="Times New Roman" w:hAnsi="Verdana" w:cs="Times New Roman"/>
          <w:color w:val="000000"/>
          <w:sz w:val="17"/>
          <w:szCs w:val="17"/>
        </w:rPr>
        <w:br/>
      </w:r>
      <w:r w:rsidRPr="00A8372C">
        <w:rPr>
          <w:rFonts w:ascii="Verdana" w:eastAsia="Times New Roman" w:hAnsi="Verdana" w:cs="Times New Roman"/>
          <w:color w:val="000000"/>
          <w:sz w:val="17"/>
          <w:szCs w:val="17"/>
        </w:rPr>
        <w:br/>
        <w:t xml:space="preserve">Alternative II: </w:t>
      </w:r>
    </w:p>
    <w:tbl>
      <w:tblPr>
        <w:tblW w:w="5000" w:type="pct"/>
        <w:jc w:val="center"/>
        <w:tblCellSpacing w:w="0" w:type="dxa"/>
        <w:tblCellMar>
          <w:left w:w="0" w:type="dxa"/>
          <w:right w:w="0" w:type="dxa"/>
        </w:tblCellMar>
        <w:tblLook w:val="04A0"/>
      </w:tblPr>
      <w:tblGrid>
        <w:gridCol w:w="261"/>
        <w:gridCol w:w="9099"/>
      </w:tblGrid>
      <w:tr w:rsidR="00A8372C" w:rsidRPr="00A8372C">
        <w:trPr>
          <w:tblCellSpacing w:w="0" w:type="dxa"/>
          <w:jc w:val="center"/>
        </w:trPr>
        <w:tc>
          <w:tcPr>
            <w:tcW w:w="100" w:type="pct"/>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(a)</w:t>
            </w:r>
          </w:p>
        </w:tc>
        <w:tc>
          <w:tcPr>
            <w:tcW w:w="4900" w:type="pct"/>
            <w:vAlign w:val="center"/>
            <w:hideMark/>
          </w:tcPr>
          <w:p w:rsidR="00A8372C" w:rsidRPr="00A8372C" w:rsidRDefault="00A8372C" w:rsidP="00A8372C">
            <w:pPr>
              <w:spacing w:before="100" w:beforeAutospacing="1" w:after="100" w:afterAutospacing="1"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The “project” is appraised and participated to the extent of 15% by FIs/Scheduled Commercial Banks of which at least 10% comes from the appraiser(s).</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(b)</w:t>
            </w:r>
          </w:p>
        </w:tc>
        <w:tc>
          <w:tcPr>
            <w:tcW w:w="0" w:type="auto"/>
            <w:vAlign w:val="center"/>
            <w:hideMark/>
          </w:tcPr>
          <w:p w:rsidR="00A8372C" w:rsidRPr="00A8372C" w:rsidRDefault="00A8372C" w:rsidP="00A8372C">
            <w:pPr>
              <w:spacing w:before="100" w:beforeAutospacing="1" w:after="100" w:afterAutospacing="1"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 xml:space="preserve">The minimum post-issue face value capital shall be Rs. 10 </w:t>
            </w:r>
            <w:proofErr w:type="spellStart"/>
            <w:r w:rsidRPr="00A8372C">
              <w:rPr>
                <w:rFonts w:ascii="Verdana" w:eastAsia="Times New Roman" w:hAnsi="Verdana" w:cs="Times New Roman"/>
                <w:color w:val="000000"/>
                <w:sz w:val="17"/>
                <w:szCs w:val="17"/>
              </w:rPr>
              <w:t>crore</w:t>
            </w:r>
            <w:proofErr w:type="spellEnd"/>
            <w:r w:rsidRPr="00A8372C">
              <w:rPr>
                <w:rFonts w:ascii="Verdana" w:eastAsia="Times New Roman" w:hAnsi="Verdana" w:cs="Times New Roman"/>
                <w:color w:val="000000"/>
                <w:sz w:val="17"/>
                <w:szCs w:val="17"/>
              </w:rPr>
              <w:t xml:space="preserve"> or there shall be a compulsory market-making for at least 2 years. In addition to satisfying the aforesaid eligibility norms, the company shall also satisfy the criteria of having at least 1000 prospective </w:t>
            </w:r>
            <w:proofErr w:type="spellStart"/>
            <w:r w:rsidRPr="00A8372C">
              <w:rPr>
                <w:rFonts w:ascii="Verdana" w:eastAsia="Times New Roman" w:hAnsi="Verdana" w:cs="Times New Roman"/>
                <w:color w:val="000000"/>
                <w:sz w:val="17"/>
                <w:szCs w:val="17"/>
              </w:rPr>
              <w:t>allottees</w:t>
            </w:r>
            <w:proofErr w:type="spellEnd"/>
            <w:r w:rsidRPr="00A8372C">
              <w:rPr>
                <w:rFonts w:ascii="Verdana" w:eastAsia="Times New Roman" w:hAnsi="Verdana" w:cs="Times New Roman"/>
                <w:color w:val="000000"/>
                <w:sz w:val="17"/>
                <w:szCs w:val="17"/>
              </w:rPr>
              <w:t xml:space="preserve"> in its issue.</w:t>
            </w:r>
          </w:p>
        </w:tc>
      </w:tr>
    </w:tbl>
    <w:p w:rsidR="00A8372C" w:rsidRPr="00A8372C" w:rsidRDefault="00A8372C" w:rsidP="00A8372C">
      <w:pPr>
        <w:spacing w:before="100" w:beforeAutospacing="1" w:after="100" w:afterAutospacing="1" w:line="240" w:lineRule="auto"/>
        <w:jc w:val="center"/>
        <w:rPr>
          <w:rFonts w:ascii="Verdana" w:eastAsia="Times New Roman" w:hAnsi="Verdana" w:cs="Times New Roman"/>
          <w:color w:val="000000"/>
          <w:sz w:val="17"/>
          <w:szCs w:val="17"/>
        </w:rPr>
      </w:pPr>
      <w:r w:rsidRPr="00A8372C">
        <w:rPr>
          <w:rFonts w:ascii="Verdana" w:eastAsia="Times New Roman" w:hAnsi="Verdana" w:cs="Times New Roman"/>
          <w:b/>
          <w:bCs/>
          <w:color w:val="000000"/>
          <w:sz w:val="17"/>
          <w:szCs w:val="17"/>
        </w:rPr>
        <w:t>Exemptions to certain category of entities from the eligibility norms</w:t>
      </w:r>
      <w:r w:rsidRPr="00A8372C">
        <w:rPr>
          <w:rFonts w:ascii="Verdana" w:eastAsia="Times New Roman" w:hAnsi="Verdana" w:cs="Times New Roman"/>
          <w:color w:val="000000"/>
          <w:sz w:val="17"/>
          <w:szCs w:val="17"/>
        </w:rPr>
        <w:br/>
      </w:r>
      <w:proofErr w:type="gramStart"/>
      <w:r w:rsidRPr="00A8372C">
        <w:rPr>
          <w:rFonts w:ascii="Verdana" w:eastAsia="Times New Roman" w:hAnsi="Verdana" w:cs="Times New Roman"/>
          <w:color w:val="000000"/>
          <w:sz w:val="17"/>
          <w:szCs w:val="17"/>
        </w:rPr>
        <w:t>The</w:t>
      </w:r>
      <w:proofErr w:type="gramEnd"/>
      <w:r w:rsidRPr="00A8372C">
        <w:rPr>
          <w:rFonts w:ascii="Verdana" w:eastAsia="Times New Roman" w:hAnsi="Verdana" w:cs="Times New Roman"/>
          <w:color w:val="000000"/>
          <w:sz w:val="17"/>
          <w:szCs w:val="17"/>
        </w:rPr>
        <w:t xml:space="preserve"> following categories of entities are eligible for exemption from </w:t>
      </w:r>
      <w:r w:rsidRPr="00A8372C">
        <w:rPr>
          <w:rFonts w:ascii="Verdana" w:eastAsia="Times New Roman" w:hAnsi="Verdana" w:cs="Times New Roman"/>
          <w:color w:val="000000"/>
          <w:sz w:val="17"/>
          <w:szCs w:val="17"/>
        </w:rPr>
        <w:br/>
        <w:t xml:space="preserve">entry norms. </w:t>
      </w:r>
    </w:p>
    <w:tbl>
      <w:tblPr>
        <w:tblW w:w="5000" w:type="pct"/>
        <w:jc w:val="center"/>
        <w:tblCellSpacing w:w="0" w:type="dxa"/>
        <w:tblCellMar>
          <w:left w:w="0" w:type="dxa"/>
          <w:right w:w="0" w:type="dxa"/>
        </w:tblCellMar>
        <w:tblLook w:val="04A0"/>
      </w:tblPr>
      <w:tblGrid>
        <w:gridCol w:w="261"/>
        <w:gridCol w:w="9099"/>
      </w:tblGrid>
      <w:tr w:rsidR="00A8372C" w:rsidRPr="00A8372C">
        <w:trPr>
          <w:tblCellSpacing w:w="0" w:type="dxa"/>
          <w:jc w:val="center"/>
        </w:trPr>
        <w:tc>
          <w:tcPr>
            <w:tcW w:w="100" w:type="pct"/>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(a)</w:t>
            </w:r>
          </w:p>
        </w:tc>
        <w:tc>
          <w:tcPr>
            <w:tcW w:w="4900" w:type="pct"/>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Private Sector Banks</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(b)</w:t>
            </w:r>
          </w:p>
        </w:tc>
        <w:tc>
          <w:tcPr>
            <w:tcW w:w="0" w:type="auto"/>
            <w:vAlign w:val="center"/>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Public sector banks</w:t>
            </w:r>
          </w:p>
        </w:tc>
      </w:tr>
      <w:tr w:rsidR="00A8372C" w:rsidRPr="00A8372C">
        <w:trPr>
          <w:tblCellSpacing w:w="0" w:type="dxa"/>
          <w:jc w:val="center"/>
        </w:trPr>
        <w:tc>
          <w:tcPr>
            <w:tcW w:w="0" w:type="auto"/>
            <w:hideMark/>
          </w:tcPr>
          <w:p w:rsidR="00A8372C" w:rsidRPr="00A8372C" w:rsidRDefault="00A8372C" w:rsidP="00A8372C">
            <w:pPr>
              <w:spacing w:after="0"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(c)</w:t>
            </w:r>
          </w:p>
        </w:tc>
        <w:tc>
          <w:tcPr>
            <w:tcW w:w="0" w:type="auto"/>
            <w:vAlign w:val="center"/>
            <w:hideMark/>
          </w:tcPr>
          <w:p w:rsidR="00A8372C" w:rsidRPr="00A8372C" w:rsidRDefault="00A8372C" w:rsidP="00A8372C">
            <w:pPr>
              <w:spacing w:before="100" w:beforeAutospacing="1" w:after="100" w:afterAutospacing="1" w:line="240" w:lineRule="auto"/>
              <w:rPr>
                <w:rFonts w:ascii="Verdana" w:eastAsia="Times New Roman" w:hAnsi="Verdana" w:cs="Times New Roman"/>
                <w:color w:val="000000"/>
                <w:sz w:val="17"/>
                <w:szCs w:val="17"/>
              </w:rPr>
            </w:pPr>
            <w:r w:rsidRPr="00A8372C">
              <w:rPr>
                <w:rFonts w:ascii="Verdana" w:eastAsia="Times New Roman" w:hAnsi="Verdana" w:cs="Times New Roman"/>
                <w:color w:val="000000"/>
                <w:sz w:val="17"/>
                <w:szCs w:val="17"/>
              </w:rPr>
              <w:t>An infrastructure company whose project has been appraised by a PFI or IDFC or IL&amp;FS or a bank which was earlier a PFI and not less than 5% of the project cost is financed by any of these institutions.</w:t>
            </w:r>
          </w:p>
        </w:tc>
      </w:tr>
    </w:tbl>
    <w:p w:rsidR="00FC6B12" w:rsidRDefault="00FC6B12"/>
    <w:sectPr w:rsidR="00FC6B12" w:rsidSect="00FC6B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372C"/>
    <w:rsid w:val="00A8372C"/>
    <w:rsid w:val="00FC6B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B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72C"/>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iepf11">
    <w:name w:val="iepf11"/>
    <w:basedOn w:val="DefaultParagraphFont"/>
    <w:rsid w:val="00A8372C"/>
    <w:rPr>
      <w:rFonts w:ascii="Verdana" w:hAnsi="Verdana" w:hint="default"/>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as15854</dc:creator>
  <cp:keywords/>
  <dc:description/>
  <cp:lastModifiedBy>as15854</cp:lastModifiedBy>
  <cp:revision>1</cp:revision>
  <dcterms:created xsi:type="dcterms:W3CDTF">2009-12-14T09:09:00Z</dcterms:created>
  <dcterms:modified xsi:type="dcterms:W3CDTF">2009-12-14T09:10:00Z</dcterms:modified>
</cp:coreProperties>
</file>