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693906" w:rsidRPr="00693906">
        <w:trPr>
          <w:tblCellSpacing w:w="15" w:type="dxa"/>
        </w:trPr>
        <w:tc>
          <w:tcPr>
            <w:tcW w:w="0" w:type="auto"/>
            <w:vAlign w:val="center"/>
            <w:hideMark/>
          </w:tcPr>
          <w:p w:rsidR="00693906" w:rsidRPr="00693906" w:rsidRDefault="00693906" w:rsidP="00693906">
            <w:pPr>
              <w:spacing w:after="0" w:line="240" w:lineRule="auto"/>
              <w:jc w:val="right"/>
              <w:rPr>
                <w:rFonts w:ascii="Trebuchet MS" w:eastAsia="Times New Roman" w:hAnsi="Trebuchet MS" w:cs="Times New Roman"/>
                <w:sz w:val="21"/>
                <w:szCs w:val="21"/>
              </w:rPr>
            </w:pPr>
            <w:r w:rsidRPr="00693906">
              <w:rPr>
                <w:rFonts w:ascii="Trebuchet MS" w:eastAsia="Times New Roman" w:hAnsi="Trebuchet MS" w:cs="Times New Roman"/>
                <w:b/>
                <w:bCs/>
                <w:sz w:val="21"/>
                <w:szCs w:val="21"/>
              </w:rPr>
              <w:t>February 3, 2009</w:t>
            </w:r>
          </w:p>
        </w:tc>
      </w:tr>
      <w:tr w:rsidR="00693906" w:rsidRPr="00693906">
        <w:trPr>
          <w:tblCellSpacing w:w="15" w:type="dxa"/>
        </w:trPr>
        <w:tc>
          <w:tcPr>
            <w:tcW w:w="0" w:type="auto"/>
            <w:vAlign w:val="center"/>
            <w:hideMark/>
          </w:tcPr>
          <w:p w:rsidR="00693906" w:rsidRPr="00693906" w:rsidRDefault="00693906" w:rsidP="00693906">
            <w:pPr>
              <w:spacing w:after="240" w:line="240" w:lineRule="auto"/>
              <w:jc w:val="center"/>
              <w:rPr>
                <w:rFonts w:ascii="Trebuchet MS" w:eastAsia="Times New Roman" w:hAnsi="Trebuchet MS" w:cs="Times New Roman"/>
                <w:sz w:val="21"/>
                <w:szCs w:val="21"/>
              </w:rPr>
            </w:pPr>
            <w:r w:rsidRPr="00693906">
              <w:rPr>
                <w:rFonts w:ascii="Trebuchet MS" w:eastAsia="Times New Roman" w:hAnsi="Trebuchet MS" w:cs="Times New Roman"/>
                <w:b/>
                <w:bCs/>
                <w:sz w:val="21"/>
                <w:szCs w:val="21"/>
              </w:rPr>
              <w:t>Press Release</w:t>
            </w:r>
          </w:p>
        </w:tc>
      </w:tr>
      <w:tr w:rsidR="00693906" w:rsidRPr="00693906">
        <w:trPr>
          <w:tblCellSpacing w:w="15" w:type="dxa"/>
        </w:trPr>
        <w:tc>
          <w:tcPr>
            <w:tcW w:w="0" w:type="auto"/>
            <w:vAlign w:val="center"/>
            <w:hideMark/>
          </w:tcPr>
          <w:p w:rsidR="00693906" w:rsidRPr="00693906" w:rsidRDefault="00693906" w:rsidP="00693906">
            <w:pPr>
              <w:spacing w:after="0" w:line="240" w:lineRule="auto"/>
              <w:jc w:val="center"/>
              <w:rPr>
                <w:rFonts w:ascii="Trebuchet MS" w:eastAsia="Times New Roman" w:hAnsi="Trebuchet MS" w:cs="Times New Roman"/>
                <w:sz w:val="21"/>
                <w:szCs w:val="21"/>
              </w:rPr>
            </w:pPr>
            <w:r w:rsidRPr="00693906">
              <w:rPr>
                <w:rFonts w:ascii="Trebuchet MS" w:eastAsia="Times New Roman" w:hAnsi="Trebuchet MS" w:cs="Times New Roman"/>
                <w:b/>
                <w:bCs/>
                <w:sz w:val="21"/>
                <w:szCs w:val="21"/>
                <w:u w:val="single"/>
              </w:rPr>
              <w:t xml:space="preserve">MOU with CPA Australia recognizing each </w:t>
            </w:r>
            <w:proofErr w:type="spellStart"/>
            <w:r w:rsidRPr="00693906">
              <w:rPr>
                <w:rFonts w:ascii="Trebuchet MS" w:eastAsia="Times New Roman" w:hAnsi="Trebuchet MS" w:cs="Times New Roman"/>
                <w:b/>
                <w:bCs/>
                <w:sz w:val="21"/>
                <w:szCs w:val="21"/>
                <w:u w:val="single"/>
              </w:rPr>
              <w:t>others</w:t>
            </w:r>
            <w:proofErr w:type="spellEnd"/>
            <w:r w:rsidRPr="00693906">
              <w:rPr>
                <w:rFonts w:ascii="Trebuchet MS" w:eastAsia="Times New Roman" w:hAnsi="Trebuchet MS" w:cs="Times New Roman"/>
                <w:b/>
                <w:bCs/>
                <w:sz w:val="21"/>
                <w:szCs w:val="21"/>
                <w:u w:val="single"/>
              </w:rPr>
              <w:t xml:space="preserve"> qualification</w:t>
            </w:r>
          </w:p>
        </w:tc>
      </w:tr>
      <w:tr w:rsidR="00693906" w:rsidRPr="00693906">
        <w:trPr>
          <w:tblCellSpacing w:w="15" w:type="dxa"/>
        </w:trPr>
        <w:tc>
          <w:tcPr>
            <w:tcW w:w="0" w:type="auto"/>
            <w:vAlign w:val="center"/>
            <w:hideMark/>
          </w:tcPr>
          <w:p w:rsidR="00693906" w:rsidRPr="00693906" w:rsidRDefault="00693906" w:rsidP="00693906">
            <w:pPr>
              <w:spacing w:after="0" w:line="240" w:lineRule="auto"/>
              <w:jc w:val="center"/>
              <w:rPr>
                <w:rFonts w:ascii="Trebuchet MS" w:eastAsia="Times New Roman" w:hAnsi="Trebuchet MS" w:cs="Times New Roman"/>
                <w:sz w:val="21"/>
                <w:szCs w:val="21"/>
              </w:rPr>
            </w:pPr>
            <w:r>
              <w:rPr>
                <w:rFonts w:ascii="Trebuchet MS" w:eastAsia="Times New Roman" w:hAnsi="Trebuchet MS" w:cs="Times New Roman"/>
                <w:noProof/>
                <w:color w:val="033476"/>
                <w:sz w:val="18"/>
                <w:szCs w:val="18"/>
              </w:rPr>
              <w:drawing>
                <wp:inline distT="0" distB="0" distL="0" distR="0">
                  <wp:extent cx="5238750" cy="3476625"/>
                  <wp:effectExtent l="19050" t="0" r="0" b="0"/>
                  <wp:docPr id="1" name="Picture 1" descr="http://www.icai.org/resource_file/14921cpa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ai.org/resource_file/14921cpa5.jpg">
                            <a:hlinkClick r:id="rId4"/>
                          </pic:cNvPr>
                          <pic:cNvPicPr>
                            <a:picLocks noChangeAspect="1" noChangeArrowheads="1"/>
                          </pic:cNvPicPr>
                        </pic:nvPicPr>
                        <pic:blipFill>
                          <a:blip r:embed="rId5"/>
                          <a:srcRect/>
                          <a:stretch>
                            <a:fillRect/>
                          </a:stretch>
                        </pic:blipFill>
                        <pic:spPr bwMode="auto">
                          <a:xfrm>
                            <a:off x="0" y="0"/>
                            <a:ext cx="5238750" cy="3476625"/>
                          </a:xfrm>
                          <a:prstGeom prst="rect">
                            <a:avLst/>
                          </a:prstGeom>
                          <a:noFill/>
                          <a:ln w="9525">
                            <a:noFill/>
                            <a:miter lim="800000"/>
                            <a:headEnd/>
                            <a:tailEnd/>
                          </a:ln>
                        </pic:spPr>
                      </pic:pic>
                    </a:graphicData>
                  </a:graphic>
                </wp:inline>
              </w:drawing>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The Institute of Chartered Accountants of India (ICAI) and CPA Australia Ltd, the two largest Chartered Accountancy bodies in the world have decided together by working out a Mutual Recognition Agreement (MRA), which was signed today, to recognize the qualification, training of each other and admit the members in good standing by prescribing a bridging mechanism.</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“The instant MRA with CPA Australia by ICAI is a step forward in increased mobility to professionals at either end and would herald a new dimension for businesses globally” said President, ICAI, </w:t>
            </w:r>
            <w:proofErr w:type="spellStart"/>
            <w:r w:rsidRPr="00693906">
              <w:rPr>
                <w:rFonts w:ascii="Trebuchet MS" w:eastAsia="Times New Roman" w:hAnsi="Trebuchet MS" w:cs="Times New Roman"/>
                <w:sz w:val="21"/>
                <w:szCs w:val="21"/>
              </w:rPr>
              <w:t>Ved</w:t>
            </w:r>
            <w:proofErr w:type="spellEnd"/>
            <w:r w:rsidRPr="00693906">
              <w:rPr>
                <w:rFonts w:ascii="Trebuchet MS" w:eastAsia="Times New Roman" w:hAnsi="Trebuchet MS" w:cs="Times New Roman"/>
                <w:sz w:val="21"/>
                <w:szCs w:val="21"/>
              </w:rPr>
              <w:t xml:space="preserve"> Jain. Adding further </w:t>
            </w:r>
            <w:proofErr w:type="spellStart"/>
            <w:r w:rsidRPr="00693906">
              <w:rPr>
                <w:rFonts w:ascii="Trebuchet MS" w:eastAsia="Times New Roman" w:hAnsi="Trebuchet MS" w:cs="Times New Roman"/>
                <w:sz w:val="21"/>
                <w:szCs w:val="21"/>
              </w:rPr>
              <w:t>Mr</w:t>
            </w:r>
            <w:proofErr w:type="spellEnd"/>
            <w:r w:rsidRPr="00693906">
              <w:rPr>
                <w:rFonts w:ascii="Trebuchet MS" w:eastAsia="Times New Roman" w:hAnsi="Trebuchet MS" w:cs="Times New Roman"/>
                <w:sz w:val="21"/>
                <w:szCs w:val="21"/>
              </w:rPr>
              <w:t xml:space="preserve"> </w:t>
            </w:r>
            <w:proofErr w:type="spellStart"/>
            <w:r w:rsidRPr="00693906">
              <w:rPr>
                <w:rFonts w:ascii="Trebuchet MS" w:eastAsia="Times New Roman" w:hAnsi="Trebuchet MS" w:cs="Times New Roman"/>
                <w:sz w:val="21"/>
                <w:szCs w:val="21"/>
              </w:rPr>
              <w:t>Ved</w:t>
            </w:r>
            <w:proofErr w:type="spellEnd"/>
            <w:r w:rsidRPr="00693906">
              <w:rPr>
                <w:rFonts w:ascii="Trebuchet MS" w:eastAsia="Times New Roman" w:hAnsi="Trebuchet MS" w:cs="Times New Roman"/>
                <w:sz w:val="21"/>
                <w:szCs w:val="21"/>
              </w:rPr>
              <w:t xml:space="preserve"> Jain stated </w:t>
            </w:r>
            <w:proofErr w:type="gramStart"/>
            <w:r w:rsidRPr="00693906">
              <w:rPr>
                <w:rFonts w:ascii="Trebuchet MS" w:eastAsia="Times New Roman" w:hAnsi="Trebuchet MS" w:cs="Times New Roman"/>
                <w:sz w:val="21"/>
                <w:szCs w:val="21"/>
              </w:rPr>
              <w:t>“ It</w:t>
            </w:r>
            <w:proofErr w:type="gramEnd"/>
            <w:r w:rsidRPr="00693906">
              <w:rPr>
                <w:rFonts w:ascii="Trebuchet MS" w:eastAsia="Times New Roman" w:hAnsi="Trebuchet MS" w:cs="Times New Roman"/>
                <w:sz w:val="21"/>
                <w:szCs w:val="21"/>
              </w:rPr>
              <w:t xml:space="preserve"> also puts the two Accountancy Profession from India and Australia on global radar to play the leadership role in addressing new challenges before profession.”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“A landmark agreement between CPA Australia and ICAI highlights the increasingly global nature of the accounting profession”, said President, CPA Australia, </w:t>
            </w:r>
            <w:proofErr w:type="gramStart"/>
            <w:r w:rsidRPr="00693906">
              <w:rPr>
                <w:rFonts w:ascii="Trebuchet MS" w:eastAsia="Times New Roman" w:hAnsi="Trebuchet MS" w:cs="Times New Roman"/>
                <w:sz w:val="21"/>
                <w:szCs w:val="21"/>
              </w:rPr>
              <w:t>Alex</w:t>
            </w:r>
            <w:proofErr w:type="gramEnd"/>
            <w:r w:rsidRPr="00693906">
              <w:rPr>
                <w:rFonts w:ascii="Trebuchet MS" w:eastAsia="Times New Roman" w:hAnsi="Trebuchet MS" w:cs="Times New Roman"/>
                <w:sz w:val="21"/>
                <w:szCs w:val="21"/>
              </w:rPr>
              <w:t xml:space="preserve"> </w:t>
            </w:r>
            <w:proofErr w:type="spellStart"/>
            <w:r w:rsidRPr="00693906">
              <w:rPr>
                <w:rFonts w:ascii="Trebuchet MS" w:eastAsia="Times New Roman" w:hAnsi="Trebuchet MS" w:cs="Times New Roman"/>
                <w:sz w:val="21"/>
                <w:szCs w:val="21"/>
              </w:rPr>
              <w:t>Malley</w:t>
            </w:r>
            <w:proofErr w:type="spellEnd"/>
            <w:r w:rsidRPr="00693906">
              <w:rPr>
                <w:rFonts w:ascii="Trebuchet MS" w:eastAsia="Times New Roman" w:hAnsi="Trebuchet MS" w:cs="Times New Roman"/>
                <w:sz w:val="21"/>
                <w:szCs w:val="21"/>
              </w:rPr>
              <w:t xml:space="preserve">.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As per the Mutual Recognition Agreement reached, members of ICAI who are graduates will be eligible for CPA Australia membership on passing one paper on Business Strategy and Leadership. On the other hand, members of CPA Australia will be eligible for ICAI membership subject to passing two papers on Corporate &amp; Allied Laws and Taxation and two more papers on Advanced Auditing &amp; Professional Ethics and Financial Reporting, if they have not already passed them as a part of the CPA Australia </w:t>
            </w:r>
            <w:proofErr w:type="spellStart"/>
            <w:r w:rsidRPr="00693906">
              <w:rPr>
                <w:rFonts w:ascii="Trebuchet MS" w:eastAsia="Times New Roman" w:hAnsi="Trebuchet MS" w:cs="Times New Roman"/>
                <w:sz w:val="21"/>
                <w:szCs w:val="21"/>
              </w:rPr>
              <w:t>programme</w:t>
            </w:r>
            <w:proofErr w:type="spellEnd"/>
            <w:r w:rsidRPr="00693906">
              <w:rPr>
                <w:rFonts w:ascii="Trebuchet MS" w:eastAsia="Times New Roman" w:hAnsi="Trebuchet MS" w:cs="Times New Roman"/>
                <w:sz w:val="21"/>
                <w:szCs w:val="21"/>
              </w:rPr>
              <w:t xml:space="preserve">.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The papers in respect of bridging mechanism as above would be administered locally by the two institutes. Mutual Recognition Agreement is likely to herald an increased mobility of the </w:t>
            </w:r>
            <w:r w:rsidRPr="00693906">
              <w:rPr>
                <w:rFonts w:ascii="Trebuchet MS" w:eastAsia="Times New Roman" w:hAnsi="Trebuchet MS" w:cs="Times New Roman"/>
                <w:sz w:val="21"/>
                <w:szCs w:val="21"/>
              </w:rPr>
              <w:lastRenderedPageBreak/>
              <w:t xml:space="preserve">professionals in either country.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lastRenderedPageBreak/>
              <w:t xml:space="preserve">The MRA will open professional opportunities to our members in Australia and this will bring the two countries, India and Australia, closer.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CPA Australia is one of the </w:t>
            </w:r>
            <w:proofErr w:type="spellStart"/>
            <w:r w:rsidRPr="00693906">
              <w:rPr>
                <w:rFonts w:ascii="Trebuchet MS" w:eastAsia="Times New Roman" w:hAnsi="Trebuchet MS" w:cs="Times New Roman"/>
                <w:sz w:val="21"/>
                <w:szCs w:val="21"/>
              </w:rPr>
              <w:t>Worlds</w:t>
            </w:r>
            <w:proofErr w:type="spellEnd"/>
            <w:r w:rsidRPr="00693906">
              <w:rPr>
                <w:rFonts w:ascii="Trebuchet MS" w:eastAsia="Times New Roman" w:hAnsi="Trebuchet MS" w:cs="Times New Roman"/>
                <w:sz w:val="21"/>
                <w:szCs w:val="21"/>
              </w:rPr>
              <w:t xml:space="preserve"> largest accounting bodies, representing 122, 000 finance, accounting and business professionals in Australia, Asia and Europe with 12 overseas divisions and branches.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The Institute of Chartered Accountants of India (ICAI) is a statutory body established under the Chartered Accountants Act, 1949 for the regulation of the profession of Chartered Accountants in India. During its nearly six decades of existence, ICAI has achieved recognition as a premier accounting body not only in the country but also globally, for its contribution in the fields of education, professional development, maintenance of high accounting, auditing and ethical standards. ICAI now is the second largest accounting body in the world. </w:t>
            </w:r>
          </w:p>
        </w:tc>
      </w:tr>
      <w:tr w:rsidR="00693906" w:rsidRPr="00693906">
        <w:trPr>
          <w:tblCellSpacing w:w="15" w:type="dxa"/>
        </w:trPr>
        <w:tc>
          <w:tcPr>
            <w:tcW w:w="0" w:type="auto"/>
            <w:hideMark/>
          </w:tcPr>
          <w:p w:rsidR="00693906" w:rsidRPr="00693906" w:rsidRDefault="00693906" w:rsidP="00693906">
            <w:pPr>
              <w:spacing w:after="240" w:line="240" w:lineRule="auto"/>
              <w:rPr>
                <w:rFonts w:ascii="Trebuchet MS" w:eastAsia="Times New Roman" w:hAnsi="Trebuchet MS" w:cs="Times New Roman"/>
                <w:sz w:val="21"/>
                <w:szCs w:val="21"/>
              </w:rPr>
            </w:pPr>
            <w:r w:rsidRPr="00693906">
              <w:rPr>
                <w:rFonts w:ascii="Trebuchet MS" w:eastAsia="Times New Roman" w:hAnsi="Trebuchet MS" w:cs="Times New Roman"/>
                <w:sz w:val="21"/>
                <w:szCs w:val="21"/>
              </w:rPr>
              <w:t xml:space="preserve">This MRA comes closer on the heels of an arrangement entered by ICAI with the Institute of Chartered Accountants of England and Wales in November 2008. </w:t>
            </w:r>
          </w:p>
        </w:tc>
      </w:tr>
    </w:tbl>
    <w:p w:rsidR="00181CA7" w:rsidRDefault="00693906"/>
    <w:sectPr w:rsidR="00181CA7" w:rsidSect="00D210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3906"/>
    <w:rsid w:val="00693906"/>
    <w:rsid w:val="007D1508"/>
    <w:rsid w:val="00D210BE"/>
    <w:rsid w:val="00EF5D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0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9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icai.org/post.html?post_id=3996&amp;c_id=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Company>cts</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Srichand Jain</dc:creator>
  <cp:keywords/>
  <dc:description/>
  <cp:lastModifiedBy>Srichand Jain</cp:lastModifiedBy>
  <cp:revision>1</cp:revision>
  <dcterms:created xsi:type="dcterms:W3CDTF">2009-02-04T14:20:00Z</dcterms:created>
  <dcterms:modified xsi:type="dcterms:W3CDTF">2009-02-04T14:21:00Z</dcterms:modified>
</cp:coreProperties>
</file>