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B53" w:rsidRPr="00154B53" w:rsidRDefault="00154B53" w:rsidP="00154B53">
      <w:pPr>
        <w:spacing w:after="0" w:line="240" w:lineRule="auto"/>
        <w:ind w:left="720" w:right="1125" w:firstLine="115"/>
        <w:jc w:val="right"/>
        <w:rPr>
          <w:rFonts w:ascii="Calibri" w:eastAsia="Times New Roman" w:hAnsi="Calibri" w:cs="Calibri"/>
          <w:color w:val="000000"/>
        </w:rPr>
      </w:pPr>
      <w:r w:rsidRPr="00154B53">
        <w:rPr>
          <w:rFonts w:ascii="Arial" w:eastAsia="Times New Roman" w:hAnsi="Arial" w:cs="Arial"/>
          <w:b/>
          <w:bCs/>
          <w:color w:val="000000"/>
          <w:sz w:val="24"/>
          <w:szCs w:val="24"/>
          <w:lang w:val="en-IN"/>
        </w:rPr>
        <w:t>Circular No. 01/15-Customs</w:t>
      </w:r>
    </w:p>
    <w:p w:rsidR="00154B53" w:rsidRPr="00154B53" w:rsidRDefault="00154B53" w:rsidP="00154B53">
      <w:pPr>
        <w:spacing w:after="0" w:line="240" w:lineRule="auto"/>
        <w:ind w:left="720" w:right="1125" w:firstLine="115"/>
        <w:jc w:val="center"/>
        <w:rPr>
          <w:rFonts w:ascii="Calibri" w:eastAsia="Times New Roman" w:hAnsi="Calibri" w:cs="Calibri"/>
          <w:color w:val="000000"/>
        </w:rPr>
      </w:pPr>
      <w:r w:rsidRPr="00154B53">
        <w:rPr>
          <w:rFonts w:ascii="Arial" w:eastAsia="Times New Roman" w:hAnsi="Arial" w:cs="Arial"/>
          <w:color w:val="000000"/>
          <w:sz w:val="20"/>
          <w:szCs w:val="20"/>
          <w:lang w:val="en-IN"/>
        </w:rPr>
        <w:t> </w:t>
      </w:r>
    </w:p>
    <w:p w:rsidR="00154B53" w:rsidRPr="00154B53" w:rsidRDefault="00154B53" w:rsidP="00154B53">
      <w:pPr>
        <w:spacing w:after="0" w:line="240" w:lineRule="auto"/>
        <w:ind w:left="720" w:right="1125" w:firstLine="115"/>
        <w:jc w:val="center"/>
        <w:rPr>
          <w:rFonts w:ascii="Calibri" w:eastAsia="Times New Roman" w:hAnsi="Calibri" w:cs="Calibri"/>
          <w:color w:val="000000"/>
        </w:rPr>
      </w:pPr>
      <w:r w:rsidRPr="00154B53">
        <w:rPr>
          <w:rFonts w:ascii="Arial" w:eastAsia="Times New Roman" w:hAnsi="Arial" w:cs="Arial"/>
          <w:color w:val="000000"/>
          <w:sz w:val="20"/>
          <w:szCs w:val="20"/>
          <w:lang w:val="en-IN"/>
        </w:rPr>
        <w:t>F. No. 450/25/2013-Cus IV (Pt.)</w:t>
      </w:r>
    </w:p>
    <w:p w:rsidR="00154B53" w:rsidRPr="00154B53" w:rsidRDefault="00154B53" w:rsidP="00154B53">
      <w:pPr>
        <w:spacing w:after="0" w:line="240" w:lineRule="auto"/>
        <w:ind w:left="720" w:right="1125" w:firstLine="115"/>
        <w:jc w:val="center"/>
        <w:rPr>
          <w:rFonts w:ascii="Calibri" w:eastAsia="Times New Roman" w:hAnsi="Calibri" w:cs="Calibri"/>
          <w:color w:val="000000"/>
        </w:rPr>
      </w:pPr>
      <w:r w:rsidRPr="00154B53">
        <w:rPr>
          <w:rFonts w:ascii="Arial" w:eastAsia="Times New Roman" w:hAnsi="Arial" w:cs="Arial"/>
          <w:color w:val="000000"/>
          <w:sz w:val="20"/>
          <w:szCs w:val="20"/>
          <w:lang w:val="en-IN"/>
        </w:rPr>
        <w:t>Government of India</w:t>
      </w:r>
    </w:p>
    <w:p w:rsidR="00154B53" w:rsidRPr="00154B53" w:rsidRDefault="00154B53" w:rsidP="00154B53">
      <w:pPr>
        <w:spacing w:after="0" w:line="240" w:lineRule="auto"/>
        <w:ind w:left="720" w:right="1125" w:firstLine="115"/>
        <w:jc w:val="center"/>
        <w:rPr>
          <w:rFonts w:ascii="Calibri" w:eastAsia="Times New Roman" w:hAnsi="Calibri" w:cs="Calibri"/>
          <w:color w:val="000000"/>
        </w:rPr>
      </w:pPr>
      <w:r w:rsidRPr="00154B53">
        <w:rPr>
          <w:rFonts w:ascii="Arial" w:eastAsia="Times New Roman" w:hAnsi="Arial" w:cs="Arial"/>
          <w:color w:val="000000"/>
          <w:sz w:val="20"/>
          <w:szCs w:val="20"/>
          <w:lang w:val="en-IN"/>
        </w:rPr>
        <w:t>Ministry of Finance</w:t>
      </w:r>
    </w:p>
    <w:p w:rsidR="00154B53" w:rsidRPr="00154B53" w:rsidRDefault="00154B53" w:rsidP="00154B53">
      <w:pPr>
        <w:spacing w:after="0" w:line="240" w:lineRule="auto"/>
        <w:ind w:left="720" w:right="1125" w:firstLine="115"/>
        <w:jc w:val="center"/>
        <w:rPr>
          <w:rFonts w:ascii="Calibri" w:eastAsia="Times New Roman" w:hAnsi="Calibri" w:cs="Calibri"/>
          <w:color w:val="000000"/>
        </w:rPr>
      </w:pPr>
      <w:r w:rsidRPr="00154B53">
        <w:rPr>
          <w:rFonts w:ascii="Arial" w:eastAsia="Times New Roman" w:hAnsi="Arial" w:cs="Arial"/>
          <w:color w:val="000000"/>
          <w:sz w:val="20"/>
          <w:szCs w:val="20"/>
          <w:lang w:val="en-IN"/>
        </w:rPr>
        <w:t>Department of Revenue</w:t>
      </w:r>
    </w:p>
    <w:p w:rsidR="00154B53" w:rsidRPr="00154B53" w:rsidRDefault="00154B53" w:rsidP="00154B53">
      <w:pPr>
        <w:spacing w:after="0" w:line="240" w:lineRule="auto"/>
        <w:ind w:left="720" w:right="1125" w:firstLine="115"/>
        <w:jc w:val="center"/>
        <w:rPr>
          <w:rFonts w:ascii="Calibri" w:eastAsia="Times New Roman" w:hAnsi="Calibri" w:cs="Calibri"/>
          <w:color w:val="000000"/>
        </w:rPr>
      </w:pPr>
      <w:r w:rsidRPr="00154B53">
        <w:rPr>
          <w:rFonts w:ascii="Arial" w:eastAsia="Times New Roman" w:hAnsi="Arial" w:cs="Arial"/>
          <w:color w:val="000000"/>
          <w:sz w:val="20"/>
          <w:szCs w:val="20"/>
          <w:lang w:val="en-IN"/>
        </w:rPr>
        <w:t>Central Board of Excise and Customs</w:t>
      </w:r>
    </w:p>
    <w:p w:rsidR="00154B53" w:rsidRPr="00154B53" w:rsidRDefault="00154B53" w:rsidP="00154B53">
      <w:pPr>
        <w:spacing w:after="0" w:line="240" w:lineRule="auto"/>
        <w:ind w:left="720" w:right="1125" w:firstLine="115"/>
        <w:jc w:val="center"/>
        <w:rPr>
          <w:rFonts w:ascii="Calibri" w:eastAsia="Times New Roman" w:hAnsi="Calibri" w:cs="Calibri"/>
          <w:color w:val="000000"/>
        </w:rPr>
      </w:pPr>
      <w:r w:rsidRPr="00154B53">
        <w:rPr>
          <w:rFonts w:ascii="Arial" w:eastAsia="Times New Roman" w:hAnsi="Arial" w:cs="Arial"/>
          <w:color w:val="000000"/>
          <w:sz w:val="20"/>
          <w:szCs w:val="20"/>
          <w:lang w:val="en-IN"/>
        </w:rPr>
        <w:t>***</w:t>
      </w:r>
    </w:p>
    <w:p w:rsidR="00154B53" w:rsidRPr="00154B53" w:rsidRDefault="00154B53" w:rsidP="00154B53">
      <w:pPr>
        <w:spacing w:after="0" w:line="240" w:lineRule="auto"/>
        <w:ind w:left="720" w:right="1125" w:firstLine="115"/>
        <w:jc w:val="right"/>
        <w:rPr>
          <w:rFonts w:ascii="Calibri" w:eastAsia="Times New Roman" w:hAnsi="Calibri" w:cs="Calibri"/>
          <w:color w:val="000000"/>
        </w:rPr>
      </w:pPr>
      <w:r w:rsidRPr="00154B53">
        <w:rPr>
          <w:rFonts w:ascii="Arial" w:eastAsia="Times New Roman" w:hAnsi="Arial" w:cs="Arial"/>
          <w:color w:val="000000"/>
          <w:sz w:val="20"/>
          <w:szCs w:val="20"/>
          <w:lang w:val="en-IN"/>
        </w:rPr>
        <w:t>New Delhi, dated 12.01.2015</w:t>
      </w:r>
    </w:p>
    <w:p w:rsidR="00154B53" w:rsidRPr="00154B53" w:rsidRDefault="00154B53" w:rsidP="00154B53">
      <w:pPr>
        <w:spacing w:after="0" w:line="240" w:lineRule="auto"/>
        <w:ind w:left="720" w:right="1125" w:firstLine="115"/>
        <w:rPr>
          <w:rFonts w:ascii="Calibri" w:eastAsia="Times New Roman" w:hAnsi="Calibri" w:cs="Calibri"/>
          <w:color w:val="000000"/>
        </w:rPr>
      </w:pPr>
      <w:r w:rsidRPr="00154B53">
        <w:rPr>
          <w:rFonts w:ascii="Arial" w:eastAsia="Times New Roman" w:hAnsi="Arial" w:cs="Arial"/>
          <w:color w:val="000000"/>
          <w:sz w:val="20"/>
          <w:szCs w:val="20"/>
          <w:lang w:val="en-IN"/>
        </w:rPr>
        <w:t>To</w:t>
      </w:r>
    </w:p>
    <w:p w:rsidR="00154B53" w:rsidRPr="00154B53" w:rsidRDefault="00154B53" w:rsidP="00154B53">
      <w:pPr>
        <w:spacing w:after="0" w:line="240" w:lineRule="auto"/>
        <w:ind w:left="720" w:right="1125" w:firstLine="115"/>
        <w:rPr>
          <w:rFonts w:ascii="Calibri" w:eastAsia="Times New Roman" w:hAnsi="Calibri" w:cs="Calibri"/>
          <w:color w:val="000000"/>
        </w:rPr>
      </w:pPr>
      <w:r w:rsidRPr="00154B53">
        <w:rPr>
          <w:rFonts w:ascii="Arial" w:eastAsia="Times New Roman" w:hAnsi="Arial" w:cs="Arial"/>
          <w:color w:val="000000"/>
          <w:sz w:val="20"/>
          <w:szCs w:val="20"/>
          <w:lang w:val="en-IN"/>
        </w:rPr>
        <w:t>All Chief Commissioners of Customs / Customs (Preventive)</w:t>
      </w:r>
    </w:p>
    <w:p w:rsidR="00154B53" w:rsidRPr="00154B53" w:rsidRDefault="00154B53" w:rsidP="00154B53">
      <w:pPr>
        <w:spacing w:after="0" w:line="240" w:lineRule="auto"/>
        <w:ind w:left="720" w:right="1125" w:firstLine="115"/>
        <w:rPr>
          <w:rFonts w:ascii="Calibri" w:eastAsia="Times New Roman" w:hAnsi="Calibri" w:cs="Calibri"/>
          <w:color w:val="000000"/>
        </w:rPr>
      </w:pPr>
      <w:r w:rsidRPr="00154B53">
        <w:rPr>
          <w:rFonts w:ascii="Arial" w:eastAsia="Times New Roman" w:hAnsi="Arial" w:cs="Arial"/>
          <w:color w:val="000000"/>
          <w:sz w:val="20"/>
          <w:szCs w:val="20"/>
          <w:lang w:val="en-IN"/>
        </w:rPr>
        <w:t>All Chief Commissioners of Customs and Central Excise</w:t>
      </w:r>
    </w:p>
    <w:p w:rsidR="00154B53" w:rsidRPr="00154B53" w:rsidRDefault="00154B53" w:rsidP="00154B53">
      <w:pPr>
        <w:spacing w:after="0" w:line="240" w:lineRule="auto"/>
        <w:ind w:left="720" w:right="1125" w:firstLine="115"/>
        <w:rPr>
          <w:rFonts w:ascii="Calibri" w:eastAsia="Times New Roman" w:hAnsi="Calibri" w:cs="Calibri"/>
          <w:color w:val="000000"/>
        </w:rPr>
      </w:pPr>
      <w:r w:rsidRPr="00154B53">
        <w:rPr>
          <w:rFonts w:ascii="Arial" w:eastAsia="Times New Roman" w:hAnsi="Arial" w:cs="Arial"/>
          <w:color w:val="000000"/>
          <w:sz w:val="20"/>
          <w:szCs w:val="20"/>
          <w:lang w:val="en-IN"/>
        </w:rPr>
        <w:t>All Commissioners of Customs / Customs (Preventive)</w:t>
      </w:r>
    </w:p>
    <w:p w:rsidR="00154B53" w:rsidRPr="00154B53" w:rsidRDefault="00154B53" w:rsidP="00154B53">
      <w:pPr>
        <w:spacing w:after="0" w:line="240" w:lineRule="auto"/>
        <w:ind w:left="720" w:right="1125" w:firstLine="115"/>
        <w:rPr>
          <w:rFonts w:ascii="Calibri" w:eastAsia="Times New Roman" w:hAnsi="Calibri" w:cs="Calibri"/>
          <w:color w:val="000000"/>
        </w:rPr>
      </w:pPr>
      <w:r w:rsidRPr="00154B53">
        <w:rPr>
          <w:rFonts w:ascii="Arial" w:eastAsia="Times New Roman" w:hAnsi="Arial" w:cs="Arial"/>
          <w:color w:val="000000"/>
          <w:sz w:val="20"/>
          <w:szCs w:val="20"/>
          <w:lang w:val="en-IN"/>
        </w:rPr>
        <w:t>All Commissioners of Customs and Central Excise</w:t>
      </w:r>
    </w:p>
    <w:p w:rsidR="00154B53" w:rsidRPr="00154B53" w:rsidRDefault="00154B53" w:rsidP="00154B53">
      <w:pPr>
        <w:spacing w:after="0" w:line="240" w:lineRule="auto"/>
        <w:ind w:left="720" w:right="1125" w:firstLine="120"/>
        <w:rPr>
          <w:rFonts w:ascii="Calibri" w:eastAsia="Times New Roman" w:hAnsi="Calibri" w:cs="Calibri"/>
          <w:color w:val="000000"/>
        </w:rPr>
      </w:pPr>
      <w:r w:rsidRPr="00154B53">
        <w:rPr>
          <w:rFonts w:ascii="Arial" w:eastAsia="Times New Roman" w:hAnsi="Arial" w:cs="Arial"/>
          <w:color w:val="000000"/>
          <w:sz w:val="20"/>
          <w:szCs w:val="20"/>
          <w:lang w:val="en-IN"/>
        </w:rPr>
        <w:t> </w:t>
      </w:r>
    </w:p>
    <w:p w:rsidR="00154B53" w:rsidRPr="00154B53" w:rsidRDefault="00154B53" w:rsidP="00154B53">
      <w:pPr>
        <w:spacing w:after="0" w:line="240" w:lineRule="auto"/>
        <w:ind w:left="720" w:right="1125" w:firstLine="120"/>
        <w:rPr>
          <w:rFonts w:ascii="Calibri" w:eastAsia="Times New Roman" w:hAnsi="Calibri" w:cs="Calibri"/>
          <w:color w:val="000000"/>
        </w:rPr>
      </w:pPr>
      <w:r w:rsidRPr="00154B53">
        <w:rPr>
          <w:rFonts w:ascii="Arial" w:eastAsia="Times New Roman" w:hAnsi="Arial" w:cs="Arial"/>
          <w:color w:val="000000"/>
          <w:sz w:val="20"/>
          <w:szCs w:val="20"/>
          <w:lang w:val="en-IN"/>
        </w:rPr>
        <w:t>Sir/ Madam,</w:t>
      </w:r>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 </w:t>
      </w:r>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            </w:t>
      </w:r>
      <w:r w:rsidRPr="00154B53">
        <w:rPr>
          <w:rFonts w:ascii="Arial" w:eastAsia="Times New Roman" w:hAnsi="Arial" w:cs="Arial"/>
          <w:b/>
          <w:bCs/>
          <w:color w:val="000000"/>
          <w:sz w:val="20"/>
          <w:szCs w:val="20"/>
          <w:lang w:val="en-IN"/>
        </w:rPr>
        <w:t>Subject: Merging of Commercial invoice and packing list – </w:t>
      </w:r>
      <w:proofErr w:type="spellStart"/>
      <w:r w:rsidRPr="00154B53">
        <w:rPr>
          <w:rFonts w:ascii="Arial" w:eastAsia="Times New Roman" w:hAnsi="Arial" w:cs="Arial"/>
          <w:b/>
          <w:bCs/>
          <w:color w:val="000000"/>
          <w:sz w:val="20"/>
          <w:szCs w:val="20"/>
          <w:lang w:val="en-IN"/>
        </w:rPr>
        <w:t>reg</w:t>
      </w:r>
      <w:proofErr w:type="spellEnd"/>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           </w:t>
      </w:r>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 </w:t>
      </w:r>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            Simplification of Customs procedures for enhanced ease of doing business and trade facilitation is the top priority of the Government. One of the identified areas for such simplification is reduction in the number of mandatory documents required by Customs for import and export of goods.</w:t>
      </w:r>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 </w:t>
      </w:r>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2.         As per the extant Customs procedures for both  import and export, an importer / exporter is required to submit a commercial invoice and packing list along with  the Customs declaration form viz. Bill of Entry/Shipping Bill. Both commercial invoice and packing list are critical for Customs purposes as the former evidences the value of the import/ export goods while the latter facilitates examination of goods for ascertaining correctness of duty and quantity.  However, there are many identical data fields in a commercial invoice and packing list. Therefore, an exercise was undertaken to explore the feasibility whether these documents can be merged into one document, which would have the advantage of reducing the total number of documents to be submitted to Customs with resultant benefit to trade. In this regard, it is seen that the following data fields / information are invariably contained in a packing list (other than the common data fields / details of commercial invoice):</w:t>
      </w:r>
    </w:p>
    <w:p w:rsidR="00154B53" w:rsidRPr="00154B53" w:rsidRDefault="00154B53" w:rsidP="00154B53">
      <w:pPr>
        <w:spacing w:after="0" w:line="233" w:lineRule="atLeast"/>
        <w:jc w:val="both"/>
        <w:rPr>
          <w:rFonts w:ascii="Calibri" w:eastAsia="Times New Roman" w:hAnsi="Calibri" w:cs="Calibri"/>
          <w:color w:val="000000"/>
        </w:rPr>
      </w:pPr>
      <w:r w:rsidRPr="00154B53">
        <w:rPr>
          <w:rFonts w:ascii="Arial" w:eastAsia="Times New Roman" w:hAnsi="Arial" w:cs="Arial"/>
          <w:color w:val="000000"/>
          <w:sz w:val="20"/>
          <w:szCs w:val="20"/>
          <w:lang w:val="en-IN"/>
        </w:rPr>
        <w:t> </w:t>
      </w:r>
    </w:p>
    <w:tbl>
      <w:tblPr>
        <w:tblW w:w="0" w:type="auto"/>
        <w:jc w:val="center"/>
        <w:tblCellMar>
          <w:left w:w="0" w:type="dxa"/>
          <w:right w:w="0" w:type="dxa"/>
        </w:tblCellMar>
        <w:tblLook w:val="04A0" w:firstRow="1" w:lastRow="0" w:firstColumn="1" w:lastColumn="0" w:noHBand="0" w:noVBand="1"/>
      </w:tblPr>
      <w:tblGrid>
        <w:gridCol w:w="8667"/>
      </w:tblGrid>
      <w:tr w:rsidR="00154B53" w:rsidRPr="00154B53" w:rsidTr="00154B53">
        <w:trPr>
          <w:jc w:val="center"/>
        </w:trPr>
        <w:tc>
          <w:tcPr>
            <w:tcW w:w="8667" w:type="dxa"/>
            <w:tcMar>
              <w:top w:w="0" w:type="dxa"/>
              <w:left w:w="108" w:type="dxa"/>
              <w:bottom w:w="0" w:type="dxa"/>
              <w:right w:w="108" w:type="dxa"/>
            </w:tcMar>
            <w:hideMark/>
          </w:tcPr>
          <w:p w:rsidR="00154B53" w:rsidRPr="00154B53" w:rsidRDefault="00154B53" w:rsidP="00154B53">
            <w:pPr>
              <w:spacing w:after="0" w:line="330" w:lineRule="atLeast"/>
              <w:jc w:val="both"/>
              <w:rPr>
                <w:rFonts w:ascii="Calibri" w:eastAsia="Times New Roman" w:hAnsi="Calibri" w:cs="Calibri"/>
              </w:rPr>
            </w:pPr>
            <w:r w:rsidRPr="00154B53">
              <w:rPr>
                <w:rFonts w:ascii="Arial" w:eastAsia="Times New Roman" w:hAnsi="Arial" w:cs="Arial"/>
                <w:sz w:val="20"/>
                <w:szCs w:val="20"/>
                <w:lang w:val="en-IN"/>
              </w:rPr>
              <w:t>Description of Goods;</w:t>
            </w:r>
          </w:p>
          <w:p w:rsidR="00154B53" w:rsidRPr="00154B53" w:rsidRDefault="00154B53" w:rsidP="00154B53">
            <w:pPr>
              <w:spacing w:after="0" w:line="330" w:lineRule="atLeast"/>
              <w:jc w:val="both"/>
              <w:rPr>
                <w:rFonts w:ascii="Calibri" w:eastAsia="Times New Roman" w:hAnsi="Calibri" w:cs="Calibri"/>
              </w:rPr>
            </w:pPr>
            <w:r w:rsidRPr="00154B53">
              <w:rPr>
                <w:rFonts w:ascii="Arial" w:eastAsia="Times New Roman" w:hAnsi="Arial" w:cs="Arial"/>
                <w:sz w:val="20"/>
                <w:szCs w:val="20"/>
                <w:lang w:val="en-IN"/>
              </w:rPr>
              <w:t>Marks and Numbers;</w:t>
            </w:r>
          </w:p>
          <w:p w:rsidR="00154B53" w:rsidRPr="00154B53" w:rsidRDefault="00154B53" w:rsidP="00154B53">
            <w:pPr>
              <w:spacing w:after="0" w:line="330" w:lineRule="atLeast"/>
              <w:jc w:val="both"/>
              <w:rPr>
                <w:rFonts w:ascii="Calibri" w:eastAsia="Times New Roman" w:hAnsi="Calibri" w:cs="Calibri"/>
              </w:rPr>
            </w:pPr>
            <w:r w:rsidRPr="00154B53">
              <w:rPr>
                <w:rFonts w:ascii="Arial" w:eastAsia="Times New Roman" w:hAnsi="Arial" w:cs="Arial"/>
                <w:sz w:val="20"/>
                <w:szCs w:val="20"/>
                <w:lang w:val="en-IN"/>
              </w:rPr>
              <w:t>Quantity;</w:t>
            </w:r>
          </w:p>
          <w:p w:rsidR="00154B53" w:rsidRPr="00154B53" w:rsidRDefault="00154B53" w:rsidP="00154B53">
            <w:pPr>
              <w:spacing w:after="0" w:line="330" w:lineRule="atLeast"/>
              <w:jc w:val="both"/>
              <w:rPr>
                <w:rFonts w:ascii="Calibri" w:eastAsia="Times New Roman" w:hAnsi="Calibri" w:cs="Calibri"/>
              </w:rPr>
            </w:pPr>
            <w:r w:rsidRPr="00154B53">
              <w:rPr>
                <w:rFonts w:ascii="Arial" w:eastAsia="Times New Roman" w:hAnsi="Arial" w:cs="Arial"/>
                <w:sz w:val="20"/>
                <w:szCs w:val="20"/>
                <w:lang w:val="en-IN"/>
              </w:rPr>
              <w:t>Gross Weight;</w:t>
            </w:r>
          </w:p>
          <w:p w:rsidR="00154B53" w:rsidRPr="00154B53" w:rsidRDefault="00154B53" w:rsidP="00154B53">
            <w:pPr>
              <w:spacing w:after="0" w:line="330" w:lineRule="atLeast"/>
              <w:jc w:val="both"/>
              <w:rPr>
                <w:rFonts w:ascii="Calibri" w:eastAsia="Times New Roman" w:hAnsi="Calibri" w:cs="Calibri"/>
              </w:rPr>
            </w:pPr>
            <w:r w:rsidRPr="00154B53">
              <w:rPr>
                <w:rFonts w:ascii="Arial" w:eastAsia="Times New Roman" w:hAnsi="Arial" w:cs="Arial"/>
                <w:sz w:val="20"/>
                <w:szCs w:val="20"/>
                <w:lang w:val="en-IN"/>
              </w:rPr>
              <w:t>Net Weight;</w:t>
            </w:r>
          </w:p>
          <w:p w:rsidR="00154B53" w:rsidRPr="00154B53" w:rsidRDefault="00154B53" w:rsidP="00154B53">
            <w:pPr>
              <w:spacing w:after="0" w:line="330" w:lineRule="atLeast"/>
              <w:jc w:val="both"/>
              <w:rPr>
                <w:rFonts w:ascii="Calibri" w:eastAsia="Times New Roman" w:hAnsi="Calibri" w:cs="Calibri"/>
              </w:rPr>
            </w:pPr>
            <w:r w:rsidRPr="00154B53">
              <w:rPr>
                <w:rFonts w:ascii="Arial" w:eastAsia="Times New Roman" w:hAnsi="Arial" w:cs="Arial"/>
                <w:sz w:val="20"/>
                <w:szCs w:val="20"/>
                <w:lang w:val="en-IN"/>
              </w:rPr>
              <w:t>Number of Packages;</w:t>
            </w:r>
          </w:p>
          <w:p w:rsidR="00154B53" w:rsidRPr="00154B53" w:rsidRDefault="00154B53" w:rsidP="00154B53">
            <w:pPr>
              <w:spacing w:after="0" w:line="330" w:lineRule="atLeast"/>
              <w:jc w:val="both"/>
              <w:rPr>
                <w:rFonts w:ascii="Calibri" w:eastAsia="Times New Roman" w:hAnsi="Calibri" w:cs="Calibri"/>
              </w:rPr>
            </w:pPr>
            <w:r w:rsidRPr="00154B53">
              <w:rPr>
                <w:rFonts w:ascii="Arial" w:eastAsia="Times New Roman" w:hAnsi="Arial" w:cs="Arial"/>
                <w:sz w:val="20"/>
                <w:szCs w:val="20"/>
                <w:lang w:val="en-IN"/>
              </w:rPr>
              <w:t>Types of Packages (such as pallet, box, crates, drums etc.). </w:t>
            </w:r>
          </w:p>
        </w:tc>
      </w:tr>
    </w:tbl>
    <w:p w:rsidR="00154B53" w:rsidRPr="00154B53" w:rsidRDefault="00154B53" w:rsidP="00154B53">
      <w:pPr>
        <w:spacing w:after="0" w:line="240" w:lineRule="auto"/>
        <w:ind w:left="720" w:right="1613"/>
        <w:jc w:val="both"/>
        <w:rPr>
          <w:rFonts w:ascii="Calibri" w:eastAsia="Times New Roman" w:hAnsi="Calibri" w:cs="Calibri"/>
          <w:color w:val="000000"/>
        </w:rPr>
      </w:pPr>
      <w:r w:rsidRPr="00154B53">
        <w:rPr>
          <w:rFonts w:ascii="Arial" w:eastAsia="Times New Roman" w:hAnsi="Arial" w:cs="Arial"/>
          <w:color w:val="000000"/>
          <w:sz w:val="20"/>
          <w:szCs w:val="20"/>
        </w:rPr>
        <w:t> </w:t>
      </w:r>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3.         The Board has decided that as a measure of simplification, in case an importer/exporter submits a </w:t>
      </w:r>
      <w:r w:rsidRPr="00154B53">
        <w:rPr>
          <w:rFonts w:ascii="Arial" w:eastAsia="Times New Roman" w:hAnsi="Arial" w:cs="Arial"/>
          <w:b/>
          <w:bCs/>
          <w:color w:val="000000"/>
          <w:sz w:val="20"/>
          <w:szCs w:val="20"/>
          <w:lang w:val="en-IN"/>
        </w:rPr>
        <w:t>commercial invoice cum packing list</w:t>
      </w:r>
      <w:r w:rsidRPr="00154B53">
        <w:rPr>
          <w:rFonts w:ascii="Arial" w:eastAsia="Times New Roman" w:hAnsi="Arial" w:cs="Arial"/>
          <w:color w:val="000000"/>
          <w:sz w:val="20"/>
          <w:szCs w:val="20"/>
          <w:lang w:val="en-IN"/>
        </w:rPr>
        <w:t> that contain above mentioned data fields / information in addition to the details in a commercial invoice, a separate packing list should not be insisted upon by Customs. However, the option should be given to the importer/exporter to do so. In other words, for Customs purposes a c</w:t>
      </w:r>
      <w:r w:rsidRPr="00154B53">
        <w:rPr>
          <w:rFonts w:ascii="Arial" w:eastAsia="Times New Roman" w:hAnsi="Arial" w:cs="Arial"/>
          <w:b/>
          <w:bCs/>
          <w:color w:val="000000"/>
          <w:sz w:val="20"/>
          <w:szCs w:val="20"/>
          <w:lang w:val="en-IN"/>
        </w:rPr>
        <w:t>ommercial invoice cum packing list</w:t>
      </w:r>
      <w:r w:rsidRPr="00154B53">
        <w:rPr>
          <w:rFonts w:ascii="Arial" w:eastAsia="Times New Roman" w:hAnsi="Arial" w:cs="Arial"/>
          <w:color w:val="000000"/>
          <w:sz w:val="20"/>
          <w:szCs w:val="20"/>
          <w:lang w:val="en-IN"/>
        </w:rPr>
        <w:t xml:space="preserve"> (with details of marks and numbers as mentioned in para 2 above) would suffice but if importer/exporter desires to give a </w:t>
      </w:r>
      <w:r w:rsidRPr="00154B53">
        <w:rPr>
          <w:rFonts w:ascii="Arial" w:eastAsia="Times New Roman" w:hAnsi="Arial" w:cs="Arial"/>
          <w:color w:val="000000"/>
          <w:sz w:val="20"/>
          <w:szCs w:val="20"/>
          <w:lang w:val="en-IN"/>
        </w:rPr>
        <w:lastRenderedPageBreak/>
        <w:t>separate packing list for some reason, the same would also be accepted, as at present.</w:t>
      </w:r>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 </w:t>
      </w:r>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4.         Board desires that all Chief Commissioner of Customs should ensure that above guidelines are complied with scrupulously by the field formations. Wide publicity may also be given to trade and industry stakeholders to sensitize them about the guidelines. Chief Commissioners of Customs should also monitor compliance thereof at their level.</w:t>
      </w:r>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 </w:t>
      </w:r>
    </w:p>
    <w:p w:rsidR="00154B53" w:rsidRPr="00154B53" w:rsidRDefault="00154B53" w:rsidP="00154B53">
      <w:pPr>
        <w:spacing w:after="0" w:line="240" w:lineRule="auto"/>
        <w:ind w:left="720" w:right="1125"/>
        <w:jc w:val="both"/>
        <w:rPr>
          <w:rFonts w:ascii="Calibri" w:eastAsia="Times New Roman" w:hAnsi="Calibri" w:cs="Calibri"/>
          <w:color w:val="000000"/>
        </w:rPr>
      </w:pPr>
      <w:r w:rsidRPr="00154B53">
        <w:rPr>
          <w:rFonts w:ascii="Arial" w:eastAsia="Times New Roman" w:hAnsi="Arial" w:cs="Arial"/>
          <w:color w:val="000000"/>
          <w:sz w:val="20"/>
          <w:szCs w:val="20"/>
          <w:lang w:val="en-IN"/>
        </w:rPr>
        <w:t>5.         Difficulty, faced, if any may be brought to the notice of the Board.</w:t>
      </w:r>
    </w:p>
    <w:p w:rsidR="00154B53" w:rsidRPr="00154B53" w:rsidRDefault="00154B53" w:rsidP="00154B53">
      <w:pPr>
        <w:spacing w:after="0" w:line="240" w:lineRule="auto"/>
        <w:ind w:left="720" w:right="1125"/>
        <w:jc w:val="right"/>
        <w:rPr>
          <w:rFonts w:ascii="Calibri" w:eastAsia="Times New Roman" w:hAnsi="Calibri" w:cs="Calibri"/>
          <w:color w:val="000000"/>
        </w:rPr>
      </w:pPr>
      <w:r w:rsidRPr="00154B53">
        <w:rPr>
          <w:rFonts w:ascii="Arial" w:eastAsia="Times New Roman" w:hAnsi="Arial" w:cs="Arial"/>
          <w:color w:val="000000"/>
          <w:sz w:val="20"/>
          <w:szCs w:val="20"/>
          <w:lang w:val="en-IN"/>
        </w:rPr>
        <w:t>Yours sincerely,</w:t>
      </w:r>
    </w:p>
    <w:p w:rsidR="00154B53" w:rsidRPr="00154B53" w:rsidRDefault="00154B53" w:rsidP="00154B53">
      <w:pPr>
        <w:spacing w:after="0" w:line="240" w:lineRule="auto"/>
        <w:ind w:left="720" w:right="1125"/>
        <w:jc w:val="right"/>
        <w:rPr>
          <w:rFonts w:ascii="Calibri" w:eastAsia="Times New Roman" w:hAnsi="Calibri" w:cs="Calibri"/>
          <w:color w:val="000000"/>
        </w:rPr>
      </w:pPr>
      <w:r w:rsidRPr="00154B53">
        <w:rPr>
          <w:rFonts w:ascii="Arial" w:eastAsia="Times New Roman" w:hAnsi="Arial" w:cs="Arial"/>
          <w:color w:val="000000"/>
          <w:sz w:val="20"/>
          <w:szCs w:val="20"/>
          <w:lang w:val="en-IN"/>
        </w:rPr>
        <w:t> </w:t>
      </w:r>
    </w:p>
    <w:p w:rsidR="00154B53" w:rsidRPr="00154B53" w:rsidRDefault="00154B53" w:rsidP="00154B53">
      <w:pPr>
        <w:spacing w:after="0" w:line="240" w:lineRule="auto"/>
        <w:ind w:left="720" w:right="1125"/>
        <w:jc w:val="right"/>
        <w:rPr>
          <w:rFonts w:ascii="Calibri" w:eastAsia="Times New Roman" w:hAnsi="Calibri" w:cs="Calibri"/>
          <w:color w:val="000000"/>
        </w:rPr>
      </w:pPr>
      <w:r w:rsidRPr="00154B53">
        <w:rPr>
          <w:rFonts w:ascii="Arial" w:eastAsia="Times New Roman" w:hAnsi="Arial" w:cs="Arial"/>
          <w:color w:val="000000"/>
          <w:sz w:val="20"/>
          <w:szCs w:val="20"/>
          <w:lang w:val="en-IN"/>
        </w:rPr>
        <w:t>(</w:t>
      </w:r>
      <w:proofErr w:type="spellStart"/>
      <w:r w:rsidRPr="00154B53">
        <w:rPr>
          <w:rFonts w:ascii="Arial" w:eastAsia="Times New Roman" w:hAnsi="Arial" w:cs="Arial"/>
          <w:color w:val="000000"/>
          <w:sz w:val="20"/>
          <w:szCs w:val="20"/>
          <w:lang w:val="en-IN"/>
        </w:rPr>
        <w:t>Pawan</w:t>
      </w:r>
      <w:proofErr w:type="spellEnd"/>
      <w:r w:rsidRPr="00154B53">
        <w:rPr>
          <w:rFonts w:ascii="Arial" w:eastAsia="Times New Roman" w:hAnsi="Arial" w:cs="Arial"/>
          <w:color w:val="000000"/>
          <w:sz w:val="20"/>
          <w:szCs w:val="20"/>
          <w:lang w:val="en-IN"/>
        </w:rPr>
        <w:t> </w:t>
      </w:r>
      <w:proofErr w:type="spellStart"/>
      <w:r w:rsidRPr="00154B53">
        <w:rPr>
          <w:rFonts w:ascii="Arial" w:eastAsia="Times New Roman" w:hAnsi="Arial" w:cs="Arial"/>
          <w:color w:val="000000"/>
          <w:sz w:val="20"/>
          <w:szCs w:val="20"/>
          <w:lang w:val="en-IN"/>
        </w:rPr>
        <w:t>Khetan</w:t>
      </w:r>
      <w:proofErr w:type="spellEnd"/>
      <w:r w:rsidRPr="00154B53">
        <w:rPr>
          <w:rFonts w:ascii="Arial" w:eastAsia="Times New Roman" w:hAnsi="Arial" w:cs="Arial"/>
          <w:color w:val="000000"/>
          <w:sz w:val="20"/>
          <w:szCs w:val="20"/>
          <w:lang w:val="en-IN"/>
        </w:rPr>
        <w:t>)</w:t>
      </w:r>
    </w:p>
    <w:p w:rsidR="00154B53" w:rsidRPr="00154B53" w:rsidRDefault="00154B53" w:rsidP="00154B53">
      <w:pPr>
        <w:spacing w:after="0" w:line="240" w:lineRule="auto"/>
        <w:ind w:left="720" w:right="1125"/>
        <w:jc w:val="right"/>
        <w:rPr>
          <w:rFonts w:ascii="Calibri" w:eastAsia="Times New Roman" w:hAnsi="Calibri" w:cs="Calibri"/>
          <w:color w:val="000000"/>
        </w:rPr>
      </w:pPr>
      <w:r w:rsidRPr="00154B53">
        <w:rPr>
          <w:rFonts w:ascii="Arial" w:eastAsia="Times New Roman" w:hAnsi="Arial" w:cs="Arial"/>
          <w:color w:val="000000"/>
          <w:sz w:val="20"/>
          <w:szCs w:val="20"/>
          <w:lang w:val="en-IN"/>
        </w:rPr>
        <w:t> OSD (Customs IV)</w:t>
      </w:r>
    </w:p>
    <w:p w:rsidR="00A80B4C" w:rsidRDefault="00A80B4C">
      <w:bookmarkStart w:id="0" w:name="_GoBack"/>
      <w:bookmarkEnd w:id="0"/>
    </w:p>
    <w:sectPr w:rsidR="00A80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53"/>
    <w:rsid w:val="00154B53"/>
    <w:rsid w:val="00A80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7E8EE-678D-4CD2-80F5-E7903900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8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B Mehta</dc:creator>
  <cp:keywords/>
  <dc:description/>
  <cp:lastModifiedBy>Nikhil B Mehta</cp:lastModifiedBy>
  <cp:revision>1</cp:revision>
  <dcterms:created xsi:type="dcterms:W3CDTF">2015-01-13T05:29:00Z</dcterms:created>
  <dcterms:modified xsi:type="dcterms:W3CDTF">2015-01-13T05:29:00Z</dcterms:modified>
</cp:coreProperties>
</file>