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BBF" w:rsidRDefault="008D4BBF" w:rsidP="008D4BBF">
      <w:pPr>
        <w:pStyle w:val="NormalWeb"/>
        <w:spacing w:line="360" w:lineRule="auto"/>
        <w:jc w:val="center"/>
        <w:rPr>
          <w:rFonts w:ascii="Times New Roman" w:hAnsi="Times New Roman"/>
          <w:b/>
          <w:bCs/>
          <w:sz w:val="28"/>
          <w:u w:val="thick"/>
        </w:rPr>
      </w:pPr>
      <w:r>
        <w:rPr>
          <w:rFonts w:ascii="Times New Roman" w:hAnsi="Times New Roman"/>
          <w:b/>
          <w:bCs/>
          <w:sz w:val="28"/>
          <w:u w:val="thick"/>
        </w:rPr>
        <w:t>Special Trade Terms in Export</w:t>
      </w:r>
    </w:p>
    <w:p w:rsidR="008D4BBF" w:rsidRDefault="008D4BBF" w:rsidP="008D4BBF">
      <w:pPr>
        <w:pStyle w:val="NormalWeb"/>
        <w:numPr>
          <w:ilvl w:val="0"/>
          <w:numId w:val="1"/>
        </w:numPr>
        <w:spacing w:line="360" w:lineRule="auto"/>
        <w:jc w:val="both"/>
        <w:rPr>
          <w:rFonts w:ascii="Times New Roman" w:hAnsi="Times New Roman"/>
          <w:b/>
          <w:bCs/>
          <w:sz w:val="24"/>
          <w:u w:val="single"/>
        </w:rPr>
      </w:pPr>
      <w:r>
        <w:rPr>
          <w:rFonts w:ascii="Arial Black" w:hAnsi="Arial Black"/>
          <w:sz w:val="24"/>
          <w:u w:val="single"/>
        </w:rPr>
        <w:t>Ex-Works, Ex-Factory, Ex Warehouse or Ex-Store:</w:t>
      </w:r>
      <w:r>
        <w:rPr>
          <w:rFonts w:ascii="Times New Roman" w:hAnsi="Times New Roman"/>
          <w:b/>
          <w:bCs/>
          <w:sz w:val="24"/>
          <w:u w:val="single"/>
        </w:rPr>
        <w:t xml:space="preserve"> </w:t>
      </w:r>
      <w:r>
        <w:rPr>
          <w:rFonts w:ascii="Times New Roman" w:hAnsi="Times New Roman"/>
          <w:b/>
          <w:bCs/>
          <w:sz w:val="28"/>
          <w:u w:val="single"/>
        </w:rPr>
        <w:t>(EXW)</w:t>
      </w:r>
      <w:r>
        <w:rPr>
          <w:rFonts w:ascii="Times New Roman" w:hAnsi="Times New Roman"/>
          <w:b/>
          <w:bCs/>
          <w:sz w:val="24"/>
        </w:rPr>
        <w:t xml:space="preserve"> {+</w:t>
      </w:r>
      <w:proofErr w:type="gramStart"/>
      <w:r>
        <w:rPr>
          <w:rFonts w:ascii="Times New Roman" w:hAnsi="Times New Roman"/>
          <w:b/>
          <w:bCs/>
          <w:sz w:val="24"/>
        </w:rPr>
        <w:t>The</w:t>
      </w:r>
      <w:proofErr w:type="gramEnd"/>
      <w:r>
        <w:rPr>
          <w:rFonts w:ascii="Times New Roman" w:hAnsi="Times New Roman"/>
          <w:b/>
          <w:bCs/>
          <w:sz w:val="24"/>
        </w:rPr>
        <w:t xml:space="preserve"> named place} </w:t>
      </w:r>
      <w:r>
        <w:rPr>
          <w:rFonts w:ascii="Times New Roman" w:hAnsi="Times New Roman"/>
          <w:b/>
          <w:bCs/>
          <w:sz w:val="28"/>
        </w:rPr>
        <w:t>Ex</w:t>
      </w:r>
      <w:r>
        <w:rPr>
          <w:rFonts w:ascii="Times New Roman" w:hAnsi="Times New Roman"/>
          <w:sz w:val="28"/>
        </w:rPr>
        <w:t xml:space="preserve"> means </w:t>
      </w:r>
      <w:r>
        <w:rPr>
          <w:rFonts w:ascii="Times New Roman" w:hAnsi="Times New Roman"/>
          <w:b/>
          <w:bCs/>
          <w:sz w:val="28"/>
        </w:rPr>
        <w:t>‘from’</w:t>
      </w:r>
      <w:r>
        <w:rPr>
          <w:rFonts w:ascii="Times New Roman" w:hAnsi="Times New Roman"/>
          <w:sz w:val="28"/>
        </w:rPr>
        <w:t xml:space="preserve">; </w:t>
      </w:r>
      <w:r>
        <w:rPr>
          <w:rFonts w:ascii="Times New Roman" w:hAnsi="Times New Roman"/>
          <w:b/>
          <w:bCs/>
          <w:sz w:val="28"/>
        </w:rPr>
        <w:t>Works</w:t>
      </w:r>
      <w:r>
        <w:rPr>
          <w:rFonts w:ascii="Times New Roman" w:hAnsi="Times New Roman"/>
          <w:sz w:val="28"/>
        </w:rPr>
        <w:t xml:space="preserve"> means ‘</w:t>
      </w:r>
      <w:r>
        <w:rPr>
          <w:rFonts w:ascii="Times New Roman" w:hAnsi="Times New Roman"/>
          <w:b/>
          <w:bCs/>
          <w:sz w:val="28"/>
        </w:rPr>
        <w:t>factory, mill or warehouse’</w:t>
      </w:r>
      <w:r>
        <w:rPr>
          <w:rFonts w:ascii="Times New Roman" w:hAnsi="Times New Roman"/>
          <w:sz w:val="28"/>
        </w:rPr>
        <w:t xml:space="preserve">, which is the seller’s premises. This is the most </w:t>
      </w:r>
      <w:proofErr w:type="spellStart"/>
      <w:r>
        <w:rPr>
          <w:rFonts w:ascii="Times New Roman" w:hAnsi="Times New Roman"/>
          <w:sz w:val="28"/>
        </w:rPr>
        <w:t>favourable</w:t>
      </w:r>
      <w:proofErr w:type="spellEnd"/>
      <w:r>
        <w:rPr>
          <w:rFonts w:ascii="Times New Roman" w:hAnsi="Times New Roman"/>
          <w:sz w:val="28"/>
        </w:rPr>
        <w:t xml:space="preserve"> arrangement which can be obtained by a seller wishing to conduct the export transactions as closely as possible on the lines of an ordinary sale of goods in the home market.  The term means that overseas buyer has to collect the goods at the locality at which the seller’s works, factory, warehouse or store are situated.  The payment becomes due on delivery of the goods.  As the contract is both concluded and performed in the concerned country, the laws of that country normally govern it.</w:t>
      </w:r>
    </w:p>
    <w:p w:rsidR="008D4BBF" w:rsidRDefault="008D4BBF" w:rsidP="008D4BBF">
      <w:pPr>
        <w:pStyle w:val="NormalWeb"/>
        <w:spacing w:line="360" w:lineRule="auto"/>
        <w:jc w:val="both"/>
        <w:rPr>
          <w:rFonts w:ascii="Times New Roman" w:hAnsi="Times New Roman"/>
          <w:sz w:val="28"/>
        </w:rPr>
      </w:pPr>
      <w:r>
        <w:rPr>
          <w:rFonts w:ascii="Times New Roman" w:hAnsi="Times New Roman"/>
          <w:sz w:val="28"/>
        </w:rPr>
        <w:t xml:space="preserve">                     An Ex-Works contract doesn’t necessarily qualify as an international supply contract even if the seller knows that the goods are destined for export.  Consequently the consumer protection provisions of the host country apply to an Ex- Works contract in appropriate circumstances.</w:t>
      </w:r>
    </w:p>
    <w:p w:rsidR="008D4BBF" w:rsidRDefault="008D4BBF" w:rsidP="008D4BBF">
      <w:pPr>
        <w:numPr>
          <w:ilvl w:val="0"/>
          <w:numId w:val="1"/>
        </w:numPr>
        <w:spacing w:after="0" w:line="360" w:lineRule="auto"/>
        <w:jc w:val="both"/>
        <w:rPr>
          <w:rFonts w:ascii="Calibri" w:eastAsia="Times New Roman" w:hAnsi="Calibri" w:cs="Times New Roman"/>
          <w:sz w:val="28"/>
        </w:rPr>
      </w:pPr>
      <w:r>
        <w:rPr>
          <w:rFonts w:ascii="Arial Black" w:eastAsia="Times New Roman" w:hAnsi="Arial Black" w:cs="Times New Roman"/>
          <w:u w:val="single"/>
        </w:rPr>
        <w:t>Free Alongside Ship</w:t>
      </w:r>
      <w:r>
        <w:rPr>
          <w:rFonts w:ascii="Arial Black" w:eastAsia="Times New Roman" w:hAnsi="Arial Black" w:cs="Times New Roman"/>
          <w:sz w:val="28"/>
          <w:u w:val="single"/>
        </w:rPr>
        <w:t>:</w:t>
      </w:r>
      <w:r>
        <w:rPr>
          <w:rFonts w:ascii="Calibri" w:eastAsia="Times New Roman" w:hAnsi="Calibri" w:cs="Times New Roman"/>
          <w:b/>
          <w:bCs/>
          <w:sz w:val="28"/>
          <w:u w:val="single"/>
        </w:rPr>
        <w:t xml:space="preserve"> (FAS</w:t>
      </w:r>
      <w:proofErr w:type="gramStart"/>
      <w:r>
        <w:rPr>
          <w:rFonts w:ascii="Calibri" w:eastAsia="Times New Roman" w:hAnsi="Calibri" w:cs="Times New Roman"/>
          <w:b/>
          <w:bCs/>
          <w:sz w:val="28"/>
          <w:u w:val="single"/>
        </w:rPr>
        <w:t>)</w:t>
      </w:r>
      <w:r>
        <w:rPr>
          <w:rFonts w:ascii="Calibri" w:eastAsia="Times New Roman" w:hAnsi="Calibri" w:cs="Times New Roman"/>
          <w:b/>
          <w:bCs/>
          <w:sz w:val="28"/>
        </w:rPr>
        <w:t xml:space="preserve">  {</w:t>
      </w:r>
      <w:proofErr w:type="gramEnd"/>
      <w:r>
        <w:rPr>
          <w:rFonts w:ascii="Calibri" w:eastAsia="Times New Roman" w:hAnsi="Calibri" w:cs="Times New Roman"/>
          <w:b/>
          <w:bCs/>
        </w:rPr>
        <w:t xml:space="preserve">+ The named port of shipment} </w:t>
      </w:r>
      <w:r>
        <w:rPr>
          <w:rFonts w:ascii="Calibri" w:eastAsia="Times New Roman" w:hAnsi="Calibri" w:cs="Times New Roman"/>
          <w:b/>
          <w:bCs/>
          <w:sz w:val="28"/>
        </w:rPr>
        <w:t>This</w:t>
      </w:r>
      <w:r>
        <w:rPr>
          <w:rFonts w:ascii="Calibri" w:eastAsia="Times New Roman" w:hAnsi="Calibri" w:cs="Times New Roman"/>
          <w:sz w:val="28"/>
        </w:rPr>
        <w:t xml:space="preserve"> is a term, which isn’t applicable to a sale in the home market.  The seller’s responsibility and risk in respect of the goods ends when they are carried alongside the ship.  The actual loading of the goods is the buyer’s responsibility and at his expenses.  The F.A.S contract recreates many though not all, rights and duties of F.O.B contract.  Goods are placed in the dock shed or at the side of the ship, on the dock or lighter, within reach of its loading equipment so that they can be loaded aboard the ship, at seller's expense. Buyer is responsible for the loading fee, main carriage/freight, cargo insurance, and other costs and risks. </w:t>
      </w:r>
    </w:p>
    <w:p w:rsidR="008D4BBF" w:rsidRDefault="008D4BBF" w:rsidP="008D4BBF">
      <w:pPr>
        <w:spacing w:line="360" w:lineRule="auto"/>
        <w:jc w:val="both"/>
        <w:rPr>
          <w:rFonts w:ascii="Calibri" w:eastAsia="Times New Roman" w:hAnsi="Calibri" w:cs="Times New Roman"/>
          <w:b/>
          <w:bCs/>
          <w:u w:val="single"/>
        </w:rPr>
      </w:pPr>
    </w:p>
    <w:p w:rsidR="008D4BBF" w:rsidRDefault="008D4BBF" w:rsidP="008D4BBF">
      <w:pPr>
        <w:numPr>
          <w:ilvl w:val="0"/>
          <w:numId w:val="1"/>
        </w:numPr>
        <w:spacing w:after="0" w:line="360" w:lineRule="auto"/>
        <w:jc w:val="both"/>
        <w:rPr>
          <w:rFonts w:ascii="Calibri" w:eastAsia="Times New Roman" w:hAnsi="Calibri" w:cs="Times New Roman"/>
          <w:sz w:val="28"/>
        </w:rPr>
      </w:pPr>
      <w:r>
        <w:rPr>
          <w:rFonts w:ascii="Arial Black" w:eastAsia="Times New Roman" w:hAnsi="Arial Black" w:cs="Times New Roman"/>
          <w:u w:val="single"/>
        </w:rPr>
        <w:lastRenderedPageBreak/>
        <w:t>Free on Board:</w:t>
      </w:r>
      <w:r>
        <w:rPr>
          <w:rFonts w:ascii="Calibri" w:eastAsia="Times New Roman" w:hAnsi="Calibri" w:cs="Times New Roman"/>
          <w:b/>
          <w:bCs/>
          <w:u w:val="single"/>
        </w:rPr>
        <w:t xml:space="preserve"> </w:t>
      </w:r>
      <w:r>
        <w:rPr>
          <w:rFonts w:ascii="Calibri" w:eastAsia="Times New Roman" w:hAnsi="Calibri" w:cs="Times New Roman"/>
          <w:b/>
          <w:bCs/>
          <w:sz w:val="28"/>
          <w:u w:val="single"/>
        </w:rPr>
        <w:t>(FOB)</w:t>
      </w:r>
      <w:r>
        <w:rPr>
          <w:rFonts w:ascii="Calibri" w:eastAsia="Times New Roman" w:hAnsi="Calibri" w:cs="Times New Roman"/>
          <w:b/>
          <w:bCs/>
          <w:sz w:val="28"/>
        </w:rPr>
        <w:t xml:space="preserve"> </w:t>
      </w:r>
      <w:r>
        <w:rPr>
          <w:rFonts w:ascii="Calibri" w:eastAsia="Times New Roman" w:hAnsi="Calibri" w:cs="Times New Roman"/>
          <w:b/>
          <w:bCs/>
        </w:rPr>
        <w:t xml:space="preserve">{+ </w:t>
      </w:r>
      <w:proofErr w:type="gramStart"/>
      <w:r>
        <w:rPr>
          <w:rFonts w:ascii="Calibri" w:eastAsia="Times New Roman" w:hAnsi="Calibri" w:cs="Times New Roman"/>
          <w:b/>
          <w:bCs/>
        </w:rPr>
        <w:t>The</w:t>
      </w:r>
      <w:proofErr w:type="gramEnd"/>
      <w:r>
        <w:rPr>
          <w:rFonts w:ascii="Calibri" w:eastAsia="Times New Roman" w:hAnsi="Calibri" w:cs="Times New Roman"/>
          <w:b/>
          <w:bCs/>
        </w:rPr>
        <w:t xml:space="preserve"> named port of shipment}</w:t>
      </w:r>
      <w:r>
        <w:rPr>
          <w:rFonts w:ascii="Calibri" w:eastAsia="Times New Roman" w:hAnsi="Calibri" w:cs="Times New Roman"/>
          <w:b/>
          <w:bCs/>
          <w:sz w:val="28"/>
        </w:rPr>
        <w:t xml:space="preserve"> FOB</w:t>
      </w:r>
      <w:r>
        <w:rPr>
          <w:rFonts w:ascii="Calibri" w:eastAsia="Times New Roman" w:hAnsi="Calibri" w:cs="Times New Roman"/>
          <w:sz w:val="28"/>
        </w:rPr>
        <w:t xml:space="preserve"> contract places more responsibility on the seller than the aforementioned contracts.  The seller undertakes to place the goods on board a ship that has been named by the buyer and that is berthed at the agreed port of shipment.  All charges incurred up to and including the delivery of the goods on board ship have to be borne by the seller while the buyer has to pay all subsequent charges, such as storage of the goods, freight, insurance, unloading, import duties and the incidental charges due on arrival at destination.  The liabilities of the parties arising under a F.O.B contract are sometimes defined by usage prevailing in a particular trade or particular port.  By such a trade usage in existence, the FOB delivery is converted into FAS delivery.</w:t>
      </w:r>
      <w:r>
        <w:rPr>
          <w:rFonts w:ascii="Calibri" w:eastAsia="Times New Roman" w:hAnsi="Calibri" w:cs="Times New Roman"/>
          <w:b/>
          <w:bCs/>
          <w:sz w:val="28"/>
          <w:u w:val="single"/>
        </w:rPr>
        <w:t xml:space="preserve"> </w:t>
      </w:r>
    </w:p>
    <w:p w:rsidR="008D4BBF" w:rsidRDefault="008D4BBF" w:rsidP="008D4BBF">
      <w:pPr>
        <w:pStyle w:val="NormalWeb"/>
        <w:spacing w:line="360" w:lineRule="auto"/>
        <w:jc w:val="both"/>
        <w:rPr>
          <w:rFonts w:ascii="Times New Roman" w:hAnsi="Times New Roman"/>
          <w:sz w:val="28"/>
        </w:rPr>
      </w:pPr>
      <w:r>
        <w:rPr>
          <w:rFonts w:ascii="Times New Roman" w:hAnsi="Times New Roman"/>
          <w:sz w:val="28"/>
          <w:u w:val="dotted"/>
        </w:rPr>
        <w:t>There are 3 types of FOB Clauses:</w:t>
      </w:r>
    </w:p>
    <w:p w:rsidR="008D4BBF" w:rsidRDefault="008D4BBF" w:rsidP="008D4BBF">
      <w:pPr>
        <w:pStyle w:val="NormalWeb"/>
        <w:numPr>
          <w:ilvl w:val="1"/>
          <w:numId w:val="1"/>
        </w:numPr>
        <w:spacing w:line="360" w:lineRule="auto"/>
        <w:rPr>
          <w:rFonts w:ascii="Times New Roman" w:hAnsi="Times New Roman"/>
          <w:b/>
          <w:bCs/>
          <w:sz w:val="24"/>
          <w:u w:val="single"/>
        </w:rPr>
      </w:pPr>
      <w:r>
        <w:rPr>
          <w:rFonts w:ascii="Times New Roman" w:hAnsi="Times New Roman"/>
          <w:b/>
          <w:bCs/>
          <w:sz w:val="24"/>
          <w:u w:val="single"/>
        </w:rPr>
        <w:t>Strict or Classic FOB clause:</w:t>
      </w:r>
      <w:r>
        <w:rPr>
          <w:rFonts w:ascii="Times New Roman" w:hAnsi="Times New Roman"/>
          <w:sz w:val="24"/>
        </w:rPr>
        <w:t xml:space="preserve">  </w:t>
      </w:r>
      <w:r>
        <w:rPr>
          <w:rFonts w:ascii="Times New Roman" w:hAnsi="Times New Roman"/>
          <w:sz w:val="28"/>
        </w:rPr>
        <w:t xml:space="preserve">Under this clause </w:t>
      </w:r>
      <w:proofErr w:type="spellStart"/>
      <w:proofErr w:type="gramStart"/>
      <w:r>
        <w:rPr>
          <w:rFonts w:ascii="Times New Roman" w:hAnsi="Times New Roman"/>
          <w:sz w:val="28"/>
        </w:rPr>
        <w:t>th</w:t>
      </w:r>
      <w:proofErr w:type="spellEnd"/>
      <w:proofErr w:type="gramEnd"/>
      <w:r>
        <w:rPr>
          <w:rFonts w:ascii="Times New Roman" w:hAnsi="Times New Roman"/>
          <w:sz w:val="28"/>
        </w:rPr>
        <w:t xml:space="preserve"> buyer nominates the ship and all other arrangements for loading are done by the seller for and on account of the buyer.</w:t>
      </w:r>
    </w:p>
    <w:p w:rsidR="008D4BBF" w:rsidRDefault="008D4BBF" w:rsidP="008D4BBF">
      <w:pPr>
        <w:pStyle w:val="NormalWeb"/>
        <w:numPr>
          <w:ilvl w:val="1"/>
          <w:numId w:val="1"/>
        </w:numPr>
        <w:spacing w:line="360" w:lineRule="auto"/>
        <w:rPr>
          <w:rFonts w:ascii="Times New Roman" w:hAnsi="Times New Roman"/>
          <w:b/>
          <w:bCs/>
          <w:sz w:val="24"/>
          <w:u w:val="single"/>
        </w:rPr>
      </w:pPr>
      <w:r>
        <w:rPr>
          <w:rFonts w:ascii="Times New Roman" w:hAnsi="Times New Roman"/>
          <w:b/>
          <w:bCs/>
          <w:sz w:val="24"/>
          <w:u w:val="single"/>
        </w:rPr>
        <w:t>FOB contract with additional services:</w:t>
      </w:r>
      <w:r>
        <w:rPr>
          <w:rFonts w:ascii="Times New Roman" w:hAnsi="Times New Roman"/>
          <w:sz w:val="24"/>
        </w:rPr>
        <w:t xml:space="preserve">  </w:t>
      </w:r>
      <w:r>
        <w:rPr>
          <w:rFonts w:ascii="Times New Roman" w:hAnsi="Times New Roman"/>
          <w:sz w:val="28"/>
        </w:rPr>
        <w:t>Under this agreement, in addition to the loading of Cargo, the seller undertakes to make the shipping and insurance for and on account of the buyer.</w:t>
      </w:r>
    </w:p>
    <w:p w:rsidR="008D4BBF" w:rsidRDefault="008D4BBF" w:rsidP="008D4BBF">
      <w:pPr>
        <w:pStyle w:val="NormalWeb"/>
        <w:numPr>
          <w:ilvl w:val="1"/>
          <w:numId w:val="1"/>
        </w:numPr>
        <w:spacing w:line="360" w:lineRule="auto"/>
        <w:rPr>
          <w:rFonts w:ascii="Times New Roman" w:hAnsi="Times New Roman"/>
          <w:b/>
          <w:bCs/>
          <w:sz w:val="24"/>
          <w:u w:val="single"/>
        </w:rPr>
      </w:pPr>
      <w:r>
        <w:rPr>
          <w:rFonts w:ascii="Times New Roman" w:hAnsi="Times New Roman"/>
          <w:b/>
          <w:bCs/>
          <w:sz w:val="24"/>
          <w:u w:val="single"/>
        </w:rPr>
        <w:t xml:space="preserve">FOB (Buyer contracting with carrier):  </w:t>
      </w:r>
      <w:r>
        <w:rPr>
          <w:rFonts w:ascii="Times New Roman" w:hAnsi="Times New Roman"/>
          <w:sz w:val="28"/>
        </w:rPr>
        <w:t xml:space="preserve">The buyer himself enters into the contract of carriage by sea directly or through an agent.  When the goods are sold on FOB terms, </w:t>
      </w:r>
      <w:proofErr w:type="gramStart"/>
      <w:r>
        <w:rPr>
          <w:rFonts w:ascii="Times New Roman" w:hAnsi="Times New Roman"/>
          <w:sz w:val="28"/>
        </w:rPr>
        <w:t>its</w:t>
      </w:r>
      <w:proofErr w:type="gramEnd"/>
      <w:r>
        <w:rPr>
          <w:rFonts w:ascii="Times New Roman" w:hAnsi="Times New Roman"/>
          <w:sz w:val="28"/>
        </w:rPr>
        <w:t xml:space="preserve"> in principle the duty of the buyer to arrange the freight and marine insurance cover.  This arrangement is often inconvenient because the seller who conducts his business in the country where the goods are situated before dispatch has better facilities for </w:t>
      </w:r>
      <w:r>
        <w:rPr>
          <w:rFonts w:ascii="Times New Roman" w:hAnsi="Times New Roman"/>
          <w:sz w:val="28"/>
        </w:rPr>
        <w:lastRenderedPageBreak/>
        <w:t>arranging these items than the buyer. This has given rise to the 2 types of FOB contracts.</w:t>
      </w:r>
    </w:p>
    <w:p w:rsidR="008D4BBF" w:rsidRDefault="008D4BBF" w:rsidP="008D4BBF">
      <w:pPr>
        <w:pStyle w:val="NormalWeb"/>
        <w:spacing w:line="360" w:lineRule="auto"/>
        <w:ind w:left="360"/>
        <w:rPr>
          <w:rFonts w:ascii="Times New Roman" w:hAnsi="Times New Roman"/>
          <w:b/>
          <w:bCs/>
          <w:sz w:val="24"/>
          <w:u w:val="single"/>
        </w:rPr>
      </w:pPr>
    </w:p>
    <w:p w:rsidR="008D4BBF" w:rsidRDefault="008D4BBF" w:rsidP="008D4BBF">
      <w:pPr>
        <w:numPr>
          <w:ilvl w:val="2"/>
          <w:numId w:val="1"/>
        </w:numPr>
        <w:spacing w:after="0" w:line="360" w:lineRule="auto"/>
        <w:jc w:val="both"/>
        <w:rPr>
          <w:rFonts w:ascii="Calibri" w:eastAsia="Times New Roman" w:hAnsi="Calibri" w:cs="Times New Roman"/>
          <w:sz w:val="28"/>
        </w:rPr>
      </w:pPr>
      <w:r>
        <w:rPr>
          <w:rFonts w:ascii="Arial Black" w:eastAsia="Times New Roman" w:hAnsi="Arial Black" w:cs="Times New Roman"/>
          <w:u w:val="single"/>
        </w:rPr>
        <w:t xml:space="preserve">Free Carrier: </w:t>
      </w:r>
      <w:r>
        <w:rPr>
          <w:rFonts w:ascii="Calibri" w:eastAsia="Times New Roman" w:hAnsi="Calibri" w:cs="Times New Roman"/>
          <w:b/>
          <w:bCs/>
          <w:sz w:val="28"/>
          <w:u w:val="single"/>
        </w:rPr>
        <w:t>(FCA)</w:t>
      </w:r>
      <w:r>
        <w:rPr>
          <w:rFonts w:ascii="Calibri" w:eastAsia="Times New Roman" w:hAnsi="Calibri" w:cs="Times New Roman"/>
          <w:b/>
          <w:bCs/>
          <w:sz w:val="28"/>
        </w:rPr>
        <w:t xml:space="preserve"> {</w:t>
      </w:r>
      <w:r>
        <w:rPr>
          <w:rFonts w:ascii="Calibri" w:eastAsia="Times New Roman" w:hAnsi="Calibri" w:cs="Times New Roman"/>
          <w:b/>
          <w:bCs/>
        </w:rPr>
        <w:t>+ the named port of departure}</w:t>
      </w:r>
      <w:r>
        <w:rPr>
          <w:rFonts w:ascii="Calibri" w:eastAsia="Times New Roman" w:hAnsi="Calibri" w:cs="Times New Roman"/>
          <w:b/>
          <w:bCs/>
          <w:sz w:val="28"/>
        </w:rPr>
        <w:t xml:space="preserve"> The</w:t>
      </w:r>
      <w:r>
        <w:rPr>
          <w:rFonts w:ascii="Calibri" w:eastAsia="Times New Roman" w:hAnsi="Calibri" w:cs="Times New Roman"/>
          <w:sz w:val="28"/>
        </w:rPr>
        <w:t xml:space="preserve"> delivery of goods on truck, rail car or container at the specified point (depot) of departure, which is usually the seller's premises, or a named railroad station or a named cargo terminal or into the custody of the carrier, at seller's expense. The point (depot) at origin may or may not be a customs clearance center. Buyer is responsible for the main carriage/freight, cargo insurance and other costs and risks.  In the air shipment, technically speaking, goods placed in the custody of an air carrier are considered as delivery on board the plane. In practice, many importers and exporters still use the term </w:t>
      </w:r>
      <w:r>
        <w:rPr>
          <w:rFonts w:ascii="Calibri" w:eastAsia="Times New Roman" w:hAnsi="Calibri" w:cs="Times New Roman"/>
          <w:b/>
          <w:bCs/>
          <w:sz w:val="28"/>
        </w:rPr>
        <w:t>FOB</w:t>
      </w:r>
      <w:r>
        <w:rPr>
          <w:rFonts w:ascii="Calibri" w:eastAsia="Times New Roman" w:hAnsi="Calibri" w:cs="Times New Roman"/>
          <w:sz w:val="28"/>
        </w:rPr>
        <w:t xml:space="preserve"> in the air shipment.</w:t>
      </w:r>
    </w:p>
    <w:p w:rsidR="008D4BBF" w:rsidRDefault="008D4BBF" w:rsidP="008D4BBF">
      <w:pPr>
        <w:spacing w:line="360" w:lineRule="auto"/>
        <w:jc w:val="both"/>
        <w:rPr>
          <w:rFonts w:ascii="Calibri" w:eastAsia="Times New Roman" w:hAnsi="Calibri" w:cs="Times New Roman"/>
          <w:sz w:val="28"/>
        </w:rPr>
      </w:pPr>
    </w:p>
    <w:p w:rsidR="008D4BBF" w:rsidRDefault="008D4BBF" w:rsidP="008D4BBF">
      <w:pPr>
        <w:numPr>
          <w:ilvl w:val="2"/>
          <w:numId w:val="1"/>
        </w:numPr>
        <w:spacing w:after="0" w:line="360" w:lineRule="auto"/>
        <w:jc w:val="both"/>
        <w:rPr>
          <w:rFonts w:ascii="Calibri" w:eastAsia="Times New Roman" w:hAnsi="Calibri" w:cs="Times New Roman"/>
          <w:b/>
          <w:bCs/>
          <w:u w:val="single"/>
        </w:rPr>
      </w:pPr>
      <w:r>
        <w:rPr>
          <w:rFonts w:ascii="Arial Black" w:eastAsia="Times New Roman" w:hAnsi="Arial Black" w:cs="Times New Roman"/>
          <w:b/>
          <w:bCs/>
          <w:u w:val="single"/>
        </w:rPr>
        <w:t>Cost, Insurance &amp; Freight:</w:t>
      </w:r>
      <w:r>
        <w:rPr>
          <w:rFonts w:ascii="Calibri" w:eastAsia="Times New Roman" w:hAnsi="Calibri" w:cs="Times New Roman"/>
          <w:b/>
          <w:bCs/>
          <w:u w:val="single"/>
        </w:rPr>
        <w:t xml:space="preserve"> </w:t>
      </w:r>
      <w:r>
        <w:rPr>
          <w:rFonts w:ascii="Calibri" w:eastAsia="Times New Roman" w:hAnsi="Calibri" w:cs="Times New Roman"/>
          <w:b/>
          <w:bCs/>
          <w:sz w:val="28"/>
          <w:u w:val="single"/>
        </w:rPr>
        <w:t>(CIF</w:t>
      </w:r>
      <w:proofErr w:type="gramStart"/>
      <w:r>
        <w:rPr>
          <w:rFonts w:ascii="Calibri" w:eastAsia="Times New Roman" w:hAnsi="Calibri" w:cs="Times New Roman"/>
          <w:b/>
          <w:bCs/>
          <w:sz w:val="28"/>
          <w:u w:val="single"/>
        </w:rPr>
        <w:t>)</w:t>
      </w:r>
      <w:r>
        <w:rPr>
          <w:rFonts w:ascii="Calibri" w:eastAsia="Times New Roman" w:hAnsi="Calibri" w:cs="Times New Roman"/>
          <w:b/>
          <w:bCs/>
          <w:sz w:val="28"/>
        </w:rPr>
        <w:t xml:space="preserve">  {</w:t>
      </w:r>
      <w:proofErr w:type="gramEnd"/>
      <w:r>
        <w:rPr>
          <w:rFonts w:ascii="Calibri" w:eastAsia="Times New Roman" w:hAnsi="Calibri" w:cs="Times New Roman"/>
          <w:b/>
          <w:bCs/>
        </w:rPr>
        <w:t xml:space="preserve">+ The named port of destination} </w:t>
      </w:r>
      <w:r>
        <w:rPr>
          <w:rFonts w:ascii="Calibri" w:eastAsia="Times New Roman" w:hAnsi="Calibri" w:cs="Times New Roman"/>
          <w:sz w:val="28"/>
        </w:rPr>
        <w:t>This is the most characteristic export term which the custom of the merchants have evolved.  The term CIF is more widely and more frequently in use than any other contract used for purposes of sea borne commerce.  From the business point of view, the purpose of the CIF contract is not a sale of the goods themselves but a sale of the documents relating to the goods.  The CIF contract is a contract in which the seller discharges his obligations as regards delivery by tendering a bill of loading covering the goods.</w:t>
      </w:r>
    </w:p>
    <w:p w:rsidR="008D4BBF" w:rsidRDefault="008D4BBF" w:rsidP="008D4BBF">
      <w:pPr>
        <w:pStyle w:val="NormalWeb"/>
        <w:tabs>
          <w:tab w:val="left" w:pos="2940"/>
        </w:tabs>
        <w:spacing w:line="360" w:lineRule="auto"/>
        <w:rPr>
          <w:rFonts w:ascii="Times New Roman" w:hAnsi="Times New Roman"/>
          <w:sz w:val="28"/>
        </w:rPr>
      </w:pPr>
      <w:r>
        <w:rPr>
          <w:rFonts w:ascii="Times New Roman" w:hAnsi="Times New Roman"/>
          <w:sz w:val="28"/>
        </w:rPr>
        <w:tab/>
        <w:t xml:space="preserve">The buyer’s aim is to obtain, as early as possible the right of the disposal of the goods or to secure the bank advance and to obtain either the goods or, if they are lost, the insurance money.  The seller’s aim is to </w:t>
      </w:r>
      <w:r>
        <w:rPr>
          <w:rFonts w:ascii="Times New Roman" w:hAnsi="Times New Roman"/>
          <w:sz w:val="28"/>
        </w:rPr>
        <w:lastRenderedPageBreak/>
        <w:t xml:space="preserve">accommodate the buyer and to secure for </w:t>
      </w:r>
      <w:proofErr w:type="gramStart"/>
      <w:r>
        <w:rPr>
          <w:rFonts w:ascii="Times New Roman" w:hAnsi="Times New Roman"/>
          <w:sz w:val="28"/>
        </w:rPr>
        <w:t>himself</w:t>
      </w:r>
      <w:proofErr w:type="gramEnd"/>
      <w:r>
        <w:rPr>
          <w:rFonts w:ascii="Times New Roman" w:hAnsi="Times New Roman"/>
          <w:sz w:val="28"/>
        </w:rPr>
        <w:t xml:space="preserve"> profits.  The aims of both the parties are attained when the buyer effects payment in the stipulated manner against the delivery of the documents relating to the goods.</w:t>
      </w:r>
    </w:p>
    <w:p w:rsidR="008D4BBF" w:rsidRDefault="008D4BBF" w:rsidP="008D4BBF">
      <w:pPr>
        <w:pStyle w:val="NormalWeb"/>
        <w:numPr>
          <w:ilvl w:val="2"/>
          <w:numId w:val="1"/>
        </w:numPr>
        <w:spacing w:line="360" w:lineRule="auto"/>
        <w:jc w:val="both"/>
        <w:rPr>
          <w:rFonts w:ascii="Times New Roman" w:hAnsi="Times New Roman"/>
          <w:sz w:val="28"/>
        </w:rPr>
      </w:pPr>
      <w:r>
        <w:rPr>
          <w:rFonts w:ascii="Arial Black" w:hAnsi="Arial Black"/>
          <w:b/>
          <w:bCs/>
          <w:sz w:val="24"/>
          <w:u w:val="single"/>
        </w:rPr>
        <w:t>Cost and Freight</w:t>
      </w:r>
      <w:r>
        <w:rPr>
          <w:rFonts w:ascii="Times New Roman" w:hAnsi="Times New Roman"/>
          <w:b/>
          <w:bCs/>
          <w:sz w:val="28"/>
          <w:u w:val="single"/>
        </w:rPr>
        <w:t xml:space="preserve"> :</w:t>
      </w:r>
      <w:proofErr w:type="gramStart"/>
      <w:r>
        <w:rPr>
          <w:rFonts w:ascii="Times New Roman" w:hAnsi="Times New Roman"/>
          <w:b/>
          <w:bCs/>
          <w:sz w:val="28"/>
          <w:u w:val="single"/>
        </w:rPr>
        <w:t>(CFR</w:t>
      </w:r>
      <w:proofErr w:type="gramEnd"/>
      <w:r>
        <w:rPr>
          <w:rFonts w:ascii="Times New Roman" w:hAnsi="Times New Roman"/>
          <w:b/>
          <w:bCs/>
          <w:sz w:val="28"/>
          <w:u w:val="single"/>
        </w:rPr>
        <w:t>)</w:t>
      </w:r>
      <w:r>
        <w:rPr>
          <w:rFonts w:ascii="Times New Roman" w:hAnsi="Times New Roman"/>
          <w:sz w:val="28"/>
        </w:rPr>
        <w:t xml:space="preserve"> </w:t>
      </w:r>
      <w:r>
        <w:rPr>
          <w:rFonts w:ascii="Times New Roman" w:hAnsi="Times New Roman"/>
          <w:b/>
          <w:bCs/>
          <w:sz w:val="24"/>
        </w:rPr>
        <w:t>{+ The named port of destination}</w:t>
      </w:r>
      <w:r>
        <w:rPr>
          <w:rFonts w:ascii="Times New Roman" w:hAnsi="Times New Roman"/>
          <w:sz w:val="28"/>
        </w:rPr>
        <w:t xml:space="preserve"> The delivery of goods to the named port of destination (discharge) at the seller's expense. Buyer is responsible for the cargo insurance and other costs and risks. The term </w:t>
      </w:r>
      <w:r>
        <w:rPr>
          <w:rFonts w:ascii="Times New Roman" w:hAnsi="Times New Roman"/>
          <w:b/>
          <w:bCs/>
          <w:sz w:val="28"/>
        </w:rPr>
        <w:t>CFR</w:t>
      </w:r>
      <w:r>
        <w:rPr>
          <w:rFonts w:ascii="Times New Roman" w:hAnsi="Times New Roman"/>
          <w:sz w:val="28"/>
        </w:rPr>
        <w:t xml:space="preserve"> was formerly written as </w:t>
      </w:r>
      <w:r>
        <w:rPr>
          <w:rFonts w:ascii="Times New Roman" w:hAnsi="Times New Roman"/>
          <w:b/>
          <w:bCs/>
          <w:sz w:val="28"/>
        </w:rPr>
        <w:t>C&amp;F</w:t>
      </w:r>
      <w:r>
        <w:rPr>
          <w:rFonts w:ascii="Times New Roman" w:hAnsi="Times New Roman"/>
          <w:sz w:val="28"/>
        </w:rPr>
        <w:t xml:space="preserve">. Many importers and exporters worldwide still use the term </w:t>
      </w:r>
      <w:r>
        <w:rPr>
          <w:rFonts w:ascii="Times New Roman" w:hAnsi="Times New Roman"/>
          <w:b/>
          <w:bCs/>
          <w:sz w:val="28"/>
        </w:rPr>
        <w:t>C&amp;F</w:t>
      </w:r>
      <w:r>
        <w:rPr>
          <w:rFonts w:ascii="Times New Roman" w:hAnsi="Times New Roman"/>
          <w:sz w:val="28"/>
        </w:rPr>
        <w:t xml:space="preserve">. Under the rules of the INCOTERMS 1990, the term </w:t>
      </w:r>
      <w:r>
        <w:rPr>
          <w:rFonts w:ascii="Times New Roman" w:hAnsi="Times New Roman"/>
          <w:b/>
          <w:bCs/>
          <w:sz w:val="28"/>
        </w:rPr>
        <w:t>Cost and Freight</w:t>
      </w:r>
      <w:r>
        <w:rPr>
          <w:rFonts w:ascii="Times New Roman" w:hAnsi="Times New Roman"/>
          <w:sz w:val="28"/>
        </w:rPr>
        <w:t xml:space="preserve"> is used for ocean freight only. However, in practice, the term </w:t>
      </w:r>
      <w:r>
        <w:rPr>
          <w:rFonts w:ascii="Times New Roman" w:hAnsi="Times New Roman"/>
          <w:b/>
          <w:bCs/>
          <w:sz w:val="28"/>
        </w:rPr>
        <w:t>Cost and Freight (C&amp;F)</w:t>
      </w:r>
      <w:r>
        <w:rPr>
          <w:rFonts w:ascii="Times New Roman" w:hAnsi="Times New Roman"/>
          <w:sz w:val="28"/>
        </w:rPr>
        <w:t xml:space="preserve"> is still commonly used in the airfreight.</w:t>
      </w:r>
    </w:p>
    <w:p w:rsidR="008D4BBF" w:rsidRDefault="008D4BBF" w:rsidP="008D4BBF">
      <w:pPr>
        <w:pStyle w:val="NormalWeb"/>
        <w:spacing w:line="360" w:lineRule="auto"/>
        <w:jc w:val="both"/>
        <w:rPr>
          <w:rFonts w:ascii="Times New Roman" w:hAnsi="Times New Roman"/>
          <w:sz w:val="28"/>
        </w:rPr>
      </w:pPr>
    </w:p>
    <w:p w:rsidR="008D4BBF" w:rsidRDefault="008D4BBF" w:rsidP="008D4BBF">
      <w:pPr>
        <w:pStyle w:val="NormalWeb"/>
        <w:numPr>
          <w:ilvl w:val="2"/>
          <w:numId w:val="1"/>
        </w:numPr>
        <w:spacing w:line="360" w:lineRule="auto"/>
        <w:jc w:val="both"/>
        <w:rPr>
          <w:rFonts w:ascii="Times New Roman" w:hAnsi="Times New Roman"/>
          <w:sz w:val="28"/>
        </w:rPr>
      </w:pPr>
      <w:r>
        <w:rPr>
          <w:rFonts w:ascii="Arial Black" w:hAnsi="Arial Black"/>
          <w:sz w:val="24"/>
          <w:u w:val="single"/>
        </w:rPr>
        <w:t>Carriage Paid To</w:t>
      </w:r>
      <w:r>
        <w:rPr>
          <w:rFonts w:ascii="Arial Black" w:hAnsi="Arial Black"/>
          <w:b/>
          <w:bCs/>
          <w:sz w:val="24"/>
          <w:u w:val="single"/>
        </w:rPr>
        <w:t>:</w:t>
      </w:r>
      <w:r>
        <w:rPr>
          <w:rFonts w:ascii="Times New Roman" w:hAnsi="Times New Roman"/>
          <w:b/>
          <w:bCs/>
          <w:sz w:val="24"/>
          <w:u w:val="single"/>
        </w:rPr>
        <w:t xml:space="preserve"> </w:t>
      </w:r>
      <w:r>
        <w:rPr>
          <w:rFonts w:ascii="Times New Roman" w:hAnsi="Times New Roman"/>
          <w:b/>
          <w:bCs/>
          <w:sz w:val="28"/>
          <w:u w:val="single"/>
        </w:rPr>
        <w:t>(CPT)</w:t>
      </w:r>
      <w:r>
        <w:rPr>
          <w:rFonts w:ascii="Times New Roman" w:hAnsi="Times New Roman"/>
          <w:sz w:val="28"/>
        </w:rPr>
        <w:t xml:space="preserve"> </w:t>
      </w:r>
      <w:r>
        <w:rPr>
          <w:rFonts w:ascii="Times New Roman" w:hAnsi="Times New Roman"/>
          <w:b/>
          <w:bCs/>
          <w:sz w:val="24"/>
        </w:rPr>
        <w:t xml:space="preserve">{+ </w:t>
      </w:r>
      <w:proofErr w:type="gramStart"/>
      <w:r>
        <w:rPr>
          <w:rFonts w:ascii="Times New Roman" w:hAnsi="Times New Roman"/>
          <w:b/>
          <w:bCs/>
          <w:sz w:val="24"/>
        </w:rPr>
        <w:t>The</w:t>
      </w:r>
      <w:proofErr w:type="gramEnd"/>
      <w:r>
        <w:rPr>
          <w:rFonts w:ascii="Times New Roman" w:hAnsi="Times New Roman"/>
          <w:b/>
          <w:bCs/>
          <w:sz w:val="24"/>
        </w:rPr>
        <w:t xml:space="preserve"> named port of destination}</w:t>
      </w:r>
      <w:r>
        <w:rPr>
          <w:rFonts w:ascii="Times New Roman" w:hAnsi="Times New Roman"/>
          <w:sz w:val="28"/>
        </w:rPr>
        <w:t xml:space="preserve"> The delivery of goods to the named place of destination (discharge) at seller's expense. Buyer assumes the cargo insurance, import customs clearance, payment of customs duties and taxes, and other costs and risks.</w:t>
      </w:r>
      <w:r>
        <w:rPr>
          <w:sz w:val="28"/>
        </w:rPr>
        <w:t xml:space="preserve">  </w:t>
      </w:r>
      <w:r>
        <w:rPr>
          <w:rFonts w:ascii="Times New Roman" w:hAnsi="Times New Roman"/>
          <w:sz w:val="28"/>
        </w:rPr>
        <w:t xml:space="preserve">In the export quotation, indicate the place of destination (discharge) after the acronym </w:t>
      </w:r>
      <w:r>
        <w:rPr>
          <w:rFonts w:ascii="Times New Roman" w:hAnsi="Times New Roman"/>
          <w:b/>
          <w:bCs/>
          <w:sz w:val="28"/>
        </w:rPr>
        <w:t>CPT</w:t>
      </w:r>
      <w:r>
        <w:rPr>
          <w:rFonts w:ascii="Times New Roman" w:hAnsi="Times New Roman"/>
          <w:sz w:val="28"/>
        </w:rPr>
        <w:t xml:space="preserve">, for example </w:t>
      </w:r>
      <w:r>
        <w:rPr>
          <w:rFonts w:ascii="Times New Roman" w:hAnsi="Times New Roman"/>
          <w:b/>
          <w:bCs/>
          <w:sz w:val="28"/>
        </w:rPr>
        <w:t>CPT Los Angeles</w:t>
      </w:r>
      <w:r>
        <w:rPr>
          <w:rFonts w:ascii="Times New Roman" w:hAnsi="Times New Roman"/>
          <w:sz w:val="28"/>
        </w:rPr>
        <w:t xml:space="preserve"> and </w:t>
      </w:r>
      <w:r>
        <w:rPr>
          <w:rFonts w:ascii="Times New Roman" w:hAnsi="Times New Roman"/>
          <w:b/>
          <w:bCs/>
          <w:sz w:val="28"/>
        </w:rPr>
        <w:t>CPT Osaka</w:t>
      </w:r>
      <w:r>
        <w:rPr>
          <w:rFonts w:ascii="Times New Roman" w:hAnsi="Times New Roman"/>
          <w:sz w:val="28"/>
        </w:rPr>
        <w:t>.</w:t>
      </w:r>
    </w:p>
    <w:p w:rsidR="008D4BBF" w:rsidRDefault="008D4BBF" w:rsidP="008D4BBF">
      <w:pPr>
        <w:pStyle w:val="NormalWeb"/>
        <w:spacing w:line="360" w:lineRule="auto"/>
        <w:jc w:val="both"/>
        <w:rPr>
          <w:rFonts w:ascii="Arial Black" w:hAnsi="Arial Black"/>
          <w:sz w:val="28"/>
        </w:rPr>
      </w:pPr>
    </w:p>
    <w:p w:rsidR="008D4BBF" w:rsidRDefault="008D4BBF" w:rsidP="008D4BBF">
      <w:pPr>
        <w:pStyle w:val="NormalWeb"/>
        <w:numPr>
          <w:ilvl w:val="2"/>
          <w:numId w:val="1"/>
        </w:numPr>
        <w:spacing w:line="360" w:lineRule="auto"/>
        <w:jc w:val="both"/>
        <w:rPr>
          <w:rFonts w:ascii="Times New Roman" w:hAnsi="Times New Roman"/>
          <w:sz w:val="28"/>
        </w:rPr>
      </w:pPr>
      <w:r>
        <w:rPr>
          <w:rFonts w:ascii="Arial Black" w:hAnsi="Arial Black"/>
          <w:sz w:val="24"/>
          <w:u w:val="single"/>
        </w:rPr>
        <w:t>Carriage and Insurance Paid To:</w:t>
      </w:r>
      <w:r>
        <w:rPr>
          <w:rFonts w:ascii="Times New Roman" w:hAnsi="Times New Roman"/>
          <w:sz w:val="28"/>
          <w:u w:val="single"/>
        </w:rPr>
        <w:t xml:space="preserve"> </w:t>
      </w:r>
      <w:r>
        <w:rPr>
          <w:rFonts w:ascii="Times New Roman" w:hAnsi="Times New Roman"/>
          <w:b/>
          <w:bCs/>
          <w:sz w:val="28"/>
          <w:u w:val="single"/>
        </w:rPr>
        <w:t>(CIP)</w:t>
      </w:r>
      <w:r>
        <w:rPr>
          <w:rFonts w:ascii="Times New Roman" w:hAnsi="Times New Roman"/>
          <w:sz w:val="28"/>
        </w:rPr>
        <w:t xml:space="preserve"> </w:t>
      </w:r>
      <w:r>
        <w:rPr>
          <w:rFonts w:ascii="Times New Roman" w:hAnsi="Times New Roman"/>
          <w:b/>
          <w:bCs/>
          <w:sz w:val="24"/>
        </w:rPr>
        <w:t xml:space="preserve">{+ </w:t>
      </w:r>
      <w:proofErr w:type="gramStart"/>
      <w:r>
        <w:rPr>
          <w:rFonts w:ascii="Times New Roman" w:hAnsi="Times New Roman"/>
          <w:b/>
          <w:bCs/>
          <w:sz w:val="24"/>
        </w:rPr>
        <w:t>The</w:t>
      </w:r>
      <w:proofErr w:type="gramEnd"/>
      <w:r>
        <w:rPr>
          <w:rFonts w:ascii="Times New Roman" w:hAnsi="Times New Roman"/>
          <w:b/>
          <w:bCs/>
          <w:sz w:val="24"/>
        </w:rPr>
        <w:t xml:space="preserve"> named port of destination}</w:t>
      </w:r>
      <w:r>
        <w:rPr>
          <w:rFonts w:ascii="Times New Roman" w:hAnsi="Times New Roman"/>
          <w:sz w:val="28"/>
        </w:rPr>
        <w:t xml:space="preserve"> The delivery of goods and the cargo insurance to the named place of destination (discharge) at seller's expense. Buyer assumes the import customs clearance, payment of customs duties and taxes, and other costs and risks.  In the export </w:t>
      </w:r>
      <w:r>
        <w:rPr>
          <w:rFonts w:ascii="Times New Roman" w:hAnsi="Times New Roman"/>
          <w:sz w:val="28"/>
        </w:rPr>
        <w:lastRenderedPageBreak/>
        <w:t xml:space="preserve">quotation, indicate the place of destination (discharge) after the acronym </w:t>
      </w:r>
      <w:r>
        <w:rPr>
          <w:rFonts w:ascii="Times New Roman" w:hAnsi="Times New Roman"/>
          <w:b/>
          <w:bCs/>
          <w:sz w:val="28"/>
        </w:rPr>
        <w:t>CIP</w:t>
      </w:r>
      <w:r>
        <w:rPr>
          <w:rFonts w:ascii="Times New Roman" w:hAnsi="Times New Roman"/>
          <w:sz w:val="28"/>
        </w:rPr>
        <w:t xml:space="preserve">, for example </w:t>
      </w:r>
      <w:r>
        <w:rPr>
          <w:rFonts w:ascii="Times New Roman" w:hAnsi="Times New Roman"/>
          <w:b/>
          <w:bCs/>
          <w:sz w:val="28"/>
        </w:rPr>
        <w:t>CIP Paris</w:t>
      </w:r>
      <w:r>
        <w:rPr>
          <w:rFonts w:ascii="Times New Roman" w:hAnsi="Times New Roman"/>
          <w:sz w:val="28"/>
        </w:rPr>
        <w:t xml:space="preserve"> and </w:t>
      </w:r>
      <w:r>
        <w:rPr>
          <w:rFonts w:ascii="Times New Roman" w:hAnsi="Times New Roman"/>
          <w:b/>
          <w:bCs/>
          <w:sz w:val="28"/>
        </w:rPr>
        <w:t>CIP Athens</w:t>
      </w:r>
      <w:r>
        <w:rPr>
          <w:rFonts w:ascii="Times New Roman" w:hAnsi="Times New Roman"/>
          <w:sz w:val="28"/>
        </w:rPr>
        <w:t>.</w:t>
      </w:r>
    </w:p>
    <w:p w:rsidR="008D4BBF" w:rsidRDefault="008D4BBF" w:rsidP="008D4BBF">
      <w:pPr>
        <w:pStyle w:val="NormalWeb"/>
        <w:spacing w:line="360" w:lineRule="auto"/>
        <w:jc w:val="both"/>
        <w:rPr>
          <w:rFonts w:ascii="Times New Roman" w:hAnsi="Times New Roman"/>
          <w:sz w:val="28"/>
        </w:rPr>
      </w:pPr>
    </w:p>
    <w:p w:rsidR="008D4BBF" w:rsidRDefault="008D4BBF" w:rsidP="008D4BBF">
      <w:pPr>
        <w:pStyle w:val="NormalWeb"/>
        <w:numPr>
          <w:ilvl w:val="2"/>
          <w:numId w:val="1"/>
        </w:numPr>
        <w:spacing w:line="360" w:lineRule="auto"/>
        <w:jc w:val="both"/>
        <w:rPr>
          <w:rFonts w:ascii="Times New Roman" w:hAnsi="Times New Roman"/>
          <w:sz w:val="28"/>
        </w:rPr>
      </w:pPr>
      <w:r>
        <w:rPr>
          <w:rFonts w:ascii="Arial Black" w:hAnsi="Arial Black"/>
          <w:sz w:val="24"/>
          <w:u w:val="single"/>
        </w:rPr>
        <w:t>Delivered at Frontier</w:t>
      </w:r>
      <w:r>
        <w:rPr>
          <w:rFonts w:ascii="Times New Roman" w:hAnsi="Times New Roman"/>
          <w:b/>
          <w:bCs/>
          <w:sz w:val="28"/>
          <w:u w:val="single"/>
        </w:rPr>
        <w:t>:</w:t>
      </w:r>
      <w:r>
        <w:rPr>
          <w:rFonts w:ascii="Times New Roman" w:hAnsi="Times New Roman"/>
          <w:sz w:val="28"/>
          <w:u w:val="single"/>
        </w:rPr>
        <w:t xml:space="preserve"> (DAF</w:t>
      </w:r>
      <w:proofErr w:type="gramStart"/>
      <w:r>
        <w:rPr>
          <w:rFonts w:ascii="Times New Roman" w:hAnsi="Times New Roman"/>
          <w:sz w:val="28"/>
          <w:u w:val="single"/>
        </w:rPr>
        <w:t>)</w:t>
      </w:r>
      <w:r>
        <w:rPr>
          <w:rFonts w:ascii="Times New Roman" w:hAnsi="Times New Roman"/>
          <w:sz w:val="28"/>
        </w:rPr>
        <w:t xml:space="preserve">  </w:t>
      </w:r>
      <w:r>
        <w:rPr>
          <w:rFonts w:ascii="Times New Roman" w:hAnsi="Times New Roman"/>
          <w:b/>
          <w:bCs/>
          <w:sz w:val="24"/>
        </w:rPr>
        <w:t>{</w:t>
      </w:r>
      <w:proofErr w:type="gramEnd"/>
      <w:r>
        <w:rPr>
          <w:rFonts w:ascii="Times New Roman" w:hAnsi="Times New Roman"/>
          <w:b/>
          <w:bCs/>
          <w:sz w:val="24"/>
        </w:rPr>
        <w:t>+ The named point at frontier}</w:t>
      </w:r>
      <w:r>
        <w:rPr>
          <w:rFonts w:ascii="Times New Roman" w:hAnsi="Times New Roman"/>
          <w:sz w:val="28"/>
        </w:rPr>
        <w:t xml:space="preserve"> This term is frequently used in the continental export trade where no sea or air carriage is involved.  The term is also described as ‘</w:t>
      </w:r>
      <w:r>
        <w:rPr>
          <w:rFonts w:ascii="Times New Roman" w:hAnsi="Times New Roman"/>
          <w:b/>
          <w:bCs/>
          <w:sz w:val="28"/>
        </w:rPr>
        <w:t>Franco Frontier’</w:t>
      </w:r>
      <w:r>
        <w:rPr>
          <w:rFonts w:ascii="Times New Roman" w:hAnsi="Times New Roman"/>
          <w:sz w:val="28"/>
        </w:rPr>
        <w:t>.  It does no oblige the seller to obtain and insurance policy for the buyer’s benefit.</w:t>
      </w:r>
    </w:p>
    <w:p w:rsidR="008D4BBF" w:rsidRDefault="008D4BBF" w:rsidP="008D4BBF">
      <w:pPr>
        <w:pStyle w:val="NormalWeb"/>
        <w:spacing w:line="360" w:lineRule="auto"/>
        <w:jc w:val="both"/>
        <w:rPr>
          <w:rFonts w:ascii="Times New Roman" w:hAnsi="Times New Roman"/>
          <w:sz w:val="28"/>
        </w:rPr>
      </w:pPr>
    </w:p>
    <w:p w:rsidR="008D4BBF" w:rsidRDefault="008D4BBF" w:rsidP="008D4BBF">
      <w:pPr>
        <w:pStyle w:val="NormalWeb"/>
        <w:numPr>
          <w:ilvl w:val="2"/>
          <w:numId w:val="1"/>
        </w:numPr>
        <w:spacing w:line="360" w:lineRule="auto"/>
        <w:jc w:val="both"/>
        <w:rPr>
          <w:rFonts w:ascii="Times New Roman" w:hAnsi="Times New Roman"/>
          <w:sz w:val="28"/>
        </w:rPr>
      </w:pPr>
      <w:r>
        <w:rPr>
          <w:rFonts w:ascii="Arial Black" w:hAnsi="Arial Black"/>
          <w:sz w:val="24"/>
          <w:u w:val="single"/>
        </w:rPr>
        <w:t>Delivered Ex Ship</w:t>
      </w:r>
      <w:r>
        <w:rPr>
          <w:rFonts w:ascii="Arial Black" w:hAnsi="Arial Black"/>
          <w:sz w:val="28"/>
          <w:u w:val="single"/>
        </w:rPr>
        <w:t>:</w:t>
      </w:r>
      <w:r>
        <w:rPr>
          <w:rFonts w:ascii="Times New Roman" w:hAnsi="Times New Roman"/>
          <w:b/>
          <w:bCs/>
          <w:sz w:val="28"/>
          <w:u w:val="single"/>
        </w:rPr>
        <w:t xml:space="preserve"> (DES)</w:t>
      </w:r>
      <w:r>
        <w:rPr>
          <w:rFonts w:ascii="Times New Roman" w:hAnsi="Times New Roman"/>
          <w:b/>
          <w:bCs/>
          <w:sz w:val="28"/>
        </w:rPr>
        <w:t xml:space="preserve"> </w:t>
      </w:r>
      <w:r>
        <w:rPr>
          <w:rFonts w:ascii="Times New Roman" w:hAnsi="Times New Roman"/>
          <w:b/>
          <w:bCs/>
          <w:sz w:val="24"/>
        </w:rPr>
        <w:t>{+ the named port of arrival}</w:t>
      </w:r>
      <w:r>
        <w:rPr>
          <w:rFonts w:ascii="Times New Roman" w:hAnsi="Times New Roman"/>
          <w:b/>
          <w:bCs/>
          <w:sz w:val="28"/>
        </w:rPr>
        <w:t xml:space="preserve"> This</w:t>
      </w:r>
      <w:r>
        <w:rPr>
          <w:rFonts w:ascii="Times New Roman" w:hAnsi="Times New Roman"/>
          <w:sz w:val="28"/>
        </w:rPr>
        <w:t xml:space="preserve"> clause means that the seller has to cause delivery to be made to the buyer from the ship, which has arrived at the port of delivery and has reached a place therein which is usual for the delivery of goods.  In other words the clause means that the seller has to pay the freight or otherwise release the carrier’s lien, and the buyer is only bound to pay the purchase price if actual delivery of goods is made to him at the stipulated port of delivery.  Unlike in CIF contract, under this stipulated</w:t>
      </w:r>
      <w:proofErr w:type="gramStart"/>
      <w:r>
        <w:rPr>
          <w:rFonts w:ascii="Times New Roman" w:hAnsi="Times New Roman"/>
          <w:sz w:val="28"/>
        </w:rPr>
        <w:t>,</w:t>
      </w:r>
      <w:proofErr w:type="gramEnd"/>
      <w:r>
        <w:rPr>
          <w:rFonts w:ascii="Times New Roman" w:hAnsi="Times New Roman"/>
          <w:sz w:val="28"/>
        </w:rPr>
        <w:t xml:space="preserve"> the document doesn’t stand in the place of the goods.  The goods are not at the buyer’s risk during the voyage.  The Ex-ship clause related exclusively tot eh place of delivery of the goods.  It’s not a combination of the contract for sale, carriage and insurance.</w:t>
      </w:r>
    </w:p>
    <w:p w:rsidR="008D4BBF" w:rsidRDefault="008D4BBF" w:rsidP="008D4BBF">
      <w:pPr>
        <w:pStyle w:val="NormalWeb"/>
        <w:spacing w:line="360" w:lineRule="auto"/>
        <w:jc w:val="both"/>
        <w:rPr>
          <w:rFonts w:ascii="Times New Roman" w:hAnsi="Times New Roman"/>
          <w:sz w:val="28"/>
        </w:rPr>
      </w:pPr>
    </w:p>
    <w:p w:rsidR="008D4BBF" w:rsidRDefault="008D4BBF" w:rsidP="008D4BBF">
      <w:pPr>
        <w:pStyle w:val="NormalWeb"/>
        <w:numPr>
          <w:ilvl w:val="2"/>
          <w:numId w:val="1"/>
        </w:numPr>
        <w:spacing w:line="360" w:lineRule="auto"/>
        <w:jc w:val="both"/>
        <w:rPr>
          <w:rFonts w:ascii="Times New Roman" w:hAnsi="Times New Roman"/>
          <w:sz w:val="28"/>
          <w:u w:val="single"/>
        </w:rPr>
      </w:pPr>
      <w:r>
        <w:rPr>
          <w:rFonts w:ascii="Arial Black" w:hAnsi="Arial Black"/>
          <w:sz w:val="24"/>
          <w:u w:val="single"/>
        </w:rPr>
        <w:t>Delivered Ex Quay</w:t>
      </w:r>
      <w:r>
        <w:rPr>
          <w:rFonts w:ascii="Times New Roman" w:hAnsi="Times New Roman"/>
          <w:b/>
          <w:bCs/>
          <w:sz w:val="28"/>
          <w:u w:val="single"/>
        </w:rPr>
        <w:t>:</w:t>
      </w:r>
      <w:r>
        <w:rPr>
          <w:rFonts w:ascii="Times New Roman" w:hAnsi="Times New Roman"/>
          <w:sz w:val="28"/>
          <w:u w:val="single"/>
        </w:rPr>
        <w:t xml:space="preserve"> (DEQ)</w:t>
      </w:r>
      <w:r>
        <w:rPr>
          <w:rFonts w:ascii="Times New Roman" w:hAnsi="Times New Roman"/>
          <w:sz w:val="28"/>
        </w:rPr>
        <w:t xml:space="preserve"> </w:t>
      </w:r>
      <w:r>
        <w:rPr>
          <w:rFonts w:ascii="Times New Roman" w:hAnsi="Times New Roman"/>
          <w:b/>
          <w:bCs/>
          <w:sz w:val="24"/>
        </w:rPr>
        <w:t>{+ Named point of destination}</w:t>
      </w:r>
      <w:r>
        <w:rPr>
          <w:rFonts w:ascii="Times New Roman" w:hAnsi="Times New Roman"/>
          <w:sz w:val="24"/>
        </w:rPr>
        <w:t xml:space="preserve"> </w:t>
      </w:r>
      <w:proofErr w:type="gramStart"/>
      <w:r>
        <w:rPr>
          <w:rFonts w:ascii="Times New Roman" w:hAnsi="Times New Roman"/>
          <w:sz w:val="28"/>
        </w:rPr>
        <w:t>The</w:t>
      </w:r>
      <w:proofErr w:type="gramEnd"/>
      <w:r>
        <w:rPr>
          <w:rFonts w:ascii="Times New Roman" w:hAnsi="Times New Roman"/>
          <w:sz w:val="28"/>
        </w:rPr>
        <w:t xml:space="preserve"> term is frequently used in the continental export trade where no sea or air carriage is </w:t>
      </w:r>
      <w:r>
        <w:rPr>
          <w:rFonts w:ascii="Times New Roman" w:hAnsi="Times New Roman"/>
          <w:sz w:val="28"/>
        </w:rPr>
        <w:lastRenderedPageBreak/>
        <w:t xml:space="preserve">involved.  The term is also described as </w:t>
      </w:r>
      <w:r>
        <w:rPr>
          <w:rFonts w:ascii="Times New Roman" w:hAnsi="Times New Roman"/>
          <w:b/>
          <w:bCs/>
          <w:sz w:val="28"/>
        </w:rPr>
        <w:t>‘Franco Frontier’</w:t>
      </w:r>
      <w:r>
        <w:rPr>
          <w:rFonts w:ascii="Times New Roman" w:hAnsi="Times New Roman"/>
          <w:sz w:val="28"/>
        </w:rPr>
        <w:t>.  It does not oblige the seller to obtain an insurance policy for the buyer’s benefit.</w:t>
      </w:r>
    </w:p>
    <w:p w:rsidR="008D4BBF" w:rsidRDefault="008D4BBF" w:rsidP="008D4BBF">
      <w:pPr>
        <w:pStyle w:val="NormalWeb"/>
        <w:spacing w:line="360" w:lineRule="auto"/>
        <w:jc w:val="both"/>
        <w:rPr>
          <w:rFonts w:ascii="Times New Roman" w:hAnsi="Times New Roman"/>
          <w:sz w:val="28"/>
          <w:u w:val="single"/>
        </w:rPr>
      </w:pPr>
    </w:p>
    <w:p w:rsidR="008D4BBF" w:rsidRDefault="008D4BBF" w:rsidP="008D4BBF">
      <w:pPr>
        <w:numPr>
          <w:ilvl w:val="2"/>
          <w:numId w:val="1"/>
        </w:numPr>
        <w:spacing w:after="0" w:line="360" w:lineRule="auto"/>
        <w:jc w:val="both"/>
        <w:rPr>
          <w:rFonts w:ascii="Calibri" w:eastAsia="Times New Roman" w:hAnsi="Calibri" w:cs="Times New Roman"/>
          <w:sz w:val="28"/>
        </w:rPr>
      </w:pPr>
      <w:r>
        <w:rPr>
          <w:rFonts w:ascii="Arial Black" w:eastAsia="Times New Roman" w:hAnsi="Arial Black" w:cs="Times New Roman"/>
          <w:u w:val="single"/>
        </w:rPr>
        <w:t>Delivered Duty Unpaid:</w:t>
      </w:r>
      <w:r>
        <w:rPr>
          <w:rFonts w:ascii="Calibri" w:eastAsia="Times New Roman" w:hAnsi="Calibri" w:cs="Times New Roman"/>
          <w:sz w:val="28"/>
          <w:u w:val="single"/>
        </w:rPr>
        <w:t xml:space="preserve"> </w:t>
      </w:r>
      <w:r>
        <w:rPr>
          <w:rFonts w:ascii="Calibri" w:eastAsia="Times New Roman" w:hAnsi="Calibri" w:cs="Times New Roman"/>
          <w:b/>
          <w:bCs/>
          <w:sz w:val="28"/>
          <w:u w:val="single"/>
        </w:rPr>
        <w:t>(DDU)</w:t>
      </w:r>
      <w:r>
        <w:rPr>
          <w:rFonts w:ascii="Calibri" w:eastAsia="Times New Roman" w:hAnsi="Calibri" w:cs="Times New Roman"/>
          <w:sz w:val="28"/>
          <w:u w:val="single"/>
        </w:rPr>
        <w:t xml:space="preserve"> </w:t>
      </w:r>
      <w:r>
        <w:rPr>
          <w:rFonts w:ascii="Calibri" w:eastAsia="Times New Roman" w:hAnsi="Calibri" w:cs="Times New Roman"/>
          <w:b/>
          <w:bCs/>
        </w:rPr>
        <w:t xml:space="preserve">{+ Named point of destination} </w:t>
      </w:r>
      <w:proofErr w:type="gramStart"/>
      <w:r>
        <w:rPr>
          <w:rFonts w:ascii="Calibri" w:eastAsia="Times New Roman" w:hAnsi="Calibri" w:cs="Times New Roman"/>
          <w:sz w:val="28"/>
        </w:rPr>
        <w:t>The</w:t>
      </w:r>
      <w:proofErr w:type="gramEnd"/>
      <w:r>
        <w:rPr>
          <w:rFonts w:ascii="Calibri" w:eastAsia="Times New Roman" w:hAnsi="Calibri" w:cs="Times New Roman"/>
          <w:sz w:val="28"/>
        </w:rPr>
        <w:t xml:space="preserve"> delivery of goods and the cargo insurance to the final point at destination, which is often the project site or buyer's premises, at seller's expense. Buyer assumes the import customs clearance and payment of customs duties and taxes. The seller may opt not to insure the goods at his/her own risks. </w:t>
      </w:r>
    </w:p>
    <w:p w:rsidR="008D4BBF" w:rsidRDefault="008D4BBF" w:rsidP="008D4BBF">
      <w:pPr>
        <w:spacing w:line="360" w:lineRule="auto"/>
        <w:jc w:val="both"/>
        <w:rPr>
          <w:rFonts w:ascii="Calibri" w:eastAsia="Times New Roman" w:hAnsi="Calibri" w:cs="Times New Roman"/>
          <w:sz w:val="28"/>
        </w:rPr>
      </w:pPr>
    </w:p>
    <w:p w:rsidR="008D4BBF" w:rsidRDefault="008D4BBF" w:rsidP="008D4BBF">
      <w:pPr>
        <w:numPr>
          <w:ilvl w:val="2"/>
          <w:numId w:val="1"/>
        </w:numPr>
        <w:spacing w:after="0" w:line="360" w:lineRule="auto"/>
        <w:jc w:val="both"/>
        <w:rPr>
          <w:rFonts w:ascii="Calibri" w:eastAsia="Times New Roman" w:hAnsi="Calibri" w:cs="Times New Roman"/>
          <w:b/>
          <w:bCs/>
        </w:rPr>
      </w:pPr>
      <w:r>
        <w:rPr>
          <w:rFonts w:ascii="Arial Black" w:eastAsia="Times New Roman" w:hAnsi="Arial Black" w:cs="Times New Roman"/>
          <w:u w:val="single"/>
        </w:rPr>
        <w:t>Delivered Duty Paid: (DDP)</w:t>
      </w:r>
      <w:r>
        <w:rPr>
          <w:rFonts w:ascii="Calibri" w:eastAsia="Times New Roman" w:hAnsi="Calibri" w:cs="Times New Roman"/>
          <w:b/>
          <w:bCs/>
          <w:sz w:val="28"/>
        </w:rPr>
        <w:t xml:space="preserve"> </w:t>
      </w:r>
      <w:r>
        <w:rPr>
          <w:rFonts w:ascii="Calibri" w:eastAsia="Times New Roman" w:hAnsi="Calibri" w:cs="Times New Roman"/>
          <w:b/>
          <w:bCs/>
        </w:rPr>
        <w:t>{+ Named place of destination in the country of importation}</w:t>
      </w:r>
    </w:p>
    <w:p w:rsidR="008D4BBF" w:rsidRDefault="008D4BBF" w:rsidP="008D4BBF">
      <w:pPr>
        <w:spacing w:line="360" w:lineRule="auto"/>
        <w:jc w:val="both"/>
        <w:rPr>
          <w:rFonts w:ascii="Calibri" w:eastAsia="Times New Roman" w:hAnsi="Calibri" w:cs="Times New Roman"/>
          <w:sz w:val="28"/>
        </w:rPr>
      </w:pPr>
      <w:r>
        <w:rPr>
          <w:rFonts w:ascii="Calibri" w:eastAsia="Times New Roman" w:hAnsi="Calibri" w:cs="Times New Roman"/>
          <w:b/>
          <w:bCs/>
        </w:rPr>
        <w:t xml:space="preserve">                                                           </w:t>
      </w:r>
      <w:r>
        <w:rPr>
          <w:rFonts w:ascii="Calibri" w:eastAsia="Times New Roman" w:hAnsi="Calibri" w:cs="Times New Roman"/>
          <w:sz w:val="28"/>
        </w:rPr>
        <w:t xml:space="preserve">This clause sometimes expressed as, </w:t>
      </w:r>
      <w:r>
        <w:rPr>
          <w:rFonts w:ascii="Calibri" w:eastAsia="Times New Roman" w:hAnsi="Calibri" w:cs="Times New Roman"/>
          <w:b/>
          <w:bCs/>
          <w:sz w:val="28"/>
        </w:rPr>
        <w:t>‘Franco Domicile’</w:t>
      </w:r>
      <w:r>
        <w:rPr>
          <w:rFonts w:ascii="Calibri" w:eastAsia="Times New Roman" w:hAnsi="Calibri" w:cs="Times New Roman"/>
          <w:sz w:val="28"/>
        </w:rPr>
        <w:t xml:space="preserve"> OR </w:t>
      </w:r>
      <w:r>
        <w:rPr>
          <w:rFonts w:ascii="Calibri" w:eastAsia="Times New Roman" w:hAnsi="Calibri" w:cs="Times New Roman"/>
          <w:b/>
          <w:bCs/>
          <w:sz w:val="28"/>
        </w:rPr>
        <w:t>‘Free Delivery’</w:t>
      </w:r>
      <w:r>
        <w:rPr>
          <w:rFonts w:ascii="Calibri" w:eastAsia="Times New Roman" w:hAnsi="Calibri" w:cs="Times New Roman"/>
          <w:sz w:val="28"/>
        </w:rPr>
        <w:t xml:space="preserve">, represents the most </w:t>
      </w:r>
      <w:proofErr w:type="spellStart"/>
      <w:r>
        <w:rPr>
          <w:rFonts w:ascii="Calibri" w:eastAsia="Times New Roman" w:hAnsi="Calibri" w:cs="Times New Roman"/>
          <w:sz w:val="28"/>
        </w:rPr>
        <w:t>favourable</w:t>
      </w:r>
      <w:proofErr w:type="spellEnd"/>
      <w:r>
        <w:rPr>
          <w:rFonts w:ascii="Calibri" w:eastAsia="Times New Roman" w:hAnsi="Calibri" w:cs="Times New Roman"/>
          <w:sz w:val="28"/>
        </w:rPr>
        <w:t xml:space="preserve"> terms, which the buyer can obtain, and the most onerous term arrangement for the seller.  This clause rarely resorted to except where the parties haves agreed on the delivery of goods of relative small size by air or mail.  The goods are at the seller’s risk and expenses at the buyer’s disposal.  The seller pays all charges up to the delivery of goods at the buyer’s address.</w:t>
      </w:r>
    </w:p>
    <w:p w:rsidR="00190323" w:rsidRDefault="00190323"/>
    <w:sectPr w:rsidR="001903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0733BB"/>
    <w:multiLevelType w:val="hybridMultilevel"/>
    <w:tmpl w:val="AB3A45D0"/>
    <w:lvl w:ilvl="0" w:tplc="47AA9ED2">
      <w:start w:val="1"/>
      <w:numFmt w:val="decimal"/>
      <w:lvlText w:val="%1)"/>
      <w:lvlJc w:val="left"/>
      <w:pPr>
        <w:tabs>
          <w:tab w:val="num" w:pos="360"/>
        </w:tabs>
        <w:ind w:left="360" w:hanging="360"/>
      </w:pPr>
      <w:rPr>
        <w:rFonts w:hint="default"/>
      </w:rPr>
    </w:lvl>
    <w:lvl w:ilvl="1" w:tplc="8BF83C14">
      <w:start w:val="1"/>
      <w:numFmt w:val="lowerLetter"/>
      <w:lvlText w:val="%2)"/>
      <w:lvlJc w:val="left"/>
      <w:pPr>
        <w:tabs>
          <w:tab w:val="num" w:pos="864"/>
        </w:tabs>
        <w:ind w:left="864" w:hanging="504"/>
      </w:pPr>
      <w:rPr>
        <w:rFonts w:hint="default"/>
      </w:rPr>
    </w:lvl>
    <w:lvl w:ilvl="2" w:tplc="C0F87022">
      <w:start w:val="4"/>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D4BBF"/>
    <w:rsid w:val="00190323"/>
    <w:rsid w:val="008D4B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8D4BBF"/>
    <w:pPr>
      <w:spacing w:before="100" w:beforeAutospacing="1" w:after="100" w:afterAutospacing="1" w:line="240" w:lineRule="auto"/>
    </w:pPr>
    <w:rPr>
      <w:rFonts w:ascii="Verdana" w:eastAsia="Times New Roman" w:hAnsi="Verdana"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1336</Words>
  <Characters>7619</Characters>
  <Application>Microsoft Office Word</Application>
  <DocSecurity>0</DocSecurity>
  <Lines>63</Lines>
  <Paragraphs>17</Paragraphs>
  <ScaleCrop>false</ScaleCrop>
  <Company/>
  <LinksUpToDate>false</LinksUpToDate>
  <CharactersWithSpaces>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Pirate</dc:creator>
  <cp:keywords/>
  <dc:description/>
  <cp:lastModifiedBy>Pirate</cp:lastModifiedBy>
  <cp:revision>2</cp:revision>
  <dcterms:created xsi:type="dcterms:W3CDTF">2008-03-16T08:45:00Z</dcterms:created>
  <dcterms:modified xsi:type="dcterms:W3CDTF">2008-03-16T08:46:00Z</dcterms:modified>
</cp:coreProperties>
</file>