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328" w:rsidRDefault="00A40328" w:rsidP="00A40328">
      <w:pPr>
        <w:spacing w:after="0" w:line="288" w:lineRule="atLeast"/>
        <w:jc w:val="both"/>
        <w:rPr>
          <w:rFonts w:ascii="Times New Roman" w:eastAsia="Times New Roman" w:hAnsi="Times New Roman" w:cs="Times New Roman"/>
          <w:b/>
          <w:bCs/>
          <w:sz w:val="24"/>
          <w:szCs w:val="24"/>
          <w:u w:val="single"/>
        </w:rPr>
      </w:pPr>
    </w:p>
    <w:p w:rsidR="00A40328" w:rsidRPr="00A40328" w:rsidRDefault="00A40328" w:rsidP="00A40328">
      <w:pPr>
        <w:spacing w:after="0" w:line="288" w:lineRule="atLeast"/>
        <w:jc w:val="both"/>
        <w:rPr>
          <w:rFonts w:ascii="Times New Roman" w:eastAsia="Times New Roman" w:hAnsi="Times New Roman" w:cs="Times New Roman"/>
          <w:sz w:val="24"/>
          <w:szCs w:val="24"/>
          <w:u w:val="single"/>
        </w:rPr>
      </w:pPr>
      <w:r w:rsidRPr="00A40328">
        <w:rPr>
          <w:rFonts w:ascii="Times New Roman" w:eastAsia="Times New Roman" w:hAnsi="Times New Roman" w:cs="Times New Roman"/>
          <w:b/>
          <w:bCs/>
          <w:sz w:val="24"/>
          <w:szCs w:val="24"/>
          <w:u w:val="single"/>
        </w:rPr>
        <w:t>No.97/2012-Customs (N.T.),</w:t>
      </w:r>
      <w:r w:rsidRPr="00A40328">
        <w:rPr>
          <w:rFonts w:ascii="Times New Roman" w:eastAsia="Times New Roman" w:hAnsi="Times New Roman" w:cs="Times New Roman"/>
          <w:sz w:val="24"/>
          <w:szCs w:val="24"/>
          <w:u w:val="single"/>
        </w:rPr>
        <w:t>DATED THE 1</w:t>
      </w:r>
      <w:r w:rsidRPr="00A40328">
        <w:rPr>
          <w:rFonts w:ascii="Times New Roman" w:eastAsia="Times New Roman" w:hAnsi="Times New Roman" w:cs="Times New Roman"/>
          <w:sz w:val="24"/>
          <w:szCs w:val="24"/>
          <w:u w:val="single"/>
          <w:vertAlign w:val="superscript"/>
        </w:rPr>
        <w:t>st</w:t>
      </w:r>
      <w:r w:rsidRPr="00A40328">
        <w:rPr>
          <w:rFonts w:ascii="Times New Roman" w:eastAsia="Times New Roman" w:hAnsi="Times New Roman" w:cs="Times New Roman"/>
          <w:sz w:val="24"/>
          <w:szCs w:val="24"/>
          <w:u w:val="single"/>
        </w:rPr>
        <w:t> November, 2012</w:t>
      </w:r>
      <w:r>
        <w:rPr>
          <w:rFonts w:ascii="Times New Roman" w:eastAsia="Times New Roman" w:hAnsi="Times New Roman" w:cs="Times New Roman"/>
          <w:sz w:val="24"/>
          <w:szCs w:val="24"/>
          <w:u w:val="single"/>
        </w:rPr>
        <w:t xml:space="preserve"> : </w:t>
      </w:r>
    </w:p>
    <w:p w:rsidR="00A40328" w:rsidRPr="00A40328" w:rsidRDefault="00A40328" w:rsidP="00A40328">
      <w:pPr>
        <w:spacing w:after="0" w:line="288" w:lineRule="atLeast"/>
        <w:jc w:val="both"/>
        <w:rPr>
          <w:rFonts w:ascii="Times New Roman" w:eastAsia="Times New Roman" w:hAnsi="Times New Roman" w:cs="Times New Roman"/>
          <w:sz w:val="24"/>
          <w:szCs w:val="24"/>
        </w:rPr>
      </w:pPr>
      <w:r w:rsidRPr="00A40328">
        <w:rPr>
          <w:rFonts w:ascii="Times New Roman" w:eastAsia="Times New Roman" w:hAnsi="Times New Roman" w:cs="Times New Roman"/>
          <w:sz w:val="24"/>
          <w:szCs w:val="24"/>
        </w:rPr>
        <w:t>  S.O.       (E). – In </w:t>
      </w:r>
      <w:r w:rsidRPr="00A40328">
        <w:rPr>
          <w:rFonts w:ascii="Times New Roman" w:eastAsia="Times New Roman" w:hAnsi="Times New Roman" w:cs="Times New Roman"/>
          <w:color w:val="007F00"/>
          <w:sz w:val="24"/>
          <w:szCs w:val="24"/>
          <w:u w:val="single"/>
        </w:rPr>
        <w:t>exercise</w:t>
      </w:r>
      <w:r w:rsidRPr="00A40328">
        <w:rPr>
          <w:rFonts w:ascii="Times New Roman" w:eastAsia="Times New Roman" w:hAnsi="Times New Roman" w:cs="Times New Roman"/>
          <w:sz w:val="24"/>
          <w:szCs w:val="24"/>
        </w:rPr>
        <w:t> of the powers conferred by section 14 of the Customs Act, 1962 (52 of 1962), and in super session of the notification of the Government of India in the Ministry of Finance (Department of Revenue) No.95/2012-CUSTOMS (N.T.), dated the 18</w:t>
      </w:r>
      <w:r w:rsidRPr="00A40328">
        <w:rPr>
          <w:rFonts w:ascii="Times New Roman" w:eastAsia="Times New Roman" w:hAnsi="Times New Roman" w:cs="Times New Roman"/>
          <w:sz w:val="24"/>
          <w:szCs w:val="24"/>
          <w:vertAlign w:val="superscript"/>
        </w:rPr>
        <w:t>th </w:t>
      </w:r>
      <w:r w:rsidRPr="00A40328">
        <w:rPr>
          <w:rFonts w:ascii="Times New Roman" w:eastAsia="Times New Roman" w:hAnsi="Times New Roman" w:cs="Times New Roman"/>
          <w:sz w:val="24"/>
          <w:szCs w:val="24"/>
        </w:rPr>
        <w:t>October, 2012 </w:t>
      </w:r>
      <w:r w:rsidRPr="00A40328">
        <w:rPr>
          <w:rFonts w:ascii="Times New Roman" w:eastAsia="Times New Roman" w:hAnsi="Times New Roman" w:cs="Times New Roman"/>
          <w:i/>
          <w:iCs/>
          <w:sz w:val="24"/>
          <w:szCs w:val="24"/>
        </w:rPr>
        <w:t>vide </w:t>
      </w:r>
      <w:r w:rsidRPr="00A40328">
        <w:rPr>
          <w:rFonts w:ascii="Times New Roman" w:eastAsia="Times New Roman" w:hAnsi="Times New Roman" w:cs="Times New Roman"/>
          <w:sz w:val="24"/>
          <w:szCs w:val="24"/>
        </w:rPr>
        <w:t>number S.O.2518 (E), dated the 18</w:t>
      </w:r>
      <w:r w:rsidRPr="00A40328">
        <w:rPr>
          <w:rFonts w:ascii="Times New Roman" w:eastAsia="Times New Roman" w:hAnsi="Times New Roman" w:cs="Times New Roman"/>
          <w:sz w:val="24"/>
          <w:szCs w:val="24"/>
          <w:vertAlign w:val="superscript"/>
        </w:rPr>
        <w:t>th</w:t>
      </w:r>
      <w:r w:rsidRPr="00A40328">
        <w:rPr>
          <w:rFonts w:ascii="Times New Roman" w:eastAsia="Times New Roman" w:hAnsi="Times New Roman" w:cs="Times New Roman"/>
          <w:sz w:val="24"/>
          <w:szCs w:val="24"/>
        </w:rPr>
        <w:t> October, 2012, except as respects things done or omitted to be done before such super session, the Central Board of Excise and Customs hereby determines that the </w:t>
      </w:r>
      <w:r w:rsidRPr="00A40328">
        <w:rPr>
          <w:rFonts w:ascii="Times New Roman" w:eastAsia="Times New Roman" w:hAnsi="Times New Roman" w:cs="Times New Roman"/>
          <w:color w:val="007F00"/>
          <w:sz w:val="24"/>
          <w:szCs w:val="24"/>
          <w:u w:val="single"/>
        </w:rPr>
        <w:t>rate of exchange</w:t>
      </w:r>
      <w:r w:rsidRPr="00A40328">
        <w:rPr>
          <w:rFonts w:ascii="Times New Roman" w:eastAsia="Times New Roman" w:hAnsi="Times New Roman" w:cs="Times New Roman"/>
          <w:sz w:val="24"/>
          <w:szCs w:val="24"/>
        </w:rPr>
        <w:t> of conversion of each of the foreign currency specified in column (2) of each of </w:t>
      </w:r>
      <w:r w:rsidRPr="00A40328">
        <w:rPr>
          <w:rFonts w:ascii="Times New Roman" w:eastAsia="Times New Roman" w:hAnsi="Times New Roman" w:cs="Times New Roman"/>
          <w:color w:val="007F00"/>
          <w:sz w:val="24"/>
          <w:szCs w:val="24"/>
          <w:u w:val="single"/>
        </w:rPr>
        <w:t>Schedule</w:t>
      </w:r>
      <w:r w:rsidRPr="00A40328">
        <w:rPr>
          <w:rFonts w:ascii="Times New Roman" w:eastAsia="Times New Roman" w:hAnsi="Times New Roman" w:cs="Times New Roman"/>
          <w:sz w:val="24"/>
          <w:szCs w:val="24"/>
        </w:rPr>
        <w:t> I and  Schedule II annexed hereto into Indian currency or </w:t>
      </w:r>
      <w:r w:rsidRPr="00A40328">
        <w:rPr>
          <w:rFonts w:ascii="Times New Roman" w:eastAsia="Times New Roman" w:hAnsi="Times New Roman" w:cs="Times New Roman"/>
          <w:i/>
          <w:iCs/>
          <w:sz w:val="24"/>
          <w:szCs w:val="24"/>
        </w:rPr>
        <w:t>vice versa</w:t>
      </w:r>
      <w:r w:rsidRPr="00A40328">
        <w:rPr>
          <w:rFonts w:ascii="Times New Roman" w:eastAsia="Times New Roman" w:hAnsi="Times New Roman" w:cs="Times New Roman"/>
          <w:sz w:val="24"/>
          <w:szCs w:val="24"/>
        </w:rPr>
        <w:t> shall, </w:t>
      </w:r>
      <w:r w:rsidRPr="00A40328">
        <w:rPr>
          <w:rFonts w:ascii="Times New Roman" w:eastAsia="Times New Roman" w:hAnsi="Times New Roman" w:cs="Times New Roman"/>
          <w:b/>
          <w:bCs/>
          <w:sz w:val="24"/>
          <w:szCs w:val="24"/>
        </w:rPr>
        <w:t>with effect from 2</w:t>
      </w:r>
      <w:r w:rsidRPr="00A40328">
        <w:rPr>
          <w:rFonts w:ascii="Times New Roman" w:eastAsia="Times New Roman" w:hAnsi="Times New Roman" w:cs="Times New Roman"/>
          <w:b/>
          <w:bCs/>
          <w:sz w:val="24"/>
          <w:szCs w:val="24"/>
          <w:vertAlign w:val="superscript"/>
        </w:rPr>
        <w:t>nd</w:t>
      </w:r>
      <w:r w:rsidRPr="00A40328">
        <w:rPr>
          <w:rFonts w:ascii="Times New Roman" w:eastAsia="Times New Roman" w:hAnsi="Times New Roman" w:cs="Times New Roman"/>
          <w:b/>
          <w:bCs/>
          <w:sz w:val="24"/>
          <w:szCs w:val="24"/>
        </w:rPr>
        <w:t> November, 2012</w:t>
      </w:r>
      <w:r w:rsidRPr="00A40328">
        <w:rPr>
          <w:rFonts w:ascii="Times New Roman" w:eastAsia="Times New Roman" w:hAnsi="Times New Roman" w:cs="Times New Roman"/>
          <w:sz w:val="24"/>
          <w:szCs w:val="24"/>
        </w:rPr>
        <w:t> be the rate mentioned against it in the corresponding entry in column (3) thereof, for the purpose of the said section, relating to imported and </w:t>
      </w:r>
      <w:r w:rsidRPr="00A40328">
        <w:rPr>
          <w:rFonts w:ascii="Times New Roman" w:eastAsia="Times New Roman" w:hAnsi="Times New Roman" w:cs="Times New Roman"/>
          <w:color w:val="007F00"/>
          <w:sz w:val="24"/>
          <w:szCs w:val="24"/>
          <w:u w:val="single"/>
        </w:rPr>
        <w:t>export goods</w:t>
      </w:r>
      <w:r w:rsidRPr="00A40328">
        <w:rPr>
          <w:rFonts w:ascii="Times New Roman" w:eastAsia="Times New Roman" w:hAnsi="Times New Roman" w:cs="Times New Roman"/>
          <w:sz w:val="24"/>
          <w:szCs w:val="24"/>
        </w:rPr>
        <w:t>.</w:t>
      </w:r>
    </w:p>
    <w:p w:rsidR="00A40328" w:rsidRDefault="00A40328" w:rsidP="00A40328">
      <w:pPr>
        <w:spacing w:before="150" w:after="0" w:line="288" w:lineRule="atLeast"/>
        <w:jc w:val="both"/>
        <w:rPr>
          <w:rFonts w:ascii="Times New Roman" w:eastAsia="Times New Roman" w:hAnsi="Times New Roman" w:cs="Times New Roman"/>
          <w:b/>
          <w:sz w:val="24"/>
          <w:szCs w:val="24"/>
          <w:u w:val="single"/>
        </w:rPr>
      </w:pPr>
      <w:r w:rsidRPr="00A40328">
        <w:rPr>
          <w:rFonts w:ascii="Times New Roman" w:eastAsia="Times New Roman" w:hAnsi="Times New Roman" w:cs="Times New Roman"/>
          <w:b/>
          <w:sz w:val="24"/>
          <w:szCs w:val="24"/>
          <w:u w:val="single"/>
        </w:rPr>
        <w:t>SCHEDULE-I</w:t>
      </w:r>
      <w:r>
        <w:rPr>
          <w:rFonts w:ascii="Times New Roman" w:eastAsia="Times New Roman" w:hAnsi="Times New Roman" w:cs="Times New Roman"/>
          <w:b/>
          <w:sz w:val="24"/>
          <w:szCs w:val="24"/>
          <w:u w:val="single"/>
        </w:rPr>
        <w:t>:</w:t>
      </w:r>
    </w:p>
    <w:p w:rsidR="00A40328" w:rsidRPr="00A40328" w:rsidRDefault="00A40328" w:rsidP="00A40328">
      <w:pPr>
        <w:spacing w:before="150" w:after="0" w:line="288" w:lineRule="atLeast"/>
        <w:jc w:val="both"/>
        <w:rPr>
          <w:rFonts w:ascii="Times New Roman" w:eastAsia="Times New Roman" w:hAnsi="Times New Roman" w:cs="Times New Roman"/>
          <w:b/>
          <w:sz w:val="24"/>
          <w:szCs w:val="24"/>
          <w:u w:val="single"/>
        </w:rPr>
      </w:pPr>
    </w:p>
    <w:tbl>
      <w:tblPr>
        <w:tblW w:w="918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2170"/>
        <w:gridCol w:w="2154"/>
        <w:gridCol w:w="260"/>
        <w:gridCol w:w="3201"/>
        <w:gridCol w:w="260"/>
      </w:tblGrid>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S.No.</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Foreign Currency</w:t>
            </w:r>
          </w:p>
        </w:tc>
        <w:tc>
          <w:tcPr>
            <w:tcW w:w="5615" w:type="dxa"/>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Rate of exchange of one unit of foreign currency equivalent to Indian rupees</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(2)</w:t>
            </w:r>
          </w:p>
        </w:tc>
        <w:tc>
          <w:tcPr>
            <w:tcW w:w="5615" w:type="dxa"/>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(3)</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40" w:lineRule="auto"/>
              <w:rPr>
                <w:rFonts w:ascii="Times New Roman" w:eastAsia="Times New Roman" w:hAnsi="Times New Roman" w:cs="Times New Roman"/>
                <w:sz w:val="29"/>
                <w:szCs w:val="29"/>
              </w:rPr>
            </w:pP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40" w:lineRule="auto"/>
              <w:rPr>
                <w:rFonts w:ascii="Times New Roman" w:eastAsia="Times New Roman" w:hAnsi="Times New Roman" w:cs="Times New Roman"/>
                <w:sz w:val="29"/>
                <w:szCs w:val="29"/>
              </w:rPr>
            </w:pP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(a)</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(b)</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(For Imported Goods)</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(For Export Goods)</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Australian 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56.85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55.30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2.</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Bahrain </w:t>
            </w:r>
            <w:r w:rsidRPr="00A40328">
              <w:rPr>
                <w:rFonts w:ascii="Times New Roman" w:eastAsia="Times New Roman" w:hAnsi="Times New Roman" w:cs="Times New Roman"/>
                <w:color w:val="007F00"/>
                <w:sz w:val="29"/>
                <w:u w:val="single"/>
              </w:rPr>
              <w:t>Dinar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147.50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139.15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3.</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Canadian 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54.80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53.45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4.</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Danish Kroner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9.55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9.25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EURO</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70.90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69.10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color w:val="007F00"/>
                <w:sz w:val="29"/>
                <w:u w:val="single"/>
              </w:rPr>
              <w:t>Hong Kong</w:t>
            </w:r>
            <w:r w:rsidRPr="00A40328">
              <w:rPr>
                <w:rFonts w:ascii="Times New Roman" w:eastAsia="Times New Roman" w:hAnsi="Times New Roman" w:cs="Times New Roman"/>
                <w:sz w:val="29"/>
                <w:szCs w:val="29"/>
              </w:rPr>
              <w:t>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7.05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6.90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lastRenderedPageBreak/>
              <w:t>7.</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Kenya Shilling</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65.35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61.55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8.</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Kuwait Dinar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198.05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186.45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9.</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color w:val="007F00"/>
                <w:sz w:val="29"/>
                <w:u w:val="single"/>
              </w:rPr>
              <w:t>New Zealand 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45.00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43.80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10.</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Norwegian Kroner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9.60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9.30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11.</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color w:val="007F00"/>
                <w:sz w:val="29"/>
                <w:u w:val="single"/>
              </w:rPr>
              <w:t>Pound Sterling</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87.95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85.85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12.</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Singapore 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44.80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43.75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13.</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color w:val="007F00"/>
                <w:sz w:val="29"/>
                <w:u w:val="single"/>
              </w:rPr>
              <w:t>South African Rand</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6.45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6.05</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14.</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Saudi Arabian Riyal</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14.85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14.00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15.</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Swedish Kroner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8.25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8.00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16.</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color w:val="007F00"/>
                <w:sz w:val="29"/>
                <w:u w:val="single"/>
              </w:rPr>
              <w:t>Swiss Franc</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58.80</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57.30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17.</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UAE Dirham</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15.15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14.30</w:t>
            </w:r>
          </w:p>
        </w:tc>
      </w:tr>
      <w:tr w:rsidR="00A40328" w:rsidRPr="00A40328" w:rsidTr="00A40328">
        <w:trPr>
          <w:gridAfter w:val="1"/>
          <w:wAfter w:w="260" w:type="dxa"/>
        </w:trPr>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18.</w:t>
            </w: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US Dollar</w:t>
            </w: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54.55</w:t>
            </w: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53.55</w:t>
            </w:r>
          </w:p>
        </w:tc>
      </w:tr>
      <w:tr w:rsidR="00A40328" w:rsidRPr="00A40328" w:rsidTr="00A40328">
        <w:tc>
          <w:tcPr>
            <w:tcW w:w="11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A40328" w:rsidRPr="00A40328" w:rsidRDefault="00A40328" w:rsidP="00A40328">
            <w:pPr>
              <w:spacing w:after="0" w:line="288" w:lineRule="atLeast"/>
              <w:rPr>
                <w:rFonts w:ascii="Times New Roman" w:eastAsia="Times New Roman" w:hAnsi="Times New Roman" w:cs="Times New Roman"/>
                <w:sz w:val="29"/>
                <w:szCs w:val="29"/>
              </w:rPr>
            </w:pPr>
          </w:p>
        </w:tc>
        <w:tc>
          <w:tcPr>
            <w:tcW w:w="217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A40328" w:rsidRPr="00A40328" w:rsidRDefault="00A40328" w:rsidP="00A40328">
            <w:pPr>
              <w:spacing w:after="0" w:line="288" w:lineRule="atLeast"/>
              <w:rPr>
                <w:rFonts w:ascii="Times New Roman" w:eastAsia="Times New Roman" w:hAnsi="Times New Roman" w:cs="Times New Roman"/>
                <w:sz w:val="29"/>
                <w:szCs w:val="29"/>
              </w:rPr>
            </w:pPr>
          </w:p>
        </w:tc>
        <w:tc>
          <w:tcPr>
            <w:tcW w:w="215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A40328" w:rsidRPr="00A40328" w:rsidRDefault="00A40328" w:rsidP="00A40328">
            <w:pPr>
              <w:spacing w:after="0" w:line="288" w:lineRule="atLeast"/>
              <w:rPr>
                <w:rFonts w:ascii="Times New Roman" w:eastAsia="Times New Roman" w:hAnsi="Times New Roman" w:cs="Times New Roman"/>
                <w:sz w:val="29"/>
                <w:szCs w:val="29"/>
              </w:rPr>
            </w:pPr>
          </w:p>
        </w:tc>
        <w:tc>
          <w:tcPr>
            <w:tcW w:w="26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A40328" w:rsidRPr="00A40328" w:rsidRDefault="00A40328" w:rsidP="00A40328">
            <w:pPr>
              <w:spacing w:after="0" w:line="288" w:lineRule="atLeast"/>
              <w:rPr>
                <w:rFonts w:ascii="Times New Roman" w:eastAsia="Times New Roman" w:hAnsi="Times New Roman" w:cs="Times New Roman"/>
                <w:sz w:val="29"/>
                <w:szCs w:val="29"/>
              </w:rPr>
            </w:pPr>
          </w:p>
        </w:tc>
        <w:tc>
          <w:tcPr>
            <w:tcW w:w="3461"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A40328" w:rsidRPr="00A40328" w:rsidRDefault="00A40328" w:rsidP="00A40328">
            <w:pPr>
              <w:spacing w:after="0" w:line="288" w:lineRule="atLeast"/>
              <w:rPr>
                <w:rFonts w:ascii="Times New Roman" w:eastAsia="Times New Roman" w:hAnsi="Times New Roman" w:cs="Times New Roman"/>
                <w:sz w:val="29"/>
                <w:szCs w:val="29"/>
              </w:rPr>
            </w:pPr>
          </w:p>
        </w:tc>
      </w:tr>
    </w:tbl>
    <w:p w:rsidR="00A40328" w:rsidRPr="00A40328" w:rsidRDefault="00A40328" w:rsidP="00A40328">
      <w:pPr>
        <w:spacing w:before="150" w:after="0" w:line="288" w:lineRule="atLeast"/>
        <w:jc w:val="both"/>
        <w:rPr>
          <w:rFonts w:ascii="Times New Roman" w:eastAsia="Times New Roman" w:hAnsi="Times New Roman" w:cs="Times New Roman"/>
          <w:sz w:val="24"/>
          <w:szCs w:val="24"/>
        </w:rPr>
      </w:pPr>
      <w:r w:rsidRPr="00A40328">
        <w:rPr>
          <w:rFonts w:ascii="Times New Roman" w:eastAsia="Times New Roman" w:hAnsi="Times New Roman" w:cs="Times New Roman"/>
          <w:sz w:val="24"/>
          <w:szCs w:val="24"/>
        </w:rPr>
        <w:t>  SCHEDULE-II</w:t>
      </w:r>
    </w:p>
    <w:p w:rsidR="00A40328" w:rsidRPr="00A40328" w:rsidRDefault="00A40328" w:rsidP="00A40328">
      <w:pPr>
        <w:spacing w:after="0" w:line="288" w:lineRule="atLeast"/>
        <w:jc w:val="both"/>
        <w:rPr>
          <w:rFonts w:ascii="Times New Roman" w:eastAsia="Times New Roman" w:hAnsi="Times New Roman" w:cs="Times New Roman"/>
          <w:sz w:val="24"/>
          <w:szCs w:val="24"/>
        </w:rPr>
      </w:pPr>
    </w:p>
    <w:tbl>
      <w:tblPr>
        <w:tblW w:w="919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10"/>
        <w:gridCol w:w="1906"/>
        <w:gridCol w:w="2050"/>
        <w:gridCol w:w="15"/>
        <w:gridCol w:w="4014"/>
      </w:tblGrid>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S.No.</w:t>
            </w:r>
          </w:p>
        </w:tc>
        <w:tc>
          <w:tcPr>
            <w:tcW w:w="190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Foreign Currency</w:t>
            </w:r>
          </w:p>
        </w:tc>
        <w:tc>
          <w:tcPr>
            <w:tcW w:w="6079" w:type="dxa"/>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Rate of exchange of 100 units of foreign currency equivalent to Indian rupees</w:t>
            </w:r>
          </w:p>
        </w:tc>
      </w:tr>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w:t>
            </w:r>
          </w:p>
        </w:tc>
        <w:tc>
          <w:tcPr>
            <w:tcW w:w="190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(2)</w:t>
            </w:r>
          </w:p>
        </w:tc>
        <w:tc>
          <w:tcPr>
            <w:tcW w:w="6079" w:type="dxa"/>
            <w:gridSpan w:val="3"/>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(3)</w:t>
            </w:r>
          </w:p>
        </w:tc>
      </w:tr>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40" w:lineRule="auto"/>
              <w:rPr>
                <w:rFonts w:ascii="Times New Roman" w:eastAsia="Times New Roman" w:hAnsi="Times New Roman" w:cs="Times New Roman"/>
                <w:sz w:val="29"/>
                <w:szCs w:val="29"/>
              </w:rPr>
            </w:pPr>
          </w:p>
        </w:tc>
        <w:tc>
          <w:tcPr>
            <w:tcW w:w="190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40" w:lineRule="auto"/>
              <w:rPr>
                <w:rFonts w:ascii="Times New Roman" w:eastAsia="Times New Roman" w:hAnsi="Times New Roman" w:cs="Times New Roman"/>
                <w:sz w:val="29"/>
                <w:szCs w:val="29"/>
              </w:rPr>
            </w:pPr>
          </w:p>
        </w:tc>
        <w:tc>
          <w:tcPr>
            <w:tcW w:w="2065"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(a)</w:t>
            </w:r>
          </w:p>
        </w:tc>
        <w:tc>
          <w:tcPr>
            <w:tcW w:w="4014"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(b)</w:t>
            </w:r>
          </w:p>
        </w:tc>
      </w:tr>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w:t>
            </w:r>
          </w:p>
        </w:tc>
        <w:tc>
          <w:tcPr>
            <w:tcW w:w="190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w:t>
            </w:r>
          </w:p>
        </w:tc>
        <w:tc>
          <w:tcPr>
            <w:tcW w:w="205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(For Imported Goods)</w:t>
            </w:r>
          </w:p>
        </w:tc>
        <w:tc>
          <w:tcPr>
            <w:tcW w:w="4029"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b/>
                <w:bCs/>
                <w:sz w:val="29"/>
              </w:rPr>
              <w:t>  (For Export Goods)</w:t>
            </w:r>
          </w:p>
        </w:tc>
      </w:tr>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1.</w:t>
            </w:r>
          </w:p>
        </w:tc>
        <w:tc>
          <w:tcPr>
            <w:tcW w:w="1906"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Japanese Yen</w:t>
            </w:r>
          </w:p>
        </w:tc>
        <w:tc>
          <w:tcPr>
            <w:tcW w:w="205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before="150" w:after="0" w:line="288" w:lineRule="atLeast"/>
              <w:jc w:val="center"/>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68.90</w:t>
            </w:r>
          </w:p>
        </w:tc>
        <w:tc>
          <w:tcPr>
            <w:tcW w:w="4029" w:type="dxa"/>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A40328" w:rsidRPr="00A40328" w:rsidRDefault="00A40328" w:rsidP="00A40328">
            <w:pPr>
              <w:spacing w:after="0" w:line="288" w:lineRule="atLeast"/>
              <w:rPr>
                <w:rFonts w:ascii="Times New Roman" w:eastAsia="Times New Roman" w:hAnsi="Times New Roman" w:cs="Times New Roman"/>
                <w:sz w:val="29"/>
                <w:szCs w:val="29"/>
              </w:rPr>
            </w:pPr>
            <w:r w:rsidRPr="00A40328">
              <w:rPr>
                <w:rFonts w:ascii="Times New Roman" w:eastAsia="Times New Roman" w:hAnsi="Times New Roman" w:cs="Times New Roman"/>
                <w:sz w:val="29"/>
                <w:szCs w:val="29"/>
              </w:rPr>
              <w:t>             66.95</w:t>
            </w:r>
          </w:p>
        </w:tc>
      </w:tr>
      <w:tr w:rsidR="00A40328" w:rsidRPr="00A40328" w:rsidTr="00A40328">
        <w:tc>
          <w:tcPr>
            <w:tcW w:w="121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A40328" w:rsidRPr="00A40328" w:rsidRDefault="00A40328" w:rsidP="00A40328">
            <w:pPr>
              <w:spacing w:after="0" w:line="300" w:lineRule="atLeast"/>
              <w:jc w:val="both"/>
              <w:rPr>
                <w:rFonts w:ascii="Arial" w:eastAsia="Times New Roman" w:hAnsi="Arial" w:cs="Arial"/>
                <w:color w:val="5E5E5E"/>
                <w:sz w:val="24"/>
                <w:szCs w:val="24"/>
              </w:rPr>
            </w:pPr>
          </w:p>
        </w:tc>
        <w:tc>
          <w:tcPr>
            <w:tcW w:w="1906"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A40328" w:rsidRPr="00A40328" w:rsidRDefault="00A40328" w:rsidP="00A40328">
            <w:pPr>
              <w:spacing w:after="0" w:line="300" w:lineRule="atLeast"/>
              <w:jc w:val="both"/>
              <w:rPr>
                <w:rFonts w:ascii="Arial" w:eastAsia="Times New Roman" w:hAnsi="Arial" w:cs="Arial"/>
                <w:color w:val="5E5E5E"/>
                <w:sz w:val="24"/>
                <w:szCs w:val="24"/>
              </w:rPr>
            </w:pPr>
          </w:p>
        </w:tc>
        <w:tc>
          <w:tcPr>
            <w:tcW w:w="2050"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A40328" w:rsidRPr="00A40328" w:rsidRDefault="00A40328" w:rsidP="00A40328">
            <w:pPr>
              <w:spacing w:after="0" w:line="300" w:lineRule="atLeast"/>
              <w:jc w:val="both"/>
              <w:rPr>
                <w:rFonts w:ascii="Arial" w:eastAsia="Times New Roman" w:hAnsi="Arial" w:cs="Arial"/>
                <w:color w:val="5E5E5E"/>
                <w:sz w:val="24"/>
                <w:szCs w:val="24"/>
              </w:rPr>
            </w:pPr>
            <w:r w:rsidRPr="00A40328">
              <w:rPr>
                <w:rFonts w:ascii="Times New Roman" w:eastAsia="Times New Roman" w:hAnsi="Times New Roman" w:cs="Times New Roman"/>
                <w:sz w:val="29"/>
                <w:szCs w:val="29"/>
              </w:rPr>
              <w:br/>
            </w:r>
          </w:p>
        </w:tc>
        <w:tc>
          <w:tcPr>
            <w:tcW w:w="0" w:type="auto"/>
            <w:vAlign w:val="center"/>
            <w:hideMark/>
          </w:tcPr>
          <w:p w:rsidR="00A40328" w:rsidRPr="00A40328" w:rsidRDefault="00A40328" w:rsidP="00A40328">
            <w:pPr>
              <w:spacing w:after="0" w:line="240" w:lineRule="auto"/>
              <w:rPr>
                <w:rFonts w:ascii="Times New Roman" w:eastAsia="Times New Roman" w:hAnsi="Times New Roman" w:cs="Times New Roman"/>
                <w:sz w:val="20"/>
                <w:szCs w:val="20"/>
              </w:rPr>
            </w:pPr>
          </w:p>
        </w:tc>
        <w:tc>
          <w:tcPr>
            <w:tcW w:w="4014" w:type="dxa"/>
            <w:vAlign w:val="center"/>
            <w:hideMark/>
          </w:tcPr>
          <w:p w:rsidR="00A40328" w:rsidRPr="00A40328" w:rsidRDefault="00A40328" w:rsidP="00A40328">
            <w:pPr>
              <w:spacing w:after="0" w:line="240" w:lineRule="auto"/>
              <w:rPr>
                <w:rFonts w:ascii="Times New Roman" w:eastAsia="Times New Roman" w:hAnsi="Times New Roman" w:cs="Times New Roman"/>
                <w:sz w:val="20"/>
                <w:szCs w:val="20"/>
              </w:rPr>
            </w:pPr>
          </w:p>
        </w:tc>
      </w:tr>
    </w:tbl>
    <w:p w:rsidR="00DD2B08" w:rsidRDefault="00DD2B08"/>
    <w:sectPr w:rsidR="00DD2B08">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B08" w:rsidRDefault="00DD2B08" w:rsidP="00A40328">
      <w:pPr>
        <w:spacing w:after="0" w:line="240" w:lineRule="auto"/>
      </w:pPr>
      <w:r>
        <w:separator/>
      </w:r>
    </w:p>
  </w:endnote>
  <w:endnote w:type="continuationSeparator" w:id="1">
    <w:p w:rsidR="00DD2B08" w:rsidRDefault="00DD2B08" w:rsidP="00A403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B08" w:rsidRDefault="00DD2B08" w:rsidP="00A40328">
      <w:pPr>
        <w:spacing w:after="0" w:line="240" w:lineRule="auto"/>
      </w:pPr>
      <w:r>
        <w:separator/>
      </w:r>
    </w:p>
  </w:footnote>
  <w:footnote w:type="continuationSeparator" w:id="1">
    <w:p w:rsidR="00DD2B08" w:rsidRDefault="00DD2B08" w:rsidP="00A403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F7EA4584C3354334A7795A478D604BA9"/>
      </w:placeholder>
      <w:dataBinding w:prefixMappings="xmlns:ns0='http://schemas.openxmlformats.org/package/2006/metadata/core-properties' xmlns:ns1='http://purl.org/dc/elements/1.1/'" w:xpath="/ns0:coreProperties[1]/ns1:title[1]" w:storeItemID="{6C3C8BC8-F283-45AE-878A-BAB7291924A1}"/>
      <w:text/>
    </w:sdtPr>
    <w:sdtContent>
      <w:p w:rsidR="00A40328" w:rsidRDefault="00A4032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CUSTOMS  EXCHANGE   RATES </w:t>
        </w:r>
      </w:p>
    </w:sdtContent>
  </w:sdt>
  <w:p w:rsidR="00A40328" w:rsidRDefault="00A4032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A40328"/>
    <w:rsid w:val="00A40328"/>
    <w:rsid w:val="00DD2B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03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0328"/>
    <w:rPr>
      <w:b/>
      <w:bCs/>
    </w:rPr>
  </w:style>
  <w:style w:type="character" w:customStyle="1" w:styleId="yiv436592552ilad">
    <w:name w:val="yiv436592552il_ad"/>
    <w:basedOn w:val="DefaultParagraphFont"/>
    <w:rsid w:val="00A40328"/>
  </w:style>
  <w:style w:type="character" w:styleId="Emphasis">
    <w:name w:val="Emphasis"/>
    <w:basedOn w:val="DefaultParagraphFont"/>
    <w:uiPriority w:val="20"/>
    <w:qFormat/>
    <w:rsid w:val="00A40328"/>
    <w:rPr>
      <w:i/>
      <w:iCs/>
    </w:rPr>
  </w:style>
  <w:style w:type="paragraph" w:styleId="Header">
    <w:name w:val="header"/>
    <w:basedOn w:val="Normal"/>
    <w:link w:val="HeaderChar"/>
    <w:uiPriority w:val="99"/>
    <w:unhideWhenUsed/>
    <w:rsid w:val="00A403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328"/>
  </w:style>
  <w:style w:type="paragraph" w:styleId="Footer">
    <w:name w:val="footer"/>
    <w:basedOn w:val="Normal"/>
    <w:link w:val="FooterChar"/>
    <w:uiPriority w:val="99"/>
    <w:semiHidden/>
    <w:unhideWhenUsed/>
    <w:rsid w:val="00A403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40328"/>
  </w:style>
  <w:style w:type="paragraph" w:styleId="BalloonText">
    <w:name w:val="Balloon Text"/>
    <w:basedOn w:val="Normal"/>
    <w:link w:val="BalloonTextChar"/>
    <w:uiPriority w:val="99"/>
    <w:semiHidden/>
    <w:unhideWhenUsed/>
    <w:rsid w:val="00A40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3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832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EA4584C3354334A7795A478D604BA9"/>
        <w:category>
          <w:name w:val="General"/>
          <w:gallery w:val="placeholder"/>
        </w:category>
        <w:types>
          <w:type w:val="bbPlcHdr"/>
        </w:types>
        <w:behaviors>
          <w:behavior w:val="content"/>
        </w:behaviors>
        <w:guid w:val="{31E95307-1824-4E7A-8DC6-D41DE51E5775}"/>
      </w:docPartPr>
      <w:docPartBody>
        <w:p w:rsidR="00000000" w:rsidRDefault="002F5D79" w:rsidP="002F5D79">
          <w:pPr>
            <w:pStyle w:val="F7EA4584C3354334A7795A478D604BA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F5D79"/>
    <w:rsid w:val="002F5D79"/>
    <w:rsid w:val="003D56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EA4584C3354334A7795A478D604BA9">
    <w:name w:val="F7EA4584C3354334A7795A478D604BA9"/>
    <w:rsid w:val="002F5D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289</Words>
  <Characters>1652</Characters>
  <Application>Microsoft Office Word</Application>
  <DocSecurity>0</DocSecurity>
  <Lines>13</Lines>
  <Paragraphs>3</Paragraphs>
  <ScaleCrop>false</ScaleCrop>
  <Company>The Institute Of Computer Accountants</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EXCHANGE   RATES </dc:title>
  <dc:subject/>
  <dc:creator>ICA</dc:creator>
  <cp:keywords/>
  <dc:description/>
  <cp:lastModifiedBy>ICA</cp:lastModifiedBy>
  <cp:revision>2</cp:revision>
  <dcterms:created xsi:type="dcterms:W3CDTF">2012-11-02T06:03:00Z</dcterms:created>
  <dcterms:modified xsi:type="dcterms:W3CDTF">2012-11-02T06:04:00Z</dcterms:modified>
</cp:coreProperties>
</file>