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[TO BE PUBLISHED IN THE GAZETTE OF INDIA, PART-II, SECTION 3, SUB-SECTION (ii), EXTRAORDINARY]</w:t>
      </w:r>
    </w:p>
    <w:p w:rsidR="001E7038" w:rsidRPr="001E7038" w:rsidRDefault="001E7038" w:rsidP="001E7038">
      <w:pPr>
        <w:spacing w:after="0" w:line="240" w:lineRule="auto"/>
        <w:ind w:left="720" w:right="1125"/>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GOVERNMENT OF INDIA</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MINISTRY OF FINANCE</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DEPARTMENT OF REVENUE</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CENTRAL BOARD OF EXCISE AND CUSTOMS</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proofErr w:type="gramStart"/>
      <w:r w:rsidRPr="001E7038">
        <w:rPr>
          <w:rFonts w:ascii="Arial" w:eastAsia="Times New Roman" w:hAnsi="Arial" w:cs="Arial"/>
          <w:b/>
          <w:bCs/>
          <w:color w:val="000000"/>
          <w:sz w:val="20"/>
        </w:rPr>
        <w:t>Notification No.82/2011 - Customs (N.T.)</w:t>
      </w:r>
      <w:proofErr w:type="gramEnd"/>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Dated the 28</w:t>
      </w:r>
      <w:r w:rsidRPr="001E7038">
        <w:rPr>
          <w:rFonts w:ascii="Arial" w:eastAsia="Times New Roman" w:hAnsi="Arial" w:cs="Arial"/>
          <w:color w:val="000000"/>
          <w:sz w:val="20"/>
          <w:szCs w:val="20"/>
          <w:vertAlign w:val="superscript"/>
        </w:rPr>
        <w:t>th</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November, 2011</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7</w:t>
      </w:r>
      <w:r w:rsidRPr="001E7038">
        <w:rPr>
          <w:rFonts w:ascii="Arial" w:eastAsia="Times New Roman" w:hAnsi="Arial" w:cs="Arial"/>
          <w:color w:val="000000"/>
          <w:sz w:val="20"/>
        </w:rPr>
        <w:t> </w:t>
      </w:r>
      <w:proofErr w:type="spellStart"/>
      <w:r w:rsidRPr="001E7038">
        <w:rPr>
          <w:rFonts w:ascii="Arial" w:eastAsia="Times New Roman" w:hAnsi="Arial" w:cs="Arial"/>
          <w:color w:val="000000"/>
          <w:sz w:val="20"/>
        </w:rPr>
        <w:t>Agrahayana</w:t>
      </w:r>
      <w:proofErr w:type="spellEnd"/>
      <w:r w:rsidRPr="001E7038">
        <w:rPr>
          <w:rFonts w:ascii="Arial" w:eastAsia="Times New Roman" w:hAnsi="Arial" w:cs="Arial"/>
          <w:color w:val="000000"/>
          <w:sz w:val="20"/>
          <w:szCs w:val="20"/>
        </w:rPr>
        <w:t>, 1933(SAKA)</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p>
    <w:p w:rsidR="001E7038" w:rsidRPr="001E7038" w:rsidRDefault="001E7038" w:rsidP="001E7038">
      <w:pPr>
        <w:spacing w:after="0" w:line="276" w:lineRule="atLeast"/>
        <w:ind w:left="720" w:right="1123"/>
        <w:jc w:val="both"/>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r w:rsidRPr="001E7038">
        <w:rPr>
          <w:rFonts w:ascii="Arial" w:eastAsia="Times New Roman" w:hAnsi="Arial" w:cs="Arial"/>
          <w:color w:val="000000"/>
          <w:sz w:val="20"/>
        </w:rPr>
        <w:t> </w:t>
      </w:r>
      <w:proofErr w:type="gramStart"/>
      <w:r w:rsidRPr="001E7038">
        <w:rPr>
          <w:rFonts w:ascii="Arial" w:eastAsia="Times New Roman" w:hAnsi="Arial" w:cs="Arial"/>
          <w:color w:val="000000"/>
          <w:sz w:val="20"/>
        </w:rPr>
        <w:t>S.O.</w:t>
      </w:r>
      <w:proofErr w:type="gramEnd"/>
      <w:r w:rsidRPr="001E7038">
        <w:rPr>
          <w:rFonts w:ascii="Arial" w:eastAsia="Times New Roman" w:hAnsi="Arial" w:cs="Arial"/>
          <w:color w:val="000000"/>
          <w:sz w:val="20"/>
          <w:szCs w:val="20"/>
        </w:rPr>
        <w:t>      </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(E). – In exercise of the powers conferred by section 14 of the Customs Act, 1962 (52 of 1962), and in supersession of the notification of the Government of India in the Ministry of Finance (Department of Revenue) No.74/2011-CUSTOMS (N.T.), dated the 27</w:t>
      </w:r>
      <w:r w:rsidRPr="001E7038">
        <w:rPr>
          <w:rFonts w:ascii="Arial" w:eastAsia="Times New Roman" w:hAnsi="Arial" w:cs="Arial"/>
          <w:color w:val="000000"/>
          <w:sz w:val="20"/>
          <w:szCs w:val="20"/>
          <w:vertAlign w:val="superscript"/>
        </w:rPr>
        <w:t>th</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October, 2011</w:t>
      </w:r>
      <w:r w:rsidRPr="001E7038">
        <w:rPr>
          <w:rFonts w:ascii="Arial" w:eastAsia="Times New Roman" w:hAnsi="Arial" w:cs="Arial"/>
          <w:i/>
          <w:iCs/>
          <w:color w:val="000000"/>
          <w:sz w:val="20"/>
          <w:szCs w:val="20"/>
        </w:rPr>
        <w:t>vide</w:t>
      </w:r>
      <w:r w:rsidRPr="001E7038">
        <w:rPr>
          <w:rFonts w:ascii="Arial" w:eastAsia="Times New Roman" w:hAnsi="Arial" w:cs="Arial"/>
          <w:i/>
          <w:iCs/>
          <w:color w:val="000000"/>
          <w:sz w:val="20"/>
        </w:rPr>
        <w:t> </w:t>
      </w:r>
      <w:r w:rsidRPr="001E7038">
        <w:rPr>
          <w:rFonts w:ascii="Arial" w:eastAsia="Times New Roman" w:hAnsi="Arial" w:cs="Arial"/>
          <w:color w:val="000000"/>
          <w:sz w:val="20"/>
          <w:szCs w:val="20"/>
        </w:rPr>
        <w:t>number S.O.2444 (E), dated the 27</w:t>
      </w:r>
      <w:r w:rsidRPr="001E7038">
        <w:rPr>
          <w:rFonts w:ascii="Arial" w:eastAsia="Times New Roman" w:hAnsi="Arial" w:cs="Arial"/>
          <w:color w:val="000000"/>
          <w:sz w:val="20"/>
          <w:szCs w:val="20"/>
          <w:vertAlign w:val="superscript"/>
        </w:rPr>
        <w:t>th</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October, 2011, except as respects things done or omitted to be done before such supersession, the Central Board of Excise and Customs hereby determines that the rate of exchange of conversion of each of the foreign currency specified in column (2) of each of Schedule I and </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Schedule II annexed hereto into Indian currency or</w:t>
      </w:r>
      <w:r w:rsidRPr="001E7038">
        <w:rPr>
          <w:rFonts w:ascii="Arial" w:eastAsia="Times New Roman" w:hAnsi="Arial" w:cs="Arial"/>
          <w:color w:val="000000"/>
          <w:sz w:val="20"/>
        </w:rPr>
        <w:t> </w:t>
      </w:r>
      <w:r w:rsidRPr="001E7038">
        <w:rPr>
          <w:rFonts w:ascii="Arial" w:eastAsia="Times New Roman" w:hAnsi="Arial" w:cs="Arial"/>
          <w:i/>
          <w:iCs/>
          <w:color w:val="000000"/>
          <w:sz w:val="20"/>
          <w:szCs w:val="20"/>
        </w:rPr>
        <w:t>vice versa</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shall,</w:t>
      </w:r>
      <w:r w:rsidRPr="001E7038">
        <w:rPr>
          <w:rFonts w:ascii="Arial" w:eastAsia="Times New Roman" w:hAnsi="Arial" w:cs="Arial"/>
          <w:color w:val="000000"/>
          <w:sz w:val="20"/>
        </w:rPr>
        <w:t> </w:t>
      </w:r>
      <w:r w:rsidRPr="001E7038">
        <w:rPr>
          <w:rFonts w:ascii="Arial" w:eastAsia="Times New Roman" w:hAnsi="Arial" w:cs="Arial"/>
          <w:b/>
          <w:bCs/>
          <w:i/>
          <w:iCs/>
          <w:color w:val="000000"/>
          <w:sz w:val="20"/>
          <w:szCs w:val="20"/>
        </w:rPr>
        <w:t>with effect from 1</w:t>
      </w:r>
      <w:r w:rsidRPr="001E7038">
        <w:rPr>
          <w:rFonts w:ascii="Arial" w:eastAsia="Times New Roman" w:hAnsi="Arial" w:cs="Arial"/>
          <w:b/>
          <w:bCs/>
          <w:i/>
          <w:iCs/>
          <w:color w:val="000000"/>
          <w:sz w:val="20"/>
          <w:szCs w:val="20"/>
          <w:vertAlign w:val="superscript"/>
        </w:rPr>
        <w:t>st</w:t>
      </w:r>
      <w:r w:rsidRPr="001E7038">
        <w:rPr>
          <w:rFonts w:ascii="Arial" w:eastAsia="Times New Roman" w:hAnsi="Arial" w:cs="Arial"/>
          <w:b/>
          <w:bCs/>
          <w:i/>
          <w:iCs/>
          <w:color w:val="000000"/>
          <w:sz w:val="20"/>
        </w:rPr>
        <w:t> </w:t>
      </w:r>
      <w:r w:rsidRPr="001E7038">
        <w:rPr>
          <w:rFonts w:ascii="Arial" w:eastAsia="Times New Roman" w:hAnsi="Arial" w:cs="Arial"/>
          <w:b/>
          <w:bCs/>
          <w:i/>
          <w:iCs/>
          <w:color w:val="000000"/>
          <w:sz w:val="20"/>
          <w:szCs w:val="20"/>
        </w:rPr>
        <w:t>December, 2011</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be the rate mentioned against it in the corresponding entry in column (3) thereof, for the purpose of the said section, relating to imported and export goods.</w:t>
      </w:r>
    </w:p>
    <w:p w:rsidR="001E7038" w:rsidRPr="001E7038" w:rsidRDefault="001E7038" w:rsidP="001E7038">
      <w:pPr>
        <w:spacing w:after="0" w:line="240" w:lineRule="auto"/>
        <w:ind w:left="720" w:right="1125"/>
        <w:jc w:val="both"/>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SCHEDULE-I</w:t>
      </w: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p>
    <w:tbl>
      <w:tblPr>
        <w:tblW w:w="0" w:type="auto"/>
        <w:jc w:val="center"/>
        <w:tblCellMar>
          <w:left w:w="0" w:type="dxa"/>
          <w:right w:w="0" w:type="dxa"/>
        </w:tblCellMar>
        <w:tblLook w:val="04A0"/>
      </w:tblPr>
      <w:tblGrid>
        <w:gridCol w:w="1440"/>
        <w:gridCol w:w="2340"/>
        <w:gridCol w:w="2520"/>
        <w:gridCol w:w="20"/>
        <w:gridCol w:w="2480"/>
      </w:tblGrid>
      <w:tr w:rsidR="001E7038" w:rsidRPr="001E7038" w:rsidTr="001E7038">
        <w:trPr>
          <w:jc w:val="center"/>
        </w:trPr>
        <w:tc>
          <w:tcPr>
            <w:tcW w:w="1440" w:type="dxa"/>
            <w:tcBorders>
              <w:top w:val="single" w:sz="8" w:space="0" w:color="000000"/>
              <w:left w:val="single" w:sz="8" w:space="0" w:color="auto"/>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proofErr w:type="spellStart"/>
            <w:r w:rsidRPr="001E7038">
              <w:rPr>
                <w:rFonts w:ascii="Arial" w:eastAsia="Times New Roman" w:hAnsi="Arial" w:cs="Arial"/>
                <w:sz w:val="20"/>
              </w:rPr>
              <w:t>S.No</w:t>
            </w:r>
            <w:proofErr w:type="spellEnd"/>
            <w:r w:rsidRPr="001E7038">
              <w:rPr>
                <w:rFonts w:ascii="Arial" w:eastAsia="Times New Roman" w:hAnsi="Arial" w:cs="Arial"/>
                <w:sz w:val="20"/>
                <w:szCs w:val="20"/>
              </w:rPr>
              <w:t>.</w:t>
            </w:r>
          </w:p>
        </w:tc>
        <w:tc>
          <w:tcPr>
            <w:tcW w:w="23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r w:rsidRPr="001E7038">
              <w:rPr>
                <w:rFonts w:ascii="Arial" w:eastAsia="Times New Roman" w:hAnsi="Arial" w:cs="Arial"/>
                <w:sz w:val="20"/>
                <w:szCs w:val="20"/>
              </w:rPr>
              <w:t>Foreign Currency</w:t>
            </w:r>
          </w:p>
        </w:tc>
        <w:tc>
          <w:tcPr>
            <w:tcW w:w="5020"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r w:rsidRPr="001E7038">
              <w:rPr>
                <w:rFonts w:ascii="Arial" w:eastAsia="Times New Roman" w:hAnsi="Arial" w:cs="Arial"/>
                <w:sz w:val="20"/>
                <w:szCs w:val="20"/>
              </w:rPr>
              <w:t>Rate of exchange of one unit of foreign currency equivalent to Indian rupees</w:t>
            </w:r>
          </w:p>
        </w:tc>
      </w:tr>
      <w:tr w:rsidR="001E7038" w:rsidRPr="001E7038" w:rsidTr="001E7038">
        <w:trPr>
          <w:trHeight w:val="360"/>
          <w:jc w:val="center"/>
        </w:trPr>
        <w:tc>
          <w:tcPr>
            <w:tcW w:w="1440" w:type="dxa"/>
            <w:tcBorders>
              <w:top w:val="nil"/>
              <w:left w:val="single" w:sz="8" w:space="0" w:color="auto"/>
              <w:bottom w:val="single" w:sz="8" w:space="0" w:color="auto"/>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    </w:t>
            </w:r>
          </w:p>
        </w:tc>
        <w:tc>
          <w:tcPr>
            <w:tcW w:w="2340" w:type="dxa"/>
            <w:tcBorders>
              <w:top w:val="nil"/>
              <w:left w:val="nil"/>
              <w:bottom w:val="single" w:sz="8" w:space="0" w:color="auto"/>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(2)</w:t>
            </w:r>
          </w:p>
        </w:tc>
        <w:tc>
          <w:tcPr>
            <w:tcW w:w="5020" w:type="dxa"/>
            <w:gridSpan w:val="3"/>
            <w:tcBorders>
              <w:top w:val="nil"/>
              <w:left w:val="nil"/>
              <w:bottom w:val="single" w:sz="8" w:space="0" w:color="auto"/>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(3)</w:t>
            </w:r>
          </w:p>
        </w:tc>
      </w:tr>
      <w:tr w:rsidR="001E7038" w:rsidRPr="001E7038" w:rsidTr="001E7038">
        <w:trPr>
          <w:trHeight w:val="160"/>
          <w:jc w:val="center"/>
        </w:trPr>
        <w:tc>
          <w:tcPr>
            <w:tcW w:w="1440" w:type="dxa"/>
            <w:tcBorders>
              <w:top w:val="nil"/>
              <w:left w:val="single" w:sz="8" w:space="0" w:color="auto"/>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160" w:lineRule="atLeast"/>
              <w:jc w:val="center"/>
              <w:rPr>
                <w:rFonts w:ascii="Times New Roman" w:eastAsia="Times New Roman" w:hAnsi="Times New Roman" w:cs="Times New Roman"/>
                <w:sz w:val="28"/>
                <w:szCs w:val="28"/>
              </w:rPr>
            </w:pPr>
            <w:r w:rsidRPr="001E7038">
              <w:rPr>
                <w:rFonts w:ascii="Arial" w:eastAsia="Times New Roman" w:hAnsi="Arial" w:cs="Arial"/>
                <w:sz w:val="20"/>
                <w:szCs w:val="20"/>
              </w:rPr>
              <w:t>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160" w:lineRule="atLeast"/>
              <w:jc w:val="center"/>
              <w:rPr>
                <w:rFonts w:ascii="Times New Roman" w:eastAsia="Times New Roman" w:hAnsi="Times New Roman" w:cs="Times New Roman"/>
                <w:sz w:val="28"/>
                <w:szCs w:val="28"/>
              </w:rPr>
            </w:pPr>
            <w:r w:rsidRPr="001E7038">
              <w:rPr>
                <w:rFonts w:ascii="Arial" w:eastAsia="Times New Roman" w:hAnsi="Arial" w:cs="Arial"/>
                <w:sz w:val="20"/>
                <w:szCs w:val="20"/>
              </w:rPr>
              <w:t> </w:t>
            </w:r>
          </w:p>
        </w:tc>
        <w:tc>
          <w:tcPr>
            <w:tcW w:w="2540"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160" w:lineRule="atLeast"/>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r w:rsidRPr="001E7038">
              <w:rPr>
                <w:rFonts w:ascii="Arial" w:eastAsia="Times New Roman" w:hAnsi="Arial" w:cs="Arial"/>
                <w:b/>
                <w:bCs/>
                <w:sz w:val="20"/>
              </w:rPr>
              <w:t> </w:t>
            </w:r>
            <w:r w:rsidRPr="001E7038">
              <w:rPr>
                <w:rFonts w:ascii="Arial" w:eastAsia="Times New Roman" w:hAnsi="Arial" w:cs="Arial"/>
                <w:b/>
                <w:bCs/>
                <w:sz w:val="20"/>
                <w:szCs w:val="20"/>
              </w:rPr>
              <w:t>(a)</w:t>
            </w:r>
          </w:p>
        </w:tc>
        <w:tc>
          <w:tcPr>
            <w:tcW w:w="248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160" w:lineRule="atLeast"/>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r w:rsidRPr="001E7038">
              <w:rPr>
                <w:rFonts w:ascii="Arial" w:eastAsia="Times New Roman" w:hAnsi="Arial" w:cs="Arial"/>
                <w:b/>
                <w:bCs/>
                <w:sz w:val="20"/>
              </w:rPr>
              <w:t> </w:t>
            </w:r>
            <w:r w:rsidRPr="001E7038">
              <w:rPr>
                <w:rFonts w:ascii="Arial" w:eastAsia="Times New Roman" w:hAnsi="Arial" w:cs="Arial"/>
                <w:b/>
                <w:bCs/>
                <w:sz w:val="20"/>
                <w:szCs w:val="20"/>
              </w:rPr>
              <w:t>(b)</w:t>
            </w:r>
          </w:p>
        </w:tc>
      </w:tr>
      <w:tr w:rsidR="001E7038" w:rsidRPr="001E7038" w:rsidTr="001E7038">
        <w:trPr>
          <w:jc w:val="center"/>
        </w:trPr>
        <w:tc>
          <w:tcPr>
            <w:tcW w:w="1440" w:type="dxa"/>
            <w:tcBorders>
              <w:top w:val="nil"/>
              <w:left w:val="single" w:sz="8" w:space="0" w:color="000000"/>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p>
        </w:tc>
        <w:tc>
          <w:tcPr>
            <w:tcW w:w="2340" w:type="dxa"/>
            <w:tcBorders>
              <w:top w:val="nil"/>
              <w:left w:val="nil"/>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p>
        </w:tc>
        <w:tc>
          <w:tcPr>
            <w:tcW w:w="2520" w:type="dxa"/>
            <w:tcBorders>
              <w:top w:val="nil"/>
              <w:left w:val="nil"/>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(For Imported Goods)</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r w:rsidRPr="001E7038">
              <w:rPr>
                <w:rFonts w:ascii="Arial" w:eastAsia="Times New Roman" w:hAnsi="Arial" w:cs="Arial"/>
                <w:b/>
                <w:bCs/>
                <w:sz w:val="20"/>
              </w:rPr>
              <w:t> </w:t>
            </w:r>
            <w:r w:rsidRPr="001E7038">
              <w:rPr>
                <w:rFonts w:ascii="Arial" w:eastAsia="Times New Roman" w:hAnsi="Arial" w:cs="Arial"/>
                <w:b/>
                <w:bCs/>
                <w:sz w:val="20"/>
                <w:szCs w:val="20"/>
              </w:rPr>
              <w:t>(For Export Goods)</w:t>
            </w:r>
          </w:p>
        </w:tc>
      </w:tr>
      <w:tr w:rsidR="001E7038" w:rsidRPr="001E7038" w:rsidTr="001E7038">
        <w:trPr>
          <w:jc w:val="center"/>
        </w:trPr>
        <w:tc>
          <w:tcPr>
            <w:tcW w:w="1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w:t>
            </w:r>
          </w:p>
        </w:tc>
        <w:tc>
          <w:tcPr>
            <w:tcW w:w="2340" w:type="dxa"/>
            <w:tcBorders>
              <w:top w:val="single" w:sz="8" w:space="0" w:color="auto"/>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Australian Dollar</w:t>
            </w:r>
          </w:p>
        </w:tc>
        <w:tc>
          <w:tcPr>
            <w:tcW w:w="252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51.30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49.95</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2.</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Canadian Dollar               </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50.35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49.20</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3.</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Danish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9.50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9.20</w:t>
            </w:r>
          </w:p>
        </w:tc>
      </w:tr>
      <w:tr w:rsidR="001E7038" w:rsidRPr="001E7038" w:rsidTr="001E7038">
        <w:trPr>
          <w:jc w:val="center"/>
        </w:trPr>
        <w:tc>
          <w:tcPr>
            <w:tcW w:w="1440" w:type="dxa"/>
            <w:tcBorders>
              <w:top w:val="nil"/>
              <w:left w:val="single" w:sz="8" w:space="0" w:color="000000"/>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4.</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EURO</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70.20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68.60</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Hong Kong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6.75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6.65</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6.</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Norwegian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9.00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8.70</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7.</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Pound Sterling</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81.65</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79.85</w:t>
            </w:r>
          </w:p>
        </w:tc>
      </w:tr>
      <w:tr w:rsidR="001E7038" w:rsidRPr="001E7038" w:rsidTr="001E7038">
        <w:trPr>
          <w:trHeight w:val="345"/>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8.</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Swedish Kroner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7.60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7.40</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9.</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Swiss Franc</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57.30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55.95</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10.</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Singapore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40.20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39.35</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11.</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US Dollar</w:t>
            </w:r>
          </w:p>
        </w:tc>
        <w:tc>
          <w:tcPr>
            <w:tcW w:w="2520" w:type="dxa"/>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52.60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51.75</w:t>
            </w:r>
          </w:p>
        </w:tc>
      </w:tr>
      <w:tr w:rsidR="001E7038" w:rsidRPr="001E7038" w:rsidTr="001E7038">
        <w:trPr>
          <w:jc w:val="center"/>
        </w:trPr>
        <w:tc>
          <w:tcPr>
            <w:tcW w:w="144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34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52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475"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r>
    </w:tbl>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                       </w:t>
      </w:r>
    </w:p>
    <w:p w:rsidR="001E7038" w:rsidRDefault="001E7038" w:rsidP="001E7038">
      <w:pPr>
        <w:spacing w:after="0" w:line="240" w:lineRule="auto"/>
        <w:ind w:left="720" w:right="1125"/>
        <w:rPr>
          <w:rFonts w:ascii="Arial" w:eastAsia="Times New Roman" w:hAnsi="Arial" w:cs="Arial"/>
          <w:color w:val="000000"/>
          <w:sz w:val="20"/>
          <w:szCs w:val="20"/>
        </w:rPr>
      </w:pPr>
      <w:r w:rsidRPr="001E7038">
        <w:rPr>
          <w:rFonts w:ascii="Arial" w:eastAsia="Times New Roman" w:hAnsi="Arial" w:cs="Arial"/>
          <w:color w:val="000000"/>
          <w:sz w:val="20"/>
          <w:szCs w:val="20"/>
        </w:rPr>
        <w:t> </w:t>
      </w:r>
    </w:p>
    <w:p w:rsidR="001E7038" w:rsidRDefault="001E7038" w:rsidP="001E7038">
      <w:pPr>
        <w:spacing w:after="0" w:line="240" w:lineRule="auto"/>
        <w:ind w:left="720" w:right="1125"/>
        <w:rPr>
          <w:rFonts w:ascii="Arial" w:eastAsia="Times New Roman" w:hAnsi="Arial" w:cs="Arial"/>
          <w:color w:val="000000"/>
          <w:sz w:val="20"/>
          <w:szCs w:val="20"/>
        </w:rPr>
      </w:pPr>
    </w:p>
    <w:p w:rsidR="001E7038" w:rsidRDefault="001E7038" w:rsidP="001E7038">
      <w:pPr>
        <w:spacing w:after="0" w:line="240" w:lineRule="auto"/>
        <w:ind w:left="720" w:right="1125"/>
        <w:rPr>
          <w:rFonts w:ascii="Arial" w:eastAsia="Times New Roman" w:hAnsi="Arial" w:cs="Arial"/>
          <w:color w:val="000000"/>
          <w:sz w:val="20"/>
          <w:szCs w:val="20"/>
        </w:rPr>
      </w:pPr>
    </w:p>
    <w:p w:rsidR="001E7038" w:rsidRDefault="001E7038" w:rsidP="001E7038">
      <w:pPr>
        <w:spacing w:after="0" w:line="240" w:lineRule="auto"/>
        <w:ind w:left="720" w:right="1125"/>
        <w:rPr>
          <w:rFonts w:ascii="Arial" w:eastAsia="Times New Roman" w:hAnsi="Arial" w:cs="Arial"/>
          <w:color w:val="000000"/>
          <w:sz w:val="20"/>
          <w:szCs w:val="20"/>
        </w:rPr>
      </w:pPr>
    </w:p>
    <w:p w:rsidR="001E7038" w:rsidRDefault="001E7038" w:rsidP="001E7038">
      <w:pPr>
        <w:spacing w:after="0" w:line="240" w:lineRule="auto"/>
        <w:ind w:left="720" w:right="1125"/>
        <w:rPr>
          <w:rFonts w:ascii="Arial" w:eastAsia="Times New Roman" w:hAnsi="Arial" w:cs="Arial"/>
          <w:color w:val="000000"/>
          <w:sz w:val="20"/>
          <w:szCs w:val="20"/>
        </w:rPr>
      </w:pPr>
    </w:p>
    <w:p w:rsidR="001E7038" w:rsidRDefault="001E7038" w:rsidP="001E7038">
      <w:pPr>
        <w:spacing w:after="0" w:line="240" w:lineRule="auto"/>
        <w:ind w:left="720" w:right="1125"/>
        <w:rPr>
          <w:rFonts w:ascii="Arial" w:eastAsia="Times New Roman" w:hAnsi="Arial" w:cs="Arial"/>
          <w:color w:val="000000"/>
          <w:sz w:val="20"/>
          <w:szCs w:val="20"/>
        </w:rPr>
      </w:pPr>
    </w:p>
    <w:p w:rsidR="001E7038" w:rsidRPr="001E7038" w:rsidRDefault="001E7038" w:rsidP="001E7038">
      <w:pPr>
        <w:spacing w:after="0" w:line="240" w:lineRule="auto"/>
        <w:ind w:left="720" w:right="1125"/>
        <w:rPr>
          <w:rFonts w:ascii="Times New Roman" w:eastAsia="Times New Roman" w:hAnsi="Times New Roman" w:cs="Times New Roman"/>
          <w:color w:val="000000"/>
          <w:sz w:val="28"/>
          <w:szCs w:val="28"/>
        </w:rPr>
      </w:pPr>
    </w:p>
    <w:p w:rsidR="001E7038" w:rsidRPr="001E7038" w:rsidRDefault="001E7038" w:rsidP="001E7038">
      <w:pPr>
        <w:spacing w:after="0" w:line="240" w:lineRule="auto"/>
        <w:ind w:left="720" w:right="1125"/>
        <w:jc w:val="center"/>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SCHEDULE-II</w:t>
      </w:r>
    </w:p>
    <w:p w:rsidR="001E7038" w:rsidRPr="001E7038" w:rsidRDefault="001E7038" w:rsidP="001E7038">
      <w:pPr>
        <w:spacing w:after="0" w:line="240" w:lineRule="auto"/>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r w:rsidRPr="001E7038">
        <w:rPr>
          <w:rFonts w:ascii="Arial" w:eastAsia="Times New Roman" w:hAnsi="Arial" w:cs="Arial"/>
          <w:color w:val="000000"/>
          <w:sz w:val="20"/>
        </w:rPr>
        <w:t> </w:t>
      </w:r>
      <w:r w:rsidRPr="001E7038">
        <w:rPr>
          <w:rFonts w:ascii="Arial" w:eastAsia="Times New Roman" w:hAnsi="Arial" w:cs="Arial"/>
          <w:color w:val="000000"/>
          <w:sz w:val="20"/>
          <w:szCs w:val="20"/>
        </w:rPr>
        <w:t>                 </w:t>
      </w:r>
    </w:p>
    <w:tbl>
      <w:tblPr>
        <w:tblW w:w="0" w:type="auto"/>
        <w:jc w:val="center"/>
        <w:tblCellMar>
          <w:left w:w="0" w:type="dxa"/>
          <w:right w:w="0" w:type="dxa"/>
        </w:tblCellMar>
        <w:tblLook w:val="04A0"/>
      </w:tblPr>
      <w:tblGrid>
        <w:gridCol w:w="1440"/>
        <w:gridCol w:w="2340"/>
        <w:gridCol w:w="2520"/>
        <w:gridCol w:w="20"/>
        <w:gridCol w:w="2480"/>
      </w:tblGrid>
      <w:tr w:rsidR="001E7038" w:rsidRPr="001E7038" w:rsidTr="001E7038">
        <w:trPr>
          <w:jc w:val="center"/>
        </w:trPr>
        <w:tc>
          <w:tcPr>
            <w:tcW w:w="14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proofErr w:type="spellStart"/>
            <w:r w:rsidRPr="001E7038">
              <w:rPr>
                <w:rFonts w:ascii="Arial" w:eastAsia="Times New Roman" w:hAnsi="Arial" w:cs="Arial"/>
                <w:sz w:val="20"/>
              </w:rPr>
              <w:t>S.No</w:t>
            </w:r>
            <w:proofErr w:type="spellEnd"/>
            <w:r w:rsidRPr="001E7038">
              <w:rPr>
                <w:rFonts w:ascii="Arial" w:eastAsia="Times New Roman" w:hAnsi="Arial" w:cs="Arial"/>
                <w:sz w:val="20"/>
                <w:szCs w:val="20"/>
              </w:rPr>
              <w:t>.</w:t>
            </w:r>
          </w:p>
        </w:tc>
        <w:tc>
          <w:tcPr>
            <w:tcW w:w="234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r w:rsidRPr="001E7038">
              <w:rPr>
                <w:rFonts w:ascii="Arial" w:eastAsia="Times New Roman" w:hAnsi="Arial" w:cs="Arial"/>
                <w:sz w:val="20"/>
                <w:szCs w:val="20"/>
              </w:rPr>
              <w:t>Foreign Currency</w:t>
            </w:r>
          </w:p>
        </w:tc>
        <w:tc>
          <w:tcPr>
            <w:tcW w:w="5020"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r w:rsidRPr="001E7038">
              <w:rPr>
                <w:rFonts w:ascii="Arial" w:eastAsia="Times New Roman" w:hAnsi="Arial" w:cs="Arial"/>
                <w:sz w:val="20"/>
                <w:szCs w:val="20"/>
              </w:rPr>
              <w:t>Rate of exchange of 100 units of foreign currency equivalent to Indian rupees</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(2)</w:t>
            </w:r>
          </w:p>
        </w:tc>
        <w:tc>
          <w:tcPr>
            <w:tcW w:w="502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(3)</w:t>
            </w:r>
          </w:p>
        </w:tc>
      </w:tr>
      <w:tr w:rsidR="001E7038" w:rsidRPr="001E7038" w:rsidTr="001E7038">
        <w:trPr>
          <w:jc w:val="center"/>
        </w:trPr>
        <w:tc>
          <w:tcPr>
            <w:tcW w:w="14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 </w:t>
            </w:r>
          </w:p>
        </w:tc>
        <w:tc>
          <w:tcPr>
            <w:tcW w:w="234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 </w:t>
            </w:r>
          </w:p>
        </w:tc>
        <w:tc>
          <w:tcPr>
            <w:tcW w:w="2540" w:type="dxa"/>
            <w:gridSpan w:val="2"/>
            <w:tcBorders>
              <w:top w:val="nil"/>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(a)</w:t>
            </w:r>
          </w:p>
        </w:tc>
        <w:tc>
          <w:tcPr>
            <w:tcW w:w="2480" w:type="dxa"/>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(b)</w:t>
            </w:r>
          </w:p>
        </w:tc>
      </w:tr>
      <w:tr w:rsidR="001E7038" w:rsidRPr="001E7038" w:rsidTr="001E7038">
        <w:trPr>
          <w:jc w:val="center"/>
        </w:trPr>
        <w:tc>
          <w:tcPr>
            <w:tcW w:w="1440" w:type="dxa"/>
            <w:tcBorders>
              <w:top w:val="nil"/>
              <w:left w:val="single" w:sz="8" w:space="0" w:color="000000"/>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p>
        </w:tc>
        <w:tc>
          <w:tcPr>
            <w:tcW w:w="2340" w:type="dxa"/>
            <w:tcBorders>
              <w:top w:val="nil"/>
              <w:left w:val="nil"/>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p>
        </w:tc>
        <w:tc>
          <w:tcPr>
            <w:tcW w:w="2520" w:type="dxa"/>
            <w:tcBorders>
              <w:top w:val="nil"/>
              <w:left w:val="nil"/>
              <w:bottom w:val="nil"/>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(For Imported Goods)</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b/>
                <w:bCs/>
                <w:sz w:val="20"/>
                <w:szCs w:val="20"/>
              </w:rPr>
              <w:t> </w:t>
            </w:r>
            <w:r w:rsidRPr="001E7038">
              <w:rPr>
                <w:rFonts w:ascii="Arial" w:eastAsia="Times New Roman" w:hAnsi="Arial" w:cs="Arial"/>
                <w:b/>
                <w:bCs/>
                <w:sz w:val="20"/>
              </w:rPr>
              <w:t> </w:t>
            </w:r>
            <w:r w:rsidRPr="001E7038">
              <w:rPr>
                <w:rFonts w:ascii="Arial" w:eastAsia="Times New Roman" w:hAnsi="Arial" w:cs="Arial"/>
                <w:b/>
                <w:bCs/>
                <w:sz w:val="20"/>
                <w:szCs w:val="20"/>
              </w:rPr>
              <w:t>(For Export Goods)</w:t>
            </w:r>
          </w:p>
        </w:tc>
      </w:tr>
      <w:tr w:rsidR="001E7038" w:rsidRPr="001E7038" w:rsidTr="001E7038">
        <w:trPr>
          <w:jc w:val="center"/>
        </w:trPr>
        <w:tc>
          <w:tcPr>
            <w:tcW w:w="1440" w:type="dxa"/>
            <w:tcBorders>
              <w:top w:val="single" w:sz="8" w:space="0" w:color="000000"/>
              <w:left w:val="single" w:sz="8" w:space="0" w:color="000000"/>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1.</w:t>
            </w:r>
          </w:p>
        </w:tc>
        <w:tc>
          <w:tcPr>
            <w:tcW w:w="2340" w:type="dxa"/>
            <w:tcBorders>
              <w:top w:val="single" w:sz="8" w:space="0" w:color="auto"/>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rPr>
                <w:rFonts w:ascii="Times New Roman" w:eastAsia="Times New Roman" w:hAnsi="Times New Roman" w:cs="Times New Roman"/>
                <w:sz w:val="28"/>
                <w:szCs w:val="28"/>
              </w:rPr>
            </w:pPr>
            <w:r w:rsidRPr="001E7038">
              <w:rPr>
                <w:rFonts w:ascii="Arial" w:eastAsia="Times New Roman" w:hAnsi="Arial" w:cs="Arial"/>
                <w:sz w:val="20"/>
                <w:szCs w:val="20"/>
              </w:rPr>
              <w:t>Japanese Yen</w:t>
            </w:r>
          </w:p>
        </w:tc>
        <w:tc>
          <w:tcPr>
            <w:tcW w:w="2520" w:type="dxa"/>
            <w:tcBorders>
              <w:top w:val="single" w:sz="8" w:space="0" w:color="000000"/>
              <w:left w:val="nil"/>
              <w:bottom w:val="single" w:sz="8" w:space="0" w:color="000000"/>
              <w:right w:val="single" w:sz="8" w:space="0" w:color="auto"/>
            </w:tcBorders>
            <w:tcMar>
              <w:top w:w="0" w:type="dxa"/>
              <w:left w:w="108" w:type="dxa"/>
              <w:bottom w:w="0" w:type="dxa"/>
              <w:right w:w="108" w:type="dxa"/>
            </w:tcMar>
            <w:hideMark/>
          </w:tcPr>
          <w:p w:rsidR="001E7038" w:rsidRPr="001E7038" w:rsidRDefault="001E7038" w:rsidP="001E7038">
            <w:pPr>
              <w:spacing w:after="0" w:line="240" w:lineRule="auto"/>
              <w:jc w:val="center"/>
              <w:rPr>
                <w:rFonts w:ascii="Times New Roman" w:eastAsia="Times New Roman" w:hAnsi="Times New Roman" w:cs="Times New Roman"/>
                <w:sz w:val="28"/>
                <w:szCs w:val="28"/>
              </w:rPr>
            </w:pPr>
            <w:r w:rsidRPr="001E7038">
              <w:rPr>
                <w:rFonts w:ascii="Arial" w:eastAsia="Times New Roman" w:hAnsi="Arial" w:cs="Arial"/>
                <w:sz w:val="20"/>
                <w:szCs w:val="20"/>
              </w:rPr>
              <w:t>68.30</w:t>
            </w:r>
          </w:p>
        </w:tc>
        <w:tc>
          <w:tcPr>
            <w:tcW w:w="250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1E7038" w:rsidRPr="001E7038" w:rsidRDefault="001E7038" w:rsidP="001E7038">
            <w:pPr>
              <w:spacing w:after="0" w:line="240" w:lineRule="auto"/>
              <w:jc w:val="both"/>
              <w:rPr>
                <w:rFonts w:ascii="Times New Roman" w:eastAsia="Times New Roman" w:hAnsi="Times New Roman" w:cs="Times New Roman"/>
                <w:sz w:val="28"/>
                <w:szCs w:val="28"/>
              </w:rPr>
            </w:pPr>
            <w:r w:rsidRPr="001E7038">
              <w:rPr>
                <w:rFonts w:ascii="Arial" w:eastAsia="Times New Roman" w:hAnsi="Arial" w:cs="Arial"/>
                <w:sz w:val="20"/>
                <w:szCs w:val="20"/>
              </w:rPr>
              <w:t>      </w:t>
            </w:r>
            <w:r w:rsidRPr="001E7038">
              <w:rPr>
                <w:rFonts w:ascii="Arial" w:eastAsia="Times New Roman" w:hAnsi="Arial" w:cs="Arial"/>
                <w:sz w:val="20"/>
              </w:rPr>
              <w:t> </w:t>
            </w:r>
            <w:r w:rsidRPr="001E7038">
              <w:rPr>
                <w:rFonts w:ascii="Arial" w:eastAsia="Times New Roman" w:hAnsi="Arial" w:cs="Arial"/>
                <w:sz w:val="20"/>
                <w:szCs w:val="20"/>
              </w:rPr>
              <w:t>66.55</w:t>
            </w:r>
          </w:p>
        </w:tc>
      </w:tr>
      <w:tr w:rsidR="001E7038" w:rsidRPr="001E7038" w:rsidTr="001E7038">
        <w:trPr>
          <w:jc w:val="center"/>
        </w:trPr>
        <w:tc>
          <w:tcPr>
            <w:tcW w:w="144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34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520"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15"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c>
          <w:tcPr>
            <w:tcW w:w="2475" w:type="dxa"/>
            <w:tcBorders>
              <w:top w:val="nil"/>
              <w:left w:val="nil"/>
              <w:bottom w:val="nil"/>
              <w:right w:val="nil"/>
            </w:tcBorders>
            <w:vAlign w:val="center"/>
            <w:hideMark/>
          </w:tcPr>
          <w:p w:rsidR="001E7038" w:rsidRPr="001E7038" w:rsidRDefault="001E7038" w:rsidP="001E7038">
            <w:pPr>
              <w:spacing w:after="0" w:line="240" w:lineRule="auto"/>
              <w:rPr>
                <w:rFonts w:ascii="Times New Roman" w:eastAsia="Times New Roman" w:hAnsi="Times New Roman" w:cs="Times New Roman"/>
                <w:sz w:val="1"/>
                <w:szCs w:val="24"/>
              </w:rPr>
            </w:pPr>
          </w:p>
        </w:tc>
      </w:tr>
    </w:tbl>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[F.No.468/14/2011-Cus.V]</w:t>
      </w:r>
    </w:p>
    <w:p w:rsidR="001E7038" w:rsidRPr="001E7038" w:rsidRDefault="001E7038" w:rsidP="001E7038">
      <w:pPr>
        <w:spacing w:after="0" w:line="240" w:lineRule="auto"/>
        <w:ind w:left="720" w:right="1125"/>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8"/>
          <w:szCs w:val="28"/>
        </w:rPr>
      </w:pPr>
      <w:r w:rsidRPr="001E7038">
        <w:rPr>
          <w:rFonts w:ascii="Arial" w:eastAsia="Times New Roman" w:hAnsi="Arial" w:cs="Arial"/>
          <w:color w:val="000000"/>
          <w:sz w:val="20"/>
          <w:szCs w:val="20"/>
        </w:rPr>
        <w:t> </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(ABHINAV GUPTA)</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UNDER SECRETARY TO THE GOVT. OF INDIA</w:t>
      </w:r>
    </w:p>
    <w:p w:rsidR="001E7038" w:rsidRPr="001E7038" w:rsidRDefault="001E7038" w:rsidP="001E7038">
      <w:pPr>
        <w:spacing w:after="0" w:line="240" w:lineRule="auto"/>
        <w:ind w:left="720" w:right="1125"/>
        <w:jc w:val="right"/>
        <w:rPr>
          <w:rFonts w:ascii="Times New Roman" w:eastAsia="Times New Roman" w:hAnsi="Times New Roman" w:cs="Times New Roman"/>
          <w:color w:val="000000"/>
          <w:sz w:val="27"/>
          <w:szCs w:val="27"/>
        </w:rPr>
      </w:pPr>
      <w:r w:rsidRPr="001E7038">
        <w:rPr>
          <w:rFonts w:ascii="Arial" w:eastAsia="Times New Roman" w:hAnsi="Arial" w:cs="Arial"/>
          <w:color w:val="000000"/>
          <w:sz w:val="20"/>
          <w:szCs w:val="20"/>
        </w:rPr>
        <w:t>TELE: 2309 4610</w:t>
      </w:r>
    </w:p>
    <w:p w:rsidR="00D04360" w:rsidRDefault="00D04360"/>
    <w:sectPr w:rsidR="00D043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1E7038"/>
    <w:rsid w:val="001E7038"/>
    <w:rsid w:val="00D043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ame">
    <w:name w:val="grame"/>
    <w:basedOn w:val="DefaultParagraphFont"/>
    <w:rsid w:val="001E7038"/>
  </w:style>
  <w:style w:type="character" w:customStyle="1" w:styleId="apple-converted-space">
    <w:name w:val="apple-converted-space"/>
    <w:basedOn w:val="DefaultParagraphFont"/>
    <w:rsid w:val="001E7038"/>
  </w:style>
  <w:style w:type="character" w:customStyle="1" w:styleId="spelle">
    <w:name w:val="spelle"/>
    <w:basedOn w:val="DefaultParagraphFont"/>
    <w:rsid w:val="001E7038"/>
  </w:style>
  <w:style w:type="paragraph" w:styleId="BodyTextIndent">
    <w:name w:val="Body Text Indent"/>
    <w:basedOn w:val="Normal"/>
    <w:link w:val="BodyTextIndentChar"/>
    <w:uiPriority w:val="99"/>
    <w:unhideWhenUsed/>
    <w:rsid w:val="001E70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1E703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64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2</cp:revision>
  <dcterms:created xsi:type="dcterms:W3CDTF">2011-11-29T09:44:00Z</dcterms:created>
  <dcterms:modified xsi:type="dcterms:W3CDTF">2011-11-29T09:45:00Z</dcterms:modified>
</cp:coreProperties>
</file>