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CA" w:rsidRPr="000C55CA" w:rsidRDefault="000C55CA" w:rsidP="00BE26A1">
      <w:pPr>
        <w:spacing w:after="0" w:line="240" w:lineRule="auto"/>
        <w:ind w:left="270"/>
        <w:jc w:val="center"/>
        <w:rPr>
          <w:rFonts w:ascii="Calibri" w:eastAsia="Times New Roman" w:hAnsi="Calibri" w:cs="Times New Roman"/>
          <w:color w:val="000000"/>
        </w:rPr>
      </w:pPr>
      <w:r w:rsidRPr="000C55CA">
        <w:rPr>
          <w:rFonts w:ascii="Arial" w:eastAsia="Times New Roman" w:hAnsi="Arial" w:cs="Arial"/>
          <w:color w:val="000000"/>
          <w:sz w:val="20"/>
          <w:szCs w:val="20"/>
        </w:rPr>
        <w:t>TO BE PUBLISHED IN THE GAZETTE OF INDIA, EXTRAORDINARY, PART II, SECTION 3, SUB-SECTION (</w:t>
      </w:r>
      <w:proofErr w:type="spellStart"/>
      <w:r w:rsidRPr="000C55CA">
        <w:rPr>
          <w:rFonts w:ascii="Arial" w:eastAsia="Times New Roman" w:hAnsi="Arial" w:cs="Arial"/>
          <w:color w:val="000000"/>
          <w:sz w:val="20"/>
          <w:szCs w:val="20"/>
        </w:rPr>
        <w:t>i</w:t>
      </w:r>
      <w:proofErr w:type="spellEnd"/>
      <w:r w:rsidRPr="000C55CA">
        <w:rPr>
          <w:rFonts w:ascii="Arial" w:eastAsia="Times New Roman" w:hAnsi="Arial" w:cs="Arial"/>
          <w:color w:val="000000"/>
          <w:sz w:val="20"/>
          <w:szCs w:val="20"/>
        </w:rPr>
        <w:t>)]</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color w:val="000000"/>
          <w:sz w:val="20"/>
          <w:szCs w:val="20"/>
        </w:rPr>
        <w:t>GOVERNMENT OF INDIA</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color w:val="000000"/>
          <w:sz w:val="20"/>
          <w:szCs w:val="20"/>
        </w:rPr>
        <w:t>MINISTRY OF FINANCE</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color w:val="000000"/>
          <w:sz w:val="20"/>
          <w:szCs w:val="20"/>
        </w:rPr>
        <w:t>(DEPARTMENT OF REVENUE)</w:t>
      </w:r>
    </w:p>
    <w:p w:rsidR="000C55CA" w:rsidRPr="000C55CA" w:rsidRDefault="000C55CA" w:rsidP="000C55CA">
      <w:pPr>
        <w:spacing w:after="0" w:line="240" w:lineRule="auto"/>
        <w:jc w:val="right"/>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0C55CA">
      <w:pPr>
        <w:spacing w:after="0" w:line="240" w:lineRule="auto"/>
        <w:jc w:val="right"/>
        <w:rPr>
          <w:rFonts w:ascii="Calibri" w:eastAsia="Times New Roman" w:hAnsi="Calibri" w:cs="Times New Roman"/>
          <w:color w:val="000000"/>
        </w:rPr>
      </w:pPr>
      <w:r w:rsidRPr="000C55CA">
        <w:rPr>
          <w:rFonts w:ascii="Arial" w:eastAsia="Times New Roman" w:hAnsi="Arial" w:cs="Arial"/>
          <w:color w:val="000000"/>
          <w:sz w:val="20"/>
          <w:szCs w:val="20"/>
        </w:rPr>
        <w:t>New Delhi, the 18</w:t>
      </w:r>
      <w:r w:rsidRPr="000C55CA">
        <w:rPr>
          <w:rFonts w:ascii="Arial" w:eastAsia="Times New Roman" w:hAnsi="Arial" w:cs="Arial"/>
          <w:color w:val="000000"/>
          <w:sz w:val="20"/>
          <w:szCs w:val="20"/>
          <w:vertAlign w:val="superscript"/>
        </w:rPr>
        <w:t>th</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November, 2011 </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b/>
          <w:bCs/>
          <w:color w:val="000000"/>
          <w:sz w:val="20"/>
          <w:szCs w:val="20"/>
        </w:rPr>
        <w:t> </w:t>
      </w:r>
    </w:p>
    <w:p w:rsidR="000C55CA" w:rsidRPr="000C55CA" w:rsidRDefault="000C55CA" w:rsidP="000C55CA">
      <w:pPr>
        <w:spacing w:after="0" w:line="240" w:lineRule="auto"/>
        <w:jc w:val="center"/>
        <w:rPr>
          <w:rFonts w:ascii="Calibri" w:eastAsia="Times New Roman" w:hAnsi="Calibri" w:cs="Times New Roman"/>
          <w:color w:val="000000"/>
        </w:rPr>
      </w:pPr>
      <w:r w:rsidRPr="000C55CA">
        <w:rPr>
          <w:rFonts w:ascii="Arial" w:eastAsia="Times New Roman" w:hAnsi="Arial" w:cs="Arial"/>
          <w:b/>
          <w:bCs/>
          <w:color w:val="000000"/>
          <w:sz w:val="20"/>
          <w:szCs w:val="20"/>
        </w:rPr>
        <w:t>NOTIFICATION No. 102 /2011-CUSTOMS</w:t>
      </w:r>
    </w:p>
    <w:p w:rsidR="000C55CA" w:rsidRPr="000C55CA" w:rsidRDefault="000C55CA" w:rsidP="000C55CA">
      <w:pPr>
        <w:spacing w:after="0" w:line="240" w:lineRule="auto"/>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BE26A1">
      <w:pPr>
        <w:spacing w:after="0" w:line="253" w:lineRule="atLeast"/>
        <w:ind w:left="360"/>
        <w:jc w:val="both"/>
        <w:rPr>
          <w:rFonts w:ascii="Calibri" w:eastAsia="Times New Roman" w:hAnsi="Calibri" w:cs="Times New Roman"/>
          <w:color w:val="000000"/>
        </w:rPr>
      </w:pPr>
      <w:proofErr w:type="gramStart"/>
      <w:r w:rsidRPr="000C55CA">
        <w:rPr>
          <w:rFonts w:ascii="Arial" w:eastAsia="Times New Roman" w:hAnsi="Arial" w:cs="Arial"/>
          <w:color w:val="000000"/>
          <w:sz w:val="20"/>
        </w:rPr>
        <w:t>G.S.R</w:t>
      </w:r>
      <w:r w:rsidRPr="000C55CA">
        <w:rPr>
          <w:rFonts w:ascii="Arial" w:eastAsia="Times New Roman" w:hAnsi="Arial" w:cs="Arial"/>
          <w:b/>
          <w:bCs/>
          <w:color w:val="000000"/>
          <w:sz w:val="20"/>
        </w:rPr>
        <w:t>.</w:t>
      </w:r>
      <w:proofErr w:type="gramEnd"/>
      <w:r w:rsidRPr="000C55CA">
        <w:rPr>
          <w:rFonts w:ascii="Arial" w:eastAsia="Times New Roman" w:hAnsi="Arial" w:cs="Arial"/>
          <w:b/>
          <w:bCs/>
          <w:color w:val="000000"/>
          <w:sz w:val="20"/>
          <w:szCs w:val="20"/>
        </w:rPr>
        <w:t>  823</w:t>
      </w:r>
      <w:r w:rsidRPr="000C55CA">
        <w:rPr>
          <w:rFonts w:ascii="Arial" w:eastAsia="Times New Roman" w:hAnsi="Arial" w:cs="Arial"/>
          <w:b/>
          <w:bCs/>
          <w:color w:val="000000"/>
          <w:sz w:val="20"/>
        </w:rPr>
        <w:t> </w:t>
      </w:r>
      <w:r w:rsidRPr="000C55CA">
        <w:rPr>
          <w:rFonts w:ascii="Arial" w:eastAsia="Times New Roman" w:hAnsi="Arial" w:cs="Arial"/>
          <w:color w:val="000000"/>
          <w:sz w:val="20"/>
          <w:szCs w:val="20"/>
        </w:rPr>
        <w:t> (E).- In exercise of the powers conferred by sub-section (1) of section 25 of the Customs Act, 1962 (52 of 1962), the Central Government, on being satisfied that it is necessary in the public interest so to do, hereby makes the following further amendments in the notification of the Government of India in the Ministry of Finance (Department of Revenue), No. 39/96-Customs, dated the 23rd July, 1996, published in the Gazette of India, Extraordinary, vide number G.S.R. 291(E), dated the 23rd July, 1996, namely:-</w:t>
      </w:r>
    </w:p>
    <w:p w:rsidR="000C55CA" w:rsidRPr="000C55CA" w:rsidRDefault="000C55CA" w:rsidP="000C55CA">
      <w:pPr>
        <w:spacing w:after="0" w:line="240" w:lineRule="auto"/>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BE26A1">
      <w:pPr>
        <w:spacing w:after="0" w:line="253" w:lineRule="atLeast"/>
        <w:ind w:left="360"/>
        <w:jc w:val="both"/>
        <w:rPr>
          <w:rFonts w:ascii="Calibri" w:eastAsia="Times New Roman" w:hAnsi="Calibri" w:cs="Times New Roman"/>
          <w:color w:val="000000"/>
        </w:rPr>
      </w:pPr>
      <w:r w:rsidRPr="000C55CA">
        <w:rPr>
          <w:rFonts w:ascii="Arial" w:eastAsia="Times New Roman" w:hAnsi="Arial" w:cs="Arial"/>
          <w:color w:val="000000"/>
          <w:sz w:val="20"/>
          <w:szCs w:val="20"/>
        </w:rPr>
        <w:t>            </w:t>
      </w:r>
      <w:r w:rsidRPr="000C55CA">
        <w:rPr>
          <w:rFonts w:ascii="Arial" w:eastAsia="Times New Roman" w:hAnsi="Arial" w:cs="Arial"/>
          <w:color w:val="000000"/>
          <w:sz w:val="20"/>
        </w:rPr>
        <w:t> </w:t>
      </w:r>
      <w:proofErr w:type="gramStart"/>
      <w:r w:rsidRPr="000C55CA">
        <w:rPr>
          <w:rFonts w:ascii="Arial" w:eastAsia="Times New Roman" w:hAnsi="Arial" w:cs="Arial"/>
          <w:color w:val="000000"/>
          <w:sz w:val="20"/>
        </w:rPr>
        <w:t>In the said notification, in the Table, after S.No.35 and the entries relating thereto, the following </w:t>
      </w:r>
      <w:proofErr w:type="spellStart"/>
      <w:r w:rsidRPr="000C55CA">
        <w:rPr>
          <w:rFonts w:ascii="Arial" w:eastAsia="Times New Roman" w:hAnsi="Arial" w:cs="Arial"/>
          <w:color w:val="000000"/>
          <w:sz w:val="20"/>
        </w:rPr>
        <w:t>S.No</w:t>
      </w:r>
      <w:proofErr w:type="spellEnd"/>
      <w:r w:rsidRPr="000C55CA">
        <w:rPr>
          <w:rFonts w:ascii="Arial" w:eastAsia="Times New Roman" w:hAnsi="Arial" w:cs="Arial"/>
          <w:color w:val="000000"/>
          <w:sz w:val="20"/>
        </w:rPr>
        <w:t>.</w:t>
      </w:r>
      <w:proofErr w:type="gramEnd"/>
      <w:r w:rsidRPr="000C55CA">
        <w:rPr>
          <w:rFonts w:ascii="Arial" w:eastAsia="Times New Roman" w:hAnsi="Arial" w:cs="Arial"/>
          <w:color w:val="000000"/>
          <w:sz w:val="20"/>
        </w:rPr>
        <w:t> </w:t>
      </w:r>
      <w:proofErr w:type="gramStart"/>
      <w:r w:rsidRPr="000C55CA">
        <w:rPr>
          <w:rFonts w:ascii="Arial" w:eastAsia="Times New Roman" w:hAnsi="Arial" w:cs="Arial"/>
          <w:color w:val="000000"/>
          <w:sz w:val="20"/>
        </w:rPr>
        <w:t>and</w:t>
      </w:r>
      <w:proofErr w:type="gramEnd"/>
      <w:r w:rsidRPr="000C55CA">
        <w:rPr>
          <w:rFonts w:ascii="Arial" w:eastAsia="Times New Roman" w:hAnsi="Arial" w:cs="Arial"/>
          <w:color w:val="000000"/>
          <w:sz w:val="20"/>
        </w:rPr>
        <w:t> </w:t>
      </w:r>
      <w:r w:rsidRPr="000C55CA">
        <w:rPr>
          <w:rFonts w:ascii="Arial" w:eastAsia="Times New Roman" w:hAnsi="Arial" w:cs="Arial"/>
          <w:color w:val="000000"/>
          <w:sz w:val="20"/>
          <w:szCs w:val="20"/>
        </w:rPr>
        <w:t>entries shall be inserted, namely:-</w:t>
      </w:r>
    </w:p>
    <w:p w:rsidR="000C55CA" w:rsidRPr="000C55CA" w:rsidRDefault="000C55CA" w:rsidP="000C55CA">
      <w:pPr>
        <w:spacing w:after="0" w:line="253" w:lineRule="atLeast"/>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0C55CA">
      <w:pPr>
        <w:spacing w:after="0" w:line="240" w:lineRule="auto"/>
        <w:jc w:val="both"/>
        <w:rPr>
          <w:rFonts w:ascii="Calibri" w:eastAsia="Times New Roman" w:hAnsi="Calibri" w:cs="Times New Roman"/>
          <w:color w:val="000000"/>
        </w:rPr>
      </w:pPr>
      <w:r w:rsidRPr="000C55CA">
        <w:rPr>
          <w:rFonts w:ascii="Arial" w:eastAsia="Times New Roman" w:hAnsi="Arial" w:cs="Arial"/>
          <w:color w:val="000000"/>
          <w:sz w:val="20"/>
          <w:szCs w:val="20"/>
        </w:rPr>
        <w:t> </w:t>
      </w:r>
    </w:p>
    <w:tbl>
      <w:tblPr>
        <w:tblW w:w="0" w:type="auto"/>
        <w:jc w:val="center"/>
        <w:tblInd w:w="250" w:type="dxa"/>
        <w:tblCellMar>
          <w:left w:w="0" w:type="dxa"/>
          <w:right w:w="0" w:type="dxa"/>
        </w:tblCellMar>
        <w:tblLook w:val="04A0"/>
      </w:tblPr>
      <w:tblGrid>
        <w:gridCol w:w="709"/>
        <w:gridCol w:w="4041"/>
        <w:gridCol w:w="4242"/>
      </w:tblGrid>
      <w:tr w:rsidR="000C55CA" w:rsidRPr="000C55CA" w:rsidTr="000C55CA">
        <w:trPr>
          <w:jc w:val="center"/>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40" w:lineRule="auto"/>
              <w:jc w:val="center"/>
              <w:rPr>
                <w:rFonts w:ascii="Calibri" w:eastAsia="Times New Roman" w:hAnsi="Calibri" w:cs="Times New Roman"/>
              </w:rPr>
            </w:pPr>
            <w:r w:rsidRPr="000C55CA">
              <w:rPr>
                <w:rFonts w:ascii="Arial" w:eastAsia="Times New Roman" w:hAnsi="Arial" w:cs="Arial"/>
                <w:sz w:val="20"/>
                <w:szCs w:val="20"/>
              </w:rPr>
              <w:t>(1)</w:t>
            </w:r>
          </w:p>
        </w:tc>
        <w:tc>
          <w:tcPr>
            <w:tcW w:w="4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40" w:lineRule="auto"/>
              <w:jc w:val="center"/>
              <w:rPr>
                <w:rFonts w:ascii="Calibri" w:eastAsia="Times New Roman" w:hAnsi="Calibri" w:cs="Times New Roman"/>
              </w:rPr>
            </w:pPr>
            <w:r w:rsidRPr="000C55CA">
              <w:rPr>
                <w:rFonts w:ascii="Arial" w:eastAsia="Times New Roman" w:hAnsi="Arial" w:cs="Arial"/>
                <w:sz w:val="20"/>
                <w:szCs w:val="20"/>
              </w:rPr>
              <w:t>(2)</w:t>
            </w:r>
          </w:p>
        </w:tc>
        <w:tc>
          <w:tcPr>
            <w:tcW w:w="4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40" w:lineRule="auto"/>
              <w:jc w:val="center"/>
              <w:rPr>
                <w:rFonts w:ascii="Calibri" w:eastAsia="Times New Roman" w:hAnsi="Calibri" w:cs="Times New Roman"/>
              </w:rPr>
            </w:pPr>
            <w:r w:rsidRPr="000C55CA">
              <w:rPr>
                <w:rFonts w:ascii="Arial" w:eastAsia="Times New Roman" w:hAnsi="Arial" w:cs="Arial"/>
                <w:sz w:val="20"/>
                <w:szCs w:val="20"/>
              </w:rPr>
              <w:t>(3)</w:t>
            </w:r>
          </w:p>
        </w:tc>
      </w:tr>
      <w:tr w:rsidR="000C55CA" w:rsidRPr="000C55CA" w:rsidTr="000C55CA">
        <w:trPr>
          <w:jc w:val="center"/>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“36.</w:t>
            </w:r>
          </w:p>
        </w:tc>
        <w:tc>
          <w:tcPr>
            <w:tcW w:w="4041" w:type="dxa"/>
            <w:tcBorders>
              <w:top w:val="nil"/>
              <w:left w:val="nil"/>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xml:space="preserve">Machinery, equipment, instruments, components, spares, jigs, fixtures, dies, tools, accessories, computer software, computer hardware, castings, forgings piping, tubing, chemicals, bio-chemicals, refrigerants, raw materials and consumables, ammunition and ground support equipments required for the Medium Range Surface to Air Missile (MR-SAM)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of Ministry of </w:t>
            </w:r>
            <w:proofErr w:type="spellStart"/>
            <w:r w:rsidRPr="000C55CA">
              <w:rPr>
                <w:rFonts w:ascii="Arial" w:eastAsia="Times New Roman" w:hAnsi="Arial" w:cs="Arial"/>
                <w:sz w:val="20"/>
                <w:szCs w:val="20"/>
              </w:rPr>
              <w:t>Defence</w:t>
            </w:r>
            <w:proofErr w:type="spellEnd"/>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w:t>
            </w:r>
          </w:p>
        </w:tc>
        <w:tc>
          <w:tcPr>
            <w:tcW w:w="4242" w:type="dxa"/>
            <w:tcBorders>
              <w:top w:val="nil"/>
              <w:left w:val="nil"/>
              <w:bottom w:val="single" w:sz="8" w:space="0" w:color="auto"/>
              <w:right w:val="single" w:sz="8" w:space="0" w:color="auto"/>
            </w:tcBorders>
            <w:tcMar>
              <w:top w:w="0" w:type="dxa"/>
              <w:left w:w="108" w:type="dxa"/>
              <w:bottom w:w="0" w:type="dxa"/>
              <w:right w:w="108" w:type="dxa"/>
            </w:tcMar>
            <w:hideMark/>
          </w:tcPr>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If,-</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xml:space="preserve">(a) the said goods are imported by </w:t>
            </w:r>
            <w:proofErr w:type="spellStart"/>
            <w:r w:rsidRPr="000C55CA">
              <w:rPr>
                <w:rFonts w:ascii="Arial" w:eastAsia="Times New Roman" w:hAnsi="Arial" w:cs="Arial"/>
                <w:sz w:val="20"/>
                <w:szCs w:val="20"/>
              </w:rPr>
              <w:t>authorised</w:t>
            </w:r>
            <w:proofErr w:type="spellEnd"/>
            <w:r w:rsidRPr="000C55CA">
              <w:rPr>
                <w:rFonts w:ascii="Arial" w:eastAsia="Times New Roman" w:hAnsi="Arial" w:cs="Arial"/>
                <w:sz w:val="20"/>
                <w:szCs w:val="20"/>
              </w:rPr>
              <w:t xml:space="preserve"> works </w:t>
            </w:r>
            <w:proofErr w:type="spellStart"/>
            <w:r w:rsidRPr="000C55CA">
              <w:rPr>
                <w:rFonts w:ascii="Arial" w:eastAsia="Times New Roman" w:hAnsi="Arial" w:cs="Arial"/>
                <w:sz w:val="20"/>
                <w:szCs w:val="20"/>
              </w:rPr>
              <w:t>centres</w:t>
            </w:r>
            <w:proofErr w:type="spellEnd"/>
            <w:r w:rsidRPr="000C55CA">
              <w:rPr>
                <w:rFonts w:ascii="Arial" w:eastAsia="Times New Roman" w:hAnsi="Arial" w:cs="Arial"/>
                <w:sz w:val="20"/>
                <w:szCs w:val="20"/>
              </w:rPr>
              <w:t xml:space="preserve"> of the Medium Range Surface to Air Missile (MR-SAM)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as may be designated by an officer not below the rank of  Deputy Secretary to the Government of India in the Ministry of </w:t>
            </w:r>
            <w:proofErr w:type="spellStart"/>
            <w:r w:rsidRPr="000C55CA">
              <w:rPr>
                <w:rFonts w:ascii="Arial" w:eastAsia="Times New Roman" w:hAnsi="Arial" w:cs="Arial"/>
                <w:sz w:val="20"/>
                <w:szCs w:val="20"/>
              </w:rPr>
              <w:t>Defence</w:t>
            </w:r>
            <w:proofErr w:type="spellEnd"/>
            <w:r w:rsidRPr="000C55CA">
              <w:rPr>
                <w:rFonts w:ascii="Arial" w:eastAsia="Times New Roman" w:hAnsi="Arial" w:cs="Arial"/>
                <w:sz w:val="20"/>
                <w:szCs w:val="20"/>
              </w:rPr>
              <w:t>; and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xml:space="preserve">(b) the </w:t>
            </w:r>
            <w:proofErr w:type="spellStart"/>
            <w:r w:rsidRPr="000C55CA">
              <w:rPr>
                <w:rFonts w:ascii="Arial" w:eastAsia="Times New Roman" w:hAnsi="Arial" w:cs="Arial"/>
                <w:sz w:val="20"/>
                <w:szCs w:val="20"/>
              </w:rPr>
              <w:t>authorised</w:t>
            </w:r>
            <w:proofErr w:type="spellEnd"/>
            <w:r w:rsidRPr="000C55CA">
              <w:rPr>
                <w:rFonts w:ascii="Arial" w:eastAsia="Times New Roman" w:hAnsi="Arial" w:cs="Arial"/>
                <w:sz w:val="20"/>
                <w:szCs w:val="20"/>
              </w:rPr>
              <w:t xml:space="preserve"> works centre produces to  the Deputy Commissioner of Customs or the Assistant Commissioner of Customs, as the case may be, at the time of import, in each case, a list of the said goods with their relevant description duly certified by the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Director,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Office MR-SAM, to the effect that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w:t>
            </w:r>
            <w:proofErr w:type="spellStart"/>
            <w:r w:rsidRPr="000C55CA">
              <w:rPr>
                <w:rFonts w:ascii="Arial" w:eastAsia="Times New Roman" w:hAnsi="Arial" w:cs="Arial"/>
                <w:sz w:val="20"/>
                <w:szCs w:val="20"/>
              </w:rPr>
              <w:t>i</w:t>
            </w:r>
            <w:proofErr w:type="spellEnd"/>
            <w:r w:rsidRPr="000C55CA">
              <w:rPr>
                <w:rFonts w:ascii="Arial" w:eastAsia="Times New Roman" w:hAnsi="Arial" w:cs="Arial"/>
                <w:sz w:val="20"/>
                <w:szCs w:val="20"/>
              </w:rPr>
              <w:t xml:space="preserve">) the goods mentioned in the said list are required for the purposes of the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MR-SAM;</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sz w:val="20"/>
                <w:szCs w:val="20"/>
              </w:rPr>
              <w:t>(ii) </w:t>
            </w:r>
            <w:r w:rsidRPr="000C55CA">
              <w:rPr>
                <w:rFonts w:ascii="Arial" w:eastAsia="Times New Roman" w:hAnsi="Arial" w:cs="Arial"/>
                <w:sz w:val="20"/>
              </w:rPr>
              <w:t> </w:t>
            </w:r>
            <w:proofErr w:type="gramStart"/>
            <w:r w:rsidRPr="000C55CA">
              <w:rPr>
                <w:rFonts w:ascii="Arial" w:eastAsia="Times New Roman" w:hAnsi="Arial" w:cs="Arial"/>
                <w:sz w:val="20"/>
              </w:rPr>
              <w:t>the</w:t>
            </w:r>
            <w:proofErr w:type="gramEnd"/>
            <w:r w:rsidRPr="000C55CA">
              <w:rPr>
                <w:rFonts w:ascii="Arial" w:eastAsia="Times New Roman" w:hAnsi="Arial" w:cs="Arial"/>
                <w:sz w:val="20"/>
              </w:rPr>
              <w:t> </w:t>
            </w:r>
            <w:r w:rsidRPr="000C55CA">
              <w:rPr>
                <w:rFonts w:ascii="Arial" w:eastAsia="Times New Roman" w:hAnsi="Arial" w:cs="Arial"/>
                <w:sz w:val="20"/>
                <w:szCs w:val="20"/>
              </w:rPr>
              <w:t xml:space="preserve">import of the goods mentioned in the said list are </w:t>
            </w:r>
            <w:proofErr w:type="spellStart"/>
            <w:r w:rsidRPr="000C55CA">
              <w:rPr>
                <w:rFonts w:ascii="Arial" w:eastAsia="Times New Roman" w:hAnsi="Arial" w:cs="Arial"/>
                <w:sz w:val="20"/>
                <w:szCs w:val="20"/>
              </w:rPr>
              <w:t>authorised</w:t>
            </w:r>
            <w:proofErr w:type="spellEnd"/>
            <w:r w:rsidRPr="000C55CA">
              <w:rPr>
                <w:rFonts w:ascii="Arial" w:eastAsia="Times New Roman" w:hAnsi="Arial" w:cs="Arial"/>
                <w:sz w:val="20"/>
                <w:szCs w:val="20"/>
              </w:rPr>
              <w:t xml:space="preserve"> by the Ministry of </w:t>
            </w:r>
            <w:proofErr w:type="spellStart"/>
            <w:r w:rsidRPr="000C55CA">
              <w:rPr>
                <w:rFonts w:ascii="Arial" w:eastAsia="Times New Roman" w:hAnsi="Arial" w:cs="Arial"/>
                <w:sz w:val="20"/>
                <w:szCs w:val="20"/>
              </w:rPr>
              <w:t>Defence</w:t>
            </w:r>
            <w:proofErr w:type="spellEnd"/>
            <w:r w:rsidRPr="000C55CA">
              <w:rPr>
                <w:rFonts w:ascii="Arial" w:eastAsia="Times New Roman" w:hAnsi="Arial" w:cs="Arial"/>
                <w:sz w:val="20"/>
                <w:szCs w:val="20"/>
              </w:rPr>
              <w:t xml:space="preserve"> under MR-SAM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 xml:space="preserve"> and these goods shall be used only for the purpose of the  MR-SAM </w:t>
            </w:r>
            <w:proofErr w:type="spellStart"/>
            <w:r w:rsidRPr="000C55CA">
              <w:rPr>
                <w:rFonts w:ascii="Arial" w:eastAsia="Times New Roman" w:hAnsi="Arial" w:cs="Arial"/>
                <w:sz w:val="20"/>
                <w:szCs w:val="20"/>
              </w:rPr>
              <w:t>programme</w:t>
            </w:r>
            <w:proofErr w:type="spellEnd"/>
            <w:r w:rsidRPr="000C55CA">
              <w:rPr>
                <w:rFonts w:ascii="Arial" w:eastAsia="Times New Roman" w:hAnsi="Arial" w:cs="Arial"/>
                <w:sz w:val="20"/>
                <w:szCs w:val="20"/>
              </w:rPr>
              <w:t>.</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i/>
                <w:iCs/>
                <w:sz w:val="20"/>
                <w:szCs w:val="20"/>
              </w:rPr>
              <w:t> </w:t>
            </w:r>
          </w:p>
          <w:p w:rsidR="000C55CA" w:rsidRPr="000C55CA" w:rsidRDefault="000C55CA" w:rsidP="000C55CA">
            <w:pPr>
              <w:spacing w:after="0" w:line="253" w:lineRule="atLeast"/>
              <w:jc w:val="both"/>
              <w:rPr>
                <w:rFonts w:ascii="Calibri" w:eastAsia="Times New Roman" w:hAnsi="Calibri" w:cs="Times New Roman"/>
              </w:rPr>
            </w:pPr>
            <w:r w:rsidRPr="000C55CA">
              <w:rPr>
                <w:rFonts w:ascii="Arial" w:eastAsia="Times New Roman" w:hAnsi="Arial" w:cs="Arial"/>
                <w:i/>
                <w:iCs/>
                <w:sz w:val="20"/>
                <w:szCs w:val="20"/>
              </w:rPr>
              <w:t>Explanation</w:t>
            </w:r>
            <w:r w:rsidRPr="000C55CA">
              <w:rPr>
                <w:rFonts w:ascii="Arial" w:eastAsia="Times New Roman" w:hAnsi="Arial" w:cs="Arial"/>
                <w:sz w:val="20"/>
                <w:szCs w:val="20"/>
              </w:rPr>
              <w:t>. – Nothing contained in this exemption shall have effect on or after the 22nd day of August, 2016.”</w:t>
            </w:r>
          </w:p>
        </w:tc>
      </w:tr>
    </w:tbl>
    <w:p w:rsidR="000C55CA" w:rsidRPr="000C55CA" w:rsidRDefault="000C55CA" w:rsidP="000C55CA">
      <w:pPr>
        <w:spacing w:after="0" w:line="253" w:lineRule="atLeast"/>
        <w:jc w:val="both"/>
        <w:rPr>
          <w:rFonts w:ascii="Calibri" w:eastAsia="Times New Roman" w:hAnsi="Calibri" w:cs="Times New Roman"/>
          <w:color w:val="000000"/>
        </w:rPr>
      </w:pPr>
      <w:r w:rsidRPr="000C55CA">
        <w:rPr>
          <w:rFonts w:ascii="Arial" w:eastAsia="Times New Roman" w:hAnsi="Arial" w:cs="Arial"/>
          <w:color w:val="000000"/>
          <w:sz w:val="20"/>
          <w:szCs w:val="20"/>
        </w:rPr>
        <w:lastRenderedPageBreak/>
        <w:t> </w:t>
      </w:r>
    </w:p>
    <w:p w:rsidR="000C55CA" w:rsidRPr="000C55CA" w:rsidRDefault="000C55CA" w:rsidP="000C55CA">
      <w:pPr>
        <w:spacing w:after="0" w:line="253" w:lineRule="atLeast"/>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0C55CA">
      <w:pPr>
        <w:spacing w:line="276" w:lineRule="atLeast"/>
        <w:ind w:right="597" w:firstLine="360"/>
        <w:jc w:val="right"/>
        <w:rPr>
          <w:rFonts w:ascii="Book Antiqua" w:eastAsia="Times New Roman" w:hAnsi="Book Antiqua" w:cs="Times New Roman"/>
          <w:color w:val="000000"/>
          <w:sz w:val="24"/>
          <w:szCs w:val="24"/>
        </w:rPr>
      </w:pPr>
      <w:r w:rsidRPr="000C55CA">
        <w:rPr>
          <w:rFonts w:ascii="Arial" w:eastAsia="Times New Roman" w:hAnsi="Arial" w:cs="Arial"/>
          <w:color w:val="000000"/>
          <w:sz w:val="20"/>
          <w:szCs w:val="20"/>
        </w:rPr>
        <w:t>[F.No.354/243/2010 –TRU]</w:t>
      </w:r>
    </w:p>
    <w:p w:rsidR="000C55CA" w:rsidRPr="000C55CA" w:rsidRDefault="000C55CA" w:rsidP="000C55CA">
      <w:pPr>
        <w:spacing w:after="0" w:line="253" w:lineRule="atLeast"/>
        <w:ind w:right="597" w:firstLine="360"/>
        <w:jc w:val="right"/>
        <w:rPr>
          <w:rFonts w:ascii="Calibri" w:eastAsia="Times New Roman" w:hAnsi="Calibri" w:cs="Times New Roman"/>
          <w:color w:val="000000"/>
        </w:rPr>
      </w:pPr>
      <w:r w:rsidRPr="000C55CA">
        <w:rPr>
          <w:rFonts w:ascii="Arial" w:eastAsia="Times New Roman" w:hAnsi="Arial" w:cs="Arial"/>
          <w:color w:val="000000"/>
          <w:sz w:val="20"/>
          <w:szCs w:val="20"/>
          <w:lang w:val="da-DK"/>
        </w:rPr>
        <w:t> </w:t>
      </w:r>
    </w:p>
    <w:p w:rsidR="000C55CA" w:rsidRPr="000C55CA" w:rsidRDefault="000C55CA" w:rsidP="000C55CA">
      <w:pPr>
        <w:spacing w:after="0" w:line="253" w:lineRule="atLeast"/>
        <w:ind w:right="597" w:firstLine="360"/>
        <w:jc w:val="right"/>
        <w:rPr>
          <w:rFonts w:ascii="Calibri" w:eastAsia="Times New Roman" w:hAnsi="Calibri" w:cs="Times New Roman"/>
          <w:color w:val="000000"/>
        </w:rPr>
      </w:pPr>
      <w:r w:rsidRPr="000C55CA">
        <w:rPr>
          <w:rFonts w:ascii="Arial" w:eastAsia="Times New Roman" w:hAnsi="Arial" w:cs="Arial"/>
          <w:color w:val="000000"/>
          <w:sz w:val="20"/>
          <w:szCs w:val="20"/>
          <w:lang w:val="da-DK"/>
        </w:rPr>
        <w:t>(Raj Kumar Digvijay)</w:t>
      </w:r>
    </w:p>
    <w:p w:rsidR="000C55CA" w:rsidRPr="000C55CA" w:rsidRDefault="000C55CA" w:rsidP="000C55CA">
      <w:pPr>
        <w:spacing w:after="0" w:line="253" w:lineRule="atLeast"/>
        <w:ind w:right="597" w:firstLine="360"/>
        <w:jc w:val="right"/>
        <w:rPr>
          <w:rFonts w:ascii="Calibri" w:eastAsia="Times New Roman" w:hAnsi="Calibri" w:cs="Times New Roman"/>
          <w:color w:val="000000"/>
        </w:rPr>
      </w:pPr>
      <w:r w:rsidRPr="000C55CA">
        <w:rPr>
          <w:rFonts w:ascii="Arial" w:eastAsia="Times New Roman" w:hAnsi="Arial" w:cs="Arial"/>
          <w:color w:val="000000"/>
          <w:sz w:val="20"/>
          <w:szCs w:val="20"/>
        </w:rPr>
        <w:t>Under Secretary to the Government of India </w:t>
      </w:r>
    </w:p>
    <w:p w:rsidR="000C55CA" w:rsidRPr="000C55CA" w:rsidRDefault="000C55CA" w:rsidP="000C55CA">
      <w:pPr>
        <w:spacing w:after="0" w:line="253" w:lineRule="atLeast"/>
        <w:ind w:right="597" w:firstLine="360"/>
        <w:jc w:val="right"/>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BE26A1">
      <w:pPr>
        <w:spacing w:after="0" w:line="253" w:lineRule="atLeast"/>
        <w:ind w:left="360" w:right="597"/>
        <w:jc w:val="both"/>
        <w:rPr>
          <w:rFonts w:ascii="Calibri" w:eastAsia="Times New Roman" w:hAnsi="Calibri" w:cs="Times New Roman"/>
          <w:color w:val="000000"/>
        </w:rPr>
      </w:pPr>
      <w:r w:rsidRPr="000C55CA">
        <w:rPr>
          <w:rFonts w:ascii="Arial" w:eastAsia="Times New Roman" w:hAnsi="Arial" w:cs="Arial"/>
          <w:color w:val="000000"/>
          <w:sz w:val="20"/>
          <w:szCs w:val="20"/>
        </w:rPr>
        <w:t>Note: - The principal notification No.39/1996-Customs, dated the 23</w:t>
      </w:r>
      <w:r w:rsidRPr="000C55CA">
        <w:rPr>
          <w:rFonts w:ascii="Arial" w:eastAsia="Times New Roman" w:hAnsi="Arial" w:cs="Arial"/>
          <w:color w:val="000000"/>
          <w:sz w:val="20"/>
          <w:szCs w:val="20"/>
          <w:vertAlign w:val="superscript"/>
        </w:rPr>
        <w:t>rd</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July, 1996 was published in the Gazette of India, Extraordinary, vide G.S.R. 291(E), dated the 23</w:t>
      </w:r>
      <w:r w:rsidRPr="000C55CA">
        <w:rPr>
          <w:rFonts w:ascii="Arial" w:eastAsia="Times New Roman" w:hAnsi="Arial" w:cs="Arial"/>
          <w:color w:val="000000"/>
          <w:sz w:val="20"/>
          <w:szCs w:val="20"/>
          <w:vertAlign w:val="superscript"/>
        </w:rPr>
        <w:t>rd</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July, 1996 and was last amended vide notification No.89/2011-Customs, dated the 12</w:t>
      </w:r>
      <w:r w:rsidRPr="000C55CA">
        <w:rPr>
          <w:rFonts w:ascii="Arial" w:eastAsia="Times New Roman" w:hAnsi="Arial" w:cs="Arial"/>
          <w:color w:val="000000"/>
          <w:sz w:val="20"/>
          <w:szCs w:val="20"/>
          <w:vertAlign w:val="superscript"/>
        </w:rPr>
        <w:t>th</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September, 2011 </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which was published vide number G.S.R. </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674 (E), dated 12</w:t>
      </w:r>
      <w:r w:rsidRPr="000C55CA">
        <w:rPr>
          <w:rFonts w:ascii="Arial" w:eastAsia="Times New Roman" w:hAnsi="Arial" w:cs="Arial"/>
          <w:color w:val="000000"/>
          <w:sz w:val="20"/>
          <w:szCs w:val="20"/>
          <w:vertAlign w:val="superscript"/>
        </w:rPr>
        <w:t>th</w:t>
      </w:r>
      <w:r w:rsidRPr="000C55CA">
        <w:rPr>
          <w:rFonts w:ascii="Arial" w:eastAsia="Times New Roman" w:hAnsi="Arial" w:cs="Arial"/>
          <w:color w:val="000000"/>
          <w:sz w:val="20"/>
        </w:rPr>
        <w:t> </w:t>
      </w:r>
      <w:r w:rsidRPr="000C55CA">
        <w:rPr>
          <w:rFonts w:ascii="Arial" w:eastAsia="Times New Roman" w:hAnsi="Arial" w:cs="Arial"/>
          <w:color w:val="000000"/>
          <w:sz w:val="20"/>
          <w:szCs w:val="20"/>
        </w:rPr>
        <w:t>September, 2011.</w:t>
      </w:r>
    </w:p>
    <w:p w:rsidR="000C55CA" w:rsidRPr="000C55CA" w:rsidRDefault="000C55CA" w:rsidP="000C55CA">
      <w:pPr>
        <w:spacing w:after="0" w:line="253" w:lineRule="atLeast"/>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0C55CA" w:rsidRPr="000C55CA" w:rsidRDefault="000C55CA" w:rsidP="000C55CA">
      <w:pPr>
        <w:spacing w:after="0" w:line="240" w:lineRule="auto"/>
        <w:jc w:val="both"/>
        <w:rPr>
          <w:rFonts w:ascii="Calibri" w:eastAsia="Times New Roman" w:hAnsi="Calibri" w:cs="Times New Roman"/>
          <w:color w:val="000000"/>
        </w:rPr>
      </w:pPr>
      <w:r w:rsidRPr="000C55CA">
        <w:rPr>
          <w:rFonts w:ascii="Arial" w:eastAsia="Times New Roman" w:hAnsi="Arial" w:cs="Arial"/>
          <w:color w:val="000000"/>
          <w:sz w:val="20"/>
          <w:szCs w:val="20"/>
        </w:rPr>
        <w:t> </w:t>
      </w:r>
    </w:p>
    <w:p w:rsidR="00377D90" w:rsidRDefault="00377D90"/>
    <w:sectPr w:rsidR="00377D90" w:rsidSect="000C55CA">
      <w:pgSz w:w="12240" w:h="15840"/>
      <w:pgMar w:top="99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0C55CA"/>
    <w:rsid w:val="000C55CA"/>
    <w:rsid w:val="00377D90"/>
    <w:rsid w:val="00BE26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C55CA"/>
  </w:style>
  <w:style w:type="character" w:customStyle="1" w:styleId="grame">
    <w:name w:val="grame"/>
    <w:basedOn w:val="DefaultParagraphFont"/>
    <w:rsid w:val="000C55CA"/>
  </w:style>
  <w:style w:type="character" w:customStyle="1" w:styleId="spelle">
    <w:name w:val="spelle"/>
    <w:basedOn w:val="DefaultParagraphFont"/>
    <w:rsid w:val="000C55CA"/>
  </w:style>
  <w:style w:type="paragraph" w:styleId="BodyText">
    <w:name w:val="Body Text"/>
    <w:basedOn w:val="Normal"/>
    <w:link w:val="BodyTextChar"/>
    <w:uiPriority w:val="99"/>
    <w:semiHidden/>
    <w:unhideWhenUsed/>
    <w:rsid w:val="000C55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0C55C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042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3</cp:revision>
  <dcterms:created xsi:type="dcterms:W3CDTF">2011-11-25T05:19:00Z</dcterms:created>
  <dcterms:modified xsi:type="dcterms:W3CDTF">2011-11-25T05:20:00Z</dcterms:modified>
</cp:coreProperties>
</file>