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[TO BE PUBLISHED IN THE GAZETTE OF INDIA, PART-II, SECTION 3, SUB-SECTION (ii), EXTRAORDINARY]</w:t>
      </w:r>
    </w:p>
    <w:p w:rsidR="00A3359D" w:rsidRPr="00A3359D" w:rsidRDefault="00A3359D" w:rsidP="00A3359D">
      <w:pPr>
        <w:spacing w:after="0" w:line="240" w:lineRule="auto"/>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GOVERNMENT OF INDIA</w:t>
      </w:r>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 xml:space="preserve">MINISTRY OF FINANCE </w:t>
      </w:r>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DEPARTMENT OF REVENUE</w:t>
      </w:r>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CENTRAL BOARD OF EXCISE AND CUSTOMS</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 xml:space="preserve">NOTIFICATION </w:t>
      </w:r>
    </w:p>
    <w:p w:rsidR="00A3359D" w:rsidRPr="00A3359D" w:rsidRDefault="00A3359D" w:rsidP="00A3359D">
      <w:pPr>
        <w:keepNext/>
        <w:spacing w:after="0" w:line="240" w:lineRule="auto"/>
        <w:outlineLvl w:val="0"/>
        <w:rPr>
          <w:rFonts w:ascii="Times New Roman" w:eastAsia="Times New Roman" w:hAnsi="Times New Roman" w:cs="Times New Roman"/>
          <w:kern w:val="36"/>
          <w:sz w:val="24"/>
          <w:szCs w:val="24"/>
          <w:lang w:val="en-US" w:eastAsia="en-GB"/>
        </w:rPr>
      </w:pPr>
      <w:r w:rsidRPr="00A3359D">
        <w:rPr>
          <w:rFonts w:ascii="Times New Roman" w:eastAsia="Times New Roman" w:hAnsi="Times New Roman" w:cs="Times New Roman"/>
          <w:kern w:val="36"/>
          <w:sz w:val="24"/>
          <w:szCs w:val="24"/>
          <w:lang w:val="en-US" w:eastAsia="en-GB"/>
        </w:rPr>
        <w:t>                                                </w:t>
      </w:r>
      <w:proofErr w:type="gramStart"/>
      <w:r w:rsidRPr="00A3359D">
        <w:rPr>
          <w:rFonts w:ascii="Times New Roman" w:eastAsia="Times New Roman" w:hAnsi="Times New Roman" w:cs="Times New Roman"/>
          <w:kern w:val="36"/>
          <w:sz w:val="24"/>
          <w:szCs w:val="24"/>
          <w:lang w:val="en-US" w:eastAsia="en-GB"/>
        </w:rPr>
        <w:t>NO.98/2010-CUSTOMS (N.T.)</w:t>
      </w:r>
      <w:proofErr w:type="gramEnd"/>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u w:val="single"/>
          <w:lang w:val="en-US" w:eastAsia="en-GB"/>
        </w:rPr>
        <w:t>DATED THE 26</w:t>
      </w:r>
      <w:r w:rsidRPr="00A3359D">
        <w:rPr>
          <w:rFonts w:ascii="Times New Roman" w:eastAsia="Times New Roman" w:hAnsi="Times New Roman" w:cs="Times New Roman"/>
          <w:sz w:val="24"/>
          <w:szCs w:val="24"/>
          <w:u w:val="single"/>
          <w:vertAlign w:val="superscript"/>
          <w:lang w:val="en-US" w:eastAsia="en-GB"/>
        </w:rPr>
        <w:t>th</w:t>
      </w:r>
      <w:r w:rsidRPr="00A3359D">
        <w:rPr>
          <w:rFonts w:ascii="Times New Roman" w:eastAsia="Times New Roman" w:hAnsi="Times New Roman" w:cs="Times New Roman"/>
          <w:sz w:val="24"/>
          <w:szCs w:val="24"/>
          <w:u w:val="single"/>
          <w:lang w:val="en-US" w:eastAsia="en-GB"/>
        </w:rPr>
        <w:t xml:space="preserve"> November, 2010</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Garamond" w:eastAsia="Times New Roman" w:hAnsi="Garamond" w:cs="Times New Roman"/>
          <w:b/>
          <w:bCs/>
          <w:sz w:val="24"/>
          <w:szCs w:val="24"/>
          <w:lang w:val="en-US" w:eastAsia="en-GB"/>
        </w:rPr>
        <w:t xml:space="preserve">5 </w:t>
      </w:r>
      <w:proofErr w:type="spellStart"/>
      <w:r w:rsidRPr="00A3359D">
        <w:rPr>
          <w:rFonts w:ascii="Garamond" w:eastAsia="Times New Roman" w:hAnsi="Garamond" w:cs="Times New Roman"/>
          <w:b/>
          <w:bCs/>
          <w:sz w:val="24"/>
          <w:szCs w:val="24"/>
          <w:lang w:val="en-US" w:eastAsia="en-GB"/>
        </w:rPr>
        <w:t>Agrahayana</w:t>
      </w:r>
      <w:proofErr w:type="spellEnd"/>
      <w:r w:rsidRPr="00A3359D">
        <w:rPr>
          <w:rFonts w:ascii="Garamond" w:eastAsia="Times New Roman" w:hAnsi="Garamond" w:cs="Times New Roman"/>
          <w:b/>
          <w:bCs/>
          <w:sz w:val="24"/>
          <w:szCs w:val="24"/>
          <w:lang w:val="en-US" w:eastAsia="en-GB"/>
        </w:rPr>
        <w:t>, 1932(SAKA)</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both"/>
        <w:rPr>
          <w:rFonts w:ascii="Times New Roman" w:eastAsia="Times New Roman" w:hAnsi="Times New Roman" w:cs="Times New Roman"/>
          <w:sz w:val="20"/>
          <w:lang w:val="en-US" w:eastAsia="en-GB"/>
        </w:rPr>
      </w:pPr>
      <w:proofErr w:type="gramStart"/>
      <w:r w:rsidRPr="00A3359D">
        <w:rPr>
          <w:rFonts w:ascii="Times New Roman" w:eastAsia="Times New Roman" w:hAnsi="Times New Roman" w:cs="Times New Roman"/>
          <w:sz w:val="24"/>
          <w:szCs w:val="24"/>
          <w:lang w:val="en-US" w:eastAsia="en-GB"/>
        </w:rPr>
        <w:t>S.O.</w:t>
      </w:r>
      <w:proofErr w:type="gramEnd"/>
      <w:r w:rsidRPr="00A3359D">
        <w:rPr>
          <w:rFonts w:ascii="Times New Roman" w:eastAsia="Times New Roman" w:hAnsi="Times New Roman" w:cs="Times New Roman"/>
          <w:sz w:val="24"/>
          <w:szCs w:val="24"/>
          <w:lang w:val="en-US" w:eastAsia="en-GB"/>
        </w:rPr>
        <w:t>       (E). – In exercise of the powers conferred by section 14 of the Customs Act, 1962 (52 of 1962), and in supersession of the notification of the Government of India in the Ministry of Finance (Department of Revenue) No.91/2010-CUSTOMS (N.T.), dated the 27</w:t>
      </w:r>
      <w:r w:rsidRPr="00A3359D">
        <w:rPr>
          <w:rFonts w:ascii="Times New Roman" w:eastAsia="Times New Roman" w:hAnsi="Times New Roman" w:cs="Times New Roman"/>
          <w:sz w:val="24"/>
          <w:szCs w:val="24"/>
          <w:vertAlign w:val="superscript"/>
          <w:lang w:val="en-US" w:eastAsia="en-GB"/>
        </w:rPr>
        <w:t>th</w:t>
      </w:r>
      <w:r w:rsidRPr="00A3359D">
        <w:rPr>
          <w:rFonts w:ascii="Times New Roman" w:eastAsia="Times New Roman" w:hAnsi="Times New Roman" w:cs="Times New Roman"/>
          <w:sz w:val="24"/>
          <w:szCs w:val="24"/>
          <w:lang w:val="en-US" w:eastAsia="en-GB"/>
        </w:rPr>
        <w:t xml:space="preserve"> October, 2010 </w:t>
      </w:r>
      <w:r w:rsidRPr="00A3359D">
        <w:rPr>
          <w:rFonts w:ascii="Times New Roman" w:eastAsia="Times New Roman" w:hAnsi="Times New Roman" w:cs="Times New Roman"/>
          <w:i/>
          <w:iCs/>
          <w:sz w:val="24"/>
          <w:szCs w:val="24"/>
          <w:lang w:val="en-US" w:eastAsia="en-GB"/>
        </w:rPr>
        <w:t xml:space="preserve">vide </w:t>
      </w:r>
      <w:r w:rsidRPr="00A3359D">
        <w:rPr>
          <w:rFonts w:ascii="Times New Roman" w:eastAsia="Times New Roman" w:hAnsi="Times New Roman" w:cs="Times New Roman"/>
          <w:sz w:val="24"/>
          <w:szCs w:val="24"/>
          <w:lang w:val="en-US" w:eastAsia="en-GB"/>
        </w:rPr>
        <w:t>number S.O.2657 (E), dated the 27</w:t>
      </w:r>
      <w:r w:rsidRPr="00A3359D">
        <w:rPr>
          <w:rFonts w:ascii="Times New Roman" w:eastAsia="Times New Roman" w:hAnsi="Times New Roman" w:cs="Times New Roman"/>
          <w:sz w:val="24"/>
          <w:szCs w:val="24"/>
          <w:vertAlign w:val="superscript"/>
          <w:lang w:val="en-US" w:eastAsia="en-GB"/>
        </w:rPr>
        <w:t>th</w:t>
      </w:r>
      <w:r w:rsidRPr="00A3359D">
        <w:rPr>
          <w:rFonts w:ascii="Times New Roman" w:eastAsia="Times New Roman" w:hAnsi="Times New Roman" w:cs="Times New Roman"/>
          <w:sz w:val="24"/>
          <w:szCs w:val="24"/>
          <w:lang w:val="en-US" w:eastAsia="en-GB"/>
        </w:rPr>
        <w:t xml:space="preserve"> October,  2010,   except as respects things done or omitted to be done before such supersession, the Central Board of Excise and Customs hereby determines that the rate of exchange of conversion of each of the foreign currency specified in column (2) of each of Schedule I and  Schedule II annexed hereto into Indian currency or </w:t>
      </w:r>
      <w:r w:rsidRPr="00A3359D">
        <w:rPr>
          <w:rFonts w:ascii="Times New Roman" w:eastAsia="Times New Roman" w:hAnsi="Times New Roman" w:cs="Times New Roman"/>
          <w:i/>
          <w:iCs/>
          <w:sz w:val="24"/>
          <w:szCs w:val="24"/>
          <w:lang w:val="en-US" w:eastAsia="en-GB"/>
        </w:rPr>
        <w:t>vice versa</w:t>
      </w:r>
      <w:r w:rsidRPr="00A3359D">
        <w:rPr>
          <w:rFonts w:ascii="Times New Roman" w:eastAsia="Times New Roman" w:hAnsi="Times New Roman" w:cs="Times New Roman"/>
          <w:sz w:val="24"/>
          <w:szCs w:val="24"/>
          <w:lang w:val="en-US" w:eastAsia="en-GB"/>
        </w:rPr>
        <w:t xml:space="preserve"> shall, with effect from 1</w:t>
      </w:r>
      <w:r w:rsidRPr="00A3359D">
        <w:rPr>
          <w:rFonts w:ascii="Times New Roman" w:eastAsia="Times New Roman" w:hAnsi="Times New Roman" w:cs="Times New Roman"/>
          <w:sz w:val="24"/>
          <w:szCs w:val="24"/>
          <w:vertAlign w:val="superscript"/>
          <w:lang w:val="en-US" w:eastAsia="en-GB"/>
        </w:rPr>
        <w:t>st</w:t>
      </w:r>
      <w:r w:rsidRPr="00A3359D">
        <w:rPr>
          <w:rFonts w:ascii="Times New Roman" w:eastAsia="Times New Roman" w:hAnsi="Times New Roman" w:cs="Times New Roman"/>
          <w:sz w:val="24"/>
          <w:szCs w:val="24"/>
          <w:lang w:val="en-US" w:eastAsia="en-GB"/>
        </w:rPr>
        <w:t xml:space="preserve"> December, 2010 be the rate mentioned against it in the corresponding entry in column (3) thereof, for the purpose of the said section, relating to imported and export goods.</w:t>
      </w:r>
    </w:p>
    <w:p w:rsidR="00A3359D" w:rsidRPr="00A3359D" w:rsidRDefault="00A3359D" w:rsidP="00A3359D">
      <w:pPr>
        <w:spacing w:after="0" w:line="240" w:lineRule="auto"/>
        <w:jc w:val="both"/>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0"/>
          <w:lang w:val="en-US" w:eastAsia="en-GB"/>
        </w:rPr>
        <w:t> </w:t>
      </w:r>
    </w:p>
    <w:p w:rsidR="00A3359D" w:rsidRPr="00A3359D" w:rsidRDefault="00A3359D" w:rsidP="00A3359D">
      <w:pPr>
        <w:spacing w:after="0" w:line="240" w:lineRule="auto"/>
        <w:jc w:val="center"/>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SCHEDULE-I</w:t>
      </w:r>
    </w:p>
    <w:tbl>
      <w:tblPr>
        <w:tblW w:w="0" w:type="auto"/>
        <w:tblInd w:w="288" w:type="dxa"/>
        <w:tblCellMar>
          <w:left w:w="0" w:type="dxa"/>
          <w:right w:w="0" w:type="dxa"/>
        </w:tblCellMar>
        <w:tblLook w:val="04A0"/>
      </w:tblPr>
      <w:tblGrid>
        <w:gridCol w:w="1440"/>
        <w:gridCol w:w="2340"/>
        <w:gridCol w:w="2520"/>
        <w:gridCol w:w="20"/>
        <w:gridCol w:w="2480"/>
      </w:tblGrid>
      <w:tr w:rsidR="00A3359D" w:rsidRPr="00A3359D" w:rsidTr="00A3359D">
        <w:tc>
          <w:tcPr>
            <w:tcW w:w="1440"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proofErr w:type="spellStart"/>
            <w:r w:rsidRPr="00A3359D">
              <w:rPr>
                <w:rFonts w:ascii="Times New Roman" w:eastAsia="Times New Roman" w:hAnsi="Times New Roman" w:cs="Times New Roman"/>
                <w:sz w:val="24"/>
                <w:szCs w:val="24"/>
                <w:lang w:eastAsia="en-GB"/>
              </w:rPr>
              <w:t>S.No</w:t>
            </w:r>
            <w:proofErr w:type="spellEnd"/>
            <w:r w:rsidRPr="00A3359D">
              <w:rPr>
                <w:rFonts w:ascii="Times New Roman" w:eastAsia="Times New Roman" w:hAnsi="Times New Roman" w:cs="Times New Roman"/>
                <w:sz w:val="24"/>
                <w:szCs w:val="24"/>
                <w:lang w:eastAsia="en-GB"/>
              </w:rPr>
              <w:t xml:space="preserve">. </w:t>
            </w:r>
          </w:p>
        </w:tc>
        <w:tc>
          <w:tcPr>
            <w:tcW w:w="23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Foreign Currency</w:t>
            </w:r>
          </w:p>
        </w:tc>
        <w:tc>
          <w:tcPr>
            <w:tcW w:w="5020"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Rate of exchange of one unit of foreign currency equivalent to Indian rupees</w:t>
            </w:r>
          </w:p>
        </w:tc>
      </w:tr>
      <w:tr w:rsidR="00A3359D" w:rsidRPr="00A3359D" w:rsidTr="00A3359D">
        <w:trPr>
          <w:trHeight w:val="360"/>
        </w:trPr>
        <w:tc>
          <w:tcPr>
            <w:tcW w:w="144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(1)     </w:t>
            </w:r>
          </w:p>
        </w:tc>
        <w:tc>
          <w:tcPr>
            <w:tcW w:w="2340" w:type="dxa"/>
            <w:tcBorders>
              <w:top w:val="nil"/>
              <w:left w:val="nil"/>
              <w:bottom w:val="single" w:sz="8" w:space="0" w:color="auto"/>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(2) </w:t>
            </w:r>
          </w:p>
        </w:tc>
        <w:tc>
          <w:tcPr>
            <w:tcW w:w="5020"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(3) </w:t>
            </w:r>
          </w:p>
        </w:tc>
      </w:tr>
      <w:tr w:rsidR="00A3359D" w:rsidRPr="00A3359D" w:rsidTr="00A3359D">
        <w:trPr>
          <w:trHeight w:val="160"/>
        </w:trPr>
        <w:tc>
          <w:tcPr>
            <w:tcW w:w="1440" w:type="dxa"/>
            <w:tcBorders>
              <w:top w:val="nil"/>
              <w:left w:val="single" w:sz="8" w:space="0" w:color="auto"/>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160" w:lineRule="atLeast"/>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160" w:lineRule="atLeast"/>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w:t>
            </w:r>
          </w:p>
        </w:tc>
        <w:tc>
          <w:tcPr>
            <w:tcW w:w="2540"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160" w:lineRule="atLeast"/>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(a)</w:t>
            </w:r>
          </w:p>
        </w:tc>
        <w:tc>
          <w:tcPr>
            <w:tcW w:w="248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160" w:lineRule="atLeast"/>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(b)</w:t>
            </w:r>
          </w:p>
        </w:tc>
      </w:tr>
      <w:tr w:rsidR="00A3359D" w:rsidRPr="00A3359D" w:rsidTr="00A3359D">
        <w:tc>
          <w:tcPr>
            <w:tcW w:w="1440" w:type="dxa"/>
            <w:tcBorders>
              <w:top w:val="nil"/>
              <w:left w:val="single" w:sz="8" w:space="0" w:color="000000"/>
              <w:bottom w:val="nil"/>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w:t>
            </w:r>
          </w:p>
        </w:tc>
        <w:tc>
          <w:tcPr>
            <w:tcW w:w="2340" w:type="dxa"/>
            <w:tcBorders>
              <w:top w:val="nil"/>
              <w:left w:val="nil"/>
              <w:bottom w:val="nil"/>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w:t>
            </w:r>
          </w:p>
        </w:tc>
        <w:tc>
          <w:tcPr>
            <w:tcW w:w="2520" w:type="dxa"/>
            <w:tcBorders>
              <w:top w:val="nil"/>
              <w:left w:val="nil"/>
              <w:bottom w:val="nil"/>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(For Imported Goods)</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(For Export Goods)</w:t>
            </w:r>
          </w:p>
        </w:tc>
      </w:tr>
      <w:tr w:rsidR="00A3359D" w:rsidRPr="00A3359D" w:rsidTr="00A3359D">
        <w:tc>
          <w:tcPr>
            <w:tcW w:w="1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1.</w:t>
            </w:r>
          </w:p>
        </w:tc>
        <w:tc>
          <w:tcPr>
            <w:tcW w:w="2340" w:type="dxa"/>
            <w:tcBorders>
              <w:top w:val="single" w:sz="8" w:space="0" w:color="auto"/>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Australian Dollar</w:t>
            </w:r>
          </w:p>
        </w:tc>
        <w:tc>
          <w:tcPr>
            <w:tcW w:w="2520"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45.35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44.00</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2.</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Canadian Dollar                </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45.95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44.60</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3.</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Danish Kroner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8.30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8.05</w:t>
            </w:r>
          </w:p>
        </w:tc>
      </w:tr>
      <w:tr w:rsidR="00A3359D" w:rsidRPr="00A3359D" w:rsidTr="00A3359D">
        <w:tc>
          <w:tcPr>
            <w:tcW w:w="1440"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EURO</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61.75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60.10</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5.</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Hong Kong Dollar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5.95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5.85</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6.</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Norwegian Kroner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7.65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7.35</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7.</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Pound Sterling</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72.95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71.05</w:t>
            </w:r>
          </w:p>
        </w:tc>
      </w:tr>
      <w:tr w:rsidR="00A3359D" w:rsidRPr="00A3359D" w:rsidTr="00A3359D">
        <w:trPr>
          <w:trHeight w:val="345"/>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8.</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Swedish Kroner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6.70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6.45</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9.</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Swiss Franc</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46.50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45.25</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10.</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Singapore Dollar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35.40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34.40</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11.</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US Dollar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46.15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45.25</w:t>
            </w:r>
          </w:p>
        </w:tc>
      </w:tr>
      <w:tr w:rsidR="00A3359D" w:rsidRPr="00A3359D" w:rsidTr="00A3359D">
        <w:tc>
          <w:tcPr>
            <w:tcW w:w="1440"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2340"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2520"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15"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2475"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r>
    </w:tbl>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roofErr w:type="spellStart"/>
      <w:proofErr w:type="gramStart"/>
      <w:r w:rsidRPr="00A3359D">
        <w:rPr>
          <w:rFonts w:ascii="Times New Roman" w:eastAsia="Times New Roman" w:hAnsi="Times New Roman" w:cs="Times New Roman"/>
          <w:sz w:val="24"/>
          <w:szCs w:val="24"/>
          <w:lang w:val="en-US" w:eastAsia="en-GB"/>
        </w:rPr>
        <w:t>Contd</w:t>
      </w:r>
      <w:proofErr w:type="spellEnd"/>
      <w:r w:rsidRPr="00A3359D">
        <w:rPr>
          <w:rFonts w:ascii="Times New Roman" w:eastAsia="Times New Roman" w:hAnsi="Times New Roman" w:cs="Times New Roman"/>
          <w:sz w:val="24"/>
          <w:szCs w:val="24"/>
          <w:lang w:val="en-US" w:eastAsia="en-GB"/>
        </w:rPr>
        <w:t>…2/….</w:t>
      </w:r>
      <w:proofErr w:type="gramEnd"/>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br w:type="page"/>
      </w:r>
      <w:r w:rsidRPr="00A3359D">
        <w:rPr>
          <w:rFonts w:ascii="Times New Roman" w:eastAsia="Times New Roman" w:hAnsi="Times New Roman" w:cs="Times New Roman"/>
          <w:sz w:val="24"/>
          <w:szCs w:val="24"/>
          <w:lang w:val="en-US" w:eastAsia="en-GB"/>
        </w:rPr>
        <w:lastRenderedPageBreak/>
        <w:t xml:space="preserve">                                      </w:t>
      </w:r>
    </w:p>
    <w:p w:rsidR="00A3359D" w:rsidRPr="00A3359D" w:rsidRDefault="00A3359D" w:rsidP="00A3359D">
      <w:pPr>
        <w:spacing w:after="0" w:line="240" w:lineRule="auto"/>
        <w:jc w:val="center"/>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-:2:-</w:t>
      </w:r>
    </w:p>
    <w:p w:rsidR="00A3359D" w:rsidRPr="00A3359D" w:rsidRDefault="00A3359D" w:rsidP="00A3359D">
      <w:pPr>
        <w:spacing w:after="0" w:line="240" w:lineRule="auto"/>
        <w:jc w:val="center"/>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0"/>
          <w:lang w:val="en-US" w:eastAsia="en-GB"/>
        </w:rPr>
        <w:t> </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center"/>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SCHEDULE-II</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xml:space="preserve">                   </w:t>
      </w:r>
    </w:p>
    <w:tbl>
      <w:tblPr>
        <w:tblW w:w="0" w:type="auto"/>
        <w:tblInd w:w="828" w:type="dxa"/>
        <w:tblCellMar>
          <w:left w:w="0" w:type="dxa"/>
          <w:right w:w="0" w:type="dxa"/>
        </w:tblCellMar>
        <w:tblLook w:val="04A0"/>
      </w:tblPr>
      <w:tblGrid>
        <w:gridCol w:w="1440"/>
        <w:gridCol w:w="2340"/>
        <w:gridCol w:w="2520"/>
        <w:gridCol w:w="20"/>
        <w:gridCol w:w="2480"/>
      </w:tblGrid>
      <w:tr w:rsidR="00A3359D" w:rsidRPr="00A3359D" w:rsidTr="00A3359D">
        <w:tc>
          <w:tcPr>
            <w:tcW w:w="1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proofErr w:type="spellStart"/>
            <w:r w:rsidRPr="00A3359D">
              <w:rPr>
                <w:rFonts w:ascii="Times New Roman" w:eastAsia="Times New Roman" w:hAnsi="Times New Roman" w:cs="Times New Roman"/>
                <w:sz w:val="24"/>
                <w:szCs w:val="24"/>
                <w:lang w:eastAsia="en-GB"/>
              </w:rPr>
              <w:t>S.No</w:t>
            </w:r>
            <w:proofErr w:type="spellEnd"/>
            <w:r w:rsidRPr="00A3359D">
              <w:rPr>
                <w:rFonts w:ascii="Times New Roman" w:eastAsia="Times New Roman" w:hAnsi="Times New Roman" w:cs="Times New Roman"/>
                <w:sz w:val="24"/>
                <w:szCs w:val="24"/>
                <w:lang w:eastAsia="en-GB"/>
              </w:rPr>
              <w:t xml:space="preserve">. </w:t>
            </w:r>
          </w:p>
        </w:tc>
        <w:tc>
          <w:tcPr>
            <w:tcW w:w="23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Foreign Currency</w:t>
            </w:r>
          </w:p>
        </w:tc>
        <w:tc>
          <w:tcPr>
            <w:tcW w:w="5020"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Rate of exchange of 100 units of foreign currency equivalent to Indian rupees</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(1)     </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(2) </w:t>
            </w:r>
          </w:p>
        </w:tc>
        <w:tc>
          <w:tcPr>
            <w:tcW w:w="502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xml:space="preserve">(3) </w:t>
            </w:r>
          </w:p>
        </w:tc>
      </w:tr>
      <w:tr w:rsidR="00A3359D" w:rsidRPr="00A3359D" w:rsidTr="00A3359D">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w:t>
            </w:r>
          </w:p>
        </w:tc>
        <w:tc>
          <w:tcPr>
            <w:tcW w:w="2540"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(a)</w:t>
            </w:r>
          </w:p>
        </w:tc>
        <w:tc>
          <w:tcPr>
            <w:tcW w:w="2480" w:type="dxa"/>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(b)</w:t>
            </w:r>
          </w:p>
        </w:tc>
      </w:tr>
      <w:tr w:rsidR="00A3359D" w:rsidRPr="00A3359D" w:rsidTr="00A3359D">
        <w:tc>
          <w:tcPr>
            <w:tcW w:w="1440" w:type="dxa"/>
            <w:tcBorders>
              <w:top w:val="nil"/>
              <w:left w:val="single" w:sz="8" w:space="0" w:color="000000"/>
              <w:bottom w:val="nil"/>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w:t>
            </w:r>
          </w:p>
        </w:tc>
        <w:tc>
          <w:tcPr>
            <w:tcW w:w="2340" w:type="dxa"/>
            <w:tcBorders>
              <w:top w:val="nil"/>
              <w:left w:val="nil"/>
              <w:bottom w:val="nil"/>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w:t>
            </w:r>
          </w:p>
        </w:tc>
        <w:tc>
          <w:tcPr>
            <w:tcW w:w="2520" w:type="dxa"/>
            <w:tcBorders>
              <w:top w:val="nil"/>
              <w:left w:val="nil"/>
              <w:bottom w:val="nil"/>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(For Imported Goods)</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b/>
                <w:bCs/>
                <w:sz w:val="24"/>
                <w:szCs w:val="24"/>
                <w:lang w:eastAsia="en-GB"/>
              </w:rPr>
              <w:t>  (For Export Goods)</w:t>
            </w:r>
          </w:p>
        </w:tc>
      </w:tr>
      <w:tr w:rsidR="00A3359D" w:rsidRPr="00A3359D" w:rsidTr="00A3359D">
        <w:tc>
          <w:tcPr>
            <w:tcW w:w="1440"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1.</w:t>
            </w:r>
          </w:p>
        </w:tc>
        <w:tc>
          <w:tcPr>
            <w:tcW w:w="2340" w:type="dxa"/>
            <w:tcBorders>
              <w:top w:val="single" w:sz="8" w:space="0" w:color="auto"/>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Japanese Yen</w:t>
            </w:r>
          </w:p>
        </w:tc>
        <w:tc>
          <w:tcPr>
            <w:tcW w:w="2520"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A3359D" w:rsidRPr="00A3359D" w:rsidRDefault="00A3359D" w:rsidP="00A3359D">
            <w:pPr>
              <w:spacing w:after="0" w:line="240" w:lineRule="auto"/>
              <w:jc w:val="center"/>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55.55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3359D" w:rsidRPr="00A3359D" w:rsidRDefault="00A3359D" w:rsidP="00A3359D">
            <w:pPr>
              <w:spacing w:after="0" w:line="240" w:lineRule="auto"/>
              <w:jc w:val="both"/>
              <w:rPr>
                <w:rFonts w:ascii="Times New Roman" w:eastAsia="Times New Roman" w:hAnsi="Times New Roman" w:cs="Times New Roman"/>
                <w:sz w:val="24"/>
                <w:szCs w:val="24"/>
                <w:lang w:eastAsia="en-GB"/>
              </w:rPr>
            </w:pPr>
            <w:r w:rsidRPr="00A3359D">
              <w:rPr>
                <w:rFonts w:ascii="Times New Roman" w:eastAsia="Times New Roman" w:hAnsi="Times New Roman" w:cs="Times New Roman"/>
                <w:sz w:val="24"/>
                <w:szCs w:val="24"/>
                <w:lang w:eastAsia="en-GB"/>
              </w:rPr>
              <w:t>       53.95</w:t>
            </w:r>
          </w:p>
        </w:tc>
      </w:tr>
      <w:tr w:rsidR="00A3359D" w:rsidRPr="00A3359D" w:rsidTr="00A3359D">
        <w:tc>
          <w:tcPr>
            <w:tcW w:w="1440"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2340"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2520"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15"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c>
          <w:tcPr>
            <w:tcW w:w="2475" w:type="dxa"/>
            <w:tcBorders>
              <w:top w:val="nil"/>
              <w:left w:val="nil"/>
              <w:bottom w:val="nil"/>
              <w:right w:val="nil"/>
            </w:tcBorders>
            <w:vAlign w:val="center"/>
            <w:hideMark/>
          </w:tcPr>
          <w:p w:rsidR="00A3359D" w:rsidRPr="00A3359D" w:rsidRDefault="00A3359D" w:rsidP="00A3359D">
            <w:pPr>
              <w:spacing w:after="0" w:line="240" w:lineRule="auto"/>
              <w:rPr>
                <w:rFonts w:ascii="Times New Roman" w:eastAsia="Times New Roman" w:hAnsi="Times New Roman" w:cs="Times New Roman"/>
                <w:sz w:val="2"/>
                <w:lang w:eastAsia="en-GB"/>
              </w:rPr>
            </w:pPr>
          </w:p>
        </w:tc>
      </w:tr>
    </w:tbl>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[F.No.468/13/2010-Cus.V]</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xml:space="preserve">                                                </w:t>
      </w:r>
    </w:p>
    <w:p w:rsidR="00A3359D" w:rsidRPr="00A3359D" w:rsidRDefault="00A3359D" w:rsidP="00A3359D">
      <w:pPr>
        <w:spacing w:after="0" w:line="240" w:lineRule="auto"/>
        <w:jc w:val="right"/>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sz w:val="24"/>
          <w:szCs w:val="24"/>
          <w:lang w:val="en-US" w:eastAsia="en-GB"/>
        </w:rPr>
        <w:t> </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(ABHINAV GUPTA)</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UNDER SECRETARY TO THE GOVT. OF INDIA</w:t>
      </w:r>
    </w:p>
    <w:p w:rsidR="00A3359D" w:rsidRPr="00A3359D" w:rsidRDefault="00A3359D" w:rsidP="00A3359D">
      <w:pPr>
        <w:spacing w:after="0" w:line="240" w:lineRule="auto"/>
        <w:jc w:val="right"/>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4"/>
          <w:szCs w:val="24"/>
          <w:lang w:val="en-US" w:eastAsia="en-GB"/>
        </w:rPr>
        <w:t>TELE: 2309 4610</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color w:val="000000"/>
          <w:sz w:val="24"/>
          <w:szCs w:val="24"/>
          <w:lang w:val="en-US" w:eastAsia="en-GB"/>
        </w:rPr>
        <w:t> </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color w:val="000000"/>
          <w:sz w:val="24"/>
          <w:szCs w:val="24"/>
          <w:lang w:val="en-US" w:eastAsia="en-GB"/>
        </w:rPr>
        <w:t>To</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color w:val="000000"/>
          <w:sz w:val="24"/>
          <w:szCs w:val="24"/>
          <w:lang w:val="en-US" w:eastAsia="en-GB"/>
        </w:rPr>
        <w:t>          The Manager,</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color w:val="000000"/>
          <w:sz w:val="24"/>
          <w:szCs w:val="24"/>
          <w:lang w:val="en-US" w:eastAsia="en-GB"/>
        </w:rPr>
        <w:t>          Government of India Press,</w:t>
      </w:r>
    </w:p>
    <w:p w:rsidR="00A3359D" w:rsidRPr="00A3359D" w:rsidRDefault="00A3359D" w:rsidP="00A3359D">
      <w:pPr>
        <w:spacing w:after="0" w:line="240" w:lineRule="auto"/>
        <w:rPr>
          <w:rFonts w:ascii="Times New Roman" w:eastAsia="Times New Roman" w:hAnsi="Times New Roman" w:cs="Times New Roman"/>
          <w:sz w:val="24"/>
          <w:szCs w:val="24"/>
          <w:lang w:val="en-US" w:eastAsia="en-GB"/>
        </w:rPr>
      </w:pPr>
      <w:r w:rsidRPr="00A3359D">
        <w:rPr>
          <w:rFonts w:ascii="Times New Roman" w:eastAsia="Times New Roman" w:hAnsi="Times New Roman" w:cs="Times New Roman"/>
          <w:color w:val="000000"/>
          <w:sz w:val="24"/>
          <w:szCs w:val="24"/>
          <w:lang w:val="en-US" w:eastAsia="en-GB"/>
        </w:rPr>
        <w:t xml:space="preserve">          </w:t>
      </w:r>
      <w:proofErr w:type="spellStart"/>
      <w:proofErr w:type="gramStart"/>
      <w:r w:rsidRPr="00A3359D">
        <w:rPr>
          <w:rFonts w:ascii="Times New Roman" w:eastAsia="Times New Roman" w:hAnsi="Times New Roman" w:cs="Times New Roman"/>
          <w:color w:val="000000"/>
          <w:sz w:val="24"/>
          <w:szCs w:val="24"/>
          <w:lang w:val="en-US" w:eastAsia="en-GB"/>
        </w:rPr>
        <w:t>Mayapuri</w:t>
      </w:r>
      <w:proofErr w:type="spellEnd"/>
      <w:r w:rsidRPr="00A3359D">
        <w:rPr>
          <w:rFonts w:ascii="Times New Roman" w:eastAsia="Times New Roman" w:hAnsi="Times New Roman" w:cs="Times New Roman"/>
          <w:color w:val="000000"/>
          <w:sz w:val="24"/>
          <w:szCs w:val="24"/>
          <w:lang w:val="en-US" w:eastAsia="en-GB"/>
        </w:rPr>
        <w:t>, Ring Road, New Delhi.</w:t>
      </w:r>
      <w:proofErr w:type="gramEnd"/>
    </w:p>
    <w:p w:rsidR="00A3359D" w:rsidRPr="00A3359D" w:rsidRDefault="00A3359D" w:rsidP="00A3359D">
      <w:pPr>
        <w:spacing w:after="0" w:line="240" w:lineRule="auto"/>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0"/>
          <w:lang w:val="en-US" w:eastAsia="en-GB"/>
        </w:rPr>
        <w:t> </w:t>
      </w:r>
    </w:p>
    <w:p w:rsidR="00A3359D" w:rsidRPr="00A3359D" w:rsidRDefault="00A3359D" w:rsidP="00A3359D">
      <w:pPr>
        <w:spacing w:after="0" w:line="240" w:lineRule="auto"/>
        <w:jc w:val="center"/>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0"/>
          <w:lang w:val="en-US" w:eastAsia="en-GB"/>
        </w:rPr>
        <w:t> </w:t>
      </w:r>
    </w:p>
    <w:p w:rsidR="00A3359D" w:rsidRPr="00A3359D" w:rsidRDefault="00A3359D" w:rsidP="00A3359D">
      <w:pPr>
        <w:spacing w:after="0" w:line="240" w:lineRule="auto"/>
        <w:rPr>
          <w:rFonts w:ascii="Times New Roman" w:eastAsia="Times New Roman" w:hAnsi="Times New Roman" w:cs="Times New Roman"/>
          <w:sz w:val="20"/>
          <w:lang w:val="en-US" w:eastAsia="en-GB"/>
        </w:rPr>
      </w:pPr>
      <w:r w:rsidRPr="00A3359D">
        <w:rPr>
          <w:rFonts w:ascii="Times New Roman" w:eastAsia="Times New Roman" w:hAnsi="Times New Roman" w:cs="Times New Roman"/>
          <w:sz w:val="20"/>
          <w:lang w:val="en-US" w:eastAsia="en-GB"/>
        </w:rPr>
        <w:t> </w:t>
      </w:r>
    </w:p>
    <w:p w:rsidR="003F7BA2" w:rsidRPr="00A3359D" w:rsidRDefault="00A3359D" w:rsidP="00A3359D">
      <w:pPr>
        <w:spacing w:after="0" w:line="360" w:lineRule="auto"/>
        <w:ind w:left="360" w:right="-720"/>
        <w:jc w:val="right"/>
        <w:rPr>
          <w:rFonts w:ascii="Times New Roman" w:eastAsia="Times New Roman" w:hAnsi="Times New Roman" w:cs="Times New Roman"/>
          <w:sz w:val="20"/>
          <w:lang w:val="en-US" w:eastAsia="en-GB"/>
        </w:rPr>
      </w:pPr>
    </w:p>
    <w:sectPr w:rsidR="003F7BA2" w:rsidRPr="00A3359D" w:rsidSect="00A3359D">
      <w:pgSz w:w="11906" w:h="16838"/>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3359D"/>
    <w:rsid w:val="005809A8"/>
    <w:rsid w:val="00943688"/>
    <w:rsid w:val="00A3359D"/>
    <w:rsid w:val="00F77758"/>
  </w:rsids>
  <m:mathPr>
    <m:mathFont m:val="Cambria Math"/>
    <m:brkBin m:val="before"/>
    <m:brkBinSub m:val="--"/>
    <m:smallFrac m:val="off"/>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GB"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758"/>
  </w:style>
  <w:style w:type="paragraph" w:styleId="Heading1">
    <w:name w:val="heading 1"/>
    <w:basedOn w:val="Normal"/>
    <w:link w:val="Heading1Char"/>
    <w:uiPriority w:val="9"/>
    <w:qFormat/>
    <w:rsid w:val="00A3359D"/>
    <w:pPr>
      <w:keepNext/>
      <w:spacing w:after="0" w:line="240" w:lineRule="auto"/>
      <w:ind w:left="1080"/>
      <w:outlineLvl w:val="0"/>
    </w:pPr>
    <w:rPr>
      <w:rFonts w:ascii="Times New Roman" w:eastAsia="Times New Roman" w:hAnsi="Times New Roman" w:cs="Times New Roman"/>
      <w:kern w:val="3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59D"/>
    <w:rPr>
      <w:rFonts w:ascii="Times New Roman" w:eastAsia="Times New Roman" w:hAnsi="Times New Roman" w:cs="Times New Roman"/>
      <w:kern w:val="36"/>
      <w:sz w:val="28"/>
      <w:szCs w:val="28"/>
      <w:lang w:eastAsia="en-GB"/>
    </w:rPr>
  </w:style>
  <w:style w:type="paragraph" w:styleId="BodyTextIndent">
    <w:name w:val="Body Text Indent"/>
    <w:basedOn w:val="Normal"/>
    <w:link w:val="BodyTextIndentChar"/>
    <w:uiPriority w:val="99"/>
    <w:unhideWhenUsed/>
    <w:rsid w:val="00A3359D"/>
    <w:pPr>
      <w:spacing w:after="0" w:line="240" w:lineRule="auto"/>
      <w:ind w:left="1080"/>
      <w:jc w:val="both"/>
    </w:pPr>
    <w:rPr>
      <w:rFonts w:ascii="Times New Roman" w:eastAsia="Times New Roman" w:hAnsi="Times New Roman" w:cs="Times New Roman"/>
      <w:sz w:val="28"/>
      <w:szCs w:val="28"/>
      <w:lang w:eastAsia="en-GB"/>
    </w:rPr>
  </w:style>
  <w:style w:type="character" w:customStyle="1" w:styleId="BodyTextIndentChar">
    <w:name w:val="Body Text Indent Char"/>
    <w:basedOn w:val="DefaultParagraphFont"/>
    <w:link w:val="BodyTextIndent"/>
    <w:uiPriority w:val="99"/>
    <w:rsid w:val="00A3359D"/>
    <w:rPr>
      <w:rFonts w:ascii="Times New Roman" w:eastAsia="Times New Roman" w:hAnsi="Times New Roman" w:cs="Times New Roman"/>
      <w:sz w:val="28"/>
      <w:szCs w:val="28"/>
      <w:lang w:eastAsia="en-GB"/>
    </w:rPr>
  </w:style>
</w:styles>
</file>

<file path=word/webSettings.xml><?xml version="1.0" encoding="utf-8"?>
<w:webSettings xmlns:r="http://schemas.openxmlformats.org/officeDocument/2006/relationships" xmlns:w="http://schemas.openxmlformats.org/wordprocessingml/2006/main">
  <w:divs>
    <w:div w:id="16956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B GAVALI</dc:creator>
  <cp:keywords/>
  <dc:description/>
  <cp:lastModifiedBy>MANOJ B GAVALI</cp:lastModifiedBy>
  <cp:revision>1</cp:revision>
  <dcterms:created xsi:type="dcterms:W3CDTF">2010-11-30T04:31:00Z</dcterms:created>
  <dcterms:modified xsi:type="dcterms:W3CDTF">2010-11-30T04:35:00Z</dcterms:modified>
</cp:coreProperties>
</file>