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1E7" w:rsidRPr="00514DF2" w:rsidRDefault="002541E7" w:rsidP="00514DF2">
      <w:pPr>
        <w:spacing w:before="100" w:beforeAutospacing="1" w:after="306" w:line="240" w:lineRule="auto"/>
        <w:jc w:val="center"/>
        <w:outlineLvl w:val="0"/>
        <w:rPr>
          <w:rFonts w:ascii="Sailor" w:eastAsia="Times New Roman" w:hAnsi="Sailor" w:cs="Times New Roman"/>
          <w:color w:val="0070C0"/>
          <w:kern w:val="36"/>
          <w:sz w:val="44"/>
          <w:szCs w:val="86"/>
        </w:rPr>
      </w:pPr>
      <w:r w:rsidRPr="00514DF2">
        <w:rPr>
          <w:rFonts w:ascii="Sailor" w:eastAsia="Times New Roman" w:hAnsi="Sailor" w:cs="Times New Roman"/>
          <w:color w:val="0070C0"/>
          <w:kern w:val="36"/>
          <w:sz w:val="44"/>
          <w:szCs w:val="86"/>
        </w:rPr>
        <w:t>Understanding Deferred Tax Assets</w:t>
      </w:r>
    </w:p>
    <w:p w:rsidR="002541E7" w:rsidRPr="00F97460" w:rsidRDefault="002541E7" w:rsidP="00514DF2">
      <w:pPr>
        <w:pStyle w:val="Heading1"/>
        <w:shd w:val="clear" w:color="auto" w:fill="F8FCFF"/>
        <w:spacing w:line="240" w:lineRule="auto"/>
        <w:jc w:val="center"/>
        <w:rPr>
          <w:rFonts w:ascii="Sailor" w:hAnsi="Sailor"/>
          <w:sz w:val="44"/>
        </w:rPr>
      </w:pPr>
      <w:r w:rsidRPr="00F97460">
        <w:rPr>
          <w:rFonts w:ascii="Sailor" w:hAnsi="Sailor"/>
          <w:sz w:val="44"/>
        </w:rPr>
        <w:t>Deferred tax</w:t>
      </w:r>
    </w:p>
    <w:tbl>
      <w:tblPr>
        <w:tblW w:w="5227" w:type="pct"/>
        <w:tblInd w:w="-30" w:type="dxa"/>
        <w:tblBorders>
          <w:top w:val="single" w:sz="6" w:space="0" w:color="AAAAAA"/>
          <w:left w:val="single" w:sz="6" w:space="0" w:color="AAAAAA"/>
          <w:bottom w:val="single" w:sz="6" w:space="0" w:color="AAAAAA"/>
          <w:right w:val="single" w:sz="6" w:space="0" w:color="AAAAAA"/>
        </w:tblBorders>
        <w:shd w:val="clear" w:color="auto" w:fill="FDFDFD"/>
        <w:tblCellMar>
          <w:top w:w="15" w:type="dxa"/>
          <w:left w:w="15" w:type="dxa"/>
          <w:bottom w:w="15" w:type="dxa"/>
          <w:right w:w="15" w:type="dxa"/>
        </w:tblCellMar>
        <w:tblLook w:val="04A0"/>
      </w:tblPr>
      <w:tblGrid>
        <w:gridCol w:w="11416"/>
      </w:tblGrid>
      <w:tr w:rsidR="002541E7" w:rsidRPr="00F97460" w:rsidTr="00F97460">
        <w:tc>
          <w:tcPr>
            <w:tcW w:w="0" w:type="auto"/>
            <w:shd w:val="clear" w:color="auto" w:fill="FDFDFD"/>
            <w:vAlign w:val="center"/>
            <w:hideMark/>
          </w:tcPr>
          <w:p w:rsidR="002541E7" w:rsidRPr="00F97460" w:rsidRDefault="002541E7" w:rsidP="00514DF2">
            <w:pPr>
              <w:spacing w:line="240" w:lineRule="auto"/>
              <w:rPr>
                <w:rFonts w:ascii="Sailor" w:hAnsi="Sailor"/>
                <w:sz w:val="18"/>
                <w:szCs w:val="21"/>
              </w:rPr>
            </w:pPr>
          </w:p>
        </w:tc>
      </w:tr>
      <w:tr w:rsidR="002541E7" w:rsidRPr="00F97460" w:rsidTr="00F97460">
        <w:tc>
          <w:tcPr>
            <w:tcW w:w="0" w:type="auto"/>
            <w:tcBorders>
              <w:top w:val="single" w:sz="6" w:space="0" w:color="BEBEBE"/>
            </w:tcBorders>
            <w:shd w:val="clear" w:color="auto" w:fill="FDFDFD"/>
            <w:vAlign w:val="center"/>
            <w:hideMark/>
          </w:tcPr>
          <w:p w:rsidR="002541E7" w:rsidRPr="00F97460" w:rsidRDefault="002541E7" w:rsidP="00514DF2">
            <w:pPr>
              <w:spacing w:line="240" w:lineRule="auto"/>
              <w:jc w:val="center"/>
              <w:rPr>
                <w:rFonts w:ascii="Sailor" w:hAnsi="Sailor"/>
                <w:sz w:val="14"/>
                <w:szCs w:val="17"/>
              </w:rPr>
            </w:pPr>
          </w:p>
        </w:tc>
      </w:tr>
      <w:tr w:rsidR="002541E7" w:rsidRPr="00F97460" w:rsidTr="00F97460">
        <w:tblPrEx>
          <w:tblCellSpacing w:w="15" w:type="dxa"/>
          <w:tblBorders>
            <w:top w:val="none" w:sz="0" w:space="0" w:color="auto"/>
            <w:left w:val="none" w:sz="0" w:space="0" w:color="auto"/>
            <w:bottom w:val="none" w:sz="0" w:space="0" w:color="auto"/>
            <w:right w:val="none" w:sz="0" w:space="0" w:color="auto"/>
          </w:tblBorders>
          <w:shd w:val="clear" w:color="auto" w:fill="auto"/>
        </w:tblPrEx>
        <w:trPr>
          <w:trHeight w:val="242"/>
          <w:tblCellSpacing w:w="15" w:type="dxa"/>
        </w:trPr>
        <w:tc>
          <w:tcPr>
            <w:tcW w:w="0" w:type="auto"/>
            <w:vAlign w:val="center"/>
            <w:hideMark/>
          </w:tcPr>
          <w:p w:rsidR="002541E7" w:rsidRPr="00F97460" w:rsidRDefault="002541E7" w:rsidP="00514DF2">
            <w:pPr>
              <w:numPr>
                <w:ilvl w:val="0"/>
                <w:numId w:val="3"/>
              </w:numPr>
              <w:spacing w:before="100" w:beforeAutospacing="1" w:after="100" w:afterAutospacing="1" w:line="240" w:lineRule="auto"/>
              <w:rPr>
                <w:rFonts w:ascii="Sailor" w:hAnsi="Sailor"/>
                <w:sz w:val="20"/>
                <w:szCs w:val="24"/>
              </w:rPr>
            </w:pPr>
            <w:r w:rsidRPr="00514DF2">
              <w:rPr>
                <w:rFonts w:ascii="Sailor" w:hAnsi="Sailor"/>
                <w:b/>
                <w:bCs/>
                <w:color w:val="0070C0"/>
                <w:sz w:val="44"/>
              </w:rPr>
              <w:t>D</w:t>
            </w:r>
            <w:r w:rsidRPr="00F97460">
              <w:rPr>
                <w:rFonts w:ascii="Sailor" w:hAnsi="Sailor"/>
                <w:b/>
                <w:bCs/>
                <w:sz w:val="24"/>
              </w:rPr>
              <w:t>eferred tax</w:t>
            </w:r>
            <w:r w:rsidRPr="00F97460">
              <w:rPr>
                <w:rFonts w:ascii="Sailor" w:hAnsi="Sailor"/>
                <w:sz w:val="24"/>
              </w:rPr>
              <w:t xml:space="preserve"> is an </w:t>
            </w:r>
            <w:hyperlink r:id="rId7" w:tooltip="Accounting" w:history="1">
              <w:r w:rsidRPr="00F97460">
                <w:rPr>
                  <w:rFonts w:ascii="Sailor" w:hAnsi="Sailor"/>
                  <w:color w:val="0000FF"/>
                  <w:sz w:val="24"/>
                  <w:u w:val="single"/>
                </w:rPr>
                <w:t>accounting</w:t>
              </w:r>
            </w:hyperlink>
            <w:r w:rsidRPr="00F97460">
              <w:rPr>
                <w:rFonts w:ascii="Sailor" w:hAnsi="Sailor"/>
                <w:sz w:val="24"/>
              </w:rPr>
              <w:t xml:space="preserve"> concept, meaning a future tax </w:t>
            </w:r>
            <w:hyperlink r:id="rId8" w:tooltip="Liability" w:history="1">
              <w:r w:rsidRPr="00F97460">
                <w:rPr>
                  <w:rStyle w:val="Hyperlink"/>
                  <w:rFonts w:ascii="Sailor" w:hAnsi="Sailor"/>
                  <w:sz w:val="24"/>
                </w:rPr>
                <w:t>liability</w:t>
              </w:r>
            </w:hyperlink>
            <w:r w:rsidRPr="00F97460">
              <w:rPr>
                <w:rFonts w:ascii="Sailor" w:hAnsi="Sailor"/>
                <w:sz w:val="24"/>
              </w:rPr>
              <w:t xml:space="preserve"> or </w:t>
            </w:r>
            <w:hyperlink r:id="rId9" w:tooltip="Asset" w:history="1">
              <w:r w:rsidRPr="00F97460">
                <w:rPr>
                  <w:rStyle w:val="Hyperlink"/>
                  <w:rFonts w:ascii="Sailor" w:hAnsi="Sailor"/>
                  <w:sz w:val="24"/>
                </w:rPr>
                <w:t>asset</w:t>
              </w:r>
            </w:hyperlink>
            <w:r w:rsidRPr="00F97460">
              <w:rPr>
                <w:rFonts w:ascii="Sailor" w:hAnsi="Sailor"/>
                <w:sz w:val="24"/>
              </w:rPr>
              <w:t xml:space="preserve">, resulting from </w:t>
            </w:r>
            <w:hyperlink r:id="rId10" w:anchor="temporary_differences" w:history="1">
              <w:r w:rsidRPr="00F97460">
                <w:rPr>
                  <w:rStyle w:val="Hyperlink"/>
                  <w:rFonts w:ascii="Sailor" w:hAnsi="Sailor"/>
                  <w:sz w:val="24"/>
                </w:rPr>
                <w:t>temporary differences</w:t>
              </w:r>
            </w:hyperlink>
            <w:r w:rsidRPr="00F97460">
              <w:rPr>
                <w:rFonts w:ascii="Sailor" w:hAnsi="Sailor"/>
                <w:sz w:val="24"/>
              </w:rPr>
              <w:t xml:space="preserve"> between book (accounting) value of assets and liabilities and their tax value, or </w:t>
            </w:r>
            <w:hyperlink r:id="rId11" w:anchor="timing_differences" w:history="1">
              <w:r w:rsidRPr="00F97460">
                <w:rPr>
                  <w:rStyle w:val="Hyperlink"/>
                  <w:rFonts w:ascii="Sailor" w:hAnsi="Sailor"/>
                  <w:sz w:val="24"/>
                </w:rPr>
                <w:t>timing differences</w:t>
              </w:r>
            </w:hyperlink>
            <w:r w:rsidRPr="00F97460">
              <w:rPr>
                <w:rFonts w:ascii="Sailor" w:hAnsi="Sailor"/>
                <w:sz w:val="24"/>
              </w:rPr>
              <w:t xml:space="preserve"> between the recognition of gains and losses in financial statements and their recognition in a tax computation.</w:t>
            </w:r>
          </w:p>
        </w:tc>
      </w:tr>
    </w:tbl>
    <w:p w:rsidR="002541E7" w:rsidRPr="00F97460" w:rsidRDefault="002541E7" w:rsidP="00514DF2">
      <w:pPr>
        <w:pStyle w:val="Heading2"/>
        <w:shd w:val="clear" w:color="auto" w:fill="F8FCFF"/>
        <w:spacing w:line="240" w:lineRule="auto"/>
        <w:rPr>
          <w:rFonts w:ascii="Sailor" w:hAnsi="Sailor"/>
          <w:sz w:val="22"/>
        </w:rPr>
      </w:pPr>
      <w:bookmarkStart w:id="0" w:name="Temporary_differences"/>
      <w:bookmarkEnd w:id="0"/>
      <w:r w:rsidRPr="00F97460">
        <w:rPr>
          <w:rStyle w:val="mw-headline"/>
          <w:rFonts w:ascii="Sailor" w:hAnsi="Sailor"/>
          <w:sz w:val="22"/>
        </w:rPr>
        <w:t xml:space="preserve">Temporary differences </w:t>
      </w:r>
    </w:p>
    <w:p w:rsidR="002541E7" w:rsidRPr="00F97460" w:rsidRDefault="002541E7" w:rsidP="00514DF2">
      <w:pPr>
        <w:pStyle w:val="NormalWeb"/>
        <w:shd w:val="clear" w:color="auto" w:fill="F8FCFF"/>
        <w:spacing w:line="240" w:lineRule="auto"/>
        <w:ind w:firstLine="720"/>
        <w:rPr>
          <w:rFonts w:ascii="Sailor" w:hAnsi="Sailor"/>
          <w:sz w:val="24"/>
        </w:rPr>
      </w:pPr>
      <w:r w:rsidRPr="00F97460">
        <w:rPr>
          <w:rFonts w:ascii="Sailor" w:hAnsi="Sailor"/>
          <w:sz w:val="24"/>
        </w:rPr>
        <w:t xml:space="preserve">Temporary differences are differences between the carrying amount of an asset or liability recognised in the balance sheet and the amount attributed to that asset or liability for tax purposes (the </w:t>
      </w:r>
      <w:hyperlink r:id="rId12" w:anchor="Tax_base" w:history="1">
        <w:r w:rsidRPr="00F97460">
          <w:rPr>
            <w:rStyle w:val="Hyperlink"/>
            <w:rFonts w:ascii="Sailor" w:hAnsi="Sailor"/>
            <w:sz w:val="24"/>
          </w:rPr>
          <w:t>tax base</w:t>
        </w:r>
      </w:hyperlink>
      <w:r w:rsidRPr="00F97460">
        <w:rPr>
          <w:rFonts w:ascii="Sailor" w:hAnsi="Sailor"/>
          <w:sz w:val="24"/>
        </w:rPr>
        <w:t>)</w:t>
      </w:r>
      <w:hyperlink r:id="rId13" w:anchor="cite_note-IAS_12.5-0" w:history="1">
        <w:r w:rsidRPr="00F97460">
          <w:rPr>
            <w:rFonts w:ascii="Sailor" w:hAnsi="Sailor"/>
            <w:color w:val="0000FF"/>
            <w:sz w:val="24"/>
            <w:u w:val="single"/>
            <w:vertAlign w:val="superscript"/>
          </w:rPr>
          <w:t>[1]</w:t>
        </w:r>
      </w:hyperlink>
      <w:r w:rsidRPr="00F97460">
        <w:rPr>
          <w:rFonts w:ascii="Sailor" w:hAnsi="Sailor"/>
          <w:sz w:val="24"/>
        </w:rPr>
        <w:t>.</w:t>
      </w:r>
    </w:p>
    <w:p w:rsidR="002541E7" w:rsidRPr="00F97460" w:rsidRDefault="002541E7" w:rsidP="00514DF2">
      <w:pPr>
        <w:pStyle w:val="NormalWeb"/>
        <w:shd w:val="clear" w:color="auto" w:fill="F8FCFF"/>
        <w:spacing w:line="240" w:lineRule="auto"/>
        <w:rPr>
          <w:rFonts w:ascii="Sailor" w:hAnsi="Sailor"/>
          <w:sz w:val="24"/>
        </w:rPr>
      </w:pPr>
      <w:r w:rsidRPr="00F97460">
        <w:rPr>
          <w:rFonts w:ascii="Sailor" w:hAnsi="Sailor"/>
          <w:sz w:val="24"/>
        </w:rPr>
        <w:t>Temporary differences may be either:</w:t>
      </w:r>
    </w:p>
    <w:p w:rsidR="002541E7" w:rsidRPr="00F97460" w:rsidRDefault="002541E7" w:rsidP="00514DF2">
      <w:pPr>
        <w:numPr>
          <w:ilvl w:val="0"/>
          <w:numId w:val="4"/>
        </w:numPr>
        <w:shd w:val="clear" w:color="auto" w:fill="F8FCFF"/>
        <w:spacing w:before="100" w:beforeAutospacing="1" w:after="100" w:afterAutospacing="1" w:line="240" w:lineRule="auto"/>
        <w:rPr>
          <w:rFonts w:ascii="Sailor" w:hAnsi="Sailor"/>
          <w:sz w:val="24"/>
        </w:rPr>
      </w:pPr>
      <w:r w:rsidRPr="00F97460">
        <w:rPr>
          <w:rFonts w:ascii="Sailor" w:hAnsi="Sailor"/>
          <w:b/>
          <w:bCs/>
          <w:sz w:val="24"/>
        </w:rPr>
        <w:t>taxable temporary differences</w:t>
      </w:r>
      <w:r w:rsidRPr="00F97460">
        <w:rPr>
          <w:rFonts w:ascii="Sailor" w:hAnsi="Sailor"/>
          <w:sz w:val="24"/>
        </w:rPr>
        <w:t xml:space="preserve">, which are temporary differences that will result in taxable amounts in determining taxable profit (tax loss) of future periods when the carrying amount of the asset or liability is recovered or settled; or </w:t>
      </w:r>
    </w:p>
    <w:p w:rsidR="002541E7" w:rsidRPr="00F97460" w:rsidRDefault="002541E7" w:rsidP="00514DF2">
      <w:pPr>
        <w:numPr>
          <w:ilvl w:val="0"/>
          <w:numId w:val="4"/>
        </w:numPr>
        <w:shd w:val="clear" w:color="auto" w:fill="F8FCFF"/>
        <w:spacing w:before="100" w:beforeAutospacing="1" w:after="100" w:afterAutospacing="1" w:line="240" w:lineRule="auto"/>
        <w:rPr>
          <w:rFonts w:ascii="Sailor" w:hAnsi="Sailor"/>
          <w:sz w:val="24"/>
        </w:rPr>
      </w:pPr>
      <w:r w:rsidRPr="00F97460">
        <w:rPr>
          <w:rFonts w:ascii="Sailor" w:hAnsi="Sailor"/>
          <w:b/>
          <w:bCs/>
          <w:sz w:val="24"/>
        </w:rPr>
        <w:t>deductible temporary differences</w:t>
      </w:r>
      <w:r w:rsidRPr="00F97460">
        <w:rPr>
          <w:rFonts w:ascii="Sailor" w:hAnsi="Sailor"/>
          <w:sz w:val="24"/>
        </w:rPr>
        <w:t>, which are temporary differences that will result in deductible amounts in determining taxable profit (tax loss) of future periods when the carrying amount of the asset or liability is recovered or settled</w:t>
      </w:r>
      <w:hyperlink r:id="rId14" w:anchor="cite_note-IAS_12.5-0" w:history="1">
        <w:r w:rsidRPr="00F97460">
          <w:rPr>
            <w:rFonts w:ascii="Sailor" w:hAnsi="Sailor"/>
            <w:color w:val="0000FF"/>
            <w:sz w:val="24"/>
            <w:u w:val="single"/>
            <w:vertAlign w:val="superscript"/>
          </w:rPr>
          <w:t>[1]</w:t>
        </w:r>
      </w:hyperlink>
      <w:r w:rsidRPr="00F97460">
        <w:rPr>
          <w:rFonts w:ascii="Sailor" w:hAnsi="Sailor"/>
          <w:sz w:val="24"/>
        </w:rPr>
        <w:t xml:space="preserve">. </w:t>
      </w:r>
    </w:p>
    <w:p w:rsidR="002541E7" w:rsidRPr="00F97460" w:rsidRDefault="002541E7" w:rsidP="00514DF2">
      <w:pPr>
        <w:pStyle w:val="Heading3"/>
        <w:shd w:val="clear" w:color="auto" w:fill="F8FCFF"/>
        <w:spacing w:line="240" w:lineRule="auto"/>
        <w:rPr>
          <w:rFonts w:ascii="Sailor" w:hAnsi="Sailor"/>
          <w:sz w:val="36"/>
        </w:rPr>
      </w:pPr>
      <w:bookmarkStart w:id="1" w:name="Tax_base"/>
      <w:bookmarkEnd w:id="1"/>
      <w:r w:rsidRPr="00F97460">
        <w:rPr>
          <w:rStyle w:val="mw-headline"/>
          <w:rFonts w:ascii="Sailor" w:hAnsi="Sailor"/>
          <w:sz w:val="36"/>
        </w:rPr>
        <w:t xml:space="preserve">Tax base </w:t>
      </w:r>
    </w:p>
    <w:p w:rsidR="002541E7" w:rsidRPr="00F97460" w:rsidRDefault="002541E7" w:rsidP="00514DF2">
      <w:pPr>
        <w:pStyle w:val="NormalWeb"/>
        <w:shd w:val="clear" w:color="auto" w:fill="F8FCFF"/>
        <w:spacing w:line="240" w:lineRule="auto"/>
        <w:rPr>
          <w:rFonts w:ascii="Sailor" w:hAnsi="Sailor"/>
          <w:sz w:val="24"/>
        </w:rPr>
      </w:pPr>
      <w:r w:rsidRPr="00F97460">
        <w:rPr>
          <w:rFonts w:ascii="Sailor" w:hAnsi="Sailor"/>
          <w:sz w:val="24"/>
        </w:rPr>
        <w:t>The tax base of an asset or liability is the amount attributed to that asset or liability for tax purposes:</w:t>
      </w:r>
    </w:p>
    <w:p w:rsidR="002541E7" w:rsidRPr="00F97460" w:rsidRDefault="002541E7" w:rsidP="00514DF2">
      <w:pPr>
        <w:numPr>
          <w:ilvl w:val="0"/>
          <w:numId w:val="5"/>
        </w:numPr>
        <w:shd w:val="clear" w:color="auto" w:fill="F8FCFF"/>
        <w:spacing w:before="100" w:beforeAutospacing="1" w:after="100" w:afterAutospacing="1" w:line="240" w:lineRule="auto"/>
        <w:rPr>
          <w:rFonts w:ascii="Sailor" w:hAnsi="Sailor"/>
          <w:sz w:val="24"/>
        </w:rPr>
      </w:pPr>
      <w:r w:rsidRPr="00F97460">
        <w:rPr>
          <w:rFonts w:ascii="Sailor" w:hAnsi="Sailor"/>
          <w:sz w:val="24"/>
        </w:rPr>
        <w:t xml:space="preserve">the tax base of an asset is the amount that will be deductible for tax purposes against any taxable economic benefits that will flow to an entity when it recovers the carrying amount of the asset. </w:t>
      </w:r>
    </w:p>
    <w:p w:rsidR="002541E7" w:rsidRPr="00F97460" w:rsidRDefault="002541E7" w:rsidP="00514DF2">
      <w:pPr>
        <w:numPr>
          <w:ilvl w:val="0"/>
          <w:numId w:val="6"/>
        </w:numPr>
        <w:shd w:val="clear" w:color="auto" w:fill="F8FCFF"/>
        <w:spacing w:before="100" w:beforeAutospacing="1" w:after="100" w:afterAutospacing="1" w:line="240" w:lineRule="auto"/>
        <w:rPr>
          <w:rFonts w:ascii="Sailor" w:hAnsi="Sailor"/>
          <w:sz w:val="24"/>
        </w:rPr>
      </w:pPr>
      <w:r w:rsidRPr="00F97460">
        <w:rPr>
          <w:rFonts w:ascii="Sailor" w:hAnsi="Sailor"/>
          <w:sz w:val="24"/>
        </w:rPr>
        <w:t xml:space="preserve">the tax base of a liability is its carrying amount, less any amount that will be deductible for tax purposes in respect of that liability in future periods. </w:t>
      </w:r>
    </w:p>
    <w:p w:rsidR="002541E7" w:rsidRPr="00F97460" w:rsidRDefault="002541E7" w:rsidP="00514DF2">
      <w:pPr>
        <w:pStyle w:val="Heading3"/>
        <w:shd w:val="clear" w:color="auto" w:fill="F8FCFF"/>
        <w:spacing w:line="240" w:lineRule="auto"/>
        <w:rPr>
          <w:rFonts w:ascii="Sailor" w:hAnsi="Sailor"/>
          <w:sz w:val="36"/>
        </w:rPr>
      </w:pPr>
      <w:bookmarkStart w:id="2" w:name="Illustrated_example"/>
      <w:bookmarkEnd w:id="2"/>
      <w:r w:rsidRPr="00F97460">
        <w:rPr>
          <w:rStyle w:val="mw-headline"/>
          <w:rFonts w:ascii="Sailor" w:hAnsi="Sailor"/>
          <w:sz w:val="36"/>
        </w:rPr>
        <w:t>Illustrated example</w:t>
      </w:r>
    </w:p>
    <w:p w:rsidR="002541E7" w:rsidRPr="00F97460" w:rsidRDefault="002541E7" w:rsidP="00514DF2">
      <w:pPr>
        <w:pStyle w:val="NormalWeb"/>
        <w:shd w:val="clear" w:color="auto" w:fill="F8FCFF"/>
        <w:spacing w:line="240" w:lineRule="auto"/>
        <w:ind w:firstLine="720"/>
        <w:rPr>
          <w:rFonts w:ascii="Sailor" w:hAnsi="Sailor"/>
          <w:sz w:val="24"/>
        </w:rPr>
      </w:pPr>
      <w:r w:rsidRPr="00F97460">
        <w:rPr>
          <w:rFonts w:ascii="Sailor" w:hAnsi="Sailor"/>
          <w:sz w:val="24"/>
        </w:rPr>
        <w:t>The basic principle of accounting for deferred tax under a temporary difference approach can be illustrated using a common example in which a company has fixed assets which qualify for tax depreciation.</w:t>
      </w:r>
    </w:p>
    <w:p w:rsidR="002541E7" w:rsidRPr="00F97460" w:rsidRDefault="002541E7" w:rsidP="00514DF2">
      <w:pPr>
        <w:pStyle w:val="NormalWeb"/>
        <w:shd w:val="clear" w:color="auto" w:fill="F8FCFF"/>
        <w:spacing w:line="240" w:lineRule="auto"/>
        <w:ind w:firstLine="720"/>
        <w:rPr>
          <w:rFonts w:ascii="Sailor" w:hAnsi="Sailor"/>
          <w:sz w:val="24"/>
        </w:rPr>
      </w:pPr>
      <w:r w:rsidRPr="00F97460">
        <w:rPr>
          <w:rFonts w:ascii="Sailor" w:hAnsi="Sailor"/>
          <w:sz w:val="24"/>
        </w:rPr>
        <w:t xml:space="preserve">The following example assumes that a company purchases an asset for $1,000 which is depreciated for accounting purposes on a straight-line basis of five years. The company claims tax depreciation of 25% per year on a </w:t>
      </w:r>
      <w:hyperlink r:id="rId15" w:tooltip="Declining balance (page does not exist)" w:history="1">
        <w:r w:rsidRPr="00F97460">
          <w:rPr>
            <w:rStyle w:val="Hyperlink"/>
            <w:rFonts w:ascii="Sailor" w:hAnsi="Sailor"/>
            <w:color w:val="CC2200"/>
            <w:sz w:val="24"/>
          </w:rPr>
          <w:t>declining balance</w:t>
        </w:r>
      </w:hyperlink>
      <w:r w:rsidRPr="00F97460">
        <w:rPr>
          <w:rFonts w:ascii="Sailor" w:hAnsi="Sailor"/>
          <w:sz w:val="24"/>
        </w:rPr>
        <w:t xml:space="preserve"> basis. The applicable rate of </w:t>
      </w:r>
      <w:hyperlink r:id="rId16" w:tooltip="Corporate income tax" w:history="1">
        <w:r w:rsidRPr="00F97460">
          <w:rPr>
            <w:rFonts w:ascii="Sailor" w:hAnsi="Sailor"/>
            <w:color w:val="0000FF"/>
            <w:sz w:val="24"/>
            <w:u w:val="single"/>
          </w:rPr>
          <w:t>corporate income tax</w:t>
        </w:r>
      </w:hyperlink>
      <w:r w:rsidRPr="00F97460">
        <w:rPr>
          <w:rFonts w:ascii="Sailor" w:hAnsi="Sailor"/>
          <w:sz w:val="24"/>
        </w:rPr>
        <w:t xml:space="preserve"> is assumed to be 35%.</w:t>
      </w:r>
    </w:p>
    <w:tbl>
      <w:tblPr>
        <w:tblW w:w="9047"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tblPr>
      <w:tblGrid>
        <w:gridCol w:w="4464"/>
        <w:gridCol w:w="1047"/>
        <w:gridCol w:w="873"/>
        <w:gridCol w:w="873"/>
        <w:gridCol w:w="873"/>
        <w:gridCol w:w="917"/>
      </w:tblGrid>
      <w:tr w:rsidR="008C35C4" w:rsidRPr="00F97460" w:rsidTr="008C35C4">
        <w:trPr>
          <w:trHeight w:val="738"/>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541E7" w:rsidRPr="00F97460" w:rsidRDefault="002541E7" w:rsidP="00514DF2">
            <w:pPr>
              <w:spacing w:before="240" w:after="240" w:line="240" w:lineRule="auto"/>
              <w:jc w:val="center"/>
              <w:rPr>
                <w:rFonts w:ascii="Sailor" w:hAnsi="Sailor"/>
                <w:b/>
                <w:bCs/>
                <w:sz w:val="24"/>
                <w:szCs w:val="24"/>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541E7" w:rsidRPr="00F97460" w:rsidRDefault="002541E7" w:rsidP="00514DF2">
            <w:pPr>
              <w:spacing w:before="240" w:after="240" w:line="240" w:lineRule="auto"/>
              <w:jc w:val="center"/>
              <w:rPr>
                <w:rFonts w:ascii="Sailor" w:hAnsi="Sailor"/>
                <w:b/>
                <w:bCs/>
                <w:sz w:val="24"/>
                <w:szCs w:val="24"/>
              </w:rPr>
            </w:pPr>
            <w:r w:rsidRPr="00F97460">
              <w:rPr>
                <w:rFonts w:ascii="Sailor" w:hAnsi="Sailor"/>
                <w:b/>
                <w:bCs/>
                <w:sz w:val="24"/>
              </w:rPr>
              <w:t>Purchase</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541E7" w:rsidRPr="00F97460" w:rsidRDefault="002541E7" w:rsidP="00514DF2">
            <w:pPr>
              <w:spacing w:before="240" w:after="240" w:line="240" w:lineRule="auto"/>
              <w:jc w:val="center"/>
              <w:rPr>
                <w:rFonts w:ascii="Sailor" w:hAnsi="Sailor"/>
                <w:b/>
                <w:bCs/>
                <w:sz w:val="24"/>
                <w:szCs w:val="24"/>
              </w:rPr>
            </w:pPr>
            <w:r w:rsidRPr="00F97460">
              <w:rPr>
                <w:rFonts w:ascii="Sailor" w:hAnsi="Sailor"/>
                <w:b/>
                <w:bCs/>
                <w:sz w:val="24"/>
              </w:rPr>
              <w:t>Year 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541E7" w:rsidRPr="00F97460" w:rsidRDefault="002541E7" w:rsidP="00514DF2">
            <w:pPr>
              <w:spacing w:before="240" w:after="240" w:line="240" w:lineRule="auto"/>
              <w:jc w:val="center"/>
              <w:rPr>
                <w:rFonts w:ascii="Sailor" w:hAnsi="Sailor"/>
                <w:b/>
                <w:bCs/>
                <w:sz w:val="24"/>
                <w:szCs w:val="24"/>
              </w:rPr>
            </w:pPr>
            <w:r w:rsidRPr="00F97460">
              <w:rPr>
                <w:rFonts w:ascii="Sailor" w:hAnsi="Sailor"/>
                <w:b/>
                <w:bCs/>
                <w:sz w:val="24"/>
              </w:rPr>
              <w:t>Year 2</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541E7" w:rsidRPr="00F97460" w:rsidRDefault="002541E7" w:rsidP="00514DF2">
            <w:pPr>
              <w:spacing w:before="240" w:after="240" w:line="240" w:lineRule="auto"/>
              <w:jc w:val="center"/>
              <w:rPr>
                <w:rFonts w:ascii="Sailor" w:hAnsi="Sailor"/>
                <w:b/>
                <w:bCs/>
                <w:sz w:val="24"/>
                <w:szCs w:val="24"/>
              </w:rPr>
            </w:pPr>
            <w:r w:rsidRPr="00F97460">
              <w:rPr>
                <w:rFonts w:ascii="Sailor" w:hAnsi="Sailor"/>
                <w:b/>
                <w:bCs/>
                <w:sz w:val="24"/>
              </w:rPr>
              <w:t>Year 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541E7" w:rsidRPr="00F97460" w:rsidRDefault="002541E7" w:rsidP="00514DF2">
            <w:pPr>
              <w:spacing w:before="240" w:after="240" w:line="240" w:lineRule="auto"/>
              <w:jc w:val="center"/>
              <w:rPr>
                <w:rFonts w:ascii="Sailor" w:hAnsi="Sailor"/>
                <w:b/>
                <w:bCs/>
                <w:sz w:val="24"/>
                <w:szCs w:val="24"/>
              </w:rPr>
            </w:pPr>
            <w:r w:rsidRPr="00F97460">
              <w:rPr>
                <w:rFonts w:ascii="Sailor" w:hAnsi="Sailor"/>
                <w:b/>
                <w:bCs/>
                <w:sz w:val="24"/>
              </w:rPr>
              <w:t>Year 4</w:t>
            </w:r>
          </w:p>
        </w:tc>
      </w:tr>
      <w:tr w:rsidR="008C35C4" w:rsidRPr="00F97460" w:rsidTr="008C35C4">
        <w:trPr>
          <w:trHeight w:val="226"/>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541E7" w:rsidRPr="00F97460" w:rsidRDefault="002541E7" w:rsidP="00514DF2">
            <w:pPr>
              <w:spacing w:before="240" w:after="240" w:line="240" w:lineRule="auto"/>
              <w:jc w:val="center"/>
              <w:rPr>
                <w:rFonts w:ascii="Sailor" w:hAnsi="Sailor"/>
                <w:b/>
                <w:bCs/>
                <w:sz w:val="24"/>
                <w:szCs w:val="24"/>
              </w:rPr>
            </w:pPr>
            <w:r w:rsidRPr="00F97460">
              <w:rPr>
                <w:rFonts w:ascii="Sailor" w:hAnsi="Sailor"/>
                <w:b/>
                <w:bCs/>
                <w:sz w:val="24"/>
              </w:rPr>
              <w:t>Accounting value</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$1,000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$800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$600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$400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$200</w:t>
            </w:r>
          </w:p>
        </w:tc>
      </w:tr>
      <w:tr w:rsidR="008C35C4" w:rsidRPr="00F97460" w:rsidTr="008C35C4">
        <w:trPr>
          <w:trHeight w:val="226"/>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541E7" w:rsidRPr="00F97460" w:rsidRDefault="002541E7" w:rsidP="00514DF2">
            <w:pPr>
              <w:spacing w:before="240" w:after="240" w:line="240" w:lineRule="auto"/>
              <w:jc w:val="center"/>
              <w:rPr>
                <w:rFonts w:ascii="Sailor" w:hAnsi="Sailor"/>
                <w:b/>
                <w:bCs/>
                <w:sz w:val="24"/>
                <w:szCs w:val="24"/>
              </w:rPr>
            </w:pPr>
            <w:r w:rsidRPr="00F97460">
              <w:rPr>
                <w:rFonts w:ascii="Sailor" w:hAnsi="Sailor"/>
                <w:b/>
                <w:bCs/>
                <w:sz w:val="24"/>
              </w:rPr>
              <w:lastRenderedPageBreak/>
              <w:t>Tax value</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$1,000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$750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$563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$422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$316</w:t>
            </w:r>
          </w:p>
        </w:tc>
      </w:tr>
      <w:tr w:rsidR="008C35C4" w:rsidRPr="00F97460" w:rsidTr="008C35C4">
        <w:trPr>
          <w:trHeight w:val="411"/>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541E7" w:rsidRPr="00F97460" w:rsidRDefault="002541E7" w:rsidP="00514DF2">
            <w:pPr>
              <w:spacing w:before="240" w:after="240" w:line="240" w:lineRule="auto"/>
              <w:jc w:val="center"/>
              <w:rPr>
                <w:rFonts w:ascii="Sailor" w:hAnsi="Sailor"/>
                <w:b/>
                <w:bCs/>
                <w:sz w:val="24"/>
                <w:szCs w:val="24"/>
              </w:rPr>
            </w:pPr>
            <w:r w:rsidRPr="00F97460">
              <w:rPr>
                <w:rFonts w:ascii="Sailor" w:hAnsi="Sailor"/>
                <w:b/>
                <w:bCs/>
                <w:sz w:val="24"/>
              </w:rPr>
              <w:t>Taxable/(deductible) temporary difference</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$50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$37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$(22)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$(116)</w:t>
            </w:r>
          </w:p>
        </w:tc>
      </w:tr>
      <w:tr w:rsidR="008C35C4" w:rsidRPr="00F97460" w:rsidTr="008C35C4">
        <w:trPr>
          <w:trHeight w:val="411"/>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541E7" w:rsidRPr="00F97460" w:rsidRDefault="002541E7" w:rsidP="00514DF2">
            <w:pPr>
              <w:spacing w:before="240" w:after="240" w:line="240" w:lineRule="auto"/>
              <w:jc w:val="center"/>
              <w:rPr>
                <w:rFonts w:ascii="Sailor" w:hAnsi="Sailor"/>
                <w:b/>
                <w:bCs/>
                <w:sz w:val="24"/>
                <w:szCs w:val="24"/>
              </w:rPr>
            </w:pPr>
            <w:r w:rsidRPr="00F97460">
              <w:rPr>
                <w:rFonts w:ascii="Sailor" w:hAnsi="Sailor"/>
                <w:b/>
                <w:bCs/>
                <w:sz w:val="24"/>
              </w:rPr>
              <w:t>Deferred tax liability/(asset) at 35%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$18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$13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541E7" w:rsidRPr="00F97460" w:rsidRDefault="002541E7" w:rsidP="00514DF2">
            <w:pPr>
              <w:spacing w:before="240" w:after="240" w:line="240" w:lineRule="auto"/>
              <w:rPr>
                <w:rFonts w:ascii="Sailor" w:hAnsi="Sailor"/>
                <w:sz w:val="24"/>
                <w:szCs w:val="24"/>
              </w:rPr>
            </w:pPr>
            <w:r w:rsidRPr="00F97460">
              <w:rPr>
                <w:rFonts w:ascii="Sailor" w:hAnsi="Sailor"/>
                <w:sz w:val="24"/>
              </w:rPr>
              <w:t>$(41)</w:t>
            </w:r>
          </w:p>
        </w:tc>
      </w:tr>
    </w:tbl>
    <w:p w:rsidR="002541E7" w:rsidRPr="00F97460" w:rsidRDefault="002541E7" w:rsidP="00514DF2">
      <w:pPr>
        <w:pStyle w:val="NormalWeb"/>
        <w:shd w:val="clear" w:color="auto" w:fill="F8FCFF"/>
        <w:spacing w:line="240" w:lineRule="auto"/>
        <w:ind w:firstLine="720"/>
        <w:rPr>
          <w:rFonts w:ascii="Sailor" w:hAnsi="Sailor"/>
          <w:sz w:val="24"/>
        </w:rPr>
      </w:pPr>
      <w:r w:rsidRPr="00F97460">
        <w:rPr>
          <w:rFonts w:ascii="Sailor" w:hAnsi="Sailor"/>
          <w:sz w:val="24"/>
        </w:rPr>
        <w:t>As the tax value (</w:t>
      </w:r>
      <w:hyperlink r:id="rId17" w:anchor="tax_base" w:history="1">
        <w:r w:rsidRPr="00F97460">
          <w:rPr>
            <w:rStyle w:val="Hyperlink"/>
            <w:rFonts w:ascii="Sailor" w:hAnsi="Sailor"/>
            <w:sz w:val="24"/>
          </w:rPr>
          <w:t>tax base</w:t>
        </w:r>
      </w:hyperlink>
      <w:r w:rsidRPr="00F97460">
        <w:rPr>
          <w:rFonts w:ascii="Sailor" w:hAnsi="Sailor"/>
          <w:sz w:val="24"/>
        </w:rPr>
        <w:t>) is lower than the accounting value (</w:t>
      </w:r>
      <w:hyperlink r:id="rId18" w:tooltip="Net book value (page does not exist)" w:history="1">
        <w:r w:rsidRPr="00F97460">
          <w:rPr>
            <w:rStyle w:val="Hyperlink"/>
            <w:rFonts w:ascii="Sailor" w:hAnsi="Sailor"/>
            <w:color w:val="CC2200"/>
            <w:sz w:val="24"/>
          </w:rPr>
          <w:t>net book value</w:t>
        </w:r>
      </w:hyperlink>
      <w:r w:rsidRPr="00F97460">
        <w:rPr>
          <w:rFonts w:ascii="Sailor" w:hAnsi="Sailor"/>
          <w:sz w:val="24"/>
        </w:rPr>
        <w:t>) in years 1 and 2, the company should recognise a deferred tax liability. This also reflects the fact that the company has claimed tax depreciation in excess of the expense for accounting depreciation recorded in its accounts, whereas in the future the company should claim less tax depreciation in total than accounting depreciation in its accounts.</w:t>
      </w:r>
    </w:p>
    <w:p w:rsidR="002541E7" w:rsidRPr="00F97460" w:rsidRDefault="002541E7" w:rsidP="00514DF2">
      <w:pPr>
        <w:pStyle w:val="NormalWeb"/>
        <w:shd w:val="clear" w:color="auto" w:fill="F8FCFF"/>
        <w:spacing w:line="240" w:lineRule="auto"/>
        <w:ind w:firstLine="720"/>
        <w:rPr>
          <w:rFonts w:ascii="Sailor" w:hAnsi="Sailor"/>
          <w:sz w:val="24"/>
        </w:rPr>
      </w:pPr>
      <w:r w:rsidRPr="00F97460">
        <w:rPr>
          <w:rFonts w:ascii="Sailor" w:hAnsi="Sailor"/>
          <w:sz w:val="24"/>
        </w:rPr>
        <w:t>In years 3 and 4, the tax value exceeds the accounting value, therefore the company should recognise a deferred tax asset (subject to it having sufficient forecast profits so that it is able to utilise future tax deductions). This reflects the fact that the company expects to be able to claim tax depreciation in the future in excess of accounting depreciation.</w:t>
      </w:r>
    </w:p>
    <w:p w:rsidR="002541E7" w:rsidRPr="00F97460" w:rsidRDefault="002541E7" w:rsidP="00514DF2">
      <w:pPr>
        <w:pStyle w:val="Heading2"/>
        <w:shd w:val="clear" w:color="auto" w:fill="F8FCFF"/>
        <w:spacing w:line="240" w:lineRule="auto"/>
        <w:rPr>
          <w:rFonts w:ascii="Sailor" w:hAnsi="Sailor"/>
          <w:sz w:val="32"/>
        </w:rPr>
      </w:pPr>
      <w:bookmarkStart w:id="3" w:name="Timing_differences"/>
      <w:bookmarkEnd w:id="3"/>
      <w:r w:rsidRPr="00F97460">
        <w:rPr>
          <w:rStyle w:val="mw-headline"/>
          <w:rFonts w:ascii="Sailor" w:hAnsi="Sailor"/>
          <w:sz w:val="32"/>
        </w:rPr>
        <w:t xml:space="preserve">Timing differences </w:t>
      </w:r>
    </w:p>
    <w:p w:rsidR="002541E7" w:rsidRPr="00F97460" w:rsidRDefault="002541E7" w:rsidP="00514DF2">
      <w:pPr>
        <w:pStyle w:val="NormalWeb"/>
        <w:shd w:val="clear" w:color="auto" w:fill="F8FCFF"/>
        <w:spacing w:line="240" w:lineRule="auto"/>
        <w:ind w:firstLine="720"/>
        <w:rPr>
          <w:rFonts w:ascii="Sailor" w:hAnsi="Sailor"/>
          <w:sz w:val="24"/>
        </w:rPr>
      </w:pPr>
      <w:r w:rsidRPr="00F97460">
        <w:rPr>
          <w:rFonts w:ascii="Sailor" w:hAnsi="Sailor"/>
          <w:sz w:val="24"/>
        </w:rPr>
        <w:t xml:space="preserve">Whereas </w:t>
      </w:r>
      <w:hyperlink r:id="rId19" w:tooltip="International Financial Reporting Standards" w:history="1">
        <w:r w:rsidRPr="00F97460">
          <w:rPr>
            <w:rStyle w:val="Hyperlink"/>
            <w:rFonts w:ascii="Sailor" w:hAnsi="Sailor"/>
            <w:sz w:val="24"/>
          </w:rPr>
          <w:t>International Financial Reporting Standards</w:t>
        </w:r>
      </w:hyperlink>
      <w:r w:rsidRPr="00F97460">
        <w:rPr>
          <w:rFonts w:ascii="Sailor" w:hAnsi="Sailor"/>
          <w:sz w:val="24"/>
        </w:rPr>
        <w:t xml:space="preserve"> and </w:t>
      </w:r>
      <w:hyperlink r:id="rId20" w:tooltip="US GAAP" w:history="1">
        <w:r w:rsidRPr="00F97460">
          <w:rPr>
            <w:rFonts w:ascii="Sailor" w:hAnsi="Sailor"/>
            <w:color w:val="0000FF"/>
            <w:sz w:val="24"/>
            <w:u w:val="single"/>
          </w:rPr>
          <w:t>US GAAP</w:t>
        </w:r>
      </w:hyperlink>
      <w:r w:rsidRPr="00F97460">
        <w:rPr>
          <w:rFonts w:ascii="Sailor" w:hAnsi="Sailor"/>
          <w:sz w:val="24"/>
        </w:rPr>
        <w:t xml:space="preserve"> adopt a balance sheet approach in relation to deferred tax focused on </w:t>
      </w:r>
      <w:hyperlink r:id="rId21" w:anchor="temporary_differences" w:history="1">
        <w:r w:rsidRPr="00F97460">
          <w:rPr>
            <w:rStyle w:val="Hyperlink"/>
            <w:rFonts w:ascii="Sailor" w:hAnsi="Sailor"/>
            <w:sz w:val="24"/>
          </w:rPr>
          <w:t>temporary differences</w:t>
        </w:r>
      </w:hyperlink>
      <w:r w:rsidRPr="00F97460">
        <w:rPr>
          <w:rFonts w:ascii="Sailor" w:hAnsi="Sailor"/>
          <w:sz w:val="24"/>
        </w:rPr>
        <w:t xml:space="preserve">, certain </w:t>
      </w:r>
      <w:hyperlink r:id="rId22" w:tooltip="GAAP" w:history="1">
        <w:r w:rsidRPr="00F97460">
          <w:rPr>
            <w:rFonts w:ascii="Sailor" w:hAnsi="Sailor"/>
            <w:color w:val="0000FF"/>
            <w:sz w:val="24"/>
            <w:u w:val="single"/>
          </w:rPr>
          <w:t>GAAPs</w:t>
        </w:r>
      </w:hyperlink>
      <w:r w:rsidRPr="00F97460">
        <w:rPr>
          <w:rFonts w:ascii="Sailor" w:hAnsi="Sailor"/>
          <w:sz w:val="24"/>
        </w:rPr>
        <w:t xml:space="preserve"> such as </w:t>
      </w:r>
      <w:hyperlink r:id="rId23" w:tooltip="UK GAAP" w:history="1">
        <w:r w:rsidRPr="00F97460">
          <w:rPr>
            <w:rFonts w:ascii="Sailor" w:hAnsi="Sailor"/>
            <w:color w:val="0000FF"/>
            <w:sz w:val="24"/>
            <w:u w:val="single"/>
          </w:rPr>
          <w:t>UK GAAP</w:t>
        </w:r>
      </w:hyperlink>
      <w:r w:rsidRPr="00F97460">
        <w:rPr>
          <w:rFonts w:ascii="Sailor" w:hAnsi="Sailor"/>
          <w:sz w:val="24"/>
        </w:rPr>
        <w:t xml:space="preserve"> require deferred tax to be instead recognised in respect of </w:t>
      </w:r>
      <w:hyperlink r:id="rId24" w:anchor="timing_differences" w:history="1">
        <w:r w:rsidRPr="00F97460">
          <w:rPr>
            <w:rStyle w:val="Hyperlink"/>
            <w:rFonts w:ascii="Sailor" w:hAnsi="Sailor"/>
            <w:sz w:val="24"/>
          </w:rPr>
          <w:t>timing differences</w:t>
        </w:r>
      </w:hyperlink>
      <w:r w:rsidRPr="00F97460">
        <w:rPr>
          <w:rFonts w:ascii="Sailor" w:hAnsi="Sailor"/>
          <w:sz w:val="24"/>
        </w:rPr>
        <w:t>.</w:t>
      </w:r>
    </w:p>
    <w:p w:rsidR="002541E7" w:rsidRPr="00F97460" w:rsidRDefault="002541E7" w:rsidP="00514DF2">
      <w:pPr>
        <w:pStyle w:val="NormalWeb"/>
        <w:shd w:val="clear" w:color="auto" w:fill="F8FCFF"/>
        <w:spacing w:line="240" w:lineRule="auto"/>
        <w:ind w:firstLine="720"/>
        <w:rPr>
          <w:rFonts w:ascii="Sailor" w:hAnsi="Sailor"/>
          <w:sz w:val="24"/>
        </w:rPr>
      </w:pPr>
      <w:r w:rsidRPr="00F97460">
        <w:rPr>
          <w:rFonts w:ascii="Sailor" w:hAnsi="Sailor"/>
          <w:sz w:val="24"/>
        </w:rPr>
        <w:t>A timing difference arises when an item of income or expense is recognised for tax purposes but not accounting purposes, or vice versa, and is therefore consistent with a profit and loss approach to deferred tax.</w:t>
      </w:r>
    </w:p>
    <w:p w:rsidR="002541E7" w:rsidRPr="00F97460" w:rsidRDefault="002541E7" w:rsidP="00514DF2">
      <w:pPr>
        <w:pStyle w:val="NormalWeb"/>
        <w:shd w:val="clear" w:color="auto" w:fill="F8FCFF"/>
        <w:spacing w:line="240" w:lineRule="auto"/>
        <w:ind w:firstLine="720"/>
        <w:rPr>
          <w:rFonts w:ascii="Sailor" w:hAnsi="Sailor"/>
          <w:sz w:val="24"/>
        </w:rPr>
      </w:pPr>
      <w:r w:rsidRPr="00F97460">
        <w:rPr>
          <w:rFonts w:ascii="Sailor" w:hAnsi="Sailor"/>
          <w:sz w:val="24"/>
        </w:rPr>
        <w:t xml:space="preserve">In many cases the deferred tax outcome will be similar for a </w:t>
      </w:r>
      <w:hyperlink r:id="rId25" w:anchor="temporary_differences" w:history="1">
        <w:r w:rsidRPr="00F97460">
          <w:rPr>
            <w:rStyle w:val="Hyperlink"/>
            <w:rFonts w:ascii="Sailor" w:hAnsi="Sailor"/>
            <w:sz w:val="24"/>
          </w:rPr>
          <w:t>temporary difference</w:t>
        </w:r>
      </w:hyperlink>
      <w:r w:rsidRPr="00F97460">
        <w:rPr>
          <w:rFonts w:ascii="Sailor" w:hAnsi="Sailor"/>
          <w:sz w:val="24"/>
        </w:rPr>
        <w:t xml:space="preserve"> or timing difference approach. However, differences can arise such as in relation to </w:t>
      </w:r>
      <w:hyperlink r:id="rId26" w:tooltip="Revaluation" w:history="1">
        <w:r w:rsidRPr="00F97460">
          <w:rPr>
            <w:rStyle w:val="Hyperlink"/>
            <w:rFonts w:ascii="Sailor" w:hAnsi="Sailor"/>
            <w:sz w:val="24"/>
          </w:rPr>
          <w:t>revaluation</w:t>
        </w:r>
      </w:hyperlink>
      <w:r w:rsidRPr="00F97460">
        <w:rPr>
          <w:rFonts w:ascii="Sailor" w:hAnsi="Sailor"/>
          <w:sz w:val="24"/>
        </w:rPr>
        <w:t xml:space="preserve"> of </w:t>
      </w:r>
      <w:hyperlink r:id="rId27" w:tooltip="Fixed assets" w:history="1">
        <w:r w:rsidRPr="00F97460">
          <w:rPr>
            <w:rFonts w:ascii="Sailor" w:hAnsi="Sailor"/>
            <w:color w:val="0000FF"/>
            <w:sz w:val="24"/>
            <w:u w:val="single"/>
          </w:rPr>
          <w:t>fixed assets</w:t>
        </w:r>
      </w:hyperlink>
      <w:r w:rsidRPr="00F97460">
        <w:rPr>
          <w:rFonts w:ascii="Sailor" w:hAnsi="Sailor"/>
          <w:sz w:val="24"/>
        </w:rPr>
        <w:t xml:space="preserve"> qualifying for </w:t>
      </w:r>
      <w:hyperlink r:id="rId28" w:tooltip="Tax depreciation (page does not exist)" w:history="1">
        <w:r w:rsidRPr="00F97460">
          <w:rPr>
            <w:rStyle w:val="Hyperlink"/>
            <w:rFonts w:ascii="Sailor" w:hAnsi="Sailor"/>
            <w:color w:val="CC2200"/>
            <w:sz w:val="24"/>
          </w:rPr>
          <w:t>tax depreciation</w:t>
        </w:r>
      </w:hyperlink>
      <w:r w:rsidRPr="00F97460">
        <w:rPr>
          <w:rFonts w:ascii="Sailor" w:hAnsi="Sailor"/>
          <w:sz w:val="24"/>
        </w:rPr>
        <w:t>, which gives rise to a deferred tax asset under a balance sheet approach, but in general should have no impact under a timing difference approach.</w:t>
      </w:r>
    </w:p>
    <w:p w:rsidR="002541E7" w:rsidRPr="00514DF2" w:rsidRDefault="002541E7" w:rsidP="00514DF2">
      <w:pPr>
        <w:pStyle w:val="Heading2"/>
        <w:shd w:val="clear" w:color="auto" w:fill="F8FCFF"/>
        <w:spacing w:line="240" w:lineRule="auto"/>
        <w:rPr>
          <w:rFonts w:ascii="Sailor" w:hAnsi="Sailor"/>
          <w:sz w:val="24"/>
        </w:rPr>
      </w:pPr>
      <w:bookmarkStart w:id="4" w:name="Justification_for_deferred_tax_accountin"/>
      <w:bookmarkEnd w:id="4"/>
      <w:r w:rsidRPr="00514DF2">
        <w:rPr>
          <w:rStyle w:val="mw-headline"/>
          <w:rFonts w:ascii="Sailor" w:hAnsi="Sailor"/>
          <w:sz w:val="24"/>
        </w:rPr>
        <w:t>Justification for deferred tax accounting</w:t>
      </w:r>
    </w:p>
    <w:p w:rsidR="002541E7" w:rsidRPr="00F97460" w:rsidRDefault="002541E7" w:rsidP="00514DF2">
      <w:pPr>
        <w:pStyle w:val="NormalWeb"/>
        <w:shd w:val="clear" w:color="auto" w:fill="F8FCFF"/>
        <w:spacing w:line="240" w:lineRule="auto"/>
        <w:rPr>
          <w:rFonts w:ascii="Sailor" w:hAnsi="Sailor"/>
          <w:sz w:val="24"/>
        </w:rPr>
      </w:pPr>
      <w:r w:rsidRPr="00F97460">
        <w:rPr>
          <w:rFonts w:ascii="Sailor" w:hAnsi="Sailor"/>
          <w:sz w:val="24"/>
        </w:rPr>
        <w:t xml:space="preserve">Deferred tax is recognised as a result of the </w:t>
      </w:r>
      <w:hyperlink r:id="rId29" w:tooltip="Matching principle" w:history="1">
        <w:r w:rsidRPr="00F97460">
          <w:rPr>
            <w:rStyle w:val="Hyperlink"/>
            <w:rFonts w:ascii="Sailor" w:hAnsi="Sailor"/>
            <w:sz w:val="24"/>
          </w:rPr>
          <w:t>Matching principle</w:t>
        </w:r>
      </w:hyperlink>
      <w:r w:rsidRPr="00F97460">
        <w:rPr>
          <w:rFonts w:ascii="Sailor" w:hAnsi="Sailor"/>
          <w:sz w:val="24"/>
        </w:rPr>
        <w:t>. Deferred tax liabilities are provided in order that investors may understand the future tax liabilities that may arise as a result of accelerated tax relief taken to date, or income that has not yet been taxed.</w:t>
      </w:r>
    </w:p>
    <w:p w:rsidR="002541E7" w:rsidRPr="00F97460" w:rsidRDefault="002541E7" w:rsidP="00514DF2">
      <w:pPr>
        <w:pStyle w:val="NormalWeb"/>
        <w:shd w:val="clear" w:color="auto" w:fill="F8FCFF"/>
        <w:spacing w:line="240" w:lineRule="auto"/>
        <w:rPr>
          <w:rFonts w:ascii="Sailor" w:hAnsi="Sailor"/>
          <w:sz w:val="24"/>
        </w:rPr>
      </w:pPr>
      <w:r w:rsidRPr="00F97460">
        <w:rPr>
          <w:rFonts w:ascii="Sailor" w:hAnsi="Sailor"/>
          <w:sz w:val="24"/>
        </w:rPr>
        <w:t>Where accelerated tax relief is obtained for expenditure relative to the timing of an expense recognised in a company's profit and loss account, a deferred tax charge should be recognised in the profit and loss account for the movement in the company's deferred tax liability, which will increase the company's total tax charge.</w:t>
      </w:r>
    </w:p>
    <w:p w:rsidR="002541E7" w:rsidRPr="00514DF2" w:rsidRDefault="002541E7" w:rsidP="00514DF2">
      <w:pPr>
        <w:pStyle w:val="Heading2"/>
        <w:shd w:val="clear" w:color="auto" w:fill="F8FCFF"/>
        <w:spacing w:line="240" w:lineRule="auto"/>
        <w:rPr>
          <w:rFonts w:ascii="Sailor" w:hAnsi="Sailor"/>
          <w:sz w:val="24"/>
        </w:rPr>
      </w:pPr>
      <w:bookmarkStart w:id="5" w:name="Examples"/>
      <w:bookmarkEnd w:id="5"/>
      <w:r w:rsidRPr="00514DF2">
        <w:rPr>
          <w:rStyle w:val="mw-headline"/>
          <w:rFonts w:ascii="Sailor" w:hAnsi="Sailor"/>
          <w:sz w:val="24"/>
        </w:rPr>
        <w:t>Examples</w:t>
      </w:r>
    </w:p>
    <w:p w:rsidR="002541E7" w:rsidRPr="00F97460" w:rsidRDefault="002541E7" w:rsidP="00514DF2">
      <w:pPr>
        <w:pStyle w:val="Heading3"/>
        <w:shd w:val="clear" w:color="auto" w:fill="F8FCFF"/>
        <w:spacing w:line="240" w:lineRule="auto"/>
        <w:rPr>
          <w:rFonts w:ascii="Sailor" w:hAnsi="Sailor"/>
          <w:sz w:val="36"/>
        </w:rPr>
      </w:pPr>
      <w:bookmarkStart w:id="6" w:name="Deferred_tax_liabilities"/>
      <w:bookmarkEnd w:id="6"/>
      <w:r w:rsidRPr="00F97460">
        <w:rPr>
          <w:rStyle w:val="mw-headline"/>
          <w:rFonts w:ascii="Sailor" w:hAnsi="Sailor"/>
          <w:sz w:val="36"/>
        </w:rPr>
        <w:t>Deferred tax liabilities</w:t>
      </w:r>
    </w:p>
    <w:p w:rsidR="002541E7" w:rsidRPr="00F97460" w:rsidRDefault="002541E7" w:rsidP="00514DF2">
      <w:pPr>
        <w:pStyle w:val="NormalWeb"/>
        <w:shd w:val="clear" w:color="auto" w:fill="F8FCFF"/>
        <w:spacing w:line="240" w:lineRule="auto"/>
        <w:rPr>
          <w:rFonts w:ascii="Sailor" w:hAnsi="Sailor"/>
          <w:sz w:val="24"/>
        </w:rPr>
      </w:pPr>
      <w:r w:rsidRPr="00F97460">
        <w:rPr>
          <w:rFonts w:ascii="Sailor" w:hAnsi="Sailor"/>
          <w:sz w:val="24"/>
        </w:rPr>
        <w:t xml:space="preserve">Deferred tax liabilities generally arise where tax relief is provided in advance of an accounting expense, or income is </w:t>
      </w:r>
      <w:hyperlink r:id="rId30" w:tooltip="Accrue" w:history="1">
        <w:r w:rsidRPr="00F97460">
          <w:rPr>
            <w:rFonts w:ascii="Sailor" w:hAnsi="Sailor"/>
            <w:color w:val="0000FF"/>
            <w:sz w:val="24"/>
            <w:u w:val="single"/>
          </w:rPr>
          <w:t>accrued</w:t>
        </w:r>
      </w:hyperlink>
      <w:r w:rsidRPr="00F97460">
        <w:rPr>
          <w:rFonts w:ascii="Sailor" w:hAnsi="Sailor"/>
          <w:sz w:val="24"/>
        </w:rPr>
        <w:t xml:space="preserve"> but not taxed until received. Examples of such situations include:</w:t>
      </w:r>
    </w:p>
    <w:p w:rsidR="002541E7" w:rsidRPr="00F97460" w:rsidRDefault="002541E7" w:rsidP="00514DF2">
      <w:pPr>
        <w:numPr>
          <w:ilvl w:val="0"/>
          <w:numId w:val="7"/>
        </w:numPr>
        <w:shd w:val="clear" w:color="auto" w:fill="F8FCFF"/>
        <w:spacing w:before="100" w:beforeAutospacing="1" w:after="100" w:afterAutospacing="1" w:line="240" w:lineRule="auto"/>
        <w:rPr>
          <w:rFonts w:ascii="Sailor" w:hAnsi="Sailor"/>
          <w:sz w:val="24"/>
        </w:rPr>
      </w:pPr>
      <w:r w:rsidRPr="00F97460">
        <w:rPr>
          <w:rFonts w:ascii="Sailor" w:hAnsi="Sailor"/>
          <w:sz w:val="24"/>
        </w:rPr>
        <w:t xml:space="preserve">a company claims tax depreciation at an accelerated rate relative to accounting depreciation </w:t>
      </w:r>
    </w:p>
    <w:p w:rsidR="002541E7" w:rsidRPr="00F97460" w:rsidRDefault="002541E7" w:rsidP="00514DF2">
      <w:pPr>
        <w:numPr>
          <w:ilvl w:val="0"/>
          <w:numId w:val="7"/>
        </w:numPr>
        <w:shd w:val="clear" w:color="auto" w:fill="F8FCFF"/>
        <w:spacing w:before="100" w:beforeAutospacing="1" w:after="100" w:afterAutospacing="1" w:line="240" w:lineRule="auto"/>
        <w:rPr>
          <w:rFonts w:ascii="Sailor" w:hAnsi="Sailor"/>
          <w:sz w:val="24"/>
        </w:rPr>
      </w:pPr>
      <w:r w:rsidRPr="00F97460">
        <w:rPr>
          <w:rFonts w:ascii="Sailor" w:hAnsi="Sailor"/>
          <w:sz w:val="24"/>
        </w:rPr>
        <w:lastRenderedPageBreak/>
        <w:t xml:space="preserve">a company makes pension contributions for which tax relief is provided on a paid basis, whereas accounting entries are determined in accordance with actuarial valuations </w:t>
      </w:r>
    </w:p>
    <w:p w:rsidR="002541E7" w:rsidRPr="00F97460" w:rsidRDefault="002541E7" w:rsidP="00514DF2">
      <w:pPr>
        <w:pStyle w:val="Heading3"/>
        <w:shd w:val="clear" w:color="auto" w:fill="F8FCFF"/>
        <w:spacing w:line="240" w:lineRule="auto"/>
        <w:rPr>
          <w:rFonts w:ascii="Sailor" w:hAnsi="Sailor"/>
          <w:sz w:val="36"/>
        </w:rPr>
      </w:pPr>
      <w:bookmarkStart w:id="7" w:name="Deferred_tax_assets"/>
      <w:bookmarkEnd w:id="7"/>
      <w:r w:rsidRPr="00F97460">
        <w:rPr>
          <w:rStyle w:val="mw-headline"/>
          <w:rFonts w:ascii="Sailor" w:hAnsi="Sailor"/>
          <w:sz w:val="36"/>
        </w:rPr>
        <w:t>Deferred tax assets</w:t>
      </w:r>
    </w:p>
    <w:p w:rsidR="002541E7" w:rsidRPr="00F97460" w:rsidRDefault="002541E7" w:rsidP="00514DF2">
      <w:pPr>
        <w:pStyle w:val="NormalWeb"/>
        <w:shd w:val="clear" w:color="auto" w:fill="F8FCFF"/>
        <w:spacing w:line="240" w:lineRule="auto"/>
        <w:rPr>
          <w:rFonts w:ascii="Sailor" w:hAnsi="Sailor"/>
          <w:sz w:val="24"/>
        </w:rPr>
      </w:pPr>
      <w:r w:rsidRPr="00F97460">
        <w:rPr>
          <w:rFonts w:ascii="Sailor" w:hAnsi="Sailor"/>
          <w:sz w:val="24"/>
        </w:rPr>
        <w:t>Deferred tax assets generally arise where tax relief is provided after an expense is deducted for accounting purposes.Examples of such situations include:</w:t>
      </w:r>
    </w:p>
    <w:p w:rsidR="002541E7" w:rsidRPr="00F97460" w:rsidRDefault="002541E7" w:rsidP="00514DF2">
      <w:pPr>
        <w:numPr>
          <w:ilvl w:val="0"/>
          <w:numId w:val="8"/>
        </w:numPr>
        <w:shd w:val="clear" w:color="auto" w:fill="F8FCFF"/>
        <w:spacing w:before="100" w:beforeAutospacing="1" w:after="100" w:afterAutospacing="1" w:line="240" w:lineRule="auto"/>
        <w:rPr>
          <w:rFonts w:ascii="Sailor" w:hAnsi="Sailor"/>
          <w:sz w:val="24"/>
        </w:rPr>
      </w:pPr>
      <w:r w:rsidRPr="00F97460">
        <w:rPr>
          <w:rFonts w:ascii="Sailor" w:hAnsi="Sailor"/>
          <w:sz w:val="24"/>
        </w:rPr>
        <w:t xml:space="preserve">a company may </w:t>
      </w:r>
      <w:hyperlink r:id="rId31" w:tooltip="Accrue" w:history="1">
        <w:r w:rsidRPr="00F97460">
          <w:rPr>
            <w:rFonts w:ascii="Sailor" w:hAnsi="Sailor"/>
            <w:color w:val="0000FF"/>
            <w:sz w:val="24"/>
            <w:u w:val="single"/>
          </w:rPr>
          <w:t>acc</w:t>
        </w:r>
        <w:r w:rsidRPr="00F97460">
          <w:rPr>
            <w:rFonts w:ascii="Sailor" w:hAnsi="Sailor"/>
            <w:color w:val="0000FF"/>
            <w:sz w:val="24"/>
            <w:u w:val="single"/>
          </w:rPr>
          <w:t>r</w:t>
        </w:r>
        <w:r w:rsidRPr="00F97460">
          <w:rPr>
            <w:rFonts w:ascii="Sailor" w:hAnsi="Sailor"/>
            <w:color w:val="0000FF"/>
            <w:sz w:val="24"/>
            <w:u w:val="single"/>
          </w:rPr>
          <w:t>ue</w:t>
        </w:r>
      </w:hyperlink>
      <w:r w:rsidRPr="00F97460">
        <w:rPr>
          <w:rFonts w:ascii="Sailor" w:hAnsi="Sailor"/>
          <w:sz w:val="24"/>
        </w:rPr>
        <w:t xml:space="preserve"> an accounting expense in relation to a </w:t>
      </w:r>
      <w:hyperlink r:id="rId32" w:tooltip="Provision" w:history="1">
        <w:r w:rsidRPr="00F97460">
          <w:rPr>
            <w:rStyle w:val="Hyperlink"/>
            <w:rFonts w:ascii="Sailor" w:hAnsi="Sailor"/>
            <w:sz w:val="24"/>
          </w:rPr>
          <w:t>provision</w:t>
        </w:r>
      </w:hyperlink>
      <w:r w:rsidRPr="00F97460">
        <w:rPr>
          <w:rFonts w:ascii="Sailor" w:hAnsi="Sailor"/>
          <w:sz w:val="24"/>
        </w:rPr>
        <w:t xml:space="preserve"> such as bad debts, but tax relief may not be obtained until the provision is utilised </w:t>
      </w:r>
    </w:p>
    <w:p w:rsidR="002541E7" w:rsidRPr="00F97460" w:rsidRDefault="002541E7" w:rsidP="00514DF2">
      <w:pPr>
        <w:numPr>
          <w:ilvl w:val="0"/>
          <w:numId w:val="8"/>
        </w:numPr>
        <w:shd w:val="clear" w:color="auto" w:fill="F8FCFF"/>
        <w:spacing w:before="100" w:beforeAutospacing="1" w:after="100" w:afterAutospacing="1" w:line="240" w:lineRule="auto"/>
        <w:rPr>
          <w:rFonts w:ascii="Sailor" w:hAnsi="Sailor"/>
          <w:sz w:val="24"/>
        </w:rPr>
      </w:pPr>
      <w:r w:rsidRPr="00F97460">
        <w:rPr>
          <w:rFonts w:ascii="Sailor" w:hAnsi="Sailor"/>
          <w:sz w:val="24"/>
        </w:rPr>
        <w:t xml:space="preserve">a company may incur </w:t>
      </w:r>
      <w:hyperlink r:id="rId33" w:tooltip="Tax loss (page does not exist)" w:history="1">
        <w:r w:rsidRPr="00F97460">
          <w:rPr>
            <w:rFonts w:ascii="Sailor" w:hAnsi="Sailor"/>
            <w:color w:val="CC2200"/>
            <w:sz w:val="24"/>
            <w:u w:val="single"/>
          </w:rPr>
          <w:t>tax losses</w:t>
        </w:r>
      </w:hyperlink>
      <w:r w:rsidRPr="00F97460">
        <w:rPr>
          <w:rFonts w:ascii="Sailor" w:hAnsi="Sailor"/>
          <w:sz w:val="24"/>
        </w:rPr>
        <w:t xml:space="preserve"> and be able to "carry forward" losses to reduce taxable income in future years </w:t>
      </w:r>
    </w:p>
    <w:p w:rsidR="002541E7" w:rsidRPr="00F97460" w:rsidRDefault="002541E7" w:rsidP="00514DF2">
      <w:pPr>
        <w:pStyle w:val="Heading2"/>
        <w:shd w:val="clear" w:color="auto" w:fill="F8FCFF"/>
        <w:spacing w:line="240" w:lineRule="auto"/>
        <w:rPr>
          <w:rFonts w:ascii="Sailor" w:hAnsi="Sailor"/>
          <w:sz w:val="32"/>
        </w:rPr>
      </w:pPr>
      <w:bookmarkStart w:id="8" w:name="Deferred_tax_in_modern_accounting_standa"/>
      <w:bookmarkEnd w:id="8"/>
      <w:r w:rsidRPr="00F97460">
        <w:rPr>
          <w:rStyle w:val="mw-headline"/>
          <w:rFonts w:ascii="Sailor" w:hAnsi="Sailor"/>
          <w:sz w:val="32"/>
        </w:rPr>
        <w:t>Deferred tax in modern accounting standards</w:t>
      </w:r>
    </w:p>
    <w:p w:rsidR="002541E7" w:rsidRPr="00F97460" w:rsidRDefault="002541E7" w:rsidP="00514DF2">
      <w:pPr>
        <w:pStyle w:val="NormalWeb"/>
        <w:shd w:val="clear" w:color="auto" w:fill="F8FCFF"/>
        <w:spacing w:line="240" w:lineRule="auto"/>
        <w:rPr>
          <w:rFonts w:ascii="Sailor" w:hAnsi="Sailor"/>
          <w:sz w:val="24"/>
        </w:rPr>
      </w:pPr>
      <w:r w:rsidRPr="00F97460">
        <w:rPr>
          <w:rFonts w:ascii="Sailor" w:hAnsi="Sailor"/>
          <w:sz w:val="24"/>
        </w:rPr>
        <w:t xml:space="preserve">Modern accounting standards typically require that a company provides for deferred tax in accordance with either the </w:t>
      </w:r>
      <w:hyperlink r:id="rId34" w:anchor="temporary_differences" w:history="1">
        <w:r w:rsidRPr="00F97460">
          <w:rPr>
            <w:rStyle w:val="Hyperlink"/>
            <w:rFonts w:ascii="Sailor" w:hAnsi="Sailor"/>
            <w:sz w:val="24"/>
          </w:rPr>
          <w:t>temporary difference</w:t>
        </w:r>
      </w:hyperlink>
      <w:r w:rsidRPr="00F97460">
        <w:rPr>
          <w:rFonts w:ascii="Sailor" w:hAnsi="Sailor"/>
          <w:sz w:val="24"/>
        </w:rPr>
        <w:t xml:space="preserve"> or </w:t>
      </w:r>
      <w:hyperlink r:id="rId35" w:anchor="timing_differences" w:history="1">
        <w:r w:rsidRPr="00F97460">
          <w:rPr>
            <w:rStyle w:val="Hyperlink"/>
            <w:rFonts w:ascii="Sailor" w:hAnsi="Sailor"/>
            <w:sz w:val="24"/>
          </w:rPr>
          <w:t>timing difference</w:t>
        </w:r>
      </w:hyperlink>
      <w:r w:rsidRPr="00F97460">
        <w:rPr>
          <w:rFonts w:ascii="Sailor" w:hAnsi="Sailor"/>
          <w:sz w:val="24"/>
        </w:rPr>
        <w:t xml:space="preserve"> approach. Where a deferred tax liability or asset is recognised, the liability or asset should reduce over time (subject to new differences arising) as the temporary or timing difference reverses.</w:t>
      </w:r>
    </w:p>
    <w:p w:rsidR="002541E7" w:rsidRPr="00F97460" w:rsidRDefault="002541E7" w:rsidP="00514DF2">
      <w:pPr>
        <w:pStyle w:val="NormalWeb"/>
        <w:shd w:val="clear" w:color="auto" w:fill="F8FCFF"/>
        <w:spacing w:line="240" w:lineRule="auto"/>
        <w:rPr>
          <w:rFonts w:ascii="Sailor" w:hAnsi="Sailor"/>
          <w:sz w:val="24"/>
        </w:rPr>
      </w:pPr>
      <w:r w:rsidRPr="00F97460">
        <w:rPr>
          <w:rFonts w:ascii="Sailor" w:hAnsi="Sailor"/>
          <w:sz w:val="24"/>
        </w:rPr>
        <w:t xml:space="preserve">Under </w:t>
      </w:r>
      <w:hyperlink r:id="rId36" w:tooltip="International Financial Reporting Standards" w:history="1">
        <w:r w:rsidRPr="00F97460">
          <w:rPr>
            <w:rStyle w:val="Hyperlink"/>
            <w:rFonts w:ascii="Sailor" w:hAnsi="Sailor"/>
            <w:sz w:val="24"/>
          </w:rPr>
          <w:t>International Financial Reporting Standards</w:t>
        </w:r>
      </w:hyperlink>
      <w:r w:rsidRPr="00F97460">
        <w:rPr>
          <w:rFonts w:ascii="Sailor" w:hAnsi="Sailor"/>
          <w:sz w:val="24"/>
        </w:rPr>
        <w:t xml:space="preserve">, deferred tax should be accounted for using the principles in </w:t>
      </w:r>
      <w:hyperlink r:id="rId37" w:tooltip="IAS 12 (page does not exist)" w:history="1">
        <w:r w:rsidRPr="00F97460">
          <w:rPr>
            <w:rStyle w:val="Hyperlink"/>
            <w:rFonts w:ascii="Sailor" w:hAnsi="Sailor"/>
            <w:color w:val="CC2200"/>
            <w:sz w:val="24"/>
          </w:rPr>
          <w:t>IAS 12</w:t>
        </w:r>
      </w:hyperlink>
      <w:r w:rsidRPr="00F97460">
        <w:rPr>
          <w:rFonts w:ascii="Sailor" w:hAnsi="Sailor"/>
          <w:sz w:val="24"/>
        </w:rPr>
        <w:t xml:space="preserve">: Income Taxes, which is similar (but not identical) to </w:t>
      </w:r>
      <w:hyperlink r:id="rId38" w:tooltip="SFAS 109 (page does not exist)" w:history="1">
        <w:r w:rsidRPr="00F97460">
          <w:rPr>
            <w:rStyle w:val="Hyperlink"/>
            <w:rFonts w:ascii="Sailor" w:hAnsi="Sailor"/>
            <w:color w:val="CC2200"/>
            <w:sz w:val="24"/>
          </w:rPr>
          <w:t>SFAS 109</w:t>
        </w:r>
      </w:hyperlink>
      <w:r w:rsidRPr="00F97460">
        <w:rPr>
          <w:rFonts w:ascii="Sailor" w:hAnsi="Sailor"/>
          <w:sz w:val="24"/>
        </w:rPr>
        <w:t xml:space="preserve"> under </w:t>
      </w:r>
      <w:hyperlink r:id="rId39" w:tooltip="US GAAP" w:history="1">
        <w:r w:rsidRPr="00F97460">
          <w:rPr>
            <w:rFonts w:ascii="Sailor" w:hAnsi="Sailor"/>
            <w:color w:val="0000FF"/>
            <w:sz w:val="24"/>
            <w:u w:val="single"/>
          </w:rPr>
          <w:t>US GAAP</w:t>
        </w:r>
      </w:hyperlink>
      <w:r w:rsidRPr="00F97460">
        <w:rPr>
          <w:rFonts w:ascii="Sailor" w:hAnsi="Sailor"/>
          <w:sz w:val="24"/>
        </w:rPr>
        <w:t xml:space="preserve">. Both these accounting standards require a </w:t>
      </w:r>
      <w:hyperlink r:id="rId40" w:anchor="temporary_differences" w:history="1">
        <w:r w:rsidRPr="00F97460">
          <w:rPr>
            <w:rStyle w:val="Hyperlink"/>
            <w:rFonts w:ascii="Sailor" w:hAnsi="Sailor"/>
            <w:sz w:val="24"/>
          </w:rPr>
          <w:t>temporary difference</w:t>
        </w:r>
      </w:hyperlink>
      <w:r w:rsidRPr="00F97460">
        <w:rPr>
          <w:rFonts w:ascii="Sailor" w:hAnsi="Sailor"/>
          <w:sz w:val="24"/>
        </w:rPr>
        <w:t xml:space="preserve"> approach.</w:t>
      </w:r>
    </w:p>
    <w:p w:rsidR="002541E7" w:rsidRPr="00F97460" w:rsidRDefault="002541E7" w:rsidP="00514DF2">
      <w:pPr>
        <w:pStyle w:val="NormalWeb"/>
        <w:shd w:val="clear" w:color="auto" w:fill="F8FCFF"/>
        <w:spacing w:line="240" w:lineRule="auto"/>
        <w:rPr>
          <w:rFonts w:ascii="Sailor" w:hAnsi="Sailor"/>
          <w:sz w:val="24"/>
        </w:rPr>
      </w:pPr>
      <w:r w:rsidRPr="00F97460">
        <w:rPr>
          <w:rFonts w:ascii="Sailor" w:hAnsi="Sailor"/>
          <w:sz w:val="24"/>
        </w:rPr>
        <w:t>Other accounting standards which deal with deferred tax include:</w:t>
      </w:r>
    </w:p>
    <w:p w:rsidR="002541E7" w:rsidRPr="00F97460" w:rsidRDefault="001B0DC6" w:rsidP="00514DF2">
      <w:pPr>
        <w:numPr>
          <w:ilvl w:val="0"/>
          <w:numId w:val="9"/>
        </w:numPr>
        <w:shd w:val="clear" w:color="auto" w:fill="F8FCFF"/>
        <w:spacing w:before="100" w:beforeAutospacing="1" w:after="100" w:afterAutospacing="1" w:line="240" w:lineRule="auto"/>
        <w:rPr>
          <w:rFonts w:ascii="Sailor" w:hAnsi="Sailor"/>
          <w:sz w:val="24"/>
        </w:rPr>
      </w:pPr>
      <w:hyperlink r:id="rId41" w:tooltip="UK GAAP" w:history="1">
        <w:r w:rsidR="002541E7" w:rsidRPr="00F97460">
          <w:rPr>
            <w:rFonts w:ascii="Sailor" w:hAnsi="Sailor"/>
            <w:b/>
            <w:bCs/>
            <w:color w:val="0000FF"/>
            <w:sz w:val="24"/>
            <w:u w:val="single"/>
          </w:rPr>
          <w:t>UK GAAP</w:t>
        </w:r>
      </w:hyperlink>
      <w:r w:rsidR="002541E7" w:rsidRPr="00F97460">
        <w:rPr>
          <w:rFonts w:ascii="Sailor" w:hAnsi="Sailor"/>
          <w:sz w:val="24"/>
        </w:rPr>
        <w:t xml:space="preserve"> - </w:t>
      </w:r>
      <w:hyperlink r:id="rId42" w:tooltip="Financial Reporting Standard 19: Deferred Tax (page does not exist)" w:history="1">
        <w:r w:rsidR="002541E7" w:rsidRPr="00F97460">
          <w:rPr>
            <w:rFonts w:ascii="Sailor" w:hAnsi="Sailor"/>
            <w:color w:val="CC2200"/>
            <w:sz w:val="24"/>
            <w:u w:val="single"/>
          </w:rPr>
          <w:t>Financial Reporting Standard 19: Deferred Tax</w:t>
        </w:r>
      </w:hyperlink>
      <w:r w:rsidR="002541E7" w:rsidRPr="00F97460">
        <w:rPr>
          <w:rFonts w:ascii="Sailor" w:hAnsi="Sailor"/>
          <w:sz w:val="24"/>
        </w:rPr>
        <w:t xml:space="preserve"> (</w:t>
      </w:r>
      <w:hyperlink r:id="rId43" w:anchor="timing_difference" w:history="1">
        <w:r w:rsidR="002541E7" w:rsidRPr="00F97460">
          <w:rPr>
            <w:rStyle w:val="Hyperlink"/>
            <w:rFonts w:ascii="Sailor" w:hAnsi="Sailor"/>
            <w:sz w:val="24"/>
          </w:rPr>
          <w:t>timing difference approach</w:t>
        </w:r>
      </w:hyperlink>
      <w:r w:rsidR="002541E7" w:rsidRPr="00F97460">
        <w:rPr>
          <w:rFonts w:ascii="Sailor" w:hAnsi="Sailor"/>
          <w:sz w:val="24"/>
        </w:rPr>
        <w:t xml:space="preserve">) </w:t>
      </w:r>
    </w:p>
    <w:p w:rsidR="002541E7" w:rsidRPr="00F97460" w:rsidRDefault="002541E7" w:rsidP="00514DF2">
      <w:pPr>
        <w:numPr>
          <w:ilvl w:val="0"/>
          <w:numId w:val="9"/>
        </w:numPr>
        <w:shd w:val="clear" w:color="auto" w:fill="F8FCFF"/>
        <w:spacing w:before="100" w:beforeAutospacing="1" w:after="100" w:afterAutospacing="1" w:line="240" w:lineRule="auto"/>
        <w:rPr>
          <w:rFonts w:ascii="Sailor" w:hAnsi="Sailor"/>
          <w:sz w:val="24"/>
        </w:rPr>
      </w:pPr>
      <w:r w:rsidRPr="00F97460">
        <w:rPr>
          <w:rFonts w:ascii="Sailor" w:hAnsi="Sailor"/>
          <w:b/>
          <w:bCs/>
          <w:sz w:val="24"/>
        </w:rPr>
        <w:t>Mexican GAAP or PCGA</w:t>
      </w:r>
      <w:r w:rsidRPr="00F97460">
        <w:rPr>
          <w:rFonts w:ascii="Sailor" w:hAnsi="Sailor"/>
          <w:sz w:val="24"/>
        </w:rPr>
        <w:t xml:space="preserve"> - Boletín D-4, el impuesto sobre la renta diferido </w:t>
      </w:r>
    </w:p>
    <w:p w:rsidR="002541E7" w:rsidRPr="00F97460" w:rsidRDefault="001B0DC6" w:rsidP="00514DF2">
      <w:pPr>
        <w:numPr>
          <w:ilvl w:val="0"/>
          <w:numId w:val="9"/>
        </w:numPr>
        <w:shd w:val="clear" w:color="auto" w:fill="F8FCFF"/>
        <w:spacing w:before="100" w:beforeAutospacing="1" w:after="100" w:afterAutospacing="1" w:line="240" w:lineRule="auto"/>
        <w:rPr>
          <w:rFonts w:ascii="Sailor" w:hAnsi="Sailor"/>
          <w:sz w:val="24"/>
        </w:rPr>
      </w:pPr>
      <w:hyperlink r:id="rId44" w:tooltip="Canadian GAAP (page does not exist)" w:history="1">
        <w:r w:rsidR="002541E7" w:rsidRPr="00F97460">
          <w:rPr>
            <w:rFonts w:ascii="Sailor" w:hAnsi="Sailor"/>
            <w:b/>
            <w:bCs/>
            <w:color w:val="CC2200"/>
            <w:sz w:val="24"/>
            <w:u w:val="single"/>
          </w:rPr>
          <w:t>Canadian GAAP</w:t>
        </w:r>
      </w:hyperlink>
      <w:r w:rsidR="002541E7" w:rsidRPr="00F97460">
        <w:rPr>
          <w:rFonts w:ascii="Sailor" w:hAnsi="Sailor"/>
          <w:sz w:val="24"/>
        </w:rPr>
        <w:t xml:space="preserve"> - </w:t>
      </w:r>
      <w:hyperlink r:id="rId45" w:tooltip="Canadian Institute of Chartered Accountants" w:history="1">
        <w:r w:rsidR="002541E7" w:rsidRPr="00F97460">
          <w:rPr>
            <w:rStyle w:val="Hyperlink"/>
            <w:rFonts w:ascii="Sailor" w:hAnsi="Sailor"/>
            <w:sz w:val="24"/>
          </w:rPr>
          <w:t>CICA</w:t>
        </w:r>
      </w:hyperlink>
      <w:r w:rsidR="002541E7" w:rsidRPr="00F97460">
        <w:rPr>
          <w:rFonts w:ascii="Sailor" w:hAnsi="Sailor"/>
          <w:sz w:val="24"/>
        </w:rPr>
        <w:t xml:space="preserve"> Section 3465 </w:t>
      </w:r>
    </w:p>
    <w:p w:rsidR="002541E7" w:rsidRPr="00F97460" w:rsidRDefault="001B0DC6" w:rsidP="00514DF2">
      <w:pPr>
        <w:numPr>
          <w:ilvl w:val="0"/>
          <w:numId w:val="9"/>
        </w:numPr>
        <w:shd w:val="clear" w:color="auto" w:fill="F8FCFF"/>
        <w:spacing w:before="100" w:beforeAutospacing="1" w:after="100" w:afterAutospacing="1" w:line="240" w:lineRule="auto"/>
        <w:rPr>
          <w:rFonts w:ascii="Sailor" w:hAnsi="Sailor"/>
          <w:sz w:val="24"/>
        </w:rPr>
      </w:pPr>
      <w:hyperlink r:id="rId46" w:tooltip="Russia" w:history="1">
        <w:r w:rsidR="002541E7" w:rsidRPr="00F97460">
          <w:rPr>
            <w:rStyle w:val="Hyperlink"/>
            <w:rFonts w:ascii="Sailor" w:hAnsi="Sailor"/>
            <w:b/>
            <w:bCs/>
            <w:sz w:val="24"/>
          </w:rPr>
          <w:t>Russian</w:t>
        </w:r>
      </w:hyperlink>
      <w:r w:rsidR="002541E7" w:rsidRPr="00F97460">
        <w:rPr>
          <w:rFonts w:ascii="Sailor" w:hAnsi="Sailor"/>
          <w:b/>
          <w:bCs/>
          <w:sz w:val="24"/>
        </w:rPr>
        <w:t xml:space="preserve"> PBU 18 (2002)</w:t>
      </w:r>
      <w:r w:rsidR="002541E7" w:rsidRPr="00F97460">
        <w:rPr>
          <w:rFonts w:ascii="Sailor" w:hAnsi="Sailor"/>
          <w:sz w:val="24"/>
        </w:rPr>
        <w:t xml:space="preserve"> </w:t>
      </w:r>
      <w:r w:rsidR="002541E7" w:rsidRPr="00F97460">
        <w:rPr>
          <w:rFonts w:ascii="Sailor" w:hAnsi="Sailor"/>
          <w:i/>
          <w:iCs/>
          <w:sz w:val="24"/>
        </w:rPr>
        <w:t>Accounting for profit tax</w:t>
      </w:r>
      <w:r w:rsidR="002541E7" w:rsidRPr="00F97460">
        <w:rPr>
          <w:rFonts w:ascii="Sailor" w:hAnsi="Sailor"/>
          <w:sz w:val="24"/>
        </w:rPr>
        <w:t xml:space="preserve"> (</w:t>
      </w:r>
      <w:hyperlink r:id="rId47" w:anchor="timing_difference" w:history="1">
        <w:r w:rsidR="002541E7" w:rsidRPr="00F97460">
          <w:rPr>
            <w:rStyle w:val="Hyperlink"/>
            <w:rFonts w:ascii="Sailor" w:hAnsi="Sailor"/>
            <w:sz w:val="24"/>
          </w:rPr>
          <w:t>timing difference approach</w:t>
        </w:r>
      </w:hyperlink>
      <w:r w:rsidR="002541E7" w:rsidRPr="00F97460">
        <w:rPr>
          <w:rFonts w:ascii="Sailor" w:hAnsi="Sailor"/>
          <w:sz w:val="24"/>
        </w:rPr>
        <w:t xml:space="preserve">) </w:t>
      </w:r>
    </w:p>
    <w:p w:rsidR="002541E7" w:rsidRPr="00F97460" w:rsidRDefault="002541E7" w:rsidP="00514DF2">
      <w:pPr>
        <w:pStyle w:val="Heading2"/>
        <w:shd w:val="clear" w:color="auto" w:fill="F8FCFF"/>
        <w:spacing w:line="240" w:lineRule="auto"/>
        <w:rPr>
          <w:rFonts w:ascii="Sailor" w:hAnsi="Sailor"/>
          <w:sz w:val="32"/>
        </w:rPr>
      </w:pPr>
      <w:bookmarkStart w:id="9" w:name="Derecognition_of_deferred_tax_assets_and"/>
      <w:bookmarkEnd w:id="9"/>
      <w:r w:rsidRPr="00F97460">
        <w:rPr>
          <w:rStyle w:val="mw-headline"/>
          <w:rFonts w:ascii="Sailor" w:hAnsi="Sailor"/>
          <w:sz w:val="32"/>
        </w:rPr>
        <w:t>Derecognition of deferred tax assets and liabilities</w:t>
      </w:r>
    </w:p>
    <w:p w:rsidR="002541E7" w:rsidRPr="00F97460" w:rsidRDefault="002541E7" w:rsidP="00514DF2">
      <w:pPr>
        <w:pStyle w:val="NormalWeb"/>
        <w:shd w:val="clear" w:color="auto" w:fill="F8FCFF"/>
        <w:spacing w:line="240" w:lineRule="auto"/>
        <w:ind w:firstLine="720"/>
        <w:rPr>
          <w:rFonts w:ascii="Sailor" w:hAnsi="Sailor"/>
          <w:sz w:val="24"/>
        </w:rPr>
      </w:pPr>
      <w:r w:rsidRPr="00F97460">
        <w:rPr>
          <w:rFonts w:ascii="Sailor" w:hAnsi="Sailor"/>
          <w:sz w:val="24"/>
        </w:rPr>
        <w:t>Management has an obligation to accurately report the true state of the company, and to make judgements and estimations where necessary. In the context of tax assets and liabilities, there must be a reasonable likelihood that the tax difference may be realised in future years.</w:t>
      </w:r>
    </w:p>
    <w:p w:rsidR="002541E7" w:rsidRPr="00F97460" w:rsidRDefault="002541E7" w:rsidP="00514DF2">
      <w:pPr>
        <w:pStyle w:val="NormalWeb"/>
        <w:shd w:val="clear" w:color="auto" w:fill="F8FCFF"/>
        <w:spacing w:line="240" w:lineRule="auto"/>
        <w:ind w:firstLine="720"/>
        <w:rPr>
          <w:rFonts w:ascii="Sailor" w:hAnsi="Sailor"/>
          <w:sz w:val="24"/>
        </w:rPr>
      </w:pPr>
      <w:r w:rsidRPr="00F97460">
        <w:rPr>
          <w:rFonts w:ascii="Sailor" w:hAnsi="Sailor"/>
          <w:sz w:val="24"/>
        </w:rPr>
        <w:t>For example, a tax asset may appear on the company's accounts due to losses in previous years (if carry-forward of tax losses is allowed). In this case a deferred tax asset should be recognised if and only if the management considered that there will be sufficient future taxable profit to utilise the tax loss.</w:t>
      </w:r>
      <w:hyperlink r:id="rId48" w:anchor="cite_note-1" w:history="1">
        <w:r w:rsidRPr="00F97460">
          <w:rPr>
            <w:rFonts w:ascii="Sailor" w:hAnsi="Sailor"/>
            <w:color w:val="0000FF"/>
            <w:sz w:val="24"/>
            <w:u w:val="single"/>
            <w:vertAlign w:val="superscript"/>
          </w:rPr>
          <w:t>[2]</w:t>
        </w:r>
      </w:hyperlink>
      <w:r w:rsidRPr="00F97460">
        <w:rPr>
          <w:rFonts w:ascii="Sailor" w:hAnsi="Sailor"/>
          <w:sz w:val="24"/>
        </w:rPr>
        <w:t xml:space="preserve"> If it becomes clear that the company does not expect to make profits in future years, the value of the tax asset has been </w:t>
      </w:r>
      <w:r w:rsidRPr="00F97460">
        <w:rPr>
          <w:rFonts w:ascii="Sailor" w:hAnsi="Sailor"/>
          <w:i/>
          <w:iCs/>
          <w:sz w:val="24"/>
        </w:rPr>
        <w:t>impaired</w:t>
      </w:r>
      <w:r w:rsidRPr="00F97460">
        <w:rPr>
          <w:rFonts w:ascii="Sailor" w:hAnsi="Sailor"/>
          <w:sz w:val="24"/>
        </w:rPr>
        <w:t xml:space="preserve">: in the estimation of management, the likelihood that this </w:t>
      </w:r>
      <w:hyperlink r:id="rId49" w:tooltip="Tax loss (page does not exist)" w:history="1">
        <w:r w:rsidRPr="00F97460">
          <w:rPr>
            <w:rStyle w:val="Hyperlink"/>
            <w:rFonts w:ascii="Sailor" w:hAnsi="Sailor"/>
            <w:color w:val="CC2200"/>
            <w:sz w:val="24"/>
          </w:rPr>
          <w:t>tax loss</w:t>
        </w:r>
      </w:hyperlink>
      <w:r w:rsidRPr="00F97460">
        <w:rPr>
          <w:rFonts w:ascii="Sailor" w:hAnsi="Sailor"/>
          <w:sz w:val="24"/>
        </w:rPr>
        <w:t xml:space="preserve"> can be utilised in the future has significantly fallen.</w:t>
      </w:r>
    </w:p>
    <w:p w:rsidR="002541E7" w:rsidRPr="00F97460" w:rsidRDefault="002541E7" w:rsidP="00514DF2">
      <w:pPr>
        <w:pStyle w:val="NormalWeb"/>
        <w:shd w:val="clear" w:color="auto" w:fill="F8FCFF"/>
        <w:spacing w:line="240" w:lineRule="auto"/>
        <w:ind w:firstLine="720"/>
        <w:rPr>
          <w:rFonts w:ascii="Sailor" w:hAnsi="Sailor"/>
          <w:sz w:val="24"/>
        </w:rPr>
      </w:pPr>
      <w:r w:rsidRPr="00F97460">
        <w:rPr>
          <w:rFonts w:ascii="Sailor" w:hAnsi="Sailor"/>
          <w:sz w:val="24"/>
        </w:rPr>
        <w:t xml:space="preserve">In cases where the carrying value of tax assets or liabilities has changed, the company may need to do a </w:t>
      </w:r>
      <w:hyperlink r:id="rId50" w:tooltip="Write down" w:history="1">
        <w:r w:rsidRPr="00F97460">
          <w:rPr>
            <w:rFonts w:ascii="Sailor" w:hAnsi="Sailor"/>
            <w:color w:val="0000FF"/>
            <w:sz w:val="24"/>
            <w:u w:val="single"/>
          </w:rPr>
          <w:t>write down</w:t>
        </w:r>
      </w:hyperlink>
      <w:r w:rsidRPr="00F97460">
        <w:rPr>
          <w:rFonts w:ascii="Sailor" w:hAnsi="Sailor"/>
          <w:sz w:val="24"/>
        </w:rPr>
        <w:t xml:space="preserve">, and in certain cases involving in particular a fundamental error, a </w:t>
      </w:r>
      <w:hyperlink r:id="rId51" w:tooltip="Restatement" w:history="1">
        <w:r w:rsidRPr="00F97460">
          <w:rPr>
            <w:rStyle w:val="Hyperlink"/>
            <w:rFonts w:ascii="Sailor" w:hAnsi="Sailor"/>
            <w:sz w:val="24"/>
          </w:rPr>
          <w:t>restatement</w:t>
        </w:r>
      </w:hyperlink>
      <w:r w:rsidRPr="00F97460">
        <w:rPr>
          <w:rFonts w:ascii="Sailor" w:hAnsi="Sailor"/>
          <w:sz w:val="24"/>
        </w:rPr>
        <w:t xml:space="preserve"> of its financial results from previous years. Such write-downs may involve either significant income or expenditure being recorded in the company's profit and loss for the financial year in which the write-down takes place</w:t>
      </w:r>
    </w:p>
    <w:p w:rsidR="002318FD" w:rsidRPr="00F97460" w:rsidRDefault="002318FD" w:rsidP="00514DF2">
      <w:pPr>
        <w:spacing w:line="240" w:lineRule="auto"/>
        <w:rPr>
          <w:rFonts w:ascii="Sailor" w:hAnsi="Sailor"/>
          <w:sz w:val="18"/>
        </w:rPr>
      </w:pPr>
    </w:p>
    <w:sectPr w:rsidR="002318FD" w:rsidRPr="00F97460" w:rsidSect="00F97460">
      <w:headerReference w:type="default" r:id="rId52"/>
      <w:footerReference w:type="default" r:id="rId53"/>
      <w:pgSz w:w="12240" w:h="15840"/>
      <w:pgMar w:top="709" w:right="630" w:bottom="630" w:left="720" w:header="270" w:footer="14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779" w:rsidRDefault="00042779" w:rsidP="00F97460">
      <w:pPr>
        <w:spacing w:after="0" w:line="240" w:lineRule="auto"/>
      </w:pPr>
      <w:r>
        <w:separator/>
      </w:r>
    </w:p>
  </w:endnote>
  <w:endnote w:type="continuationSeparator" w:id="1">
    <w:p w:rsidR="00042779" w:rsidRDefault="00042779" w:rsidP="00F974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ailor">
    <w:panose1 w:val="00000000000000000000"/>
    <w:charset w:val="00"/>
    <w:family w:val="auto"/>
    <w:pitch w:val="variable"/>
    <w:sig w:usb0="00000087" w:usb1="00000000" w:usb2="00000000" w:usb3="00000000" w:csb0="0000001B" w:csb1="00000000"/>
  </w:font>
  <w:font w:name="KCaps">
    <w:panose1 w:val="00000000000000000000"/>
    <w:charset w:val="00"/>
    <w:family w:val="auto"/>
    <w:pitch w:val="variable"/>
    <w:sig w:usb0="00000087"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60" w:rsidRPr="00F97460" w:rsidRDefault="00F97460" w:rsidP="00F97460">
    <w:pPr>
      <w:spacing w:before="100" w:beforeAutospacing="1" w:after="306" w:line="266" w:lineRule="atLeast"/>
      <w:jc w:val="center"/>
      <w:outlineLvl w:val="0"/>
      <w:rPr>
        <w:rFonts w:ascii="Sailor" w:eastAsia="Times New Roman" w:hAnsi="Sailor" w:cs="Times New Roman"/>
        <w:color w:val="0070C0"/>
        <w:kern w:val="36"/>
        <w:sz w:val="28"/>
        <w:szCs w:val="86"/>
      </w:rPr>
    </w:pPr>
    <w:r w:rsidRPr="00F97460">
      <w:rPr>
        <w:rFonts w:ascii="Sailor" w:eastAsia="Times New Roman" w:hAnsi="Sailor" w:cs="Times New Roman"/>
        <w:color w:val="0070C0"/>
        <w:kern w:val="36"/>
        <w:sz w:val="28"/>
        <w:szCs w:val="86"/>
      </w:rPr>
      <w:t>Deferred Tax Assets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779" w:rsidRDefault="00042779" w:rsidP="00F97460">
      <w:pPr>
        <w:spacing w:after="0" w:line="240" w:lineRule="auto"/>
      </w:pPr>
      <w:r>
        <w:separator/>
      </w:r>
    </w:p>
  </w:footnote>
  <w:footnote w:type="continuationSeparator" w:id="1">
    <w:p w:rsidR="00042779" w:rsidRDefault="00042779" w:rsidP="00F974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60" w:rsidRPr="00F97460" w:rsidRDefault="00F97460" w:rsidP="00F97460">
    <w:pPr>
      <w:pStyle w:val="Header"/>
      <w:jc w:val="center"/>
      <w:rPr>
        <w:rFonts w:ascii="KCaps" w:hAnsi="KCaps"/>
        <w:color w:val="0070C0"/>
        <w:sz w:val="24"/>
      </w:rPr>
    </w:pPr>
    <w:r w:rsidRPr="00F97460">
      <w:rPr>
        <w:rFonts w:ascii="KCaps" w:hAnsi="KCaps"/>
        <w:color w:val="0070C0"/>
        <w:sz w:val="24"/>
      </w:rPr>
      <w:t>MADE BY ANIL BASWAL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F3DB0"/>
    <w:multiLevelType w:val="multilevel"/>
    <w:tmpl w:val="AB8E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9D6230"/>
    <w:multiLevelType w:val="multilevel"/>
    <w:tmpl w:val="19AC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3A6E5E"/>
    <w:multiLevelType w:val="multilevel"/>
    <w:tmpl w:val="9E48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EA3276"/>
    <w:multiLevelType w:val="multilevel"/>
    <w:tmpl w:val="24E6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BA7A84"/>
    <w:multiLevelType w:val="multilevel"/>
    <w:tmpl w:val="C30AE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39178F"/>
    <w:multiLevelType w:val="multilevel"/>
    <w:tmpl w:val="2056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641697"/>
    <w:multiLevelType w:val="multilevel"/>
    <w:tmpl w:val="9830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33348E"/>
    <w:multiLevelType w:val="multilevel"/>
    <w:tmpl w:val="AD1C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EC5CFE"/>
    <w:multiLevelType w:val="multilevel"/>
    <w:tmpl w:val="70F4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5"/>
  </w:num>
  <w:num w:numId="5">
    <w:abstractNumId w:val="8"/>
  </w:num>
  <w:num w:numId="6">
    <w:abstractNumId w:val="2"/>
  </w:num>
  <w:num w:numId="7">
    <w:abstractNumId w:val="1"/>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cryptProviderType="rsaFull" w:cryptAlgorithmClass="hash" w:cryptAlgorithmType="typeAny" w:cryptAlgorithmSid="4" w:cryptSpinCount="50000" w:hash="Q2JjcC25gI9NIYW3i0O4oOuxKEQ=" w:salt="qFZiAOmNK6RSVvCihS8rjg=="/>
  <w:zoom w:percent="98"/>
  <w:defaultTabStop w:val="720"/>
  <w:characterSpacingControl w:val="doNotCompress"/>
  <w:footnotePr>
    <w:footnote w:id="0"/>
    <w:footnote w:id="1"/>
  </w:footnotePr>
  <w:endnotePr>
    <w:endnote w:id="0"/>
    <w:endnote w:id="1"/>
  </w:endnotePr>
  <w:compat/>
  <w:rsids>
    <w:rsidRoot w:val="002541E7"/>
    <w:rsid w:val="00042779"/>
    <w:rsid w:val="001B0DC6"/>
    <w:rsid w:val="002318FD"/>
    <w:rsid w:val="002541E7"/>
    <w:rsid w:val="00514DF2"/>
    <w:rsid w:val="005E3F6F"/>
    <w:rsid w:val="008C35C4"/>
    <w:rsid w:val="00EB6816"/>
    <w:rsid w:val="00F974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8FD"/>
  </w:style>
  <w:style w:type="paragraph" w:styleId="Heading1">
    <w:name w:val="heading 1"/>
    <w:basedOn w:val="Normal"/>
    <w:link w:val="Heading1Char"/>
    <w:uiPriority w:val="9"/>
    <w:qFormat/>
    <w:rsid w:val="002541E7"/>
    <w:pPr>
      <w:spacing w:before="100" w:beforeAutospacing="1" w:after="306" w:line="266" w:lineRule="atLeast"/>
      <w:outlineLvl w:val="0"/>
    </w:pPr>
    <w:rPr>
      <w:rFonts w:ascii="Times New Roman" w:eastAsia="Times New Roman" w:hAnsi="Times New Roman" w:cs="Times New Roman"/>
      <w:kern w:val="36"/>
      <w:sz w:val="86"/>
      <w:szCs w:val="86"/>
    </w:rPr>
  </w:style>
  <w:style w:type="paragraph" w:styleId="Heading2">
    <w:name w:val="heading 2"/>
    <w:basedOn w:val="Normal"/>
    <w:next w:val="Normal"/>
    <w:link w:val="Heading2Char"/>
    <w:uiPriority w:val="9"/>
    <w:semiHidden/>
    <w:unhideWhenUsed/>
    <w:qFormat/>
    <w:rsid w:val="002541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541E7"/>
    <w:pPr>
      <w:spacing w:before="100" w:beforeAutospacing="1" w:after="306" w:line="300" w:lineRule="atLeast"/>
      <w:outlineLvl w:val="2"/>
    </w:pPr>
    <w:rPr>
      <w:rFonts w:ascii="Times New Roman" w:eastAsia="Times New Roman" w:hAnsi="Times New Roman" w:cs="Times New Roman"/>
      <w:b/>
      <w:bCs/>
      <w:sz w:val="43"/>
      <w:szCs w:val="43"/>
    </w:rPr>
  </w:style>
  <w:style w:type="paragraph" w:styleId="Heading4">
    <w:name w:val="heading 4"/>
    <w:basedOn w:val="Normal"/>
    <w:link w:val="Heading4Char"/>
    <w:uiPriority w:val="9"/>
    <w:qFormat/>
    <w:rsid w:val="002541E7"/>
    <w:pPr>
      <w:spacing w:before="100" w:beforeAutospacing="1" w:after="306" w:line="300" w:lineRule="atLeast"/>
      <w:outlineLvl w:val="3"/>
    </w:pPr>
    <w:rPr>
      <w:rFonts w:ascii="Times New Roman" w:eastAsia="Times New Roman" w:hAnsi="Times New Roman" w:cs="Times New Roman"/>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1E7"/>
    <w:rPr>
      <w:rFonts w:ascii="Times New Roman" w:eastAsia="Times New Roman" w:hAnsi="Times New Roman" w:cs="Times New Roman"/>
      <w:kern w:val="36"/>
      <w:sz w:val="86"/>
      <w:szCs w:val="86"/>
    </w:rPr>
  </w:style>
  <w:style w:type="character" w:customStyle="1" w:styleId="Heading3Char">
    <w:name w:val="Heading 3 Char"/>
    <w:basedOn w:val="DefaultParagraphFont"/>
    <w:link w:val="Heading3"/>
    <w:uiPriority w:val="9"/>
    <w:rsid w:val="002541E7"/>
    <w:rPr>
      <w:rFonts w:ascii="Times New Roman" w:eastAsia="Times New Roman" w:hAnsi="Times New Roman" w:cs="Times New Roman"/>
      <w:b/>
      <w:bCs/>
      <w:sz w:val="43"/>
      <w:szCs w:val="43"/>
    </w:rPr>
  </w:style>
  <w:style w:type="character" w:customStyle="1" w:styleId="Heading4Char">
    <w:name w:val="Heading 4 Char"/>
    <w:basedOn w:val="DefaultParagraphFont"/>
    <w:link w:val="Heading4"/>
    <w:uiPriority w:val="9"/>
    <w:rsid w:val="002541E7"/>
    <w:rPr>
      <w:rFonts w:ascii="Times New Roman" w:eastAsia="Times New Roman" w:hAnsi="Times New Roman" w:cs="Times New Roman"/>
      <w:sz w:val="38"/>
      <w:szCs w:val="38"/>
    </w:rPr>
  </w:style>
  <w:style w:type="character" w:styleId="Hyperlink">
    <w:name w:val="Hyperlink"/>
    <w:basedOn w:val="DefaultParagraphFont"/>
    <w:uiPriority w:val="99"/>
    <w:semiHidden/>
    <w:unhideWhenUsed/>
    <w:rsid w:val="002541E7"/>
    <w:rPr>
      <w:strike w:val="0"/>
      <w:dstrike w:val="0"/>
      <w:color w:val="0066AA"/>
      <w:u w:val="none"/>
      <w:effect w:val="none"/>
    </w:rPr>
  </w:style>
  <w:style w:type="character" w:styleId="Emphasis">
    <w:name w:val="Emphasis"/>
    <w:basedOn w:val="DefaultParagraphFont"/>
    <w:uiPriority w:val="20"/>
    <w:qFormat/>
    <w:rsid w:val="002541E7"/>
    <w:rPr>
      <w:i/>
      <w:iCs/>
    </w:rPr>
  </w:style>
  <w:style w:type="character" w:styleId="Strong">
    <w:name w:val="Strong"/>
    <w:basedOn w:val="DefaultParagraphFont"/>
    <w:uiPriority w:val="22"/>
    <w:qFormat/>
    <w:rsid w:val="002541E7"/>
    <w:rPr>
      <w:b/>
      <w:bCs/>
    </w:rPr>
  </w:style>
  <w:style w:type="paragraph" w:styleId="NormalWeb">
    <w:name w:val="Normal (Web)"/>
    <w:basedOn w:val="Normal"/>
    <w:uiPriority w:val="99"/>
    <w:unhideWhenUsed/>
    <w:rsid w:val="002541E7"/>
    <w:pPr>
      <w:spacing w:before="100" w:beforeAutospacing="1" w:after="306" w:line="370" w:lineRule="atLeast"/>
    </w:pPr>
    <w:rPr>
      <w:rFonts w:ascii="Times New Roman" w:eastAsia="Times New Roman" w:hAnsi="Times New Roman" w:cs="Times New Roman"/>
      <w:sz w:val="31"/>
      <w:szCs w:val="31"/>
    </w:rPr>
  </w:style>
  <w:style w:type="paragraph" w:customStyle="1" w:styleId="articlemeta">
    <w:name w:val="articlemeta"/>
    <w:basedOn w:val="Normal"/>
    <w:rsid w:val="002541E7"/>
    <w:pPr>
      <w:spacing w:before="100" w:beforeAutospacing="1" w:after="306" w:line="370" w:lineRule="atLeast"/>
    </w:pPr>
    <w:rPr>
      <w:rFonts w:ascii="Times New Roman" w:eastAsia="Times New Roman" w:hAnsi="Times New Roman" w:cs="Times New Roman"/>
      <w:sz w:val="31"/>
      <w:szCs w:val="31"/>
    </w:rPr>
  </w:style>
  <w:style w:type="character" w:customStyle="1" w:styleId="vcard">
    <w:name w:val="vcard"/>
    <w:basedOn w:val="DefaultParagraphFont"/>
    <w:rsid w:val="002541E7"/>
  </w:style>
  <w:style w:type="character" w:customStyle="1" w:styleId="dateline">
    <w:name w:val="dateline"/>
    <w:basedOn w:val="DefaultParagraphFont"/>
    <w:rsid w:val="002541E7"/>
  </w:style>
  <w:style w:type="character" w:customStyle="1" w:styleId="comments">
    <w:name w:val="comments"/>
    <w:basedOn w:val="DefaultParagraphFont"/>
    <w:rsid w:val="002541E7"/>
  </w:style>
  <w:style w:type="character" w:customStyle="1" w:styleId="ticker">
    <w:name w:val="ticker"/>
    <w:basedOn w:val="DefaultParagraphFont"/>
    <w:rsid w:val="002541E7"/>
  </w:style>
  <w:style w:type="paragraph" w:styleId="BalloonText">
    <w:name w:val="Balloon Text"/>
    <w:basedOn w:val="Normal"/>
    <w:link w:val="BalloonTextChar"/>
    <w:uiPriority w:val="99"/>
    <w:semiHidden/>
    <w:unhideWhenUsed/>
    <w:rsid w:val="002541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1E7"/>
    <w:rPr>
      <w:rFonts w:ascii="Tahoma" w:hAnsi="Tahoma" w:cs="Tahoma"/>
      <w:sz w:val="16"/>
      <w:szCs w:val="16"/>
    </w:rPr>
  </w:style>
  <w:style w:type="character" w:customStyle="1" w:styleId="Heading2Char">
    <w:name w:val="Heading 2 Char"/>
    <w:basedOn w:val="DefaultParagraphFont"/>
    <w:link w:val="Heading2"/>
    <w:uiPriority w:val="9"/>
    <w:semiHidden/>
    <w:rsid w:val="002541E7"/>
    <w:rPr>
      <w:rFonts w:asciiTheme="majorHAnsi" w:eastAsiaTheme="majorEastAsia" w:hAnsiTheme="majorHAnsi" w:cstheme="majorBidi"/>
      <w:b/>
      <w:bCs/>
      <w:color w:val="4F81BD" w:themeColor="accent1"/>
      <w:sz w:val="26"/>
      <w:szCs w:val="26"/>
    </w:rPr>
  </w:style>
  <w:style w:type="character" w:customStyle="1" w:styleId="noprint">
    <w:name w:val="noprint"/>
    <w:basedOn w:val="DefaultParagraphFont"/>
    <w:rsid w:val="002541E7"/>
  </w:style>
  <w:style w:type="character" w:customStyle="1" w:styleId="toctoggle">
    <w:name w:val="toctoggle"/>
    <w:basedOn w:val="DefaultParagraphFont"/>
    <w:rsid w:val="002541E7"/>
  </w:style>
  <w:style w:type="character" w:customStyle="1" w:styleId="tocnumber2">
    <w:name w:val="tocnumber2"/>
    <w:basedOn w:val="DefaultParagraphFont"/>
    <w:rsid w:val="002541E7"/>
  </w:style>
  <w:style w:type="character" w:customStyle="1" w:styleId="toctext">
    <w:name w:val="toctext"/>
    <w:basedOn w:val="DefaultParagraphFont"/>
    <w:rsid w:val="002541E7"/>
  </w:style>
  <w:style w:type="character" w:customStyle="1" w:styleId="editsection">
    <w:name w:val="editsection"/>
    <w:basedOn w:val="DefaultParagraphFont"/>
    <w:rsid w:val="002541E7"/>
  </w:style>
  <w:style w:type="character" w:customStyle="1" w:styleId="mw-headline">
    <w:name w:val="mw-headline"/>
    <w:basedOn w:val="DefaultParagraphFont"/>
    <w:rsid w:val="002541E7"/>
  </w:style>
  <w:style w:type="paragraph" w:styleId="Header">
    <w:name w:val="header"/>
    <w:basedOn w:val="Normal"/>
    <w:link w:val="HeaderChar"/>
    <w:uiPriority w:val="99"/>
    <w:semiHidden/>
    <w:unhideWhenUsed/>
    <w:rsid w:val="00F9746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7460"/>
  </w:style>
  <w:style w:type="paragraph" w:styleId="Footer">
    <w:name w:val="footer"/>
    <w:basedOn w:val="Normal"/>
    <w:link w:val="FooterChar"/>
    <w:uiPriority w:val="99"/>
    <w:semiHidden/>
    <w:unhideWhenUsed/>
    <w:rsid w:val="00F9746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97460"/>
  </w:style>
</w:styles>
</file>

<file path=word/webSettings.xml><?xml version="1.0" encoding="utf-8"?>
<w:webSettings xmlns:r="http://schemas.openxmlformats.org/officeDocument/2006/relationships" xmlns:w="http://schemas.openxmlformats.org/wordprocessingml/2006/main">
  <w:divs>
    <w:div w:id="476184731">
      <w:bodyDiv w:val="1"/>
      <w:marLeft w:val="0"/>
      <w:marRight w:val="0"/>
      <w:marTop w:val="0"/>
      <w:marBottom w:val="0"/>
      <w:divBdr>
        <w:top w:val="none" w:sz="0" w:space="0" w:color="auto"/>
        <w:left w:val="none" w:sz="0" w:space="0" w:color="auto"/>
        <w:bottom w:val="none" w:sz="0" w:space="0" w:color="auto"/>
        <w:right w:val="none" w:sz="0" w:space="0" w:color="auto"/>
      </w:divBdr>
      <w:divsChild>
        <w:div w:id="288174071">
          <w:marLeft w:val="0"/>
          <w:marRight w:val="0"/>
          <w:marTop w:val="153"/>
          <w:marBottom w:val="0"/>
          <w:divBdr>
            <w:top w:val="none" w:sz="0" w:space="0" w:color="auto"/>
            <w:left w:val="none" w:sz="0" w:space="0" w:color="auto"/>
            <w:bottom w:val="none" w:sz="0" w:space="0" w:color="auto"/>
            <w:right w:val="none" w:sz="0" w:space="0" w:color="auto"/>
          </w:divBdr>
          <w:divsChild>
            <w:div w:id="1163202621">
              <w:marLeft w:val="0"/>
              <w:marRight w:val="0"/>
              <w:marTop w:val="0"/>
              <w:marBottom w:val="306"/>
              <w:divBdr>
                <w:top w:val="none" w:sz="0" w:space="0" w:color="auto"/>
                <w:left w:val="none" w:sz="0" w:space="0" w:color="auto"/>
                <w:bottom w:val="none" w:sz="0" w:space="0" w:color="auto"/>
                <w:right w:val="none" w:sz="0" w:space="0" w:color="auto"/>
              </w:divBdr>
              <w:divsChild>
                <w:div w:id="881985959">
                  <w:marLeft w:val="0"/>
                  <w:marRight w:val="0"/>
                  <w:marTop w:val="0"/>
                  <w:marBottom w:val="0"/>
                  <w:divBdr>
                    <w:top w:val="none" w:sz="0" w:space="0" w:color="auto"/>
                    <w:left w:val="none" w:sz="0" w:space="0" w:color="auto"/>
                    <w:bottom w:val="none" w:sz="0" w:space="0" w:color="auto"/>
                    <w:right w:val="none" w:sz="0" w:space="0" w:color="auto"/>
                  </w:divBdr>
                  <w:divsChild>
                    <w:div w:id="999387122">
                      <w:marLeft w:val="0"/>
                      <w:marRight w:val="306"/>
                      <w:marTop w:val="0"/>
                      <w:marBottom w:val="306"/>
                      <w:divBdr>
                        <w:top w:val="none" w:sz="0" w:space="0" w:color="auto"/>
                        <w:left w:val="none" w:sz="0" w:space="0" w:color="auto"/>
                        <w:bottom w:val="none" w:sz="0" w:space="0" w:color="auto"/>
                        <w:right w:val="none" w:sz="0" w:space="0" w:color="auto"/>
                      </w:divBdr>
                      <w:divsChild>
                        <w:div w:id="470252210">
                          <w:marLeft w:val="0"/>
                          <w:marRight w:val="0"/>
                          <w:marTop w:val="0"/>
                          <w:marBottom w:val="0"/>
                          <w:divBdr>
                            <w:top w:val="none" w:sz="0" w:space="0" w:color="auto"/>
                            <w:left w:val="none" w:sz="0" w:space="0" w:color="auto"/>
                            <w:bottom w:val="none" w:sz="0" w:space="0" w:color="auto"/>
                            <w:right w:val="none" w:sz="0" w:space="0" w:color="auto"/>
                          </w:divBdr>
                          <w:divsChild>
                            <w:div w:id="87579258">
                              <w:marLeft w:val="0"/>
                              <w:marRight w:val="0"/>
                              <w:marTop w:val="0"/>
                              <w:marBottom w:val="0"/>
                              <w:divBdr>
                                <w:top w:val="none" w:sz="0" w:space="0" w:color="auto"/>
                                <w:left w:val="none" w:sz="0" w:space="0" w:color="auto"/>
                                <w:bottom w:val="none" w:sz="0" w:space="0" w:color="auto"/>
                                <w:right w:val="none" w:sz="0" w:space="0" w:color="auto"/>
                              </w:divBdr>
                              <w:divsChild>
                                <w:div w:id="1684359862">
                                  <w:marLeft w:val="0"/>
                                  <w:marRight w:val="0"/>
                                  <w:marTop w:val="0"/>
                                  <w:marBottom w:val="0"/>
                                  <w:divBdr>
                                    <w:top w:val="none" w:sz="0" w:space="0" w:color="auto"/>
                                    <w:left w:val="none" w:sz="0" w:space="0" w:color="auto"/>
                                    <w:bottom w:val="none" w:sz="0" w:space="0" w:color="auto"/>
                                    <w:right w:val="none" w:sz="0" w:space="0" w:color="auto"/>
                                  </w:divBdr>
                                  <w:divsChild>
                                    <w:div w:id="1274440337">
                                      <w:marLeft w:val="0"/>
                                      <w:marRight w:val="0"/>
                                      <w:marTop w:val="0"/>
                                      <w:marBottom w:val="0"/>
                                      <w:divBdr>
                                        <w:top w:val="none" w:sz="0" w:space="0" w:color="auto"/>
                                        <w:left w:val="none" w:sz="0" w:space="0" w:color="auto"/>
                                        <w:bottom w:val="none" w:sz="0" w:space="0" w:color="auto"/>
                                        <w:right w:val="none" w:sz="0" w:space="0" w:color="auto"/>
                                      </w:divBdr>
                                      <w:divsChild>
                                        <w:div w:id="1185091747">
                                          <w:marLeft w:val="0"/>
                                          <w:marRight w:val="0"/>
                                          <w:marTop w:val="0"/>
                                          <w:marBottom w:val="0"/>
                                          <w:divBdr>
                                            <w:top w:val="none" w:sz="0" w:space="0" w:color="auto"/>
                                            <w:left w:val="none" w:sz="0" w:space="0" w:color="auto"/>
                                            <w:bottom w:val="none" w:sz="0" w:space="0" w:color="auto"/>
                                            <w:right w:val="none" w:sz="0" w:space="0" w:color="auto"/>
                                          </w:divBdr>
                                        </w:div>
                                        <w:div w:id="127521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022997">
      <w:bodyDiv w:val="1"/>
      <w:marLeft w:val="0"/>
      <w:marRight w:val="0"/>
      <w:marTop w:val="0"/>
      <w:marBottom w:val="0"/>
      <w:divBdr>
        <w:top w:val="none" w:sz="0" w:space="0" w:color="auto"/>
        <w:left w:val="none" w:sz="0" w:space="0" w:color="auto"/>
        <w:bottom w:val="none" w:sz="0" w:space="0" w:color="auto"/>
        <w:right w:val="none" w:sz="0" w:space="0" w:color="auto"/>
      </w:divBdr>
      <w:divsChild>
        <w:div w:id="1567956232">
          <w:marLeft w:val="0"/>
          <w:marRight w:val="0"/>
          <w:marTop w:val="0"/>
          <w:marBottom w:val="0"/>
          <w:divBdr>
            <w:top w:val="none" w:sz="0" w:space="0" w:color="auto"/>
            <w:left w:val="none" w:sz="0" w:space="0" w:color="auto"/>
            <w:bottom w:val="none" w:sz="0" w:space="0" w:color="auto"/>
            <w:right w:val="none" w:sz="0" w:space="0" w:color="auto"/>
          </w:divBdr>
          <w:divsChild>
            <w:div w:id="627275083">
              <w:marLeft w:val="0"/>
              <w:marRight w:val="0"/>
              <w:marTop w:val="0"/>
              <w:marBottom w:val="0"/>
              <w:divBdr>
                <w:top w:val="none" w:sz="0" w:space="0" w:color="auto"/>
                <w:left w:val="none" w:sz="0" w:space="0" w:color="auto"/>
                <w:bottom w:val="none" w:sz="0" w:space="0" w:color="auto"/>
                <w:right w:val="none" w:sz="0" w:space="0" w:color="auto"/>
              </w:divBdr>
              <w:divsChild>
                <w:div w:id="1043284831">
                  <w:marLeft w:val="0"/>
                  <w:marRight w:val="0"/>
                  <w:marTop w:val="0"/>
                  <w:marBottom w:val="0"/>
                  <w:divBdr>
                    <w:top w:val="none" w:sz="0" w:space="0" w:color="auto"/>
                    <w:left w:val="none" w:sz="0" w:space="0" w:color="auto"/>
                    <w:bottom w:val="none" w:sz="0" w:space="0" w:color="auto"/>
                    <w:right w:val="none" w:sz="0" w:space="0" w:color="auto"/>
                  </w:divBdr>
                  <w:divsChild>
                    <w:div w:id="1844778117">
                      <w:marLeft w:val="0"/>
                      <w:marRight w:val="0"/>
                      <w:marTop w:val="0"/>
                      <w:marBottom w:val="0"/>
                      <w:divBdr>
                        <w:top w:val="none" w:sz="0" w:space="0" w:color="auto"/>
                        <w:left w:val="none" w:sz="0" w:space="0" w:color="auto"/>
                        <w:bottom w:val="none" w:sz="0" w:space="0" w:color="auto"/>
                        <w:right w:val="none" w:sz="0" w:space="0" w:color="auto"/>
                      </w:divBdr>
                      <w:divsChild>
                        <w:div w:id="917522303">
                          <w:marLeft w:val="0"/>
                          <w:marRight w:val="0"/>
                          <w:marTop w:val="0"/>
                          <w:marBottom w:val="0"/>
                          <w:divBdr>
                            <w:top w:val="none" w:sz="0" w:space="0" w:color="auto"/>
                            <w:left w:val="none" w:sz="0" w:space="0" w:color="auto"/>
                            <w:bottom w:val="none" w:sz="0" w:space="0" w:color="auto"/>
                            <w:right w:val="none" w:sz="0" w:space="0" w:color="auto"/>
                          </w:divBdr>
                        </w:div>
                        <w:div w:id="2038844454">
                          <w:marLeft w:val="0"/>
                          <w:marRight w:val="0"/>
                          <w:marTop w:val="0"/>
                          <w:marBottom w:val="0"/>
                          <w:divBdr>
                            <w:top w:val="none" w:sz="0" w:space="0" w:color="auto"/>
                            <w:left w:val="none" w:sz="0" w:space="0" w:color="auto"/>
                            <w:bottom w:val="none" w:sz="0" w:space="0" w:color="auto"/>
                            <w:right w:val="none" w:sz="0" w:space="0" w:color="auto"/>
                          </w:divBdr>
                        </w:div>
                        <w:div w:id="1598905775">
                          <w:marLeft w:val="0"/>
                          <w:marRight w:val="0"/>
                          <w:marTop w:val="0"/>
                          <w:marBottom w:val="0"/>
                          <w:divBdr>
                            <w:top w:val="none" w:sz="0" w:space="0" w:color="auto"/>
                            <w:left w:val="none" w:sz="0" w:space="0" w:color="auto"/>
                            <w:bottom w:val="none" w:sz="0" w:space="0" w:color="auto"/>
                            <w:right w:val="none" w:sz="0" w:space="0" w:color="auto"/>
                          </w:divBdr>
                        </w:div>
                        <w:div w:id="807939162">
                          <w:marLeft w:val="0"/>
                          <w:marRight w:val="0"/>
                          <w:marTop w:val="0"/>
                          <w:marBottom w:val="0"/>
                          <w:divBdr>
                            <w:top w:val="single" w:sz="6" w:space="0" w:color="BEBEBE"/>
                            <w:left w:val="single" w:sz="2" w:space="0" w:color="BEBEBE"/>
                            <w:bottom w:val="single" w:sz="6" w:space="0" w:color="BEBEBE"/>
                            <w:right w:val="single" w:sz="2" w:space="31" w:color="BEBEBE"/>
                          </w:divBdr>
                        </w:div>
                        <w:div w:id="1232693361">
                          <w:marLeft w:val="0"/>
                          <w:marRight w:val="0"/>
                          <w:marTop w:val="0"/>
                          <w:marBottom w:val="0"/>
                          <w:divBdr>
                            <w:top w:val="none" w:sz="0" w:space="0" w:color="auto"/>
                            <w:left w:val="none" w:sz="0" w:space="0" w:color="auto"/>
                            <w:bottom w:val="none" w:sz="0" w:space="0" w:color="auto"/>
                            <w:right w:val="none" w:sz="0" w:space="0" w:color="auto"/>
                          </w:divBdr>
                          <w:divsChild>
                            <w:div w:id="445008863">
                              <w:marLeft w:val="0"/>
                              <w:marRight w:val="0"/>
                              <w:marTop w:val="0"/>
                              <w:marBottom w:val="0"/>
                              <w:divBdr>
                                <w:top w:val="none" w:sz="0" w:space="0" w:color="auto"/>
                                <w:left w:val="none" w:sz="0" w:space="0" w:color="auto"/>
                                <w:bottom w:val="none" w:sz="0" w:space="0" w:color="auto"/>
                                <w:right w:val="none" w:sz="0" w:space="0" w:color="auto"/>
                              </w:divBdr>
                            </w:div>
                          </w:divsChild>
                        </w:div>
                        <w:div w:id="136775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Tax-deferred" TargetMode="External"/><Relationship Id="rId18" Type="http://schemas.openxmlformats.org/officeDocument/2006/relationships/hyperlink" Target="http://en.wikipedia.org/w/index.php?title=Net_book_value&amp;action=edit&amp;redlink=1" TargetMode="External"/><Relationship Id="rId26" Type="http://schemas.openxmlformats.org/officeDocument/2006/relationships/hyperlink" Target="http://en.wikipedia.org/wiki/Revaluation" TargetMode="External"/><Relationship Id="rId39" Type="http://schemas.openxmlformats.org/officeDocument/2006/relationships/hyperlink" Target="http://en.wikipedia.org/wiki/US_GAAP" TargetMode="External"/><Relationship Id="rId21" Type="http://schemas.openxmlformats.org/officeDocument/2006/relationships/hyperlink" Target="http://en.wikipedia.org/wiki/Tax-deferred" TargetMode="External"/><Relationship Id="rId34" Type="http://schemas.openxmlformats.org/officeDocument/2006/relationships/hyperlink" Target="http://en.wikipedia.org/wiki/Tax-deferred" TargetMode="External"/><Relationship Id="rId42" Type="http://schemas.openxmlformats.org/officeDocument/2006/relationships/hyperlink" Target="http://en.wikipedia.org/w/index.php?title=Financial_Reporting_Standard_19:_Deferred_Tax&amp;action=edit&amp;redlink=1" TargetMode="External"/><Relationship Id="rId47" Type="http://schemas.openxmlformats.org/officeDocument/2006/relationships/hyperlink" Target="http://en.wikipedia.org/wiki/Tax-deferred" TargetMode="External"/><Relationship Id="rId50" Type="http://schemas.openxmlformats.org/officeDocument/2006/relationships/hyperlink" Target="http://en.wikipedia.org/wiki/Write_down" TargetMode="External"/><Relationship Id="rId55" Type="http://schemas.openxmlformats.org/officeDocument/2006/relationships/theme" Target="theme/theme1.xml"/><Relationship Id="rId7" Type="http://schemas.openxmlformats.org/officeDocument/2006/relationships/hyperlink" Target="http://en.wikipedia.org/wiki/Accounting" TargetMode="External"/><Relationship Id="rId12" Type="http://schemas.openxmlformats.org/officeDocument/2006/relationships/hyperlink" Target="http://en.wikipedia.org/wiki/Tax-deferred" TargetMode="External"/><Relationship Id="rId17" Type="http://schemas.openxmlformats.org/officeDocument/2006/relationships/hyperlink" Target="http://en.wikipedia.org/wiki/Tax-deferred" TargetMode="External"/><Relationship Id="rId25" Type="http://schemas.openxmlformats.org/officeDocument/2006/relationships/hyperlink" Target="http://en.wikipedia.org/wiki/Tax-deferred" TargetMode="External"/><Relationship Id="rId33" Type="http://schemas.openxmlformats.org/officeDocument/2006/relationships/hyperlink" Target="http://en.wikipedia.org/w/index.php?title=Tax_loss&amp;action=edit&amp;redlink=1" TargetMode="External"/><Relationship Id="rId38" Type="http://schemas.openxmlformats.org/officeDocument/2006/relationships/hyperlink" Target="http://en.wikipedia.org/w/index.php?title=SFAS_109&amp;action=edit&amp;redlink=1" TargetMode="External"/><Relationship Id="rId46" Type="http://schemas.openxmlformats.org/officeDocument/2006/relationships/hyperlink" Target="http://en.wikipedia.org/wiki/Russia" TargetMode="External"/><Relationship Id="rId2" Type="http://schemas.openxmlformats.org/officeDocument/2006/relationships/styles" Target="styles.xml"/><Relationship Id="rId16" Type="http://schemas.openxmlformats.org/officeDocument/2006/relationships/hyperlink" Target="http://en.wikipedia.org/wiki/Corporate_income_tax" TargetMode="External"/><Relationship Id="rId20" Type="http://schemas.openxmlformats.org/officeDocument/2006/relationships/hyperlink" Target="http://en.wikipedia.org/wiki/US_GAAP" TargetMode="External"/><Relationship Id="rId29" Type="http://schemas.openxmlformats.org/officeDocument/2006/relationships/hyperlink" Target="http://en.wikipedia.org/wiki/Matching_principle" TargetMode="External"/><Relationship Id="rId41" Type="http://schemas.openxmlformats.org/officeDocument/2006/relationships/hyperlink" Target="http://en.wikipedia.org/wiki/UK_GAAP"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Tax-deferred" TargetMode="External"/><Relationship Id="rId24" Type="http://schemas.openxmlformats.org/officeDocument/2006/relationships/hyperlink" Target="http://en.wikipedia.org/wiki/Tax-deferred" TargetMode="External"/><Relationship Id="rId32" Type="http://schemas.openxmlformats.org/officeDocument/2006/relationships/hyperlink" Target="http://en.wikipedia.org/wiki/Provision" TargetMode="External"/><Relationship Id="rId37" Type="http://schemas.openxmlformats.org/officeDocument/2006/relationships/hyperlink" Target="http://en.wikipedia.org/w/index.php?title=IAS_12&amp;action=edit&amp;redlink=1" TargetMode="External"/><Relationship Id="rId40" Type="http://schemas.openxmlformats.org/officeDocument/2006/relationships/hyperlink" Target="http://en.wikipedia.org/wiki/Tax-deferred" TargetMode="External"/><Relationship Id="rId45" Type="http://schemas.openxmlformats.org/officeDocument/2006/relationships/hyperlink" Target="http://en.wikipedia.org/wiki/Canadian_Institute_of_Chartered_Accountants"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en.wikipedia.org/w/index.php?title=Declining_balance&amp;action=edit&amp;redlink=1" TargetMode="External"/><Relationship Id="rId23" Type="http://schemas.openxmlformats.org/officeDocument/2006/relationships/hyperlink" Target="http://en.wikipedia.org/wiki/UK_GAAP" TargetMode="External"/><Relationship Id="rId28" Type="http://schemas.openxmlformats.org/officeDocument/2006/relationships/hyperlink" Target="http://en.wikipedia.org/w/index.php?title=Tax_depreciation&amp;action=edit&amp;redlink=1" TargetMode="External"/><Relationship Id="rId36" Type="http://schemas.openxmlformats.org/officeDocument/2006/relationships/hyperlink" Target="http://en.wikipedia.org/wiki/International_Financial_Reporting_Standards" TargetMode="External"/><Relationship Id="rId49" Type="http://schemas.openxmlformats.org/officeDocument/2006/relationships/hyperlink" Target="http://en.wikipedia.org/w/index.php?title=Tax_loss&amp;action=edit&amp;redlink=1" TargetMode="External"/><Relationship Id="rId10" Type="http://schemas.openxmlformats.org/officeDocument/2006/relationships/hyperlink" Target="http://en.wikipedia.org/wiki/Tax-deferred" TargetMode="External"/><Relationship Id="rId19" Type="http://schemas.openxmlformats.org/officeDocument/2006/relationships/hyperlink" Target="http://en.wikipedia.org/wiki/International_Financial_Reporting_Standards" TargetMode="External"/><Relationship Id="rId31" Type="http://schemas.openxmlformats.org/officeDocument/2006/relationships/hyperlink" Target="http://en.wikipedia.org/wiki/Accrue" TargetMode="External"/><Relationship Id="rId44" Type="http://schemas.openxmlformats.org/officeDocument/2006/relationships/hyperlink" Target="http://en.wikipedia.org/w/index.php?title=Canadian_GAAP&amp;action=edit&amp;redlink=1"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n.wikipedia.org/wiki/Asset" TargetMode="External"/><Relationship Id="rId14" Type="http://schemas.openxmlformats.org/officeDocument/2006/relationships/hyperlink" Target="http://en.wikipedia.org/wiki/Tax-deferred" TargetMode="External"/><Relationship Id="rId22" Type="http://schemas.openxmlformats.org/officeDocument/2006/relationships/hyperlink" Target="http://en.wikipedia.org/wiki/GAAP" TargetMode="External"/><Relationship Id="rId27" Type="http://schemas.openxmlformats.org/officeDocument/2006/relationships/hyperlink" Target="http://en.wikipedia.org/wiki/Fixed_assets" TargetMode="External"/><Relationship Id="rId30" Type="http://schemas.openxmlformats.org/officeDocument/2006/relationships/hyperlink" Target="http://en.wikipedia.org/wiki/Accrue" TargetMode="External"/><Relationship Id="rId35" Type="http://schemas.openxmlformats.org/officeDocument/2006/relationships/hyperlink" Target="http://en.wikipedia.org/wiki/Tax-deferred" TargetMode="External"/><Relationship Id="rId43" Type="http://schemas.openxmlformats.org/officeDocument/2006/relationships/hyperlink" Target="http://en.wikipedia.org/wiki/Tax-deferred" TargetMode="External"/><Relationship Id="rId48" Type="http://schemas.openxmlformats.org/officeDocument/2006/relationships/hyperlink" Target="http://en.wikipedia.org/wiki/Tax-deferred" TargetMode="External"/><Relationship Id="rId8" Type="http://schemas.openxmlformats.org/officeDocument/2006/relationships/hyperlink" Target="http://en.wikipedia.org/wiki/Liability" TargetMode="External"/><Relationship Id="rId51" Type="http://schemas.openxmlformats.org/officeDocument/2006/relationships/hyperlink" Target="http://en.wikipedia.org/wiki/Restatement"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1796</Words>
  <Characters>10238</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2008-12-26T14:36:00Z</dcterms:created>
  <dcterms:modified xsi:type="dcterms:W3CDTF">2008-12-26T14:36:00Z</dcterms:modified>
</cp:coreProperties>
</file>