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7F" w:rsidRDefault="00533A7F" w:rsidP="00533A7F">
      <w:pPr>
        <w:jc w:val="center"/>
        <w:rPr>
          <w:rFonts w:ascii="Times New Roman" w:hAnsi="Times New Roman" w:cs="Times New Roman"/>
          <w:b/>
          <w:sz w:val="40"/>
          <w:szCs w:val="40"/>
          <w:u w:val="single"/>
        </w:rPr>
      </w:pPr>
    </w:p>
    <w:p w:rsidR="00533A7F" w:rsidRDefault="00533A7F" w:rsidP="00533A7F">
      <w:pPr>
        <w:jc w:val="center"/>
        <w:rPr>
          <w:rFonts w:ascii="Times New Roman" w:hAnsi="Times New Roman" w:cs="Times New Roman"/>
          <w:b/>
          <w:sz w:val="40"/>
          <w:szCs w:val="40"/>
          <w:u w:val="single"/>
        </w:rPr>
      </w:pPr>
    </w:p>
    <w:p w:rsidR="00533A7F" w:rsidRDefault="00533A7F" w:rsidP="00533A7F">
      <w:pPr>
        <w:jc w:val="center"/>
        <w:rPr>
          <w:rFonts w:ascii="Times New Roman" w:hAnsi="Times New Roman" w:cs="Times New Roman"/>
          <w:b/>
          <w:sz w:val="40"/>
          <w:szCs w:val="40"/>
          <w:u w:val="single"/>
        </w:rPr>
      </w:pPr>
    </w:p>
    <w:p w:rsidR="00533A7F" w:rsidRDefault="00533A7F" w:rsidP="00533A7F">
      <w:pPr>
        <w:jc w:val="center"/>
        <w:rPr>
          <w:rFonts w:ascii="Times New Roman" w:hAnsi="Times New Roman" w:cs="Times New Roman"/>
          <w:b/>
          <w:sz w:val="40"/>
          <w:szCs w:val="40"/>
          <w:u w:val="single"/>
        </w:rPr>
      </w:pPr>
    </w:p>
    <w:p w:rsidR="00533A7F" w:rsidRDefault="00533A7F" w:rsidP="00533A7F">
      <w:pPr>
        <w:jc w:val="center"/>
        <w:rPr>
          <w:rFonts w:ascii="Times New Roman" w:hAnsi="Times New Roman" w:cs="Times New Roman"/>
          <w:b/>
          <w:sz w:val="40"/>
          <w:szCs w:val="40"/>
          <w:u w:val="single"/>
        </w:rPr>
      </w:pPr>
    </w:p>
    <w:p w:rsidR="00533A7F" w:rsidRDefault="00533A7F" w:rsidP="00533A7F">
      <w:pPr>
        <w:jc w:val="center"/>
        <w:rPr>
          <w:rFonts w:ascii="Times New Roman" w:hAnsi="Times New Roman" w:cs="Times New Roman"/>
          <w:b/>
          <w:sz w:val="40"/>
          <w:szCs w:val="40"/>
          <w:u w:val="single"/>
        </w:rPr>
      </w:pPr>
    </w:p>
    <w:p w:rsidR="00533A7F" w:rsidRPr="00533A7F" w:rsidRDefault="00533A7F" w:rsidP="00533A7F">
      <w:pPr>
        <w:jc w:val="center"/>
        <w:rPr>
          <w:rFonts w:ascii="Times New Roman" w:hAnsi="Times New Roman" w:cs="Times New Roman"/>
          <w:b/>
          <w:sz w:val="40"/>
          <w:szCs w:val="40"/>
          <w:u w:val="single"/>
        </w:rPr>
      </w:pPr>
      <w:r w:rsidRPr="00533A7F">
        <w:rPr>
          <w:rFonts w:ascii="Times New Roman" w:hAnsi="Times New Roman" w:cs="Times New Roman"/>
          <w:b/>
          <w:sz w:val="40"/>
          <w:szCs w:val="40"/>
          <w:u w:val="single"/>
        </w:rPr>
        <w:t>FRINGE BENEFIT TAX OVERVIEW</w:t>
      </w: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533A7F" w:rsidRDefault="00533A7F">
      <w:pPr>
        <w:rPr>
          <w:rFonts w:ascii="Times New Roman" w:hAnsi="Times New Roman" w:cs="Times New Roman"/>
          <w:b/>
        </w:rPr>
      </w:pPr>
    </w:p>
    <w:p w:rsidR="00970E48" w:rsidRPr="00DE5278" w:rsidRDefault="00B11947">
      <w:pPr>
        <w:rPr>
          <w:rFonts w:ascii="Times New Roman" w:hAnsi="Times New Roman" w:cs="Times New Roman"/>
          <w:b/>
        </w:rPr>
      </w:pPr>
      <w:r w:rsidRPr="00DE5278">
        <w:rPr>
          <w:rFonts w:ascii="Times New Roman" w:hAnsi="Times New Roman" w:cs="Times New Roman"/>
          <w:b/>
        </w:rPr>
        <w:lastRenderedPageBreak/>
        <w:t>As per A.Y. 2008-09</w:t>
      </w:r>
    </w:p>
    <w:p w:rsidR="00B11947" w:rsidRPr="00DE5278" w:rsidRDefault="00B11947">
      <w:pPr>
        <w:rPr>
          <w:rFonts w:ascii="Times New Roman" w:hAnsi="Times New Roman" w:cs="Times New Roman"/>
          <w:b/>
        </w:rPr>
      </w:pPr>
      <w:r w:rsidRPr="00DE5278">
        <w:rPr>
          <w:rFonts w:ascii="Times New Roman" w:hAnsi="Times New Roman" w:cs="Times New Roman"/>
          <w:b/>
        </w:rPr>
        <w:t>Crèche facilities, sponsorship of an employee-sportsperson, organizing sports events for employees, and gust houses excluded from the purview of FBT.</w:t>
      </w:r>
    </w:p>
    <w:p w:rsidR="00B11947" w:rsidRPr="00DE5278" w:rsidRDefault="00B11947">
      <w:pPr>
        <w:rPr>
          <w:rFonts w:ascii="Times New Roman" w:hAnsi="Times New Roman" w:cs="Times New Roman"/>
          <w:b/>
        </w:rPr>
      </w:pPr>
      <w:r w:rsidRPr="00DE5278">
        <w:rPr>
          <w:rFonts w:ascii="Times New Roman" w:hAnsi="Times New Roman" w:cs="Times New Roman"/>
          <w:b/>
        </w:rPr>
        <w:t>The following amendments will be in effect from 1 April 2008:</w:t>
      </w:r>
    </w:p>
    <w:p w:rsidR="00B11947" w:rsidRDefault="00B11947" w:rsidP="00B11947">
      <w:pPr>
        <w:pStyle w:val="ListParagraph"/>
        <w:numPr>
          <w:ilvl w:val="0"/>
          <w:numId w:val="1"/>
        </w:numPr>
        <w:rPr>
          <w:rFonts w:ascii="Times New Roman" w:hAnsi="Times New Roman" w:cs="Times New Roman"/>
        </w:rPr>
      </w:pPr>
      <w:r w:rsidRPr="00B11947">
        <w:rPr>
          <w:rFonts w:ascii="Times New Roman" w:hAnsi="Times New Roman" w:cs="Times New Roman"/>
        </w:rPr>
        <w:t>In respect of any allotment of transfer of any specified securities or Sweat equity shares, either directly or indirectly, by the employer to its employees (including former), FBT will be levied.</w:t>
      </w:r>
    </w:p>
    <w:p w:rsidR="00B11947" w:rsidRDefault="00B11947" w:rsidP="00B11947">
      <w:pPr>
        <w:pStyle w:val="ListParagraph"/>
        <w:numPr>
          <w:ilvl w:val="0"/>
          <w:numId w:val="1"/>
        </w:numPr>
        <w:rPr>
          <w:rFonts w:ascii="Times New Roman" w:hAnsi="Times New Roman" w:cs="Times New Roman"/>
        </w:rPr>
      </w:pPr>
      <w:r>
        <w:rPr>
          <w:rFonts w:ascii="Times New Roman" w:hAnsi="Times New Roman" w:cs="Times New Roman"/>
        </w:rPr>
        <w:t>On the difference between FMV of securities FBT will be payable, for both on the date of exercise and the amount recovered from the employee.</w:t>
      </w:r>
    </w:p>
    <w:p w:rsidR="00B11947" w:rsidRDefault="00B11947" w:rsidP="00B11947">
      <w:pPr>
        <w:pStyle w:val="ListParagraph"/>
        <w:numPr>
          <w:ilvl w:val="0"/>
          <w:numId w:val="1"/>
        </w:numPr>
        <w:rPr>
          <w:rFonts w:ascii="Times New Roman" w:hAnsi="Times New Roman" w:cs="Times New Roman"/>
        </w:rPr>
      </w:pPr>
      <w:r>
        <w:rPr>
          <w:rFonts w:ascii="Times New Roman" w:hAnsi="Times New Roman" w:cs="Times New Roman"/>
        </w:rPr>
        <w:t>The FBT will be computed according to the prescribed method of CBDT.</w:t>
      </w:r>
    </w:p>
    <w:p w:rsidR="00B11947" w:rsidRDefault="00B11947" w:rsidP="00B11947">
      <w:pPr>
        <w:pStyle w:val="ListParagraph"/>
        <w:numPr>
          <w:ilvl w:val="0"/>
          <w:numId w:val="1"/>
        </w:numPr>
        <w:rPr>
          <w:rFonts w:ascii="Times New Roman" w:hAnsi="Times New Roman" w:cs="Times New Roman"/>
        </w:rPr>
      </w:pPr>
      <w:r>
        <w:rPr>
          <w:rFonts w:ascii="Times New Roman" w:hAnsi="Times New Roman" w:cs="Times New Roman"/>
        </w:rPr>
        <w:t>The benefits which are subject to FBT will henceforth be considered as cost of acquisition for computing of capital gains tax in the hands of the employee at the time of sale of specified securities.</w:t>
      </w:r>
    </w:p>
    <w:p w:rsidR="00B11947" w:rsidRDefault="00B11947" w:rsidP="00B11947">
      <w:pPr>
        <w:pStyle w:val="ListParagraph"/>
        <w:numPr>
          <w:ilvl w:val="0"/>
          <w:numId w:val="1"/>
        </w:numPr>
        <w:rPr>
          <w:rFonts w:ascii="Times New Roman" w:hAnsi="Times New Roman" w:cs="Times New Roman"/>
        </w:rPr>
      </w:pPr>
      <w:r>
        <w:rPr>
          <w:rFonts w:ascii="Times New Roman" w:hAnsi="Times New Roman" w:cs="Times New Roman"/>
        </w:rPr>
        <w:t>Section 17(2</w:t>
      </w:r>
      <w:proofErr w:type="gramStart"/>
      <w:r>
        <w:rPr>
          <w:rFonts w:ascii="Times New Roman" w:hAnsi="Times New Roman" w:cs="Times New Roman"/>
        </w:rPr>
        <w:t>)(</w:t>
      </w:r>
      <w:proofErr w:type="gramEnd"/>
      <w:r>
        <w:rPr>
          <w:rFonts w:ascii="Times New Roman" w:hAnsi="Times New Roman" w:cs="Times New Roman"/>
        </w:rPr>
        <w:t>iii) for the beneficial proviso for computing the perquisite value in the hands of the employees is deleted.</w:t>
      </w:r>
    </w:p>
    <w:p w:rsidR="00B11947" w:rsidRPr="00DE5278" w:rsidRDefault="00B11947" w:rsidP="00B11947">
      <w:pPr>
        <w:rPr>
          <w:rFonts w:ascii="Times New Roman" w:hAnsi="Times New Roman" w:cs="Times New Roman"/>
          <w:b/>
        </w:rPr>
      </w:pPr>
      <w:r w:rsidRPr="00DE5278">
        <w:rPr>
          <w:rFonts w:ascii="Times New Roman" w:hAnsi="Times New Roman" w:cs="Times New Roman"/>
          <w:b/>
        </w:rPr>
        <w:t xml:space="preserve">The </w:t>
      </w:r>
      <w:proofErr w:type="spellStart"/>
      <w:r w:rsidRPr="00DE5278">
        <w:rPr>
          <w:rFonts w:ascii="Times New Roman" w:hAnsi="Times New Roman" w:cs="Times New Roman"/>
          <w:b/>
        </w:rPr>
        <w:t>undermentioned</w:t>
      </w:r>
      <w:proofErr w:type="spellEnd"/>
      <w:r w:rsidRPr="00DE5278">
        <w:rPr>
          <w:rFonts w:ascii="Times New Roman" w:hAnsi="Times New Roman" w:cs="Times New Roman"/>
          <w:b/>
        </w:rPr>
        <w:t xml:space="preserve"> expenses will be excluded from sales promotion &amp; publicity:</w:t>
      </w:r>
    </w:p>
    <w:p w:rsidR="00B11947" w:rsidRDefault="00B11947" w:rsidP="00B11947">
      <w:pPr>
        <w:pStyle w:val="ListParagraph"/>
        <w:numPr>
          <w:ilvl w:val="0"/>
          <w:numId w:val="1"/>
        </w:numPr>
        <w:rPr>
          <w:rFonts w:ascii="Times New Roman" w:hAnsi="Times New Roman" w:cs="Times New Roman"/>
        </w:rPr>
      </w:pPr>
      <w:r>
        <w:rPr>
          <w:rFonts w:ascii="Times New Roman" w:hAnsi="Times New Roman" w:cs="Times New Roman"/>
        </w:rPr>
        <w:t>Expenses on display of products</w:t>
      </w:r>
      <w:r w:rsidR="00DE5278">
        <w:rPr>
          <w:rFonts w:ascii="Times New Roman" w:hAnsi="Times New Roman" w:cs="Times New Roman"/>
        </w:rPr>
        <w:t>.</w:t>
      </w:r>
    </w:p>
    <w:p w:rsidR="00B11947" w:rsidRDefault="00B11947" w:rsidP="00B11947">
      <w:pPr>
        <w:pStyle w:val="ListParagraph"/>
        <w:numPr>
          <w:ilvl w:val="0"/>
          <w:numId w:val="1"/>
        </w:numPr>
        <w:rPr>
          <w:rFonts w:ascii="Times New Roman" w:hAnsi="Times New Roman" w:cs="Times New Roman"/>
        </w:rPr>
      </w:pPr>
      <w:r>
        <w:rPr>
          <w:rFonts w:ascii="Times New Roman" w:hAnsi="Times New Roman" w:cs="Times New Roman"/>
        </w:rPr>
        <w:t>Expenses on distribution of samples, either free of cost or at a concessional rate.</w:t>
      </w:r>
    </w:p>
    <w:p w:rsidR="00B11947" w:rsidRPr="00DE5278" w:rsidRDefault="00B11947" w:rsidP="00B11947">
      <w:pPr>
        <w:rPr>
          <w:rFonts w:ascii="Times New Roman" w:hAnsi="Times New Roman" w:cs="Times New Roman"/>
          <w:b/>
        </w:rPr>
      </w:pPr>
      <w:r w:rsidRPr="00DE5278">
        <w:rPr>
          <w:rFonts w:ascii="Times New Roman" w:hAnsi="Times New Roman" w:cs="Times New Roman"/>
          <w:b/>
        </w:rPr>
        <w:t xml:space="preserve">The following </w:t>
      </w:r>
      <w:proofErr w:type="gramStart"/>
      <w:r w:rsidRPr="00DE5278">
        <w:rPr>
          <w:rFonts w:ascii="Times New Roman" w:hAnsi="Times New Roman" w:cs="Times New Roman"/>
          <w:b/>
        </w:rPr>
        <w:t>amendments is</w:t>
      </w:r>
      <w:proofErr w:type="gramEnd"/>
      <w:r w:rsidRPr="00DE5278">
        <w:rPr>
          <w:rFonts w:ascii="Times New Roman" w:hAnsi="Times New Roman" w:cs="Times New Roman"/>
          <w:b/>
        </w:rPr>
        <w:t xml:space="preserve"> in effect from 1 April 2007:</w:t>
      </w:r>
    </w:p>
    <w:p w:rsidR="00B11947" w:rsidRDefault="00B11947" w:rsidP="00B11947">
      <w:pPr>
        <w:pStyle w:val="ListParagraph"/>
        <w:numPr>
          <w:ilvl w:val="0"/>
          <w:numId w:val="1"/>
        </w:numPr>
        <w:rPr>
          <w:rFonts w:ascii="Times New Roman" w:hAnsi="Times New Roman" w:cs="Times New Roman"/>
        </w:rPr>
      </w:pPr>
      <w:r>
        <w:rPr>
          <w:rFonts w:ascii="Times New Roman" w:hAnsi="Times New Roman" w:cs="Times New Roman"/>
        </w:rPr>
        <w:t>Equal proportion and due dates for the payment of advance tax on income will be applicable to advance FBT</w:t>
      </w:r>
      <w:r w:rsidR="00DE5278">
        <w:rPr>
          <w:rFonts w:ascii="Times New Roman" w:hAnsi="Times New Roman" w:cs="Times New Roman"/>
        </w:rPr>
        <w:t>.</w:t>
      </w:r>
    </w:p>
    <w:p w:rsidR="00DE5278" w:rsidRDefault="00DE5278" w:rsidP="00B11947">
      <w:pPr>
        <w:pStyle w:val="ListParagraph"/>
        <w:numPr>
          <w:ilvl w:val="0"/>
          <w:numId w:val="1"/>
        </w:numPr>
        <w:rPr>
          <w:rFonts w:ascii="Times New Roman" w:hAnsi="Times New Roman" w:cs="Times New Roman"/>
        </w:rPr>
      </w:pPr>
      <w:r>
        <w:rPr>
          <w:rFonts w:ascii="Times New Roman" w:hAnsi="Times New Roman" w:cs="Times New Roman"/>
        </w:rPr>
        <w:t>Consequential change will be made in the process of computing interest for delay in the payment of advance FBT.</w:t>
      </w:r>
    </w:p>
    <w:p w:rsidR="00821A1E" w:rsidRDefault="00821A1E" w:rsidP="00821A1E">
      <w:pPr>
        <w:spacing w:line="255" w:lineRule="atLeast"/>
        <w:jc w:val="center"/>
        <w:rPr>
          <w:rFonts w:ascii="Times New Roman" w:hAnsi="Times New Roman" w:cs="Times New Roman"/>
          <w:b/>
        </w:rPr>
      </w:pPr>
    </w:p>
    <w:p w:rsidR="00821A1E" w:rsidRDefault="00821A1E" w:rsidP="00821A1E">
      <w:pPr>
        <w:spacing w:line="255" w:lineRule="atLeast"/>
        <w:jc w:val="center"/>
        <w:rPr>
          <w:rFonts w:ascii="Times New Roman" w:hAnsi="Times New Roman" w:cs="Times New Roman"/>
        </w:rPr>
      </w:pPr>
      <w:r w:rsidRPr="00821A1E">
        <w:rPr>
          <w:rFonts w:ascii="Times New Roman" w:hAnsi="Times New Roman" w:cs="Times New Roman"/>
          <w:b/>
        </w:rPr>
        <w:t>Fringe benefit tax retained at 30%</w:t>
      </w:r>
      <w:r w:rsidRPr="00821A1E">
        <w:rPr>
          <w:rFonts w:ascii="Times New Roman" w:hAnsi="Times New Roman" w:cs="Times New Roman"/>
          <w:b/>
        </w:rPr>
        <w:br/>
      </w:r>
    </w:p>
    <w:p w:rsidR="00821A1E" w:rsidRDefault="00821A1E" w:rsidP="00821A1E">
      <w:pPr>
        <w:spacing w:line="255" w:lineRule="atLeast"/>
        <w:rPr>
          <w:rFonts w:ascii="Times New Roman" w:hAnsi="Times New Roman" w:cs="Times New Roman"/>
          <w:b/>
          <w:bCs/>
        </w:rPr>
      </w:pPr>
      <w:r w:rsidRPr="00821A1E">
        <w:rPr>
          <w:rFonts w:ascii="Times New Roman" w:hAnsi="Times New Roman" w:cs="Times New Roman"/>
        </w:rPr>
        <w:t xml:space="preserve">According to P. Chidambaram's announcement in the </w:t>
      </w:r>
      <w:proofErr w:type="spellStart"/>
      <w:r w:rsidRPr="00821A1E">
        <w:rPr>
          <w:rFonts w:ascii="Times New Roman" w:hAnsi="Times New Roman" w:cs="Times New Roman"/>
        </w:rPr>
        <w:t>Lok</w:t>
      </w:r>
      <w:proofErr w:type="spellEnd"/>
      <w:r w:rsidRPr="00821A1E">
        <w:rPr>
          <w:rFonts w:ascii="Times New Roman" w:hAnsi="Times New Roman" w:cs="Times New Roman"/>
        </w:rPr>
        <w:t xml:space="preserve"> </w:t>
      </w:r>
      <w:proofErr w:type="spellStart"/>
      <w:r w:rsidRPr="00821A1E">
        <w:rPr>
          <w:rFonts w:ascii="Times New Roman" w:hAnsi="Times New Roman" w:cs="Times New Roman"/>
        </w:rPr>
        <w:t>Sabha</w:t>
      </w:r>
      <w:proofErr w:type="spellEnd"/>
      <w:r w:rsidRPr="00821A1E">
        <w:rPr>
          <w:rFonts w:ascii="Times New Roman" w:hAnsi="Times New Roman" w:cs="Times New Roman"/>
        </w:rPr>
        <w:t>, a FBT of 30% will be levied on 20% of the fringe benefit expense. In simpler terms, FBT will work out to be 6% of the total amount.</w:t>
      </w:r>
      <w:r w:rsidRPr="00821A1E">
        <w:rPr>
          <w:rFonts w:ascii="Times New Roman" w:hAnsi="Times New Roman" w:cs="Times New Roman"/>
        </w:rPr>
        <w:br/>
      </w:r>
      <w:r w:rsidRPr="00821A1E">
        <w:rPr>
          <w:rFonts w:ascii="Times New Roman" w:hAnsi="Times New Roman" w:cs="Times New Roman"/>
        </w:rPr>
        <w:br/>
        <w:t xml:space="preserve">But in end, the effective FBT turned out to be just 2% for regular companies and 0.5% for special-category companies like IT and pharmaceuticals. What's more, India Inc can avoid paying even this minuscule amount of tax if their auditors certify an expense as </w:t>
      </w:r>
      <w:proofErr w:type="gramStart"/>
      <w:r w:rsidRPr="00821A1E">
        <w:rPr>
          <w:rFonts w:ascii="Times New Roman" w:hAnsi="Times New Roman" w:cs="Times New Roman"/>
        </w:rPr>
        <w:t>a genuine</w:t>
      </w:r>
      <w:proofErr w:type="gramEnd"/>
      <w:r w:rsidRPr="00821A1E">
        <w:rPr>
          <w:rFonts w:ascii="Times New Roman" w:hAnsi="Times New Roman" w:cs="Times New Roman"/>
        </w:rPr>
        <w:t xml:space="preserve"> business expenditure.</w:t>
      </w:r>
      <w:r w:rsidRPr="00821A1E">
        <w:rPr>
          <w:rFonts w:ascii="Times New Roman" w:hAnsi="Times New Roman" w:cs="Times New Roman"/>
        </w:rPr>
        <w:br/>
      </w:r>
      <w:r w:rsidRPr="00821A1E">
        <w:rPr>
          <w:rFonts w:ascii="Times New Roman" w:hAnsi="Times New Roman" w:cs="Times New Roman"/>
        </w:rPr>
        <w:br/>
        <w:t>According to industry sources, there will be 1.5 to 2% additional tax burden to companies due to items covered under FBT account for about 10-15% of total corporate profits.</w:t>
      </w:r>
      <w:r w:rsidRPr="00821A1E">
        <w:rPr>
          <w:rFonts w:ascii="Times New Roman" w:hAnsi="Times New Roman" w:cs="Times New Roman"/>
        </w:rPr>
        <w:br/>
      </w:r>
      <w:r w:rsidRPr="00821A1E">
        <w:rPr>
          <w:rFonts w:ascii="Times New Roman" w:hAnsi="Times New Roman" w:cs="Times New Roman"/>
        </w:rPr>
        <w:br/>
      </w:r>
    </w:p>
    <w:p w:rsidR="00821A1E" w:rsidRDefault="00821A1E" w:rsidP="00821A1E">
      <w:pPr>
        <w:spacing w:line="255" w:lineRule="atLeast"/>
        <w:rPr>
          <w:rFonts w:ascii="Times New Roman" w:hAnsi="Times New Roman" w:cs="Times New Roman"/>
          <w:b/>
          <w:bCs/>
        </w:rPr>
      </w:pPr>
    </w:p>
    <w:p w:rsidR="00821A1E" w:rsidRDefault="00821A1E" w:rsidP="00821A1E">
      <w:pPr>
        <w:spacing w:line="255" w:lineRule="atLeast"/>
        <w:rPr>
          <w:rFonts w:ascii="Times New Roman" w:hAnsi="Times New Roman" w:cs="Times New Roman"/>
          <w:b/>
          <w:bCs/>
        </w:rPr>
      </w:pPr>
    </w:p>
    <w:p w:rsidR="00821A1E" w:rsidRPr="00821A1E" w:rsidRDefault="00821A1E" w:rsidP="00821A1E">
      <w:pPr>
        <w:spacing w:line="255" w:lineRule="atLeast"/>
        <w:rPr>
          <w:rFonts w:ascii="Times New Roman" w:hAnsi="Times New Roman" w:cs="Times New Roman"/>
        </w:rPr>
      </w:pPr>
      <w:r w:rsidRPr="00821A1E">
        <w:rPr>
          <w:rFonts w:ascii="Times New Roman" w:hAnsi="Times New Roman" w:cs="Times New Roman"/>
          <w:b/>
          <w:bCs/>
        </w:rPr>
        <w:lastRenderedPageBreak/>
        <w:t>Taxable or Exempted items under Fringe Benefit Tax (FBT)</w:t>
      </w:r>
    </w:p>
    <w:tbl>
      <w:tblPr>
        <w:tblW w:w="45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tblPr>
      <w:tblGrid>
        <w:gridCol w:w="4252"/>
        <w:gridCol w:w="4253"/>
      </w:tblGrid>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b/>
                <w:bCs/>
              </w:rPr>
              <w:t>Taxable</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b/>
                <w:bCs/>
              </w:rPr>
              <w:t>Exempted</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Use of telephones, including mobile phones, the base for valuation will be 20%</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Expenses on advertising</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The base for valuation of FBT will be 20% for expenses on entertainment, hospitality, sales promotion and publicity, employee welfare, conveyance, tour and travel (including foreign travel) and use of hotels.</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Expenses on leased lines will.</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 for expenses on festival celebrations, use of clubs, scholarships and so on.</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Charitable institutions, trusts and funds.</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For superannuation funds, FBT will be levied on the entire contribution made by the employer for employees.</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Individuals and Hindu Undivided Families (HUFs) engaged in a business or profession.</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Tax on foreign tour and travel. Infosys, for instance, spend about 4% of its revenues on foreign travel. Phone bills account for close to 1%, another expense attracting the fringe benefit tax.</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Conference expenses, only the fee for participation</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xml:space="preserve">Repairs and maintenance of cars have also been brought under the purview of fringe benefit tax now. The only saving grace is that only 5% of maintenance costs for transport companies will now be subject to FBT. </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xml:space="preserve">Employee welfare expense, only the expenses incurred to </w:t>
            </w:r>
            <w:proofErr w:type="spellStart"/>
            <w:r w:rsidRPr="00690208">
              <w:rPr>
                <w:rFonts w:ascii="Times New Roman" w:hAnsi="Times New Roman" w:cs="Times New Roman"/>
              </w:rPr>
              <w:t>fulfil</w:t>
            </w:r>
            <w:proofErr w:type="spellEnd"/>
            <w:r w:rsidRPr="00690208">
              <w:rPr>
                <w:rFonts w:ascii="Times New Roman" w:hAnsi="Times New Roman" w:cs="Times New Roman"/>
              </w:rPr>
              <w:t xml:space="preserve"> any statutory obligation or to mitigate hazards or to provide first aid facility that too only in a hospital or dispensary run by the employer.</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xml:space="preserve">Any privilege, service or amenity provided directly or indirectly by an employer by way of reimbursement or otherwise to employees will attract FBT, which is to be paid by employers. </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Guest houses for training.</w:t>
            </w:r>
          </w:p>
        </w:tc>
      </w:tr>
      <w:tr w:rsidR="00821A1E" w:rsidRPr="00690208" w:rsidTr="00E932C5">
        <w:trPr>
          <w:trHeight w:val="705"/>
        </w:trPr>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Fifty per cent of expenses on club facilities.</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Expenses incurred due to sales promotions</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xml:space="preserve">Expenses borne by companies on foreign travel of their employees will be under the purview of FBT. FBT on travel expenses has </w:t>
            </w:r>
            <w:r w:rsidRPr="00690208">
              <w:rPr>
                <w:rFonts w:ascii="Times New Roman" w:hAnsi="Times New Roman" w:cs="Times New Roman"/>
              </w:rPr>
              <w:lastRenderedPageBreak/>
              <w:t>been cut to 5%.</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lastRenderedPageBreak/>
              <w:t xml:space="preserve">Medical expenses. </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lastRenderedPageBreak/>
              <w:t>Any free or concessional ticket provided by the employer for private journeys of employees or their family members and any contribution to an approved superannuation fund for employees will come under the purview of FBT.</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Companies that are loss making.</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xml:space="preserve">Expenditure on </w:t>
            </w:r>
            <w:proofErr w:type="gramStart"/>
            <w:r w:rsidRPr="00690208">
              <w:rPr>
                <w:rFonts w:ascii="Times New Roman" w:hAnsi="Times New Roman" w:cs="Times New Roman"/>
              </w:rPr>
              <w:t>employees</w:t>
            </w:r>
            <w:proofErr w:type="gramEnd"/>
            <w:r w:rsidRPr="00690208">
              <w:rPr>
                <w:rFonts w:ascii="Times New Roman" w:hAnsi="Times New Roman" w:cs="Times New Roman"/>
              </w:rPr>
              <w:t xml:space="preserve"> welfare will attract FBT, but not the expenditure incurred or payment made to </w:t>
            </w:r>
            <w:proofErr w:type="spellStart"/>
            <w:r w:rsidRPr="00690208">
              <w:rPr>
                <w:rFonts w:ascii="Times New Roman" w:hAnsi="Times New Roman" w:cs="Times New Roman"/>
              </w:rPr>
              <w:t>fulfil</w:t>
            </w:r>
            <w:proofErr w:type="spellEnd"/>
            <w:r w:rsidRPr="00690208">
              <w:rPr>
                <w:rFonts w:ascii="Times New Roman" w:hAnsi="Times New Roman" w:cs="Times New Roman"/>
              </w:rPr>
              <w:t xml:space="preserve"> any statutory obligation or mitigate occupational hazard or provide first aid facilities in hospital or dispensary run by employers.</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Other expenditures that will come under FBT are conveyance, tour and travel including foreign travel, use of hotel, boarding and lodging facilities, repair, running, maintenance of motor cars and aircraft and the amount depreciation on them.</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w:t>
            </w:r>
          </w:p>
        </w:tc>
      </w:tr>
      <w:tr w:rsidR="00821A1E" w:rsidRPr="00690208" w:rsidTr="00E932C5">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Maintenance of any accommodation like guest house except those used for training purposes, festival celebrations, use of health club and similar facilities, use of any other club facilities, gifts and scholarships will come under FBT.</w:t>
            </w:r>
          </w:p>
        </w:tc>
        <w:tc>
          <w:tcPr>
            <w:tcW w:w="25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w:t>
            </w:r>
          </w:p>
        </w:tc>
      </w:tr>
    </w:tbl>
    <w:p w:rsidR="00821A1E" w:rsidRPr="00821A1E" w:rsidRDefault="00821A1E" w:rsidP="00821A1E">
      <w:pPr>
        <w:pStyle w:val="ListParagraph"/>
        <w:numPr>
          <w:ilvl w:val="0"/>
          <w:numId w:val="1"/>
        </w:numPr>
        <w:spacing w:after="240" w:line="255" w:lineRule="atLeast"/>
        <w:rPr>
          <w:rFonts w:ascii="Times New Roman" w:hAnsi="Times New Roman" w:cs="Times New Roman"/>
        </w:rPr>
      </w:pPr>
      <w:r w:rsidRPr="00821A1E">
        <w:rPr>
          <w:rFonts w:ascii="Times New Roman" w:hAnsi="Times New Roman" w:cs="Times New Roman"/>
        </w:rPr>
        <w:br/>
      </w:r>
      <w:r w:rsidRPr="00821A1E">
        <w:rPr>
          <w:rFonts w:ascii="Times New Roman" w:hAnsi="Times New Roman" w:cs="Times New Roman"/>
        </w:rPr>
        <w:br/>
      </w:r>
      <w:r w:rsidRPr="00821A1E">
        <w:rPr>
          <w:rFonts w:ascii="Times New Roman" w:hAnsi="Times New Roman" w:cs="Times New Roman"/>
          <w:b/>
          <w:bCs/>
        </w:rPr>
        <w:t>% of expense under the fringe benefit tax</w:t>
      </w:r>
    </w:p>
    <w:tbl>
      <w:tblPr>
        <w:tblW w:w="45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000"/>
      </w:tblPr>
      <w:tblGrid>
        <w:gridCol w:w="6293"/>
        <w:gridCol w:w="1106"/>
        <w:gridCol w:w="1106"/>
      </w:tblGrid>
      <w:tr w:rsidR="00821A1E" w:rsidRPr="00690208" w:rsidTr="00E932C5">
        <w:trPr>
          <w:trHeight w:val="255"/>
        </w:trPr>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b/>
                <w:bCs/>
              </w:rPr>
              <w:t xml:space="preserve">Earlier </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b/>
                <w:bCs/>
              </w:rPr>
              <w:t xml:space="preserve">Now </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Use of telephone (other than leased lines)</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10%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Entertainment</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xml:space="preserve">Scholarship to children of employees </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 xml:space="preserve">Actual </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Hospitality</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lastRenderedPageBreak/>
              <w:t>Maintenance of accommodation like guest houses</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Conference</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Employee welfare</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Sales promotion, including publicity</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Festival celebration</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Gifts</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Use of club facilities</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Use of health clubs, sports and similar facilities</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50%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Conveyance, tour and travel,</w:t>
            </w:r>
            <w:r w:rsidRPr="00690208">
              <w:rPr>
                <w:rFonts w:ascii="Times New Roman" w:hAnsi="Times New Roman" w:cs="Times New Roman"/>
              </w:rPr>
              <w:br/>
              <w:t>including foreign travel</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Hotel, boarding and lodging</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Repair, running (including fuel), maintenance of motorcars and depreciation thereon</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r w:rsidR="00821A1E" w:rsidRPr="00690208" w:rsidTr="00E932C5">
        <w:tc>
          <w:tcPr>
            <w:tcW w:w="370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Repair, running (including fuel), maintenance of aircraft and depreciation thereon</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c>
          <w:tcPr>
            <w:tcW w:w="650" w:type="pct"/>
            <w:tcBorders>
              <w:top w:val="outset" w:sz="6" w:space="0" w:color="C0C0C0"/>
              <w:left w:val="outset" w:sz="6" w:space="0" w:color="C0C0C0"/>
              <w:bottom w:val="outset" w:sz="6" w:space="0" w:color="C0C0C0"/>
              <w:right w:val="outset" w:sz="6" w:space="0" w:color="C0C0C0"/>
            </w:tcBorders>
          </w:tcPr>
          <w:p w:rsidR="00821A1E" w:rsidRPr="00690208" w:rsidRDefault="00821A1E" w:rsidP="00821A1E">
            <w:pPr>
              <w:rPr>
                <w:rFonts w:ascii="Times New Roman" w:hAnsi="Times New Roman" w:cs="Times New Roman"/>
              </w:rPr>
            </w:pPr>
            <w:r w:rsidRPr="00690208">
              <w:rPr>
                <w:rFonts w:ascii="Times New Roman" w:hAnsi="Times New Roman" w:cs="Times New Roman"/>
              </w:rPr>
              <w:t>20%</w:t>
            </w:r>
          </w:p>
        </w:tc>
      </w:tr>
    </w:tbl>
    <w:p w:rsidR="00821A1E" w:rsidRDefault="00821A1E" w:rsidP="00821A1E">
      <w:pPr>
        <w:spacing w:after="240" w:line="255" w:lineRule="atLeast"/>
        <w:rPr>
          <w:rFonts w:ascii="Times New Roman" w:hAnsi="Times New Roman" w:cs="Times New Roman"/>
          <w:b/>
          <w:bCs/>
        </w:rPr>
      </w:pPr>
    </w:p>
    <w:p w:rsidR="00F87A13" w:rsidRDefault="00821A1E" w:rsidP="00821A1E">
      <w:pPr>
        <w:spacing w:after="240" w:line="255" w:lineRule="atLeast"/>
        <w:rPr>
          <w:rFonts w:ascii="Times New Roman" w:hAnsi="Times New Roman" w:cs="Times New Roman"/>
          <w:b/>
          <w:bCs/>
        </w:rPr>
      </w:pPr>
      <w:r w:rsidRPr="00821A1E">
        <w:rPr>
          <w:rFonts w:ascii="Times New Roman" w:hAnsi="Times New Roman" w:cs="Times New Roman"/>
          <w:b/>
          <w:bCs/>
        </w:rPr>
        <w:t>Tax of 30% will be levied on the value of the fringe benefit calculated at the above rates</w:t>
      </w:r>
    </w:p>
    <w:p w:rsidR="00533A7F" w:rsidRDefault="00F87A13" w:rsidP="00533A7F">
      <w:pPr>
        <w:jc w:val="center"/>
        <w:rPr>
          <w:rFonts w:ascii="Times New Roman" w:hAnsi="Times New Roman" w:cs="Times New Roman"/>
          <w:b/>
          <w:bCs/>
        </w:rPr>
      </w:pPr>
      <w:r>
        <w:rPr>
          <w:rFonts w:ascii="Times New Roman" w:hAnsi="Times New Roman" w:cs="Times New Roman"/>
          <w:b/>
          <w:bCs/>
        </w:rPr>
        <w:br w:type="page"/>
      </w: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rPr>
      </w:pPr>
    </w:p>
    <w:p w:rsidR="00533A7F" w:rsidRDefault="00533A7F" w:rsidP="00533A7F">
      <w:pPr>
        <w:jc w:val="center"/>
        <w:rPr>
          <w:rFonts w:ascii="Times New Roman" w:hAnsi="Times New Roman" w:cs="Times New Roman"/>
          <w:b/>
          <w:bCs/>
          <w:sz w:val="40"/>
          <w:szCs w:val="40"/>
          <w:u w:val="single"/>
        </w:rPr>
      </w:pPr>
    </w:p>
    <w:p w:rsidR="00533A7F" w:rsidRDefault="00533A7F" w:rsidP="00533A7F">
      <w:pPr>
        <w:jc w:val="center"/>
        <w:rPr>
          <w:rFonts w:ascii="Times New Roman" w:hAnsi="Times New Roman" w:cs="Times New Roman"/>
          <w:b/>
          <w:bCs/>
          <w:sz w:val="40"/>
          <w:szCs w:val="40"/>
          <w:u w:val="single"/>
        </w:rPr>
      </w:pPr>
    </w:p>
    <w:p w:rsidR="00F87A13" w:rsidRPr="00533A7F" w:rsidRDefault="00533A7F" w:rsidP="00533A7F">
      <w:pPr>
        <w:jc w:val="center"/>
        <w:rPr>
          <w:rFonts w:ascii="Times New Roman" w:hAnsi="Times New Roman" w:cs="Times New Roman"/>
          <w:b/>
          <w:bCs/>
          <w:sz w:val="40"/>
          <w:szCs w:val="40"/>
          <w:u w:val="single"/>
        </w:rPr>
      </w:pPr>
      <w:r w:rsidRPr="00533A7F">
        <w:rPr>
          <w:rFonts w:ascii="Times New Roman" w:hAnsi="Times New Roman" w:cs="Times New Roman"/>
          <w:b/>
          <w:bCs/>
          <w:sz w:val="40"/>
          <w:szCs w:val="40"/>
          <w:u w:val="single"/>
        </w:rPr>
        <w:t>THANK YOU</w:t>
      </w:r>
    </w:p>
    <w:sectPr w:rsidR="00F87A13" w:rsidRPr="00533A7F" w:rsidSect="00970E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45034"/>
    <w:multiLevelType w:val="hybridMultilevel"/>
    <w:tmpl w:val="9650E624"/>
    <w:lvl w:ilvl="0" w:tplc="2228AD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B11947"/>
    <w:rsid w:val="00533A7F"/>
    <w:rsid w:val="00821A1E"/>
    <w:rsid w:val="00970E48"/>
    <w:rsid w:val="00B11947"/>
    <w:rsid w:val="00DE5278"/>
    <w:rsid w:val="00F87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9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F584A-DB87-41D9-9649-4D7530CC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HITECH</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YSIL</dc:creator>
  <cp:keywords/>
  <dc:description/>
  <cp:lastModifiedBy>YSIL</cp:lastModifiedBy>
  <cp:revision>5</cp:revision>
  <dcterms:created xsi:type="dcterms:W3CDTF">2008-11-18T12:42:00Z</dcterms:created>
  <dcterms:modified xsi:type="dcterms:W3CDTF">2008-11-18T13:07:00Z</dcterms:modified>
</cp:coreProperties>
</file>