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A5F" w:rsidRDefault="00DB2ADC" w:rsidP="00743A5F">
      <w:pPr>
        <w:pStyle w:val="Heading3"/>
        <w:spacing w:before="0" w:beforeAutospacing="0"/>
        <w:rPr>
          <w:sz w:val="24"/>
          <w:szCs w:val="24"/>
        </w:rPr>
      </w:pPr>
      <w:bookmarkStart w:id="0" w:name="_Toc187623888"/>
      <w:bookmarkStart w:id="1" w:name="_Toc187630608"/>
      <w:bookmarkStart w:id="2" w:name="_Toc187660787"/>
      <w:r>
        <w:rPr>
          <w:sz w:val="24"/>
          <w:szCs w:val="24"/>
        </w:rPr>
        <w:t>Case Studies and decided cases in International Taxation</w:t>
      </w:r>
    </w:p>
    <w:sdt>
      <w:sdtPr>
        <w:id w:val="-701474726"/>
        <w:docPartObj>
          <w:docPartGallery w:val="Table of Contents"/>
          <w:docPartUnique/>
        </w:docPartObj>
      </w:sdtPr>
      <w:sdtEndPr>
        <w:rPr>
          <w:rFonts w:asciiTheme="minorHAnsi" w:eastAsiaTheme="minorHAnsi" w:hAnsiTheme="minorHAnsi" w:cstheme="minorBidi"/>
          <w:b/>
          <w:bCs/>
          <w:noProof/>
          <w:color w:val="auto"/>
          <w:sz w:val="22"/>
          <w:szCs w:val="22"/>
          <w:lang w:val="en-IN"/>
        </w:rPr>
      </w:sdtEndPr>
      <w:sdtContent>
        <w:p w:rsidR="004D0ABB" w:rsidRDefault="004D0ABB">
          <w:pPr>
            <w:pStyle w:val="TOCHeading"/>
          </w:pPr>
          <w:r>
            <w:t>Table of Contents</w:t>
          </w:r>
        </w:p>
        <w:p w:rsidR="00B37CA0" w:rsidRDefault="004D0ABB">
          <w:pPr>
            <w:pStyle w:val="TOC3"/>
            <w:tabs>
              <w:tab w:val="right" w:leader="dot" w:pos="9016"/>
            </w:tabs>
            <w:rPr>
              <w:rFonts w:eastAsiaTheme="minorEastAsia"/>
              <w:noProof/>
              <w:lang w:eastAsia="en-IN" w:bidi="ta-IN"/>
            </w:rPr>
          </w:pPr>
          <w:r>
            <w:rPr>
              <w:b/>
              <w:bCs/>
              <w:noProof/>
            </w:rPr>
            <w:fldChar w:fldCharType="begin"/>
          </w:r>
          <w:r>
            <w:rPr>
              <w:b/>
              <w:bCs/>
              <w:noProof/>
            </w:rPr>
            <w:instrText xml:space="preserve"> TOC \o "1-3" \h \z \u </w:instrText>
          </w:r>
          <w:r>
            <w:rPr>
              <w:b/>
              <w:bCs/>
              <w:noProof/>
            </w:rPr>
            <w:fldChar w:fldCharType="separate"/>
          </w:r>
          <w:hyperlink w:anchor="_Toc187661866" w:history="1">
            <w:r w:rsidR="00B37CA0" w:rsidRPr="007D1F1F">
              <w:rPr>
                <w:rStyle w:val="Hyperlink"/>
                <w:noProof/>
              </w:rPr>
              <w:t>Case Study and Analysis for a Company with International and Specific Domestic Transactions</w:t>
            </w:r>
            <w:r w:rsidR="00B37CA0">
              <w:rPr>
                <w:noProof/>
                <w:webHidden/>
              </w:rPr>
              <w:tab/>
            </w:r>
            <w:r w:rsidR="00B37CA0">
              <w:rPr>
                <w:noProof/>
                <w:webHidden/>
              </w:rPr>
              <w:fldChar w:fldCharType="begin"/>
            </w:r>
            <w:r w:rsidR="00B37CA0">
              <w:rPr>
                <w:noProof/>
                <w:webHidden/>
              </w:rPr>
              <w:instrText xml:space="preserve"> PAGEREF _Toc187661866 \h </w:instrText>
            </w:r>
            <w:r w:rsidR="00B37CA0">
              <w:rPr>
                <w:noProof/>
                <w:webHidden/>
              </w:rPr>
            </w:r>
            <w:r w:rsidR="00B37CA0">
              <w:rPr>
                <w:noProof/>
                <w:webHidden/>
              </w:rPr>
              <w:fldChar w:fldCharType="separate"/>
            </w:r>
            <w:r w:rsidR="00B37CA0">
              <w:rPr>
                <w:noProof/>
                <w:webHidden/>
              </w:rPr>
              <w:t>11</w:t>
            </w:r>
            <w:r w:rsidR="00B37CA0">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67" w:history="1">
            <w:r w:rsidRPr="007D1F1F">
              <w:rPr>
                <w:rStyle w:val="Hyperlink"/>
                <w:noProof/>
              </w:rPr>
              <w:t>Case Study: Tax Challenges for a Multinational Company (MNC)</w:t>
            </w:r>
            <w:r>
              <w:rPr>
                <w:noProof/>
                <w:webHidden/>
              </w:rPr>
              <w:tab/>
            </w:r>
            <w:r>
              <w:rPr>
                <w:noProof/>
                <w:webHidden/>
              </w:rPr>
              <w:fldChar w:fldCharType="begin"/>
            </w:r>
            <w:r>
              <w:rPr>
                <w:noProof/>
                <w:webHidden/>
              </w:rPr>
              <w:instrText xml:space="preserve"> PAGEREF _Toc187661867 \h </w:instrText>
            </w:r>
            <w:r>
              <w:rPr>
                <w:noProof/>
                <w:webHidden/>
              </w:rPr>
            </w:r>
            <w:r>
              <w:rPr>
                <w:noProof/>
                <w:webHidden/>
              </w:rPr>
              <w:fldChar w:fldCharType="separate"/>
            </w:r>
            <w:r>
              <w:rPr>
                <w:noProof/>
                <w:webHidden/>
              </w:rPr>
              <w:t>14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68" w:history="1">
            <w:r w:rsidRPr="007D1F1F">
              <w:rPr>
                <w:rStyle w:val="Hyperlink"/>
                <w:noProof/>
              </w:rPr>
              <w:t>Key Issues and Problems</w:t>
            </w:r>
            <w:r>
              <w:rPr>
                <w:noProof/>
                <w:webHidden/>
              </w:rPr>
              <w:tab/>
            </w:r>
            <w:r>
              <w:rPr>
                <w:noProof/>
                <w:webHidden/>
              </w:rPr>
              <w:fldChar w:fldCharType="begin"/>
            </w:r>
            <w:r>
              <w:rPr>
                <w:noProof/>
                <w:webHidden/>
              </w:rPr>
              <w:instrText xml:space="preserve"> PAGEREF _Toc187661868 \h </w:instrText>
            </w:r>
            <w:r>
              <w:rPr>
                <w:noProof/>
                <w:webHidden/>
              </w:rPr>
            </w:r>
            <w:r>
              <w:rPr>
                <w:noProof/>
                <w:webHidden/>
              </w:rPr>
              <w:fldChar w:fldCharType="separate"/>
            </w:r>
            <w:r>
              <w:rPr>
                <w:noProof/>
                <w:webHidden/>
              </w:rPr>
              <w:t>14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69"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_Toc187661869 \h </w:instrText>
            </w:r>
            <w:r>
              <w:rPr>
                <w:noProof/>
                <w:webHidden/>
              </w:rPr>
            </w:r>
            <w:r>
              <w:rPr>
                <w:noProof/>
                <w:webHidden/>
              </w:rPr>
              <w:fldChar w:fldCharType="separate"/>
            </w:r>
            <w:r>
              <w:rPr>
                <w:noProof/>
                <w:webHidden/>
              </w:rPr>
              <w:t>15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70" w:history="1">
            <w:r w:rsidRPr="007D1F1F">
              <w:rPr>
                <w:rStyle w:val="Hyperlink"/>
                <w:noProof/>
              </w:rPr>
              <w:t>Chartered Accountant’s (CA) Advice</w:t>
            </w:r>
            <w:r>
              <w:rPr>
                <w:noProof/>
                <w:webHidden/>
              </w:rPr>
              <w:tab/>
            </w:r>
            <w:r>
              <w:rPr>
                <w:noProof/>
                <w:webHidden/>
              </w:rPr>
              <w:fldChar w:fldCharType="begin"/>
            </w:r>
            <w:r>
              <w:rPr>
                <w:noProof/>
                <w:webHidden/>
              </w:rPr>
              <w:instrText xml:space="preserve"> PAGEREF _Toc187661870 \h </w:instrText>
            </w:r>
            <w:r>
              <w:rPr>
                <w:noProof/>
                <w:webHidden/>
              </w:rPr>
            </w:r>
            <w:r>
              <w:rPr>
                <w:noProof/>
                <w:webHidden/>
              </w:rPr>
              <w:fldChar w:fldCharType="separate"/>
            </w:r>
            <w:r>
              <w:rPr>
                <w:noProof/>
                <w:webHidden/>
              </w:rPr>
              <w:t>16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71" w:history="1">
            <w:r w:rsidRPr="007D1F1F">
              <w:rPr>
                <w:rStyle w:val="Hyperlink"/>
                <w:noProof/>
              </w:rPr>
              <w:t>Case Study: International Taxation for GlobalTech Ltd.</w:t>
            </w:r>
            <w:r>
              <w:rPr>
                <w:noProof/>
                <w:webHidden/>
              </w:rPr>
              <w:tab/>
            </w:r>
            <w:r>
              <w:rPr>
                <w:noProof/>
                <w:webHidden/>
              </w:rPr>
              <w:fldChar w:fldCharType="begin"/>
            </w:r>
            <w:r>
              <w:rPr>
                <w:noProof/>
                <w:webHidden/>
              </w:rPr>
              <w:instrText xml:space="preserve"> PAGEREF _Toc187661871 \h </w:instrText>
            </w:r>
            <w:r>
              <w:rPr>
                <w:noProof/>
                <w:webHidden/>
              </w:rPr>
            </w:r>
            <w:r>
              <w:rPr>
                <w:noProof/>
                <w:webHidden/>
              </w:rPr>
              <w:fldChar w:fldCharType="separate"/>
            </w:r>
            <w:r>
              <w:rPr>
                <w:noProof/>
                <w:webHidden/>
              </w:rPr>
              <w:t>17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72" w:history="1">
            <w:r w:rsidRPr="007D1F1F">
              <w:rPr>
                <w:rStyle w:val="Hyperlink"/>
                <w:noProof/>
              </w:rPr>
              <w:t>Transactions</w:t>
            </w:r>
            <w:r>
              <w:rPr>
                <w:noProof/>
                <w:webHidden/>
              </w:rPr>
              <w:tab/>
            </w:r>
            <w:r>
              <w:rPr>
                <w:noProof/>
                <w:webHidden/>
              </w:rPr>
              <w:fldChar w:fldCharType="begin"/>
            </w:r>
            <w:r>
              <w:rPr>
                <w:noProof/>
                <w:webHidden/>
              </w:rPr>
              <w:instrText xml:space="preserve"> PAGEREF _Toc187661872 \h </w:instrText>
            </w:r>
            <w:r>
              <w:rPr>
                <w:noProof/>
                <w:webHidden/>
              </w:rPr>
            </w:r>
            <w:r>
              <w:rPr>
                <w:noProof/>
                <w:webHidden/>
              </w:rPr>
              <w:fldChar w:fldCharType="separate"/>
            </w:r>
            <w:r>
              <w:rPr>
                <w:noProof/>
                <w:webHidden/>
              </w:rPr>
              <w:t>17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73" w:history="1">
            <w:r w:rsidRPr="007D1F1F">
              <w:rPr>
                <w:rStyle w:val="Hyperlink"/>
                <w:noProof/>
              </w:rPr>
              <w:t>Key Issues</w:t>
            </w:r>
            <w:r>
              <w:rPr>
                <w:noProof/>
                <w:webHidden/>
              </w:rPr>
              <w:tab/>
            </w:r>
            <w:r>
              <w:rPr>
                <w:noProof/>
                <w:webHidden/>
              </w:rPr>
              <w:fldChar w:fldCharType="begin"/>
            </w:r>
            <w:r>
              <w:rPr>
                <w:noProof/>
                <w:webHidden/>
              </w:rPr>
              <w:instrText xml:space="preserve"> PAGEREF _Toc187661873 \h </w:instrText>
            </w:r>
            <w:r>
              <w:rPr>
                <w:noProof/>
                <w:webHidden/>
              </w:rPr>
            </w:r>
            <w:r>
              <w:rPr>
                <w:noProof/>
                <w:webHidden/>
              </w:rPr>
              <w:fldChar w:fldCharType="separate"/>
            </w:r>
            <w:r>
              <w:rPr>
                <w:noProof/>
                <w:webHidden/>
              </w:rPr>
              <w:t>18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74"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_Toc187661874 \h </w:instrText>
            </w:r>
            <w:r>
              <w:rPr>
                <w:noProof/>
                <w:webHidden/>
              </w:rPr>
            </w:r>
            <w:r>
              <w:rPr>
                <w:noProof/>
                <w:webHidden/>
              </w:rPr>
              <w:fldChar w:fldCharType="separate"/>
            </w:r>
            <w:r>
              <w:rPr>
                <w:noProof/>
                <w:webHidden/>
              </w:rPr>
              <w:t>19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75" w:history="1">
            <w:r w:rsidRPr="007D1F1F">
              <w:rPr>
                <w:rStyle w:val="Hyperlink"/>
                <w:noProof/>
              </w:rPr>
              <w:t>Financial Summary</w:t>
            </w:r>
            <w:r>
              <w:rPr>
                <w:noProof/>
                <w:webHidden/>
              </w:rPr>
              <w:tab/>
            </w:r>
            <w:r>
              <w:rPr>
                <w:noProof/>
                <w:webHidden/>
              </w:rPr>
              <w:fldChar w:fldCharType="begin"/>
            </w:r>
            <w:r>
              <w:rPr>
                <w:noProof/>
                <w:webHidden/>
              </w:rPr>
              <w:instrText xml:space="preserve"> PAGEREF _Toc187661875 \h </w:instrText>
            </w:r>
            <w:r>
              <w:rPr>
                <w:noProof/>
                <w:webHidden/>
              </w:rPr>
            </w:r>
            <w:r>
              <w:rPr>
                <w:noProof/>
                <w:webHidden/>
              </w:rPr>
              <w:fldChar w:fldCharType="separate"/>
            </w:r>
            <w:r>
              <w:rPr>
                <w:noProof/>
                <w:webHidden/>
              </w:rPr>
              <w:t>20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76" w:history="1">
            <w:r w:rsidRPr="007D1F1F">
              <w:rPr>
                <w:rStyle w:val="Hyperlink"/>
                <w:noProof/>
              </w:rPr>
              <w:t>Conclusion</w:t>
            </w:r>
            <w:r>
              <w:rPr>
                <w:noProof/>
                <w:webHidden/>
              </w:rPr>
              <w:tab/>
            </w:r>
            <w:r>
              <w:rPr>
                <w:noProof/>
                <w:webHidden/>
              </w:rPr>
              <w:fldChar w:fldCharType="begin"/>
            </w:r>
            <w:r>
              <w:rPr>
                <w:noProof/>
                <w:webHidden/>
              </w:rPr>
              <w:instrText xml:space="preserve"> PAGEREF _Toc187661876 \h </w:instrText>
            </w:r>
            <w:r>
              <w:rPr>
                <w:noProof/>
                <w:webHidden/>
              </w:rPr>
            </w:r>
            <w:r>
              <w:rPr>
                <w:noProof/>
                <w:webHidden/>
              </w:rPr>
              <w:fldChar w:fldCharType="separate"/>
            </w:r>
            <w:r>
              <w:rPr>
                <w:noProof/>
                <w:webHidden/>
              </w:rPr>
              <w:t>21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77" w:history="1">
            <w:r w:rsidRPr="007D1F1F">
              <w:rPr>
                <w:rStyle w:val="Hyperlink"/>
                <w:noProof/>
              </w:rPr>
              <w:t>Detailed Discussion on Topics Under the Conclusion</w:t>
            </w:r>
            <w:r>
              <w:rPr>
                <w:noProof/>
                <w:webHidden/>
              </w:rPr>
              <w:tab/>
            </w:r>
            <w:r>
              <w:rPr>
                <w:noProof/>
                <w:webHidden/>
              </w:rPr>
              <w:fldChar w:fldCharType="begin"/>
            </w:r>
            <w:r>
              <w:rPr>
                <w:noProof/>
                <w:webHidden/>
              </w:rPr>
              <w:instrText xml:space="preserve"> PAGEREF _Toc187661877 \h </w:instrText>
            </w:r>
            <w:r>
              <w:rPr>
                <w:noProof/>
                <w:webHidden/>
              </w:rPr>
            </w:r>
            <w:r>
              <w:rPr>
                <w:noProof/>
                <w:webHidden/>
              </w:rPr>
              <w:fldChar w:fldCharType="separate"/>
            </w:r>
            <w:r>
              <w:rPr>
                <w:noProof/>
                <w:webHidden/>
              </w:rPr>
              <w:t>21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78" w:history="1">
            <w:r w:rsidRPr="007D1F1F">
              <w:rPr>
                <w:rStyle w:val="Hyperlink"/>
                <w:noProof/>
              </w:rPr>
              <w:t>Conclusion</w:t>
            </w:r>
            <w:r>
              <w:rPr>
                <w:noProof/>
                <w:webHidden/>
              </w:rPr>
              <w:tab/>
            </w:r>
            <w:r>
              <w:rPr>
                <w:noProof/>
                <w:webHidden/>
              </w:rPr>
              <w:fldChar w:fldCharType="begin"/>
            </w:r>
            <w:r>
              <w:rPr>
                <w:noProof/>
                <w:webHidden/>
              </w:rPr>
              <w:instrText xml:space="preserve"> PAGEREF _Toc187661878 \h </w:instrText>
            </w:r>
            <w:r>
              <w:rPr>
                <w:noProof/>
                <w:webHidden/>
              </w:rPr>
            </w:r>
            <w:r>
              <w:rPr>
                <w:noProof/>
                <w:webHidden/>
              </w:rPr>
              <w:fldChar w:fldCharType="separate"/>
            </w:r>
            <w:r>
              <w:rPr>
                <w:noProof/>
                <w:webHidden/>
              </w:rPr>
              <w:t>25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79" w:history="1">
            <w:r w:rsidRPr="007D1F1F">
              <w:rPr>
                <w:rStyle w:val="Hyperlink"/>
                <w:noProof/>
              </w:rPr>
              <w:t>Case Study: International Taxation for FinGlobal Pvt. Ltd.</w:t>
            </w:r>
            <w:r>
              <w:rPr>
                <w:noProof/>
                <w:webHidden/>
              </w:rPr>
              <w:tab/>
            </w:r>
            <w:r>
              <w:rPr>
                <w:noProof/>
                <w:webHidden/>
              </w:rPr>
              <w:fldChar w:fldCharType="begin"/>
            </w:r>
            <w:r>
              <w:rPr>
                <w:noProof/>
                <w:webHidden/>
              </w:rPr>
              <w:instrText xml:space="preserve"> PAGEREF _Toc187661879 \h </w:instrText>
            </w:r>
            <w:r>
              <w:rPr>
                <w:noProof/>
                <w:webHidden/>
              </w:rPr>
            </w:r>
            <w:r>
              <w:rPr>
                <w:noProof/>
                <w:webHidden/>
              </w:rPr>
              <w:fldChar w:fldCharType="separate"/>
            </w:r>
            <w:r>
              <w:rPr>
                <w:noProof/>
                <w:webHidden/>
              </w:rPr>
              <w:t>25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80" w:history="1">
            <w:r w:rsidRPr="007D1F1F">
              <w:rPr>
                <w:rStyle w:val="Hyperlink"/>
                <w:noProof/>
              </w:rPr>
              <w:t>Transactions</w:t>
            </w:r>
            <w:r>
              <w:rPr>
                <w:noProof/>
                <w:webHidden/>
              </w:rPr>
              <w:tab/>
            </w:r>
            <w:r>
              <w:rPr>
                <w:noProof/>
                <w:webHidden/>
              </w:rPr>
              <w:fldChar w:fldCharType="begin"/>
            </w:r>
            <w:r>
              <w:rPr>
                <w:noProof/>
                <w:webHidden/>
              </w:rPr>
              <w:instrText xml:space="preserve"> PAGEREF _Toc187661880 \h </w:instrText>
            </w:r>
            <w:r>
              <w:rPr>
                <w:noProof/>
                <w:webHidden/>
              </w:rPr>
            </w:r>
            <w:r>
              <w:rPr>
                <w:noProof/>
                <w:webHidden/>
              </w:rPr>
              <w:fldChar w:fldCharType="separate"/>
            </w:r>
            <w:r>
              <w:rPr>
                <w:noProof/>
                <w:webHidden/>
              </w:rPr>
              <w:t>26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81" w:history="1">
            <w:r w:rsidRPr="007D1F1F">
              <w:rPr>
                <w:rStyle w:val="Hyperlink"/>
                <w:noProof/>
              </w:rPr>
              <w:t>Key Issues</w:t>
            </w:r>
            <w:r>
              <w:rPr>
                <w:noProof/>
                <w:webHidden/>
              </w:rPr>
              <w:tab/>
            </w:r>
            <w:r>
              <w:rPr>
                <w:noProof/>
                <w:webHidden/>
              </w:rPr>
              <w:fldChar w:fldCharType="begin"/>
            </w:r>
            <w:r>
              <w:rPr>
                <w:noProof/>
                <w:webHidden/>
              </w:rPr>
              <w:instrText xml:space="preserve"> PAGEREF _Toc187661881 \h </w:instrText>
            </w:r>
            <w:r>
              <w:rPr>
                <w:noProof/>
                <w:webHidden/>
              </w:rPr>
            </w:r>
            <w:r>
              <w:rPr>
                <w:noProof/>
                <w:webHidden/>
              </w:rPr>
              <w:fldChar w:fldCharType="separate"/>
            </w:r>
            <w:r>
              <w:rPr>
                <w:noProof/>
                <w:webHidden/>
              </w:rPr>
              <w:t>26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82"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_Toc187661882 \h </w:instrText>
            </w:r>
            <w:r>
              <w:rPr>
                <w:noProof/>
                <w:webHidden/>
              </w:rPr>
            </w:r>
            <w:r>
              <w:rPr>
                <w:noProof/>
                <w:webHidden/>
              </w:rPr>
              <w:fldChar w:fldCharType="separate"/>
            </w:r>
            <w:r>
              <w:rPr>
                <w:noProof/>
                <w:webHidden/>
              </w:rPr>
              <w:t>27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83" w:history="1">
            <w:r w:rsidRPr="007D1F1F">
              <w:rPr>
                <w:rStyle w:val="Hyperlink"/>
                <w:noProof/>
              </w:rPr>
              <w:t>Financial Summary</w:t>
            </w:r>
            <w:r>
              <w:rPr>
                <w:noProof/>
                <w:webHidden/>
              </w:rPr>
              <w:tab/>
            </w:r>
            <w:r>
              <w:rPr>
                <w:noProof/>
                <w:webHidden/>
              </w:rPr>
              <w:fldChar w:fldCharType="begin"/>
            </w:r>
            <w:r>
              <w:rPr>
                <w:noProof/>
                <w:webHidden/>
              </w:rPr>
              <w:instrText xml:space="preserve"> PAGEREF _Toc187661883 \h </w:instrText>
            </w:r>
            <w:r>
              <w:rPr>
                <w:noProof/>
                <w:webHidden/>
              </w:rPr>
            </w:r>
            <w:r>
              <w:rPr>
                <w:noProof/>
                <w:webHidden/>
              </w:rPr>
              <w:fldChar w:fldCharType="separate"/>
            </w:r>
            <w:r>
              <w:rPr>
                <w:noProof/>
                <w:webHidden/>
              </w:rPr>
              <w:t>28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84" w:history="1">
            <w:r w:rsidRPr="007D1F1F">
              <w:rPr>
                <w:rStyle w:val="Hyperlink"/>
                <w:noProof/>
              </w:rPr>
              <w:t>Conclusion</w:t>
            </w:r>
            <w:r>
              <w:rPr>
                <w:noProof/>
                <w:webHidden/>
              </w:rPr>
              <w:tab/>
            </w:r>
            <w:r>
              <w:rPr>
                <w:noProof/>
                <w:webHidden/>
              </w:rPr>
              <w:fldChar w:fldCharType="begin"/>
            </w:r>
            <w:r>
              <w:rPr>
                <w:noProof/>
                <w:webHidden/>
              </w:rPr>
              <w:instrText xml:space="preserve"> PAGEREF _Toc187661884 \h </w:instrText>
            </w:r>
            <w:r>
              <w:rPr>
                <w:noProof/>
                <w:webHidden/>
              </w:rPr>
            </w:r>
            <w:r>
              <w:rPr>
                <w:noProof/>
                <w:webHidden/>
              </w:rPr>
              <w:fldChar w:fldCharType="separate"/>
            </w:r>
            <w:r>
              <w:rPr>
                <w:noProof/>
                <w:webHidden/>
              </w:rPr>
              <w:t>29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85" w:history="1">
            <w:r w:rsidRPr="007D1F1F">
              <w:rPr>
                <w:rStyle w:val="Hyperlink"/>
                <w:noProof/>
              </w:rPr>
              <w:t>Detailed Discussion on Topics Covered Under Conclusion</w:t>
            </w:r>
            <w:r>
              <w:rPr>
                <w:noProof/>
                <w:webHidden/>
              </w:rPr>
              <w:tab/>
            </w:r>
            <w:r>
              <w:rPr>
                <w:noProof/>
                <w:webHidden/>
              </w:rPr>
              <w:fldChar w:fldCharType="begin"/>
            </w:r>
            <w:r>
              <w:rPr>
                <w:noProof/>
                <w:webHidden/>
              </w:rPr>
              <w:instrText xml:space="preserve"> PAGEREF _Toc187661885 \h </w:instrText>
            </w:r>
            <w:r>
              <w:rPr>
                <w:noProof/>
                <w:webHidden/>
              </w:rPr>
            </w:r>
            <w:r>
              <w:rPr>
                <w:noProof/>
                <w:webHidden/>
              </w:rPr>
              <w:fldChar w:fldCharType="separate"/>
            </w:r>
            <w:r>
              <w:rPr>
                <w:noProof/>
                <w:webHidden/>
              </w:rPr>
              <w:t>30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86" w:history="1">
            <w:r w:rsidRPr="007D1F1F">
              <w:rPr>
                <w:rStyle w:val="Hyperlink"/>
                <w:noProof/>
              </w:rPr>
              <w:t>Additional Recommendations</w:t>
            </w:r>
            <w:r>
              <w:rPr>
                <w:noProof/>
                <w:webHidden/>
              </w:rPr>
              <w:tab/>
            </w:r>
            <w:r>
              <w:rPr>
                <w:noProof/>
                <w:webHidden/>
              </w:rPr>
              <w:fldChar w:fldCharType="begin"/>
            </w:r>
            <w:r>
              <w:rPr>
                <w:noProof/>
                <w:webHidden/>
              </w:rPr>
              <w:instrText xml:space="preserve"> PAGEREF _Toc187661886 \h </w:instrText>
            </w:r>
            <w:r>
              <w:rPr>
                <w:noProof/>
                <w:webHidden/>
              </w:rPr>
            </w:r>
            <w:r>
              <w:rPr>
                <w:noProof/>
                <w:webHidden/>
              </w:rPr>
              <w:fldChar w:fldCharType="separate"/>
            </w:r>
            <w:r>
              <w:rPr>
                <w:noProof/>
                <w:webHidden/>
              </w:rPr>
              <w:t>33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87" w:history="1">
            <w:r w:rsidRPr="007D1F1F">
              <w:rPr>
                <w:rStyle w:val="Hyperlink"/>
                <w:noProof/>
              </w:rPr>
              <w:t>Case Study: Tax Compliance Challenges for EcomTech Solutions Ltd.</w:t>
            </w:r>
            <w:r>
              <w:rPr>
                <w:noProof/>
                <w:webHidden/>
              </w:rPr>
              <w:tab/>
            </w:r>
            <w:r>
              <w:rPr>
                <w:noProof/>
                <w:webHidden/>
              </w:rPr>
              <w:fldChar w:fldCharType="begin"/>
            </w:r>
            <w:r>
              <w:rPr>
                <w:noProof/>
                <w:webHidden/>
              </w:rPr>
              <w:instrText xml:space="preserve"> PAGEREF _Toc187661887 \h </w:instrText>
            </w:r>
            <w:r>
              <w:rPr>
                <w:noProof/>
                <w:webHidden/>
              </w:rPr>
            </w:r>
            <w:r>
              <w:rPr>
                <w:noProof/>
                <w:webHidden/>
              </w:rPr>
              <w:fldChar w:fldCharType="separate"/>
            </w:r>
            <w:r>
              <w:rPr>
                <w:noProof/>
                <w:webHidden/>
              </w:rPr>
              <w:t>34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88" w:history="1">
            <w:r w:rsidRPr="007D1F1F">
              <w:rPr>
                <w:rStyle w:val="Hyperlink"/>
                <w:noProof/>
              </w:rPr>
              <w:t>Transactions</w:t>
            </w:r>
            <w:r>
              <w:rPr>
                <w:noProof/>
                <w:webHidden/>
              </w:rPr>
              <w:tab/>
            </w:r>
            <w:r>
              <w:rPr>
                <w:noProof/>
                <w:webHidden/>
              </w:rPr>
              <w:fldChar w:fldCharType="begin"/>
            </w:r>
            <w:r>
              <w:rPr>
                <w:noProof/>
                <w:webHidden/>
              </w:rPr>
              <w:instrText xml:space="preserve"> PAGEREF _Toc187661888 \h </w:instrText>
            </w:r>
            <w:r>
              <w:rPr>
                <w:noProof/>
                <w:webHidden/>
              </w:rPr>
            </w:r>
            <w:r>
              <w:rPr>
                <w:noProof/>
                <w:webHidden/>
              </w:rPr>
              <w:fldChar w:fldCharType="separate"/>
            </w:r>
            <w:r>
              <w:rPr>
                <w:noProof/>
                <w:webHidden/>
              </w:rPr>
              <w:t>34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89" w:history="1">
            <w:r w:rsidRPr="007D1F1F">
              <w:rPr>
                <w:rStyle w:val="Hyperlink"/>
                <w:noProof/>
              </w:rPr>
              <w:t>Key Issues</w:t>
            </w:r>
            <w:r>
              <w:rPr>
                <w:noProof/>
                <w:webHidden/>
              </w:rPr>
              <w:tab/>
            </w:r>
            <w:r>
              <w:rPr>
                <w:noProof/>
                <w:webHidden/>
              </w:rPr>
              <w:fldChar w:fldCharType="begin"/>
            </w:r>
            <w:r>
              <w:rPr>
                <w:noProof/>
                <w:webHidden/>
              </w:rPr>
              <w:instrText xml:space="preserve"> PAGEREF _Toc187661889 \h </w:instrText>
            </w:r>
            <w:r>
              <w:rPr>
                <w:noProof/>
                <w:webHidden/>
              </w:rPr>
            </w:r>
            <w:r>
              <w:rPr>
                <w:noProof/>
                <w:webHidden/>
              </w:rPr>
              <w:fldChar w:fldCharType="separate"/>
            </w:r>
            <w:r>
              <w:rPr>
                <w:noProof/>
                <w:webHidden/>
              </w:rPr>
              <w:t>35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90"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_Toc187661890 \h </w:instrText>
            </w:r>
            <w:r>
              <w:rPr>
                <w:noProof/>
                <w:webHidden/>
              </w:rPr>
            </w:r>
            <w:r>
              <w:rPr>
                <w:noProof/>
                <w:webHidden/>
              </w:rPr>
              <w:fldChar w:fldCharType="separate"/>
            </w:r>
            <w:r>
              <w:rPr>
                <w:noProof/>
                <w:webHidden/>
              </w:rPr>
              <w:t>35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91"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_Toc187661891 \h </w:instrText>
            </w:r>
            <w:r>
              <w:rPr>
                <w:noProof/>
                <w:webHidden/>
              </w:rPr>
            </w:r>
            <w:r>
              <w:rPr>
                <w:noProof/>
                <w:webHidden/>
              </w:rPr>
              <w:fldChar w:fldCharType="separate"/>
            </w:r>
            <w:r>
              <w:rPr>
                <w:noProof/>
                <w:webHidden/>
              </w:rPr>
              <w:t>37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92" w:history="1">
            <w:r w:rsidRPr="007D1F1F">
              <w:rPr>
                <w:rStyle w:val="Hyperlink"/>
                <w:noProof/>
              </w:rPr>
              <w:t>Conclusion</w:t>
            </w:r>
            <w:r>
              <w:rPr>
                <w:noProof/>
                <w:webHidden/>
              </w:rPr>
              <w:tab/>
            </w:r>
            <w:r>
              <w:rPr>
                <w:noProof/>
                <w:webHidden/>
              </w:rPr>
              <w:fldChar w:fldCharType="begin"/>
            </w:r>
            <w:r>
              <w:rPr>
                <w:noProof/>
                <w:webHidden/>
              </w:rPr>
              <w:instrText xml:space="preserve"> PAGEREF _Toc187661892 \h </w:instrText>
            </w:r>
            <w:r>
              <w:rPr>
                <w:noProof/>
                <w:webHidden/>
              </w:rPr>
            </w:r>
            <w:r>
              <w:rPr>
                <w:noProof/>
                <w:webHidden/>
              </w:rPr>
              <w:fldChar w:fldCharType="separate"/>
            </w:r>
            <w:r>
              <w:rPr>
                <w:noProof/>
                <w:webHidden/>
              </w:rPr>
              <w:t>39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93" w:history="1">
            <w:r w:rsidRPr="007D1F1F">
              <w:rPr>
                <w:rStyle w:val="Hyperlink"/>
                <w:noProof/>
              </w:rPr>
              <w:t>Case Study: Tax Challenges for GreenPower Pvt. Ltd.</w:t>
            </w:r>
            <w:r>
              <w:rPr>
                <w:noProof/>
                <w:webHidden/>
              </w:rPr>
              <w:tab/>
            </w:r>
            <w:r>
              <w:rPr>
                <w:noProof/>
                <w:webHidden/>
              </w:rPr>
              <w:fldChar w:fldCharType="begin"/>
            </w:r>
            <w:r>
              <w:rPr>
                <w:noProof/>
                <w:webHidden/>
              </w:rPr>
              <w:instrText xml:space="preserve"> PAGEREF _Toc187661893 \h </w:instrText>
            </w:r>
            <w:r>
              <w:rPr>
                <w:noProof/>
                <w:webHidden/>
              </w:rPr>
            </w:r>
            <w:r>
              <w:rPr>
                <w:noProof/>
                <w:webHidden/>
              </w:rPr>
              <w:fldChar w:fldCharType="separate"/>
            </w:r>
            <w:r>
              <w:rPr>
                <w:noProof/>
                <w:webHidden/>
              </w:rPr>
              <w:t>40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94" w:history="1">
            <w:r w:rsidRPr="007D1F1F">
              <w:rPr>
                <w:rStyle w:val="Hyperlink"/>
                <w:noProof/>
              </w:rPr>
              <w:t>Transactions</w:t>
            </w:r>
            <w:r>
              <w:rPr>
                <w:noProof/>
                <w:webHidden/>
              </w:rPr>
              <w:tab/>
            </w:r>
            <w:r>
              <w:rPr>
                <w:noProof/>
                <w:webHidden/>
              </w:rPr>
              <w:fldChar w:fldCharType="begin"/>
            </w:r>
            <w:r>
              <w:rPr>
                <w:noProof/>
                <w:webHidden/>
              </w:rPr>
              <w:instrText xml:space="preserve"> PAGEREF _Toc187661894 \h </w:instrText>
            </w:r>
            <w:r>
              <w:rPr>
                <w:noProof/>
                <w:webHidden/>
              </w:rPr>
            </w:r>
            <w:r>
              <w:rPr>
                <w:noProof/>
                <w:webHidden/>
              </w:rPr>
              <w:fldChar w:fldCharType="separate"/>
            </w:r>
            <w:r>
              <w:rPr>
                <w:noProof/>
                <w:webHidden/>
              </w:rPr>
              <w:t>40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95" w:history="1">
            <w:r w:rsidRPr="007D1F1F">
              <w:rPr>
                <w:rStyle w:val="Hyperlink"/>
                <w:noProof/>
              </w:rPr>
              <w:t>Key Issues</w:t>
            </w:r>
            <w:r>
              <w:rPr>
                <w:noProof/>
                <w:webHidden/>
              </w:rPr>
              <w:tab/>
            </w:r>
            <w:r>
              <w:rPr>
                <w:noProof/>
                <w:webHidden/>
              </w:rPr>
              <w:fldChar w:fldCharType="begin"/>
            </w:r>
            <w:r>
              <w:rPr>
                <w:noProof/>
                <w:webHidden/>
              </w:rPr>
              <w:instrText xml:space="preserve"> PAGEREF _Toc187661895 \h </w:instrText>
            </w:r>
            <w:r>
              <w:rPr>
                <w:noProof/>
                <w:webHidden/>
              </w:rPr>
            </w:r>
            <w:r>
              <w:rPr>
                <w:noProof/>
                <w:webHidden/>
              </w:rPr>
              <w:fldChar w:fldCharType="separate"/>
            </w:r>
            <w:r>
              <w:rPr>
                <w:noProof/>
                <w:webHidden/>
              </w:rPr>
              <w:t>41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96"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_Toc187661896 \h </w:instrText>
            </w:r>
            <w:r>
              <w:rPr>
                <w:noProof/>
                <w:webHidden/>
              </w:rPr>
            </w:r>
            <w:r>
              <w:rPr>
                <w:noProof/>
                <w:webHidden/>
              </w:rPr>
              <w:fldChar w:fldCharType="separate"/>
            </w:r>
            <w:r>
              <w:rPr>
                <w:noProof/>
                <w:webHidden/>
              </w:rPr>
              <w:t>41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97"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_Toc187661897 \h </w:instrText>
            </w:r>
            <w:r>
              <w:rPr>
                <w:noProof/>
                <w:webHidden/>
              </w:rPr>
            </w:r>
            <w:r>
              <w:rPr>
                <w:noProof/>
                <w:webHidden/>
              </w:rPr>
              <w:fldChar w:fldCharType="separate"/>
            </w:r>
            <w:r>
              <w:rPr>
                <w:noProof/>
                <w:webHidden/>
              </w:rPr>
              <w:t>43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98" w:history="1">
            <w:r w:rsidRPr="007D1F1F">
              <w:rPr>
                <w:rStyle w:val="Hyperlink"/>
                <w:noProof/>
              </w:rPr>
              <w:t>Conclusion</w:t>
            </w:r>
            <w:r>
              <w:rPr>
                <w:noProof/>
                <w:webHidden/>
              </w:rPr>
              <w:tab/>
            </w:r>
            <w:r>
              <w:rPr>
                <w:noProof/>
                <w:webHidden/>
              </w:rPr>
              <w:fldChar w:fldCharType="begin"/>
            </w:r>
            <w:r>
              <w:rPr>
                <w:noProof/>
                <w:webHidden/>
              </w:rPr>
              <w:instrText xml:space="preserve"> PAGEREF _Toc187661898 \h </w:instrText>
            </w:r>
            <w:r>
              <w:rPr>
                <w:noProof/>
                <w:webHidden/>
              </w:rPr>
            </w:r>
            <w:r>
              <w:rPr>
                <w:noProof/>
                <w:webHidden/>
              </w:rPr>
              <w:fldChar w:fldCharType="separate"/>
            </w:r>
            <w:r>
              <w:rPr>
                <w:noProof/>
                <w:webHidden/>
              </w:rPr>
              <w:t>44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899" w:history="1">
            <w:r w:rsidRPr="007D1F1F">
              <w:rPr>
                <w:rStyle w:val="Hyperlink"/>
                <w:noProof/>
              </w:rPr>
              <w:t>Case Study: Tax Challenges for TechInnovate Pvt. Ltd.</w:t>
            </w:r>
            <w:r>
              <w:rPr>
                <w:noProof/>
                <w:webHidden/>
              </w:rPr>
              <w:tab/>
            </w:r>
            <w:r>
              <w:rPr>
                <w:noProof/>
                <w:webHidden/>
              </w:rPr>
              <w:fldChar w:fldCharType="begin"/>
            </w:r>
            <w:r>
              <w:rPr>
                <w:noProof/>
                <w:webHidden/>
              </w:rPr>
              <w:instrText xml:space="preserve"> PAGEREF _Toc187661899 \h </w:instrText>
            </w:r>
            <w:r>
              <w:rPr>
                <w:noProof/>
                <w:webHidden/>
              </w:rPr>
            </w:r>
            <w:r>
              <w:rPr>
                <w:noProof/>
                <w:webHidden/>
              </w:rPr>
              <w:fldChar w:fldCharType="separate"/>
            </w:r>
            <w:r>
              <w:rPr>
                <w:noProof/>
                <w:webHidden/>
              </w:rPr>
              <w:t>45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00" w:history="1">
            <w:r w:rsidRPr="007D1F1F">
              <w:rPr>
                <w:rStyle w:val="Hyperlink"/>
                <w:noProof/>
              </w:rPr>
              <w:t>Transactions</w:t>
            </w:r>
            <w:r>
              <w:rPr>
                <w:noProof/>
                <w:webHidden/>
              </w:rPr>
              <w:tab/>
            </w:r>
            <w:bookmarkStart w:id="3" w:name="_GoBack"/>
            <w:bookmarkEnd w:id="3"/>
            <w:r>
              <w:rPr>
                <w:noProof/>
                <w:webHidden/>
              </w:rPr>
              <w:fldChar w:fldCharType="begin"/>
            </w:r>
            <w:r>
              <w:rPr>
                <w:noProof/>
                <w:webHidden/>
              </w:rPr>
              <w:instrText xml:space="preserve"> PAGEREF _Toc187661900 \h </w:instrText>
            </w:r>
            <w:r>
              <w:rPr>
                <w:noProof/>
                <w:webHidden/>
              </w:rPr>
            </w:r>
            <w:r>
              <w:rPr>
                <w:noProof/>
                <w:webHidden/>
              </w:rPr>
              <w:fldChar w:fldCharType="separate"/>
            </w:r>
            <w:r>
              <w:rPr>
                <w:noProof/>
                <w:webHidden/>
              </w:rPr>
              <w:t>46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01" w:history="1">
            <w:r w:rsidRPr="007D1F1F">
              <w:rPr>
                <w:rStyle w:val="Hyperlink"/>
                <w:noProof/>
              </w:rPr>
              <w:t>Key Issues</w:t>
            </w:r>
            <w:r>
              <w:rPr>
                <w:noProof/>
                <w:webHidden/>
              </w:rPr>
              <w:tab/>
            </w:r>
            <w:r>
              <w:rPr>
                <w:noProof/>
                <w:webHidden/>
              </w:rPr>
              <w:fldChar w:fldCharType="begin"/>
            </w:r>
            <w:r>
              <w:rPr>
                <w:noProof/>
                <w:webHidden/>
              </w:rPr>
              <w:instrText xml:space="preserve"> PAGEREF _Toc187661901 \h </w:instrText>
            </w:r>
            <w:r>
              <w:rPr>
                <w:noProof/>
                <w:webHidden/>
              </w:rPr>
            </w:r>
            <w:r>
              <w:rPr>
                <w:noProof/>
                <w:webHidden/>
              </w:rPr>
              <w:fldChar w:fldCharType="separate"/>
            </w:r>
            <w:r>
              <w:rPr>
                <w:noProof/>
                <w:webHidden/>
              </w:rPr>
              <w:t>47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02"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_Toc187661902 \h </w:instrText>
            </w:r>
            <w:r>
              <w:rPr>
                <w:noProof/>
                <w:webHidden/>
              </w:rPr>
            </w:r>
            <w:r>
              <w:rPr>
                <w:noProof/>
                <w:webHidden/>
              </w:rPr>
              <w:fldChar w:fldCharType="separate"/>
            </w:r>
            <w:r>
              <w:rPr>
                <w:noProof/>
                <w:webHidden/>
              </w:rPr>
              <w:t>47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03"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_Toc187661903 \h </w:instrText>
            </w:r>
            <w:r>
              <w:rPr>
                <w:noProof/>
                <w:webHidden/>
              </w:rPr>
            </w:r>
            <w:r>
              <w:rPr>
                <w:noProof/>
                <w:webHidden/>
              </w:rPr>
              <w:fldChar w:fldCharType="separate"/>
            </w:r>
            <w:r>
              <w:rPr>
                <w:noProof/>
                <w:webHidden/>
              </w:rPr>
              <w:t>49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04" w:history="1">
            <w:r w:rsidRPr="007D1F1F">
              <w:rPr>
                <w:rStyle w:val="Hyperlink"/>
                <w:noProof/>
              </w:rPr>
              <w:t>Conclusion</w:t>
            </w:r>
            <w:r>
              <w:rPr>
                <w:noProof/>
                <w:webHidden/>
              </w:rPr>
              <w:tab/>
            </w:r>
            <w:r>
              <w:rPr>
                <w:noProof/>
                <w:webHidden/>
              </w:rPr>
              <w:fldChar w:fldCharType="begin"/>
            </w:r>
            <w:r>
              <w:rPr>
                <w:noProof/>
                <w:webHidden/>
              </w:rPr>
              <w:instrText xml:space="preserve"> PAGEREF _Toc187661904 \h </w:instrText>
            </w:r>
            <w:r>
              <w:rPr>
                <w:noProof/>
                <w:webHidden/>
              </w:rPr>
            </w:r>
            <w:r>
              <w:rPr>
                <w:noProof/>
                <w:webHidden/>
              </w:rPr>
              <w:fldChar w:fldCharType="separate"/>
            </w:r>
            <w:r>
              <w:rPr>
                <w:noProof/>
                <w:webHidden/>
              </w:rPr>
              <w:t>51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05" w:history="1">
            <w:r w:rsidRPr="007D1F1F">
              <w:rPr>
                <w:rStyle w:val="Hyperlink"/>
                <w:noProof/>
              </w:rPr>
              <w:t>Case Study: Tax and Compliance Challenges for PharmaCare Pvt. Ltd.</w:t>
            </w:r>
            <w:r>
              <w:rPr>
                <w:noProof/>
                <w:webHidden/>
              </w:rPr>
              <w:tab/>
            </w:r>
            <w:r>
              <w:rPr>
                <w:noProof/>
                <w:webHidden/>
              </w:rPr>
              <w:fldChar w:fldCharType="begin"/>
            </w:r>
            <w:r>
              <w:rPr>
                <w:noProof/>
                <w:webHidden/>
              </w:rPr>
              <w:instrText xml:space="preserve"> PAGEREF _Toc187661905 \h </w:instrText>
            </w:r>
            <w:r>
              <w:rPr>
                <w:noProof/>
                <w:webHidden/>
              </w:rPr>
            </w:r>
            <w:r>
              <w:rPr>
                <w:noProof/>
                <w:webHidden/>
              </w:rPr>
              <w:fldChar w:fldCharType="separate"/>
            </w:r>
            <w:r>
              <w:rPr>
                <w:noProof/>
                <w:webHidden/>
              </w:rPr>
              <w:t>52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06" w:history="1">
            <w:r w:rsidRPr="007D1F1F">
              <w:rPr>
                <w:rStyle w:val="Hyperlink"/>
                <w:noProof/>
              </w:rPr>
              <w:t>Transactions</w:t>
            </w:r>
            <w:r>
              <w:rPr>
                <w:noProof/>
                <w:webHidden/>
              </w:rPr>
              <w:tab/>
            </w:r>
            <w:r>
              <w:rPr>
                <w:noProof/>
                <w:webHidden/>
              </w:rPr>
              <w:fldChar w:fldCharType="begin"/>
            </w:r>
            <w:r>
              <w:rPr>
                <w:noProof/>
                <w:webHidden/>
              </w:rPr>
              <w:instrText xml:space="preserve"> PAGEREF _Toc187661906 \h </w:instrText>
            </w:r>
            <w:r>
              <w:rPr>
                <w:noProof/>
                <w:webHidden/>
              </w:rPr>
            </w:r>
            <w:r>
              <w:rPr>
                <w:noProof/>
                <w:webHidden/>
              </w:rPr>
              <w:fldChar w:fldCharType="separate"/>
            </w:r>
            <w:r>
              <w:rPr>
                <w:noProof/>
                <w:webHidden/>
              </w:rPr>
              <w:t>52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07" w:history="1">
            <w:r w:rsidRPr="007D1F1F">
              <w:rPr>
                <w:rStyle w:val="Hyperlink"/>
                <w:noProof/>
              </w:rPr>
              <w:t>Key Issues</w:t>
            </w:r>
            <w:r>
              <w:rPr>
                <w:noProof/>
                <w:webHidden/>
              </w:rPr>
              <w:tab/>
            </w:r>
            <w:r>
              <w:rPr>
                <w:noProof/>
                <w:webHidden/>
              </w:rPr>
              <w:fldChar w:fldCharType="begin"/>
            </w:r>
            <w:r>
              <w:rPr>
                <w:noProof/>
                <w:webHidden/>
              </w:rPr>
              <w:instrText xml:space="preserve"> PAGEREF _Toc187661907 \h </w:instrText>
            </w:r>
            <w:r>
              <w:rPr>
                <w:noProof/>
                <w:webHidden/>
              </w:rPr>
            </w:r>
            <w:r>
              <w:rPr>
                <w:noProof/>
                <w:webHidden/>
              </w:rPr>
              <w:fldChar w:fldCharType="separate"/>
            </w:r>
            <w:r>
              <w:rPr>
                <w:noProof/>
                <w:webHidden/>
              </w:rPr>
              <w:t>53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08"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_Toc187661908 \h </w:instrText>
            </w:r>
            <w:r>
              <w:rPr>
                <w:noProof/>
                <w:webHidden/>
              </w:rPr>
            </w:r>
            <w:r>
              <w:rPr>
                <w:noProof/>
                <w:webHidden/>
              </w:rPr>
              <w:fldChar w:fldCharType="separate"/>
            </w:r>
            <w:r>
              <w:rPr>
                <w:noProof/>
                <w:webHidden/>
              </w:rPr>
              <w:t>54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09"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_Toc187661909 \h </w:instrText>
            </w:r>
            <w:r>
              <w:rPr>
                <w:noProof/>
                <w:webHidden/>
              </w:rPr>
            </w:r>
            <w:r>
              <w:rPr>
                <w:noProof/>
                <w:webHidden/>
              </w:rPr>
              <w:fldChar w:fldCharType="separate"/>
            </w:r>
            <w:r>
              <w:rPr>
                <w:noProof/>
                <w:webHidden/>
              </w:rPr>
              <w:t>56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10" w:history="1">
            <w:r w:rsidRPr="007D1F1F">
              <w:rPr>
                <w:rStyle w:val="Hyperlink"/>
                <w:noProof/>
              </w:rPr>
              <w:t>Conclusion</w:t>
            </w:r>
            <w:r>
              <w:rPr>
                <w:noProof/>
                <w:webHidden/>
              </w:rPr>
              <w:tab/>
            </w:r>
            <w:r>
              <w:rPr>
                <w:noProof/>
                <w:webHidden/>
              </w:rPr>
              <w:fldChar w:fldCharType="begin"/>
            </w:r>
            <w:r>
              <w:rPr>
                <w:noProof/>
                <w:webHidden/>
              </w:rPr>
              <w:instrText xml:space="preserve"> PAGEREF _Toc187661910 \h </w:instrText>
            </w:r>
            <w:r>
              <w:rPr>
                <w:noProof/>
                <w:webHidden/>
              </w:rPr>
            </w:r>
            <w:r>
              <w:rPr>
                <w:noProof/>
                <w:webHidden/>
              </w:rPr>
              <w:fldChar w:fldCharType="separate"/>
            </w:r>
            <w:r>
              <w:rPr>
                <w:noProof/>
                <w:webHidden/>
              </w:rPr>
              <w:t>57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11" w:history="1">
            <w:r w:rsidRPr="007D1F1F">
              <w:rPr>
                <w:rStyle w:val="Hyperlink"/>
                <w:noProof/>
              </w:rPr>
              <w:t>Case Study: Tax and Compliance Challenges for AgroGlobal Pvt. Ltd.</w:t>
            </w:r>
            <w:r>
              <w:rPr>
                <w:noProof/>
                <w:webHidden/>
              </w:rPr>
              <w:tab/>
            </w:r>
            <w:r>
              <w:rPr>
                <w:noProof/>
                <w:webHidden/>
              </w:rPr>
              <w:fldChar w:fldCharType="begin"/>
            </w:r>
            <w:r>
              <w:rPr>
                <w:noProof/>
                <w:webHidden/>
              </w:rPr>
              <w:instrText xml:space="preserve"> PAGEREF _Toc187661911 \h </w:instrText>
            </w:r>
            <w:r>
              <w:rPr>
                <w:noProof/>
                <w:webHidden/>
              </w:rPr>
            </w:r>
            <w:r>
              <w:rPr>
                <w:noProof/>
                <w:webHidden/>
              </w:rPr>
              <w:fldChar w:fldCharType="separate"/>
            </w:r>
            <w:r>
              <w:rPr>
                <w:noProof/>
                <w:webHidden/>
              </w:rPr>
              <w:t>58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12" w:history="1">
            <w:r w:rsidRPr="007D1F1F">
              <w:rPr>
                <w:rStyle w:val="Hyperlink"/>
                <w:noProof/>
              </w:rPr>
              <w:t>Transactions</w:t>
            </w:r>
            <w:r>
              <w:rPr>
                <w:noProof/>
                <w:webHidden/>
              </w:rPr>
              <w:tab/>
            </w:r>
            <w:r>
              <w:rPr>
                <w:noProof/>
                <w:webHidden/>
              </w:rPr>
              <w:fldChar w:fldCharType="begin"/>
            </w:r>
            <w:r>
              <w:rPr>
                <w:noProof/>
                <w:webHidden/>
              </w:rPr>
              <w:instrText xml:space="preserve"> PAGEREF _Toc187661912 \h </w:instrText>
            </w:r>
            <w:r>
              <w:rPr>
                <w:noProof/>
                <w:webHidden/>
              </w:rPr>
            </w:r>
            <w:r>
              <w:rPr>
                <w:noProof/>
                <w:webHidden/>
              </w:rPr>
              <w:fldChar w:fldCharType="separate"/>
            </w:r>
            <w:r>
              <w:rPr>
                <w:noProof/>
                <w:webHidden/>
              </w:rPr>
              <w:t>58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13" w:history="1">
            <w:r w:rsidRPr="007D1F1F">
              <w:rPr>
                <w:rStyle w:val="Hyperlink"/>
                <w:noProof/>
              </w:rPr>
              <w:t>Key Issues</w:t>
            </w:r>
            <w:r>
              <w:rPr>
                <w:noProof/>
                <w:webHidden/>
              </w:rPr>
              <w:tab/>
            </w:r>
            <w:r>
              <w:rPr>
                <w:noProof/>
                <w:webHidden/>
              </w:rPr>
              <w:fldChar w:fldCharType="begin"/>
            </w:r>
            <w:r>
              <w:rPr>
                <w:noProof/>
                <w:webHidden/>
              </w:rPr>
              <w:instrText xml:space="preserve"> PAGEREF _Toc187661913 \h </w:instrText>
            </w:r>
            <w:r>
              <w:rPr>
                <w:noProof/>
                <w:webHidden/>
              </w:rPr>
            </w:r>
            <w:r>
              <w:rPr>
                <w:noProof/>
                <w:webHidden/>
              </w:rPr>
              <w:fldChar w:fldCharType="separate"/>
            </w:r>
            <w:r>
              <w:rPr>
                <w:noProof/>
                <w:webHidden/>
              </w:rPr>
              <w:t>59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14"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_Toc187661914 \h </w:instrText>
            </w:r>
            <w:r>
              <w:rPr>
                <w:noProof/>
                <w:webHidden/>
              </w:rPr>
            </w:r>
            <w:r>
              <w:rPr>
                <w:noProof/>
                <w:webHidden/>
              </w:rPr>
              <w:fldChar w:fldCharType="separate"/>
            </w:r>
            <w:r>
              <w:rPr>
                <w:noProof/>
                <w:webHidden/>
              </w:rPr>
              <w:t>60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15"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_Toc187661915 \h </w:instrText>
            </w:r>
            <w:r>
              <w:rPr>
                <w:noProof/>
                <w:webHidden/>
              </w:rPr>
            </w:r>
            <w:r>
              <w:rPr>
                <w:noProof/>
                <w:webHidden/>
              </w:rPr>
              <w:fldChar w:fldCharType="separate"/>
            </w:r>
            <w:r>
              <w:rPr>
                <w:noProof/>
                <w:webHidden/>
              </w:rPr>
              <w:t>61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16" w:history="1">
            <w:r w:rsidRPr="007D1F1F">
              <w:rPr>
                <w:rStyle w:val="Hyperlink"/>
                <w:noProof/>
              </w:rPr>
              <w:t>Conclusion</w:t>
            </w:r>
            <w:r>
              <w:rPr>
                <w:noProof/>
                <w:webHidden/>
              </w:rPr>
              <w:tab/>
            </w:r>
            <w:r>
              <w:rPr>
                <w:noProof/>
                <w:webHidden/>
              </w:rPr>
              <w:fldChar w:fldCharType="begin"/>
            </w:r>
            <w:r>
              <w:rPr>
                <w:noProof/>
                <w:webHidden/>
              </w:rPr>
              <w:instrText xml:space="preserve"> PAGEREF _Toc187661916 \h </w:instrText>
            </w:r>
            <w:r>
              <w:rPr>
                <w:noProof/>
                <w:webHidden/>
              </w:rPr>
            </w:r>
            <w:r>
              <w:rPr>
                <w:noProof/>
                <w:webHidden/>
              </w:rPr>
              <w:fldChar w:fldCharType="separate"/>
            </w:r>
            <w:r>
              <w:rPr>
                <w:noProof/>
                <w:webHidden/>
              </w:rPr>
              <w:t>63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17" w:history="1">
            <w:r w:rsidRPr="007D1F1F">
              <w:rPr>
                <w:rStyle w:val="Hyperlink"/>
                <w:noProof/>
              </w:rPr>
              <w:t>Case Study: Tax and Compliance Challenges for MedEquip Pvt. Ltd.</w:t>
            </w:r>
            <w:r>
              <w:rPr>
                <w:noProof/>
                <w:webHidden/>
              </w:rPr>
              <w:tab/>
            </w:r>
            <w:r>
              <w:rPr>
                <w:noProof/>
                <w:webHidden/>
              </w:rPr>
              <w:fldChar w:fldCharType="begin"/>
            </w:r>
            <w:r>
              <w:rPr>
                <w:noProof/>
                <w:webHidden/>
              </w:rPr>
              <w:instrText xml:space="preserve"> PAGEREF _Toc187661917 \h </w:instrText>
            </w:r>
            <w:r>
              <w:rPr>
                <w:noProof/>
                <w:webHidden/>
              </w:rPr>
            </w:r>
            <w:r>
              <w:rPr>
                <w:noProof/>
                <w:webHidden/>
              </w:rPr>
              <w:fldChar w:fldCharType="separate"/>
            </w:r>
            <w:r>
              <w:rPr>
                <w:noProof/>
                <w:webHidden/>
              </w:rPr>
              <w:t>64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18" w:history="1">
            <w:r w:rsidRPr="007D1F1F">
              <w:rPr>
                <w:rStyle w:val="Hyperlink"/>
                <w:noProof/>
              </w:rPr>
              <w:t>Transactions</w:t>
            </w:r>
            <w:r>
              <w:rPr>
                <w:noProof/>
                <w:webHidden/>
              </w:rPr>
              <w:tab/>
            </w:r>
            <w:r>
              <w:rPr>
                <w:noProof/>
                <w:webHidden/>
              </w:rPr>
              <w:fldChar w:fldCharType="begin"/>
            </w:r>
            <w:r>
              <w:rPr>
                <w:noProof/>
                <w:webHidden/>
              </w:rPr>
              <w:instrText xml:space="preserve"> PAGEREF _Toc187661918 \h </w:instrText>
            </w:r>
            <w:r>
              <w:rPr>
                <w:noProof/>
                <w:webHidden/>
              </w:rPr>
            </w:r>
            <w:r>
              <w:rPr>
                <w:noProof/>
                <w:webHidden/>
              </w:rPr>
              <w:fldChar w:fldCharType="separate"/>
            </w:r>
            <w:r>
              <w:rPr>
                <w:noProof/>
                <w:webHidden/>
              </w:rPr>
              <w:t>64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19" w:history="1">
            <w:r w:rsidRPr="007D1F1F">
              <w:rPr>
                <w:rStyle w:val="Hyperlink"/>
                <w:noProof/>
              </w:rPr>
              <w:t>Key Issues</w:t>
            </w:r>
            <w:r>
              <w:rPr>
                <w:noProof/>
                <w:webHidden/>
              </w:rPr>
              <w:tab/>
            </w:r>
            <w:r>
              <w:rPr>
                <w:noProof/>
                <w:webHidden/>
              </w:rPr>
              <w:fldChar w:fldCharType="begin"/>
            </w:r>
            <w:r>
              <w:rPr>
                <w:noProof/>
                <w:webHidden/>
              </w:rPr>
              <w:instrText xml:space="preserve"> PAGEREF _Toc187661919 \h </w:instrText>
            </w:r>
            <w:r>
              <w:rPr>
                <w:noProof/>
                <w:webHidden/>
              </w:rPr>
            </w:r>
            <w:r>
              <w:rPr>
                <w:noProof/>
                <w:webHidden/>
              </w:rPr>
              <w:fldChar w:fldCharType="separate"/>
            </w:r>
            <w:r>
              <w:rPr>
                <w:noProof/>
                <w:webHidden/>
              </w:rPr>
              <w:t>65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20"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_Toc187661920 \h </w:instrText>
            </w:r>
            <w:r>
              <w:rPr>
                <w:noProof/>
                <w:webHidden/>
              </w:rPr>
            </w:r>
            <w:r>
              <w:rPr>
                <w:noProof/>
                <w:webHidden/>
              </w:rPr>
              <w:fldChar w:fldCharType="separate"/>
            </w:r>
            <w:r>
              <w:rPr>
                <w:noProof/>
                <w:webHidden/>
              </w:rPr>
              <w:t>65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21"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_Toc187661921 \h </w:instrText>
            </w:r>
            <w:r>
              <w:rPr>
                <w:noProof/>
                <w:webHidden/>
              </w:rPr>
            </w:r>
            <w:r>
              <w:rPr>
                <w:noProof/>
                <w:webHidden/>
              </w:rPr>
              <w:fldChar w:fldCharType="separate"/>
            </w:r>
            <w:r>
              <w:rPr>
                <w:noProof/>
                <w:webHidden/>
              </w:rPr>
              <w:t>67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22" w:history="1">
            <w:r w:rsidRPr="007D1F1F">
              <w:rPr>
                <w:rStyle w:val="Hyperlink"/>
                <w:noProof/>
              </w:rPr>
              <w:t>Conclusion</w:t>
            </w:r>
            <w:r>
              <w:rPr>
                <w:noProof/>
                <w:webHidden/>
              </w:rPr>
              <w:tab/>
            </w:r>
            <w:r>
              <w:rPr>
                <w:noProof/>
                <w:webHidden/>
              </w:rPr>
              <w:fldChar w:fldCharType="begin"/>
            </w:r>
            <w:r>
              <w:rPr>
                <w:noProof/>
                <w:webHidden/>
              </w:rPr>
              <w:instrText xml:space="preserve"> PAGEREF _Toc187661922 \h </w:instrText>
            </w:r>
            <w:r>
              <w:rPr>
                <w:noProof/>
                <w:webHidden/>
              </w:rPr>
            </w:r>
            <w:r>
              <w:rPr>
                <w:noProof/>
                <w:webHidden/>
              </w:rPr>
              <w:fldChar w:fldCharType="separate"/>
            </w:r>
            <w:r>
              <w:rPr>
                <w:noProof/>
                <w:webHidden/>
              </w:rPr>
              <w:t>69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23" w:history="1">
            <w:r w:rsidRPr="007D1F1F">
              <w:rPr>
                <w:rStyle w:val="Hyperlink"/>
                <w:noProof/>
              </w:rPr>
              <w:t>Case Study: Tax and Compliance Challenges for EcoTech Solutions Pvt. Ltd.</w:t>
            </w:r>
            <w:r>
              <w:rPr>
                <w:noProof/>
                <w:webHidden/>
              </w:rPr>
              <w:tab/>
            </w:r>
            <w:r>
              <w:rPr>
                <w:noProof/>
                <w:webHidden/>
              </w:rPr>
              <w:fldChar w:fldCharType="begin"/>
            </w:r>
            <w:r>
              <w:rPr>
                <w:noProof/>
                <w:webHidden/>
              </w:rPr>
              <w:instrText xml:space="preserve"> PAGEREF _Toc187661923 \h </w:instrText>
            </w:r>
            <w:r>
              <w:rPr>
                <w:noProof/>
                <w:webHidden/>
              </w:rPr>
            </w:r>
            <w:r>
              <w:rPr>
                <w:noProof/>
                <w:webHidden/>
              </w:rPr>
              <w:fldChar w:fldCharType="separate"/>
            </w:r>
            <w:r>
              <w:rPr>
                <w:noProof/>
                <w:webHidden/>
              </w:rPr>
              <w:t>70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24" w:history="1">
            <w:r w:rsidRPr="007D1F1F">
              <w:rPr>
                <w:rStyle w:val="Hyperlink"/>
                <w:noProof/>
              </w:rPr>
              <w:t>Transactions</w:t>
            </w:r>
            <w:r>
              <w:rPr>
                <w:noProof/>
                <w:webHidden/>
              </w:rPr>
              <w:tab/>
            </w:r>
            <w:r>
              <w:rPr>
                <w:noProof/>
                <w:webHidden/>
              </w:rPr>
              <w:fldChar w:fldCharType="begin"/>
            </w:r>
            <w:r>
              <w:rPr>
                <w:noProof/>
                <w:webHidden/>
              </w:rPr>
              <w:instrText xml:space="preserve"> PAGEREF _Toc187661924 \h </w:instrText>
            </w:r>
            <w:r>
              <w:rPr>
                <w:noProof/>
                <w:webHidden/>
              </w:rPr>
            </w:r>
            <w:r>
              <w:rPr>
                <w:noProof/>
                <w:webHidden/>
              </w:rPr>
              <w:fldChar w:fldCharType="separate"/>
            </w:r>
            <w:r>
              <w:rPr>
                <w:noProof/>
                <w:webHidden/>
              </w:rPr>
              <w:t>70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25" w:history="1">
            <w:r w:rsidRPr="007D1F1F">
              <w:rPr>
                <w:rStyle w:val="Hyperlink"/>
                <w:noProof/>
              </w:rPr>
              <w:t>Key Issues</w:t>
            </w:r>
            <w:r>
              <w:rPr>
                <w:noProof/>
                <w:webHidden/>
              </w:rPr>
              <w:tab/>
            </w:r>
            <w:r>
              <w:rPr>
                <w:noProof/>
                <w:webHidden/>
              </w:rPr>
              <w:fldChar w:fldCharType="begin"/>
            </w:r>
            <w:r>
              <w:rPr>
                <w:noProof/>
                <w:webHidden/>
              </w:rPr>
              <w:instrText xml:space="preserve"> PAGEREF _Toc187661925 \h </w:instrText>
            </w:r>
            <w:r>
              <w:rPr>
                <w:noProof/>
                <w:webHidden/>
              </w:rPr>
            </w:r>
            <w:r>
              <w:rPr>
                <w:noProof/>
                <w:webHidden/>
              </w:rPr>
              <w:fldChar w:fldCharType="separate"/>
            </w:r>
            <w:r>
              <w:rPr>
                <w:noProof/>
                <w:webHidden/>
              </w:rPr>
              <w:t>71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26"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_Toc187661926 \h </w:instrText>
            </w:r>
            <w:r>
              <w:rPr>
                <w:noProof/>
                <w:webHidden/>
              </w:rPr>
            </w:r>
            <w:r>
              <w:rPr>
                <w:noProof/>
                <w:webHidden/>
              </w:rPr>
              <w:fldChar w:fldCharType="separate"/>
            </w:r>
            <w:r>
              <w:rPr>
                <w:noProof/>
                <w:webHidden/>
              </w:rPr>
              <w:t>72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27"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_Toc187661927 \h </w:instrText>
            </w:r>
            <w:r>
              <w:rPr>
                <w:noProof/>
                <w:webHidden/>
              </w:rPr>
            </w:r>
            <w:r>
              <w:rPr>
                <w:noProof/>
                <w:webHidden/>
              </w:rPr>
              <w:fldChar w:fldCharType="separate"/>
            </w:r>
            <w:r>
              <w:rPr>
                <w:noProof/>
                <w:webHidden/>
              </w:rPr>
              <w:t>73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28" w:history="1">
            <w:r w:rsidRPr="007D1F1F">
              <w:rPr>
                <w:rStyle w:val="Hyperlink"/>
                <w:noProof/>
              </w:rPr>
              <w:t>Conclusion</w:t>
            </w:r>
            <w:r>
              <w:rPr>
                <w:noProof/>
                <w:webHidden/>
              </w:rPr>
              <w:tab/>
            </w:r>
            <w:r>
              <w:rPr>
                <w:noProof/>
                <w:webHidden/>
              </w:rPr>
              <w:fldChar w:fldCharType="begin"/>
            </w:r>
            <w:r>
              <w:rPr>
                <w:noProof/>
                <w:webHidden/>
              </w:rPr>
              <w:instrText xml:space="preserve"> PAGEREF _Toc187661928 \h </w:instrText>
            </w:r>
            <w:r>
              <w:rPr>
                <w:noProof/>
                <w:webHidden/>
              </w:rPr>
            </w:r>
            <w:r>
              <w:rPr>
                <w:noProof/>
                <w:webHidden/>
              </w:rPr>
              <w:fldChar w:fldCharType="separate"/>
            </w:r>
            <w:r>
              <w:rPr>
                <w:noProof/>
                <w:webHidden/>
              </w:rPr>
              <w:t>75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29" w:history="1">
            <w:r w:rsidRPr="007D1F1F">
              <w:rPr>
                <w:rStyle w:val="Hyperlink"/>
                <w:noProof/>
              </w:rPr>
              <w:t>Assistance with Drafting Transfer Pricing (TP) Documentation and Compliance Checklists</w:t>
            </w:r>
            <w:r>
              <w:rPr>
                <w:noProof/>
                <w:webHidden/>
              </w:rPr>
              <w:tab/>
            </w:r>
            <w:r>
              <w:rPr>
                <w:noProof/>
                <w:webHidden/>
              </w:rPr>
              <w:fldChar w:fldCharType="begin"/>
            </w:r>
            <w:r>
              <w:rPr>
                <w:noProof/>
                <w:webHidden/>
              </w:rPr>
              <w:instrText xml:space="preserve"> PAGEREF _Toc187661929 \h </w:instrText>
            </w:r>
            <w:r>
              <w:rPr>
                <w:noProof/>
                <w:webHidden/>
              </w:rPr>
            </w:r>
            <w:r>
              <w:rPr>
                <w:noProof/>
                <w:webHidden/>
              </w:rPr>
              <w:fldChar w:fldCharType="separate"/>
            </w:r>
            <w:r>
              <w:rPr>
                <w:noProof/>
                <w:webHidden/>
              </w:rPr>
              <w:t>76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30" w:history="1">
            <w:r w:rsidRPr="007D1F1F">
              <w:rPr>
                <w:rStyle w:val="Hyperlink"/>
                <w:noProof/>
              </w:rPr>
              <w:t>I. Transfer Pricing (TP) Documentation</w:t>
            </w:r>
            <w:r>
              <w:rPr>
                <w:noProof/>
                <w:webHidden/>
              </w:rPr>
              <w:tab/>
            </w:r>
            <w:r>
              <w:rPr>
                <w:noProof/>
                <w:webHidden/>
              </w:rPr>
              <w:fldChar w:fldCharType="begin"/>
            </w:r>
            <w:r>
              <w:rPr>
                <w:noProof/>
                <w:webHidden/>
              </w:rPr>
              <w:instrText xml:space="preserve"> PAGEREF _Toc187661930 \h </w:instrText>
            </w:r>
            <w:r>
              <w:rPr>
                <w:noProof/>
                <w:webHidden/>
              </w:rPr>
            </w:r>
            <w:r>
              <w:rPr>
                <w:noProof/>
                <w:webHidden/>
              </w:rPr>
              <w:fldChar w:fldCharType="separate"/>
            </w:r>
            <w:r>
              <w:rPr>
                <w:noProof/>
                <w:webHidden/>
              </w:rPr>
              <w:t>76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31" w:history="1">
            <w:r w:rsidRPr="007D1F1F">
              <w:rPr>
                <w:rStyle w:val="Hyperlink"/>
                <w:noProof/>
              </w:rPr>
              <w:t>II. Compliance Checklist for Transfer Pricing</w:t>
            </w:r>
            <w:r>
              <w:rPr>
                <w:noProof/>
                <w:webHidden/>
              </w:rPr>
              <w:tab/>
            </w:r>
            <w:r>
              <w:rPr>
                <w:noProof/>
                <w:webHidden/>
              </w:rPr>
              <w:fldChar w:fldCharType="begin"/>
            </w:r>
            <w:r>
              <w:rPr>
                <w:noProof/>
                <w:webHidden/>
              </w:rPr>
              <w:instrText xml:space="preserve"> PAGEREF _Toc187661931 \h </w:instrText>
            </w:r>
            <w:r>
              <w:rPr>
                <w:noProof/>
                <w:webHidden/>
              </w:rPr>
            </w:r>
            <w:r>
              <w:rPr>
                <w:noProof/>
                <w:webHidden/>
              </w:rPr>
              <w:fldChar w:fldCharType="separate"/>
            </w:r>
            <w:r>
              <w:rPr>
                <w:noProof/>
                <w:webHidden/>
              </w:rPr>
              <w:t>78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32" w:history="1">
            <w:r w:rsidRPr="007D1F1F">
              <w:rPr>
                <w:rStyle w:val="Hyperlink"/>
                <w:noProof/>
              </w:rPr>
              <w:t>III. Template for TP Documentation</w:t>
            </w:r>
            <w:r>
              <w:rPr>
                <w:noProof/>
                <w:webHidden/>
              </w:rPr>
              <w:tab/>
            </w:r>
            <w:r>
              <w:rPr>
                <w:noProof/>
                <w:webHidden/>
              </w:rPr>
              <w:fldChar w:fldCharType="begin"/>
            </w:r>
            <w:r>
              <w:rPr>
                <w:noProof/>
                <w:webHidden/>
              </w:rPr>
              <w:instrText xml:space="preserve"> PAGEREF _Toc187661932 \h </w:instrText>
            </w:r>
            <w:r>
              <w:rPr>
                <w:noProof/>
                <w:webHidden/>
              </w:rPr>
            </w:r>
            <w:r>
              <w:rPr>
                <w:noProof/>
                <w:webHidden/>
              </w:rPr>
              <w:fldChar w:fldCharType="separate"/>
            </w:r>
            <w:r>
              <w:rPr>
                <w:noProof/>
                <w:webHidden/>
              </w:rPr>
              <w:t>79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33" w:history="1">
            <w:r w:rsidRPr="007D1F1F">
              <w:rPr>
                <w:rStyle w:val="Hyperlink"/>
                <w:noProof/>
              </w:rPr>
              <w:t>IV. Benefits of Well-Prepared TP Documentation</w:t>
            </w:r>
            <w:r>
              <w:rPr>
                <w:noProof/>
                <w:webHidden/>
              </w:rPr>
              <w:tab/>
            </w:r>
            <w:r>
              <w:rPr>
                <w:noProof/>
                <w:webHidden/>
              </w:rPr>
              <w:fldChar w:fldCharType="begin"/>
            </w:r>
            <w:r>
              <w:rPr>
                <w:noProof/>
                <w:webHidden/>
              </w:rPr>
              <w:instrText xml:space="preserve"> PAGEREF _Toc187661933 \h </w:instrText>
            </w:r>
            <w:r>
              <w:rPr>
                <w:noProof/>
                <w:webHidden/>
              </w:rPr>
            </w:r>
            <w:r>
              <w:rPr>
                <w:noProof/>
                <w:webHidden/>
              </w:rPr>
              <w:fldChar w:fldCharType="separate"/>
            </w:r>
            <w:r>
              <w:rPr>
                <w:noProof/>
                <w:webHidden/>
              </w:rPr>
              <w:t>79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34" w:history="1">
            <w:r w:rsidRPr="007D1F1F">
              <w:rPr>
                <w:rStyle w:val="Hyperlink"/>
                <w:noProof/>
              </w:rPr>
              <w:t>Case Study: Tax and Compliance Challenges for SmartLogistics Pvt. Ltd.</w:t>
            </w:r>
            <w:r>
              <w:rPr>
                <w:noProof/>
                <w:webHidden/>
              </w:rPr>
              <w:tab/>
            </w:r>
            <w:r>
              <w:rPr>
                <w:noProof/>
                <w:webHidden/>
              </w:rPr>
              <w:fldChar w:fldCharType="begin"/>
            </w:r>
            <w:r>
              <w:rPr>
                <w:noProof/>
                <w:webHidden/>
              </w:rPr>
              <w:instrText xml:space="preserve"> PAGEREF _Toc187661934 \h </w:instrText>
            </w:r>
            <w:r>
              <w:rPr>
                <w:noProof/>
                <w:webHidden/>
              </w:rPr>
            </w:r>
            <w:r>
              <w:rPr>
                <w:noProof/>
                <w:webHidden/>
              </w:rPr>
              <w:fldChar w:fldCharType="separate"/>
            </w:r>
            <w:r>
              <w:rPr>
                <w:noProof/>
                <w:webHidden/>
              </w:rPr>
              <w:t>80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35" w:history="1">
            <w:r w:rsidRPr="007D1F1F">
              <w:rPr>
                <w:rStyle w:val="Hyperlink"/>
                <w:noProof/>
              </w:rPr>
              <w:t>Transactions</w:t>
            </w:r>
            <w:r>
              <w:rPr>
                <w:noProof/>
                <w:webHidden/>
              </w:rPr>
              <w:tab/>
            </w:r>
            <w:r>
              <w:rPr>
                <w:noProof/>
                <w:webHidden/>
              </w:rPr>
              <w:fldChar w:fldCharType="begin"/>
            </w:r>
            <w:r>
              <w:rPr>
                <w:noProof/>
                <w:webHidden/>
              </w:rPr>
              <w:instrText xml:space="preserve"> PAGEREF _Toc187661935 \h </w:instrText>
            </w:r>
            <w:r>
              <w:rPr>
                <w:noProof/>
                <w:webHidden/>
              </w:rPr>
            </w:r>
            <w:r>
              <w:rPr>
                <w:noProof/>
                <w:webHidden/>
              </w:rPr>
              <w:fldChar w:fldCharType="separate"/>
            </w:r>
            <w:r>
              <w:rPr>
                <w:noProof/>
                <w:webHidden/>
              </w:rPr>
              <w:t>80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36" w:history="1">
            <w:r w:rsidRPr="007D1F1F">
              <w:rPr>
                <w:rStyle w:val="Hyperlink"/>
                <w:noProof/>
              </w:rPr>
              <w:t>Key Issues</w:t>
            </w:r>
            <w:r>
              <w:rPr>
                <w:noProof/>
                <w:webHidden/>
              </w:rPr>
              <w:tab/>
            </w:r>
            <w:r>
              <w:rPr>
                <w:noProof/>
                <w:webHidden/>
              </w:rPr>
              <w:fldChar w:fldCharType="begin"/>
            </w:r>
            <w:r>
              <w:rPr>
                <w:noProof/>
                <w:webHidden/>
              </w:rPr>
              <w:instrText xml:space="preserve"> PAGEREF _Toc187661936 \h </w:instrText>
            </w:r>
            <w:r>
              <w:rPr>
                <w:noProof/>
                <w:webHidden/>
              </w:rPr>
            </w:r>
            <w:r>
              <w:rPr>
                <w:noProof/>
                <w:webHidden/>
              </w:rPr>
              <w:fldChar w:fldCharType="separate"/>
            </w:r>
            <w:r>
              <w:rPr>
                <w:noProof/>
                <w:webHidden/>
              </w:rPr>
              <w:t>81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37"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_Toc187661937 \h </w:instrText>
            </w:r>
            <w:r>
              <w:rPr>
                <w:noProof/>
                <w:webHidden/>
              </w:rPr>
            </w:r>
            <w:r>
              <w:rPr>
                <w:noProof/>
                <w:webHidden/>
              </w:rPr>
              <w:fldChar w:fldCharType="separate"/>
            </w:r>
            <w:r>
              <w:rPr>
                <w:noProof/>
                <w:webHidden/>
              </w:rPr>
              <w:t>82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38"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_Toc187661938 \h </w:instrText>
            </w:r>
            <w:r>
              <w:rPr>
                <w:noProof/>
                <w:webHidden/>
              </w:rPr>
            </w:r>
            <w:r>
              <w:rPr>
                <w:noProof/>
                <w:webHidden/>
              </w:rPr>
              <w:fldChar w:fldCharType="separate"/>
            </w:r>
            <w:r>
              <w:rPr>
                <w:noProof/>
                <w:webHidden/>
              </w:rPr>
              <w:t>83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39" w:history="1">
            <w:r w:rsidRPr="007D1F1F">
              <w:rPr>
                <w:rStyle w:val="Hyperlink"/>
                <w:noProof/>
              </w:rPr>
              <w:t>Conclusion</w:t>
            </w:r>
            <w:r>
              <w:rPr>
                <w:noProof/>
                <w:webHidden/>
              </w:rPr>
              <w:tab/>
            </w:r>
            <w:r>
              <w:rPr>
                <w:noProof/>
                <w:webHidden/>
              </w:rPr>
              <w:fldChar w:fldCharType="begin"/>
            </w:r>
            <w:r>
              <w:rPr>
                <w:noProof/>
                <w:webHidden/>
              </w:rPr>
              <w:instrText xml:space="preserve"> PAGEREF _Toc187661939 \h </w:instrText>
            </w:r>
            <w:r>
              <w:rPr>
                <w:noProof/>
                <w:webHidden/>
              </w:rPr>
            </w:r>
            <w:r>
              <w:rPr>
                <w:noProof/>
                <w:webHidden/>
              </w:rPr>
              <w:fldChar w:fldCharType="separate"/>
            </w:r>
            <w:r>
              <w:rPr>
                <w:noProof/>
                <w:webHidden/>
              </w:rPr>
              <w:t>85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40" w:history="1">
            <w:r w:rsidRPr="007D1F1F">
              <w:rPr>
                <w:rStyle w:val="Hyperlink"/>
                <w:noProof/>
              </w:rPr>
              <w:t>Templates for Transfer Pricing (TP) Documentation and Guidance on Equalization Levy (EL) Filings</w:t>
            </w:r>
            <w:r>
              <w:rPr>
                <w:noProof/>
                <w:webHidden/>
              </w:rPr>
              <w:tab/>
            </w:r>
            <w:r>
              <w:rPr>
                <w:noProof/>
                <w:webHidden/>
              </w:rPr>
              <w:fldChar w:fldCharType="begin"/>
            </w:r>
            <w:r>
              <w:rPr>
                <w:noProof/>
                <w:webHidden/>
              </w:rPr>
              <w:instrText xml:space="preserve"> PAGEREF _Toc187661940 \h </w:instrText>
            </w:r>
            <w:r>
              <w:rPr>
                <w:noProof/>
                <w:webHidden/>
              </w:rPr>
            </w:r>
            <w:r>
              <w:rPr>
                <w:noProof/>
                <w:webHidden/>
              </w:rPr>
              <w:fldChar w:fldCharType="separate"/>
            </w:r>
            <w:r>
              <w:rPr>
                <w:noProof/>
                <w:webHidden/>
              </w:rPr>
              <w:t>86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41" w:history="1">
            <w:r w:rsidRPr="007D1F1F">
              <w:rPr>
                <w:rStyle w:val="Hyperlink"/>
                <w:noProof/>
              </w:rPr>
              <w:t>I. Templates for Transfer Pricing (TP) Documentation</w:t>
            </w:r>
            <w:r>
              <w:rPr>
                <w:noProof/>
                <w:webHidden/>
              </w:rPr>
              <w:tab/>
            </w:r>
            <w:r>
              <w:rPr>
                <w:noProof/>
                <w:webHidden/>
              </w:rPr>
              <w:fldChar w:fldCharType="begin"/>
            </w:r>
            <w:r>
              <w:rPr>
                <w:noProof/>
                <w:webHidden/>
              </w:rPr>
              <w:instrText xml:space="preserve"> PAGEREF _Toc187661941 \h </w:instrText>
            </w:r>
            <w:r>
              <w:rPr>
                <w:noProof/>
                <w:webHidden/>
              </w:rPr>
            </w:r>
            <w:r>
              <w:rPr>
                <w:noProof/>
                <w:webHidden/>
              </w:rPr>
              <w:fldChar w:fldCharType="separate"/>
            </w:r>
            <w:r>
              <w:rPr>
                <w:noProof/>
                <w:webHidden/>
              </w:rPr>
              <w:t>86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42" w:history="1">
            <w:r w:rsidRPr="007D1F1F">
              <w:rPr>
                <w:rStyle w:val="Hyperlink"/>
                <w:noProof/>
              </w:rPr>
              <w:t>II. Guidance on Equalization Levy (EL) Filings</w:t>
            </w:r>
            <w:r>
              <w:rPr>
                <w:noProof/>
                <w:webHidden/>
              </w:rPr>
              <w:tab/>
            </w:r>
            <w:r>
              <w:rPr>
                <w:noProof/>
                <w:webHidden/>
              </w:rPr>
              <w:fldChar w:fldCharType="begin"/>
            </w:r>
            <w:r>
              <w:rPr>
                <w:noProof/>
                <w:webHidden/>
              </w:rPr>
              <w:instrText xml:space="preserve"> PAGEREF _Toc187661942 \h </w:instrText>
            </w:r>
            <w:r>
              <w:rPr>
                <w:noProof/>
                <w:webHidden/>
              </w:rPr>
            </w:r>
            <w:r>
              <w:rPr>
                <w:noProof/>
                <w:webHidden/>
              </w:rPr>
              <w:fldChar w:fldCharType="separate"/>
            </w:r>
            <w:r>
              <w:rPr>
                <w:noProof/>
                <w:webHidden/>
              </w:rPr>
              <w:t>89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43" w:history="1">
            <w:r w:rsidRPr="007D1F1F">
              <w:rPr>
                <w:rStyle w:val="Hyperlink"/>
                <w:noProof/>
              </w:rPr>
              <w:t>III. EL Compliance Checklist</w:t>
            </w:r>
            <w:r>
              <w:rPr>
                <w:noProof/>
                <w:webHidden/>
              </w:rPr>
              <w:tab/>
            </w:r>
            <w:r>
              <w:rPr>
                <w:noProof/>
                <w:webHidden/>
              </w:rPr>
              <w:fldChar w:fldCharType="begin"/>
            </w:r>
            <w:r>
              <w:rPr>
                <w:noProof/>
                <w:webHidden/>
              </w:rPr>
              <w:instrText xml:space="preserve"> PAGEREF _Toc187661943 \h </w:instrText>
            </w:r>
            <w:r>
              <w:rPr>
                <w:noProof/>
                <w:webHidden/>
              </w:rPr>
            </w:r>
            <w:r>
              <w:rPr>
                <w:noProof/>
                <w:webHidden/>
              </w:rPr>
              <w:fldChar w:fldCharType="separate"/>
            </w:r>
            <w:r>
              <w:rPr>
                <w:noProof/>
                <w:webHidden/>
              </w:rPr>
              <w:t>90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44" w:history="1">
            <w:r w:rsidRPr="007D1F1F">
              <w:rPr>
                <w:rStyle w:val="Hyperlink"/>
                <w:noProof/>
              </w:rPr>
              <w:t>IV. Benefits of Robust TP and EL Compliance</w:t>
            </w:r>
            <w:r>
              <w:rPr>
                <w:noProof/>
                <w:webHidden/>
              </w:rPr>
              <w:tab/>
            </w:r>
            <w:r>
              <w:rPr>
                <w:noProof/>
                <w:webHidden/>
              </w:rPr>
              <w:fldChar w:fldCharType="begin"/>
            </w:r>
            <w:r>
              <w:rPr>
                <w:noProof/>
                <w:webHidden/>
              </w:rPr>
              <w:instrText xml:space="preserve"> PAGEREF _Toc187661944 \h </w:instrText>
            </w:r>
            <w:r>
              <w:rPr>
                <w:noProof/>
                <w:webHidden/>
              </w:rPr>
            </w:r>
            <w:r>
              <w:rPr>
                <w:noProof/>
                <w:webHidden/>
              </w:rPr>
              <w:fldChar w:fldCharType="separate"/>
            </w:r>
            <w:r>
              <w:rPr>
                <w:noProof/>
                <w:webHidden/>
              </w:rPr>
              <w:t>90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45" w:history="1">
            <w:r w:rsidRPr="007D1F1F">
              <w:rPr>
                <w:rStyle w:val="Hyperlink"/>
                <w:noProof/>
              </w:rPr>
              <w:t>Case Study: Tax and Compliance Challenges for AgroMach Pvt. Ltd.</w:t>
            </w:r>
            <w:r>
              <w:rPr>
                <w:noProof/>
                <w:webHidden/>
              </w:rPr>
              <w:tab/>
            </w:r>
            <w:r>
              <w:rPr>
                <w:noProof/>
                <w:webHidden/>
              </w:rPr>
              <w:fldChar w:fldCharType="begin"/>
            </w:r>
            <w:r>
              <w:rPr>
                <w:noProof/>
                <w:webHidden/>
              </w:rPr>
              <w:instrText xml:space="preserve"> PAGEREF _Toc187661945 \h </w:instrText>
            </w:r>
            <w:r>
              <w:rPr>
                <w:noProof/>
                <w:webHidden/>
              </w:rPr>
            </w:r>
            <w:r>
              <w:rPr>
                <w:noProof/>
                <w:webHidden/>
              </w:rPr>
              <w:fldChar w:fldCharType="separate"/>
            </w:r>
            <w:r>
              <w:rPr>
                <w:noProof/>
                <w:webHidden/>
              </w:rPr>
              <w:t>91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46" w:history="1">
            <w:r w:rsidRPr="007D1F1F">
              <w:rPr>
                <w:rStyle w:val="Hyperlink"/>
                <w:noProof/>
              </w:rPr>
              <w:t>Transactions</w:t>
            </w:r>
            <w:r>
              <w:rPr>
                <w:noProof/>
                <w:webHidden/>
              </w:rPr>
              <w:tab/>
            </w:r>
            <w:r>
              <w:rPr>
                <w:noProof/>
                <w:webHidden/>
              </w:rPr>
              <w:fldChar w:fldCharType="begin"/>
            </w:r>
            <w:r>
              <w:rPr>
                <w:noProof/>
                <w:webHidden/>
              </w:rPr>
              <w:instrText xml:space="preserve"> PAGEREF _Toc187661946 \h </w:instrText>
            </w:r>
            <w:r>
              <w:rPr>
                <w:noProof/>
                <w:webHidden/>
              </w:rPr>
            </w:r>
            <w:r>
              <w:rPr>
                <w:noProof/>
                <w:webHidden/>
              </w:rPr>
              <w:fldChar w:fldCharType="separate"/>
            </w:r>
            <w:r>
              <w:rPr>
                <w:noProof/>
                <w:webHidden/>
              </w:rPr>
              <w:t>91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47" w:history="1">
            <w:r w:rsidRPr="007D1F1F">
              <w:rPr>
                <w:rStyle w:val="Hyperlink"/>
                <w:noProof/>
              </w:rPr>
              <w:t>Key Issues</w:t>
            </w:r>
            <w:r>
              <w:rPr>
                <w:noProof/>
                <w:webHidden/>
              </w:rPr>
              <w:tab/>
            </w:r>
            <w:r>
              <w:rPr>
                <w:noProof/>
                <w:webHidden/>
              </w:rPr>
              <w:fldChar w:fldCharType="begin"/>
            </w:r>
            <w:r>
              <w:rPr>
                <w:noProof/>
                <w:webHidden/>
              </w:rPr>
              <w:instrText xml:space="preserve"> PAGEREF _Toc187661947 \h </w:instrText>
            </w:r>
            <w:r>
              <w:rPr>
                <w:noProof/>
                <w:webHidden/>
              </w:rPr>
            </w:r>
            <w:r>
              <w:rPr>
                <w:noProof/>
                <w:webHidden/>
              </w:rPr>
              <w:fldChar w:fldCharType="separate"/>
            </w:r>
            <w:r>
              <w:rPr>
                <w:noProof/>
                <w:webHidden/>
              </w:rPr>
              <w:t>92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48"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_Toc187661948 \h </w:instrText>
            </w:r>
            <w:r>
              <w:rPr>
                <w:noProof/>
                <w:webHidden/>
              </w:rPr>
            </w:r>
            <w:r>
              <w:rPr>
                <w:noProof/>
                <w:webHidden/>
              </w:rPr>
              <w:fldChar w:fldCharType="separate"/>
            </w:r>
            <w:r>
              <w:rPr>
                <w:noProof/>
                <w:webHidden/>
              </w:rPr>
              <w:t>92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49"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_Toc187661949 \h </w:instrText>
            </w:r>
            <w:r>
              <w:rPr>
                <w:noProof/>
                <w:webHidden/>
              </w:rPr>
            </w:r>
            <w:r>
              <w:rPr>
                <w:noProof/>
                <w:webHidden/>
              </w:rPr>
              <w:fldChar w:fldCharType="separate"/>
            </w:r>
            <w:r>
              <w:rPr>
                <w:noProof/>
                <w:webHidden/>
              </w:rPr>
              <w:t>94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50" w:history="1">
            <w:r w:rsidRPr="007D1F1F">
              <w:rPr>
                <w:rStyle w:val="Hyperlink"/>
                <w:noProof/>
              </w:rPr>
              <w:t>Conclusion</w:t>
            </w:r>
            <w:r>
              <w:rPr>
                <w:noProof/>
                <w:webHidden/>
              </w:rPr>
              <w:tab/>
            </w:r>
            <w:r>
              <w:rPr>
                <w:noProof/>
                <w:webHidden/>
              </w:rPr>
              <w:fldChar w:fldCharType="begin"/>
            </w:r>
            <w:r>
              <w:rPr>
                <w:noProof/>
                <w:webHidden/>
              </w:rPr>
              <w:instrText xml:space="preserve"> PAGEREF _Toc187661950 \h </w:instrText>
            </w:r>
            <w:r>
              <w:rPr>
                <w:noProof/>
                <w:webHidden/>
              </w:rPr>
            </w:r>
            <w:r>
              <w:rPr>
                <w:noProof/>
                <w:webHidden/>
              </w:rPr>
              <w:fldChar w:fldCharType="separate"/>
            </w:r>
            <w:r>
              <w:rPr>
                <w:noProof/>
                <w:webHidden/>
              </w:rPr>
              <w:t>96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51" w:history="1">
            <w:r w:rsidRPr="007D1F1F">
              <w:rPr>
                <w:rStyle w:val="Hyperlink"/>
                <w:noProof/>
              </w:rPr>
              <w:t>Case Study: Tax and Compliance Challenges for TechMedia Pvt. Ltd.</w:t>
            </w:r>
            <w:r>
              <w:rPr>
                <w:noProof/>
                <w:webHidden/>
              </w:rPr>
              <w:tab/>
            </w:r>
            <w:r>
              <w:rPr>
                <w:noProof/>
                <w:webHidden/>
              </w:rPr>
              <w:fldChar w:fldCharType="begin"/>
            </w:r>
            <w:r>
              <w:rPr>
                <w:noProof/>
                <w:webHidden/>
              </w:rPr>
              <w:instrText xml:space="preserve"> PAGEREF _Toc187661951 \h </w:instrText>
            </w:r>
            <w:r>
              <w:rPr>
                <w:noProof/>
                <w:webHidden/>
              </w:rPr>
            </w:r>
            <w:r>
              <w:rPr>
                <w:noProof/>
                <w:webHidden/>
              </w:rPr>
              <w:fldChar w:fldCharType="separate"/>
            </w:r>
            <w:r>
              <w:rPr>
                <w:noProof/>
                <w:webHidden/>
              </w:rPr>
              <w:t>96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52" w:history="1">
            <w:r w:rsidRPr="007D1F1F">
              <w:rPr>
                <w:rStyle w:val="Hyperlink"/>
                <w:noProof/>
              </w:rPr>
              <w:t>Transactions</w:t>
            </w:r>
            <w:r>
              <w:rPr>
                <w:noProof/>
                <w:webHidden/>
              </w:rPr>
              <w:tab/>
            </w:r>
            <w:r>
              <w:rPr>
                <w:noProof/>
                <w:webHidden/>
              </w:rPr>
              <w:fldChar w:fldCharType="begin"/>
            </w:r>
            <w:r>
              <w:rPr>
                <w:noProof/>
                <w:webHidden/>
              </w:rPr>
              <w:instrText xml:space="preserve"> PAGEREF _Toc187661952 \h </w:instrText>
            </w:r>
            <w:r>
              <w:rPr>
                <w:noProof/>
                <w:webHidden/>
              </w:rPr>
            </w:r>
            <w:r>
              <w:rPr>
                <w:noProof/>
                <w:webHidden/>
              </w:rPr>
              <w:fldChar w:fldCharType="separate"/>
            </w:r>
            <w:r>
              <w:rPr>
                <w:noProof/>
                <w:webHidden/>
              </w:rPr>
              <w:t>97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53" w:history="1">
            <w:r w:rsidRPr="007D1F1F">
              <w:rPr>
                <w:rStyle w:val="Hyperlink"/>
                <w:noProof/>
              </w:rPr>
              <w:t>Key Issues</w:t>
            </w:r>
            <w:r>
              <w:rPr>
                <w:noProof/>
                <w:webHidden/>
              </w:rPr>
              <w:tab/>
            </w:r>
            <w:r>
              <w:rPr>
                <w:noProof/>
                <w:webHidden/>
              </w:rPr>
              <w:fldChar w:fldCharType="begin"/>
            </w:r>
            <w:r>
              <w:rPr>
                <w:noProof/>
                <w:webHidden/>
              </w:rPr>
              <w:instrText xml:space="preserve"> PAGEREF _Toc187661953 \h </w:instrText>
            </w:r>
            <w:r>
              <w:rPr>
                <w:noProof/>
                <w:webHidden/>
              </w:rPr>
            </w:r>
            <w:r>
              <w:rPr>
                <w:noProof/>
                <w:webHidden/>
              </w:rPr>
              <w:fldChar w:fldCharType="separate"/>
            </w:r>
            <w:r>
              <w:rPr>
                <w:noProof/>
                <w:webHidden/>
              </w:rPr>
              <w:t>98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54"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_Toc187661954 \h </w:instrText>
            </w:r>
            <w:r>
              <w:rPr>
                <w:noProof/>
                <w:webHidden/>
              </w:rPr>
            </w:r>
            <w:r>
              <w:rPr>
                <w:noProof/>
                <w:webHidden/>
              </w:rPr>
              <w:fldChar w:fldCharType="separate"/>
            </w:r>
            <w:r>
              <w:rPr>
                <w:noProof/>
                <w:webHidden/>
              </w:rPr>
              <w:t>98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55"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_Toc187661955 \h </w:instrText>
            </w:r>
            <w:r>
              <w:rPr>
                <w:noProof/>
                <w:webHidden/>
              </w:rPr>
            </w:r>
            <w:r>
              <w:rPr>
                <w:noProof/>
                <w:webHidden/>
              </w:rPr>
              <w:fldChar w:fldCharType="separate"/>
            </w:r>
            <w:r>
              <w:rPr>
                <w:noProof/>
                <w:webHidden/>
              </w:rPr>
              <w:t>100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56" w:history="1">
            <w:r w:rsidRPr="007D1F1F">
              <w:rPr>
                <w:rStyle w:val="Hyperlink"/>
                <w:noProof/>
              </w:rPr>
              <w:t>Conclusion</w:t>
            </w:r>
            <w:r>
              <w:rPr>
                <w:noProof/>
                <w:webHidden/>
              </w:rPr>
              <w:tab/>
            </w:r>
            <w:r>
              <w:rPr>
                <w:noProof/>
                <w:webHidden/>
              </w:rPr>
              <w:fldChar w:fldCharType="begin"/>
            </w:r>
            <w:r>
              <w:rPr>
                <w:noProof/>
                <w:webHidden/>
              </w:rPr>
              <w:instrText xml:space="preserve"> PAGEREF _Toc187661956 \h </w:instrText>
            </w:r>
            <w:r>
              <w:rPr>
                <w:noProof/>
                <w:webHidden/>
              </w:rPr>
            </w:r>
            <w:r>
              <w:rPr>
                <w:noProof/>
                <w:webHidden/>
              </w:rPr>
              <w:fldChar w:fldCharType="separate"/>
            </w:r>
            <w:r>
              <w:rPr>
                <w:noProof/>
                <w:webHidden/>
              </w:rPr>
              <w:t>101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57" w:history="1">
            <w:r w:rsidRPr="007D1F1F">
              <w:rPr>
                <w:rStyle w:val="Hyperlink"/>
                <w:noProof/>
              </w:rPr>
              <w:t>Templates for Form 3CEB and Guidance on Equalization Levy (EL) &amp; Withholding Tax (WHT) Filings</w:t>
            </w:r>
            <w:r>
              <w:rPr>
                <w:noProof/>
                <w:webHidden/>
              </w:rPr>
              <w:tab/>
            </w:r>
            <w:r>
              <w:rPr>
                <w:noProof/>
                <w:webHidden/>
              </w:rPr>
              <w:fldChar w:fldCharType="begin"/>
            </w:r>
            <w:r>
              <w:rPr>
                <w:noProof/>
                <w:webHidden/>
              </w:rPr>
              <w:instrText xml:space="preserve"> PAGEREF _Toc187661957 \h </w:instrText>
            </w:r>
            <w:r>
              <w:rPr>
                <w:noProof/>
                <w:webHidden/>
              </w:rPr>
            </w:r>
            <w:r>
              <w:rPr>
                <w:noProof/>
                <w:webHidden/>
              </w:rPr>
              <w:fldChar w:fldCharType="separate"/>
            </w:r>
            <w:r>
              <w:rPr>
                <w:noProof/>
                <w:webHidden/>
              </w:rPr>
              <w:t>102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58" w:history="1">
            <w:r w:rsidRPr="007D1F1F">
              <w:rPr>
                <w:rStyle w:val="Hyperlink"/>
                <w:noProof/>
              </w:rPr>
              <w:t>I. Template for Form 3CEB</w:t>
            </w:r>
            <w:r>
              <w:rPr>
                <w:noProof/>
                <w:webHidden/>
              </w:rPr>
              <w:tab/>
            </w:r>
            <w:r>
              <w:rPr>
                <w:noProof/>
                <w:webHidden/>
              </w:rPr>
              <w:fldChar w:fldCharType="begin"/>
            </w:r>
            <w:r>
              <w:rPr>
                <w:noProof/>
                <w:webHidden/>
              </w:rPr>
              <w:instrText xml:space="preserve"> PAGEREF _Toc187661958 \h </w:instrText>
            </w:r>
            <w:r>
              <w:rPr>
                <w:noProof/>
                <w:webHidden/>
              </w:rPr>
            </w:r>
            <w:r>
              <w:rPr>
                <w:noProof/>
                <w:webHidden/>
              </w:rPr>
              <w:fldChar w:fldCharType="separate"/>
            </w:r>
            <w:r>
              <w:rPr>
                <w:noProof/>
                <w:webHidden/>
              </w:rPr>
              <w:t>102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59" w:history="1">
            <w:r w:rsidRPr="007D1F1F">
              <w:rPr>
                <w:rStyle w:val="Hyperlink"/>
                <w:noProof/>
              </w:rPr>
              <w:t>II. Guidance on Equalization Levy (EL) Filings</w:t>
            </w:r>
            <w:r>
              <w:rPr>
                <w:noProof/>
                <w:webHidden/>
              </w:rPr>
              <w:tab/>
            </w:r>
            <w:r>
              <w:rPr>
                <w:noProof/>
                <w:webHidden/>
              </w:rPr>
              <w:fldChar w:fldCharType="begin"/>
            </w:r>
            <w:r>
              <w:rPr>
                <w:noProof/>
                <w:webHidden/>
              </w:rPr>
              <w:instrText xml:space="preserve"> PAGEREF _Toc187661959 \h </w:instrText>
            </w:r>
            <w:r>
              <w:rPr>
                <w:noProof/>
                <w:webHidden/>
              </w:rPr>
            </w:r>
            <w:r>
              <w:rPr>
                <w:noProof/>
                <w:webHidden/>
              </w:rPr>
              <w:fldChar w:fldCharType="separate"/>
            </w:r>
            <w:r>
              <w:rPr>
                <w:noProof/>
                <w:webHidden/>
              </w:rPr>
              <w:t>104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60" w:history="1">
            <w:r w:rsidRPr="007D1F1F">
              <w:rPr>
                <w:rStyle w:val="Hyperlink"/>
                <w:noProof/>
              </w:rPr>
              <w:t>III. Guidance on Withholding Tax (WHT) Filings</w:t>
            </w:r>
            <w:r>
              <w:rPr>
                <w:noProof/>
                <w:webHidden/>
              </w:rPr>
              <w:tab/>
            </w:r>
            <w:r>
              <w:rPr>
                <w:noProof/>
                <w:webHidden/>
              </w:rPr>
              <w:fldChar w:fldCharType="begin"/>
            </w:r>
            <w:r>
              <w:rPr>
                <w:noProof/>
                <w:webHidden/>
              </w:rPr>
              <w:instrText xml:space="preserve"> PAGEREF _Toc187661960 \h </w:instrText>
            </w:r>
            <w:r>
              <w:rPr>
                <w:noProof/>
                <w:webHidden/>
              </w:rPr>
            </w:r>
            <w:r>
              <w:rPr>
                <w:noProof/>
                <w:webHidden/>
              </w:rPr>
              <w:fldChar w:fldCharType="separate"/>
            </w:r>
            <w:r>
              <w:rPr>
                <w:noProof/>
                <w:webHidden/>
              </w:rPr>
              <w:t>105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61" w:history="1">
            <w:r w:rsidRPr="007D1F1F">
              <w:rPr>
                <w:rStyle w:val="Hyperlink"/>
                <w:noProof/>
              </w:rPr>
              <w:t>IV. Benefits of Compliance</w:t>
            </w:r>
            <w:r>
              <w:rPr>
                <w:noProof/>
                <w:webHidden/>
              </w:rPr>
              <w:tab/>
            </w:r>
            <w:r>
              <w:rPr>
                <w:noProof/>
                <w:webHidden/>
              </w:rPr>
              <w:fldChar w:fldCharType="begin"/>
            </w:r>
            <w:r>
              <w:rPr>
                <w:noProof/>
                <w:webHidden/>
              </w:rPr>
              <w:instrText xml:space="preserve"> PAGEREF _Toc187661961 \h </w:instrText>
            </w:r>
            <w:r>
              <w:rPr>
                <w:noProof/>
                <w:webHidden/>
              </w:rPr>
            </w:r>
            <w:r>
              <w:rPr>
                <w:noProof/>
                <w:webHidden/>
              </w:rPr>
              <w:fldChar w:fldCharType="separate"/>
            </w:r>
            <w:r>
              <w:rPr>
                <w:noProof/>
                <w:webHidden/>
              </w:rPr>
              <w:t>106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62" w:history="1">
            <w:r w:rsidRPr="007D1F1F">
              <w:rPr>
                <w:rStyle w:val="Hyperlink"/>
                <w:noProof/>
              </w:rPr>
              <w:t>Case Study: Tax and Compliance Challenges for CleanEnergy Pvt. Ltd.</w:t>
            </w:r>
            <w:r>
              <w:rPr>
                <w:noProof/>
                <w:webHidden/>
              </w:rPr>
              <w:tab/>
            </w:r>
            <w:r>
              <w:rPr>
                <w:noProof/>
                <w:webHidden/>
              </w:rPr>
              <w:fldChar w:fldCharType="begin"/>
            </w:r>
            <w:r>
              <w:rPr>
                <w:noProof/>
                <w:webHidden/>
              </w:rPr>
              <w:instrText xml:space="preserve"> PAGEREF _Toc187661962 \h </w:instrText>
            </w:r>
            <w:r>
              <w:rPr>
                <w:noProof/>
                <w:webHidden/>
              </w:rPr>
            </w:r>
            <w:r>
              <w:rPr>
                <w:noProof/>
                <w:webHidden/>
              </w:rPr>
              <w:fldChar w:fldCharType="separate"/>
            </w:r>
            <w:r>
              <w:rPr>
                <w:noProof/>
                <w:webHidden/>
              </w:rPr>
              <w:t>107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63" w:history="1">
            <w:r w:rsidRPr="007D1F1F">
              <w:rPr>
                <w:rStyle w:val="Hyperlink"/>
                <w:noProof/>
              </w:rPr>
              <w:t>Transactions</w:t>
            </w:r>
            <w:r>
              <w:rPr>
                <w:noProof/>
                <w:webHidden/>
              </w:rPr>
              <w:tab/>
            </w:r>
            <w:r>
              <w:rPr>
                <w:noProof/>
                <w:webHidden/>
              </w:rPr>
              <w:fldChar w:fldCharType="begin"/>
            </w:r>
            <w:r>
              <w:rPr>
                <w:noProof/>
                <w:webHidden/>
              </w:rPr>
              <w:instrText xml:space="preserve"> PAGEREF _Toc187661963 \h </w:instrText>
            </w:r>
            <w:r>
              <w:rPr>
                <w:noProof/>
                <w:webHidden/>
              </w:rPr>
            </w:r>
            <w:r>
              <w:rPr>
                <w:noProof/>
                <w:webHidden/>
              </w:rPr>
              <w:fldChar w:fldCharType="separate"/>
            </w:r>
            <w:r>
              <w:rPr>
                <w:noProof/>
                <w:webHidden/>
              </w:rPr>
              <w:t>107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64" w:history="1">
            <w:r w:rsidRPr="007D1F1F">
              <w:rPr>
                <w:rStyle w:val="Hyperlink"/>
                <w:noProof/>
              </w:rPr>
              <w:t>Key Issues</w:t>
            </w:r>
            <w:r>
              <w:rPr>
                <w:noProof/>
                <w:webHidden/>
              </w:rPr>
              <w:tab/>
            </w:r>
            <w:r>
              <w:rPr>
                <w:noProof/>
                <w:webHidden/>
              </w:rPr>
              <w:fldChar w:fldCharType="begin"/>
            </w:r>
            <w:r>
              <w:rPr>
                <w:noProof/>
                <w:webHidden/>
              </w:rPr>
              <w:instrText xml:space="preserve"> PAGEREF _Toc187661964 \h </w:instrText>
            </w:r>
            <w:r>
              <w:rPr>
                <w:noProof/>
                <w:webHidden/>
              </w:rPr>
            </w:r>
            <w:r>
              <w:rPr>
                <w:noProof/>
                <w:webHidden/>
              </w:rPr>
              <w:fldChar w:fldCharType="separate"/>
            </w:r>
            <w:r>
              <w:rPr>
                <w:noProof/>
                <w:webHidden/>
              </w:rPr>
              <w:t>108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65"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_Toc187661965 \h </w:instrText>
            </w:r>
            <w:r>
              <w:rPr>
                <w:noProof/>
                <w:webHidden/>
              </w:rPr>
            </w:r>
            <w:r>
              <w:rPr>
                <w:noProof/>
                <w:webHidden/>
              </w:rPr>
              <w:fldChar w:fldCharType="separate"/>
            </w:r>
            <w:r>
              <w:rPr>
                <w:noProof/>
                <w:webHidden/>
              </w:rPr>
              <w:t>109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66"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_Toc187661966 \h </w:instrText>
            </w:r>
            <w:r>
              <w:rPr>
                <w:noProof/>
                <w:webHidden/>
              </w:rPr>
            </w:r>
            <w:r>
              <w:rPr>
                <w:noProof/>
                <w:webHidden/>
              </w:rPr>
              <w:fldChar w:fldCharType="separate"/>
            </w:r>
            <w:r>
              <w:rPr>
                <w:noProof/>
                <w:webHidden/>
              </w:rPr>
              <w:t>111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67" w:history="1">
            <w:r w:rsidRPr="007D1F1F">
              <w:rPr>
                <w:rStyle w:val="Hyperlink"/>
                <w:noProof/>
              </w:rPr>
              <w:t>Conclusion</w:t>
            </w:r>
            <w:r>
              <w:rPr>
                <w:noProof/>
                <w:webHidden/>
              </w:rPr>
              <w:tab/>
            </w:r>
            <w:r>
              <w:rPr>
                <w:noProof/>
                <w:webHidden/>
              </w:rPr>
              <w:fldChar w:fldCharType="begin"/>
            </w:r>
            <w:r>
              <w:rPr>
                <w:noProof/>
                <w:webHidden/>
              </w:rPr>
              <w:instrText xml:space="preserve"> PAGEREF _Toc187661967 \h </w:instrText>
            </w:r>
            <w:r>
              <w:rPr>
                <w:noProof/>
                <w:webHidden/>
              </w:rPr>
            </w:r>
            <w:r>
              <w:rPr>
                <w:noProof/>
                <w:webHidden/>
              </w:rPr>
              <w:fldChar w:fldCharType="separate"/>
            </w:r>
            <w:r>
              <w:rPr>
                <w:noProof/>
                <w:webHidden/>
              </w:rPr>
              <w:t>112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68" w:history="1">
            <w:r w:rsidRPr="007D1F1F">
              <w:rPr>
                <w:rStyle w:val="Hyperlink"/>
                <w:noProof/>
              </w:rPr>
              <w:t>Additional Templates for Compliance Documentation and Assistance</w:t>
            </w:r>
            <w:r>
              <w:rPr>
                <w:noProof/>
                <w:webHidden/>
              </w:rPr>
              <w:tab/>
            </w:r>
            <w:r>
              <w:rPr>
                <w:noProof/>
                <w:webHidden/>
              </w:rPr>
              <w:fldChar w:fldCharType="begin"/>
            </w:r>
            <w:r>
              <w:rPr>
                <w:noProof/>
                <w:webHidden/>
              </w:rPr>
              <w:instrText xml:space="preserve"> PAGEREF _Toc187661968 \h </w:instrText>
            </w:r>
            <w:r>
              <w:rPr>
                <w:noProof/>
                <w:webHidden/>
              </w:rPr>
            </w:r>
            <w:r>
              <w:rPr>
                <w:noProof/>
                <w:webHidden/>
              </w:rPr>
              <w:fldChar w:fldCharType="separate"/>
            </w:r>
            <w:r>
              <w:rPr>
                <w:noProof/>
                <w:webHidden/>
              </w:rPr>
              <w:t>113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69" w:history="1">
            <w:r w:rsidRPr="007D1F1F">
              <w:rPr>
                <w:rStyle w:val="Hyperlink"/>
                <w:noProof/>
              </w:rPr>
              <w:t>I. Template for TP Documentation</w:t>
            </w:r>
            <w:r>
              <w:rPr>
                <w:noProof/>
                <w:webHidden/>
              </w:rPr>
              <w:tab/>
            </w:r>
            <w:r>
              <w:rPr>
                <w:noProof/>
                <w:webHidden/>
              </w:rPr>
              <w:fldChar w:fldCharType="begin"/>
            </w:r>
            <w:r>
              <w:rPr>
                <w:noProof/>
                <w:webHidden/>
              </w:rPr>
              <w:instrText xml:space="preserve"> PAGEREF _Toc187661969 \h </w:instrText>
            </w:r>
            <w:r>
              <w:rPr>
                <w:noProof/>
                <w:webHidden/>
              </w:rPr>
            </w:r>
            <w:r>
              <w:rPr>
                <w:noProof/>
                <w:webHidden/>
              </w:rPr>
              <w:fldChar w:fldCharType="separate"/>
            </w:r>
            <w:r>
              <w:rPr>
                <w:noProof/>
                <w:webHidden/>
              </w:rPr>
              <w:t>113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70" w:history="1">
            <w:r w:rsidRPr="007D1F1F">
              <w:rPr>
                <w:rStyle w:val="Hyperlink"/>
                <w:noProof/>
              </w:rPr>
              <w:t>II. Template for Equalization Levy (EL) Compliance</w:t>
            </w:r>
            <w:r>
              <w:rPr>
                <w:noProof/>
                <w:webHidden/>
              </w:rPr>
              <w:tab/>
            </w:r>
            <w:r>
              <w:rPr>
                <w:noProof/>
                <w:webHidden/>
              </w:rPr>
              <w:fldChar w:fldCharType="begin"/>
            </w:r>
            <w:r>
              <w:rPr>
                <w:noProof/>
                <w:webHidden/>
              </w:rPr>
              <w:instrText xml:space="preserve"> PAGEREF _Toc187661970 \h </w:instrText>
            </w:r>
            <w:r>
              <w:rPr>
                <w:noProof/>
                <w:webHidden/>
              </w:rPr>
            </w:r>
            <w:r>
              <w:rPr>
                <w:noProof/>
                <w:webHidden/>
              </w:rPr>
              <w:fldChar w:fldCharType="separate"/>
            </w:r>
            <w:r>
              <w:rPr>
                <w:noProof/>
                <w:webHidden/>
              </w:rPr>
              <w:t>114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71" w:history="1">
            <w:r w:rsidRPr="007D1F1F">
              <w:rPr>
                <w:rStyle w:val="Hyperlink"/>
                <w:noProof/>
              </w:rPr>
              <w:t>III. Template for Withholding Tax (WHT) Compliance</w:t>
            </w:r>
            <w:r>
              <w:rPr>
                <w:noProof/>
                <w:webHidden/>
              </w:rPr>
              <w:tab/>
            </w:r>
            <w:r>
              <w:rPr>
                <w:noProof/>
                <w:webHidden/>
              </w:rPr>
              <w:fldChar w:fldCharType="begin"/>
            </w:r>
            <w:r>
              <w:rPr>
                <w:noProof/>
                <w:webHidden/>
              </w:rPr>
              <w:instrText xml:space="preserve"> PAGEREF _Toc187661971 \h </w:instrText>
            </w:r>
            <w:r>
              <w:rPr>
                <w:noProof/>
                <w:webHidden/>
              </w:rPr>
            </w:r>
            <w:r>
              <w:rPr>
                <w:noProof/>
                <w:webHidden/>
              </w:rPr>
              <w:fldChar w:fldCharType="separate"/>
            </w:r>
            <w:r>
              <w:rPr>
                <w:noProof/>
                <w:webHidden/>
              </w:rPr>
              <w:t>115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72" w:history="1">
            <w:r w:rsidRPr="007D1F1F">
              <w:rPr>
                <w:rStyle w:val="Hyperlink"/>
                <w:noProof/>
              </w:rPr>
              <w:t>IV. Additional Assistance</w:t>
            </w:r>
            <w:r>
              <w:rPr>
                <w:noProof/>
                <w:webHidden/>
              </w:rPr>
              <w:tab/>
            </w:r>
            <w:r>
              <w:rPr>
                <w:noProof/>
                <w:webHidden/>
              </w:rPr>
              <w:fldChar w:fldCharType="begin"/>
            </w:r>
            <w:r>
              <w:rPr>
                <w:noProof/>
                <w:webHidden/>
              </w:rPr>
              <w:instrText xml:space="preserve"> PAGEREF _Toc187661972 \h </w:instrText>
            </w:r>
            <w:r>
              <w:rPr>
                <w:noProof/>
                <w:webHidden/>
              </w:rPr>
            </w:r>
            <w:r>
              <w:rPr>
                <w:noProof/>
                <w:webHidden/>
              </w:rPr>
              <w:fldChar w:fldCharType="separate"/>
            </w:r>
            <w:r>
              <w:rPr>
                <w:noProof/>
                <w:webHidden/>
              </w:rPr>
              <w:t>116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73" w:history="1">
            <w:r w:rsidRPr="007D1F1F">
              <w:rPr>
                <w:rStyle w:val="Hyperlink"/>
                <w:noProof/>
              </w:rPr>
              <w:t>Benefits of Using These Templates</w:t>
            </w:r>
            <w:r>
              <w:rPr>
                <w:noProof/>
                <w:webHidden/>
              </w:rPr>
              <w:tab/>
            </w:r>
            <w:r>
              <w:rPr>
                <w:noProof/>
                <w:webHidden/>
              </w:rPr>
              <w:fldChar w:fldCharType="begin"/>
            </w:r>
            <w:r>
              <w:rPr>
                <w:noProof/>
                <w:webHidden/>
              </w:rPr>
              <w:instrText xml:space="preserve"> PAGEREF _Toc187661973 \h </w:instrText>
            </w:r>
            <w:r>
              <w:rPr>
                <w:noProof/>
                <w:webHidden/>
              </w:rPr>
            </w:r>
            <w:r>
              <w:rPr>
                <w:noProof/>
                <w:webHidden/>
              </w:rPr>
              <w:fldChar w:fldCharType="separate"/>
            </w:r>
            <w:r>
              <w:rPr>
                <w:noProof/>
                <w:webHidden/>
              </w:rPr>
              <w:t>116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74" w:history="1">
            <w:r w:rsidRPr="007D1F1F">
              <w:rPr>
                <w:rStyle w:val="Hyperlink"/>
                <w:noProof/>
              </w:rPr>
              <w:t>Case Study: Tax and Compliance Challenges for GreenAgro Pvt. Ltd.</w:t>
            </w:r>
            <w:r>
              <w:rPr>
                <w:noProof/>
                <w:webHidden/>
              </w:rPr>
              <w:tab/>
            </w:r>
            <w:r>
              <w:rPr>
                <w:noProof/>
                <w:webHidden/>
              </w:rPr>
              <w:fldChar w:fldCharType="begin"/>
            </w:r>
            <w:r>
              <w:rPr>
                <w:noProof/>
                <w:webHidden/>
              </w:rPr>
              <w:instrText xml:space="preserve"> PAGEREF _Toc187661974 \h </w:instrText>
            </w:r>
            <w:r>
              <w:rPr>
                <w:noProof/>
                <w:webHidden/>
              </w:rPr>
            </w:r>
            <w:r>
              <w:rPr>
                <w:noProof/>
                <w:webHidden/>
              </w:rPr>
              <w:fldChar w:fldCharType="separate"/>
            </w:r>
            <w:r>
              <w:rPr>
                <w:noProof/>
                <w:webHidden/>
              </w:rPr>
              <w:t>117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75" w:history="1">
            <w:r w:rsidRPr="007D1F1F">
              <w:rPr>
                <w:rStyle w:val="Hyperlink"/>
                <w:noProof/>
              </w:rPr>
              <w:t>Transactions</w:t>
            </w:r>
            <w:r>
              <w:rPr>
                <w:noProof/>
                <w:webHidden/>
              </w:rPr>
              <w:tab/>
            </w:r>
            <w:r>
              <w:rPr>
                <w:noProof/>
                <w:webHidden/>
              </w:rPr>
              <w:fldChar w:fldCharType="begin"/>
            </w:r>
            <w:r>
              <w:rPr>
                <w:noProof/>
                <w:webHidden/>
              </w:rPr>
              <w:instrText xml:space="preserve"> PAGEREF _Toc187661975 \h </w:instrText>
            </w:r>
            <w:r>
              <w:rPr>
                <w:noProof/>
                <w:webHidden/>
              </w:rPr>
            </w:r>
            <w:r>
              <w:rPr>
                <w:noProof/>
                <w:webHidden/>
              </w:rPr>
              <w:fldChar w:fldCharType="separate"/>
            </w:r>
            <w:r>
              <w:rPr>
                <w:noProof/>
                <w:webHidden/>
              </w:rPr>
              <w:t>117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76" w:history="1">
            <w:r w:rsidRPr="007D1F1F">
              <w:rPr>
                <w:rStyle w:val="Hyperlink"/>
                <w:noProof/>
              </w:rPr>
              <w:t>Key Issues</w:t>
            </w:r>
            <w:r>
              <w:rPr>
                <w:noProof/>
                <w:webHidden/>
              </w:rPr>
              <w:tab/>
            </w:r>
            <w:r>
              <w:rPr>
                <w:noProof/>
                <w:webHidden/>
              </w:rPr>
              <w:fldChar w:fldCharType="begin"/>
            </w:r>
            <w:r>
              <w:rPr>
                <w:noProof/>
                <w:webHidden/>
              </w:rPr>
              <w:instrText xml:space="preserve"> PAGEREF _Toc187661976 \h </w:instrText>
            </w:r>
            <w:r>
              <w:rPr>
                <w:noProof/>
                <w:webHidden/>
              </w:rPr>
            </w:r>
            <w:r>
              <w:rPr>
                <w:noProof/>
                <w:webHidden/>
              </w:rPr>
              <w:fldChar w:fldCharType="separate"/>
            </w:r>
            <w:r>
              <w:rPr>
                <w:noProof/>
                <w:webHidden/>
              </w:rPr>
              <w:t>118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77"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_Toc187661977 \h </w:instrText>
            </w:r>
            <w:r>
              <w:rPr>
                <w:noProof/>
                <w:webHidden/>
              </w:rPr>
            </w:r>
            <w:r>
              <w:rPr>
                <w:noProof/>
                <w:webHidden/>
              </w:rPr>
              <w:fldChar w:fldCharType="separate"/>
            </w:r>
            <w:r>
              <w:rPr>
                <w:noProof/>
                <w:webHidden/>
              </w:rPr>
              <w:t>119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78"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_Toc187661978 \h </w:instrText>
            </w:r>
            <w:r>
              <w:rPr>
                <w:noProof/>
                <w:webHidden/>
              </w:rPr>
            </w:r>
            <w:r>
              <w:rPr>
                <w:noProof/>
                <w:webHidden/>
              </w:rPr>
              <w:fldChar w:fldCharType="separate"/>
            </w:r>
            <w:r>
              <w:rPr>
                <w:noProof/>
                <w:webHidden/>
              </w:rPr>
              <w:t>120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79" w:history="1">
            <w:r w:rsidRPr="007D1F1F">
              <w:rPr>
                <w:rStyle w:val="Hyperlink"/>
                <w:noProof/>
              </w:rPr>
              <w:t>Conclusion</w:t>
            </w:r>
            <w:r>
              <w:rPr>
                <w:noProof/>
                <w:webHidden/>
              </w:rPr>
              <w:tab/>
            </w:r>
            <w:r>
              <w:rPr>
                <w:noProof/>
                <w:webHidden/>
              </w:rPr>
              <w:fldChar w:fldCharType="begin"/>
            </w:r>
            <w:r>
              <w:rPr>
                <w:noProof/>
                <w:webHidden/>
              </w:rPr>
              <w:instrText xml:space="preserve"> PAGEREF _Toc187661979 \h </w:instrText>
            </w:r>
            <w:r>
              <w:rPr>
                <w:noProof/>
                <w:webHidden/>
              </w:rPr>
            </w:r>
            <w:r>
              <w:rPr>
                <w:noProof/>
                <w:webHidden/>
              </w:rPr>
              <w:fldChar w:fldCharType="separate"/>
            </w:r>
            <w:r>
              <w:rPr>
                <w:noProof/>
                <w:webHidden/>
              </w:rPr>
              <w:t>122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80" w:history="1">
            <w:r w:rsidRPr="007D1F1F">
              <w:rPr>
                <w:rStyle w:val="Hyperlink"/>
                <w:noProof/>
              </w:rPr>
              <w:t>Assistance with Benchmarking Examples, Compliance Filing Checklists, and Form 3CEB Templates</w:t>
            </w:r>
            <w:r>
              <w:rPr>
                <w:noProof/>
                <w:webHidden/>
              </w:rPr>
              <w:tab/>
            </w:r>
            <w:r>
              <w:rPr>
                <w:noProof/>
                <w:webHidden/>
              </w:rPr>
              <w:fldChar w:fldCharType="begin"/>
            </w:r>
            <w:r>
              <w:rPr>
                <w:noProof/>
                <w:webHidden/>
              </w:rPr>
              <w:instrText xml:space="preserve"> PAGEREF _Toc187661980 \h </w:instrText>
            </w:r>
            <w:r>
              <w:rPr>
                <w:noProof/>
                <w:webHidden/>
              </w:rPr>
            </w:r>
            <w:r>
              <w:rPr>
                <w:noProof/>
                <w:webHidden/>
              </w:rPr>
              <w:fldChar w:fldCharType="separate"/>
            </w:r>
            <w:r>
              <w:rPr>
                <w:noProof/>
                <w:webHidden/>
              </w:rPr>
              <w:t>123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81" w:history="1">
            <w:r w:rsidRPr="007D1F1F">
              <w:rPr>
                <w:rStyle w:val="Hyperlink"/>
                <w:noProof/>
              </w:rPr>
              <w:t>I. Benchmarking Examples</w:t>
            </w:r>
            <w:r>
              <w:rPr>
                <w:noProof/>
                <w:webHidden/>
              </w:rPr>
              <w:tab/>
            </w:r>
            <w:r>
              <w:rPr>
                <w:noProof/>
                <w:webHidden/>
              </w:rPr>
              <w:fldChar w:fldCharType="begin"/>
            </w:r>
            <w:r>
              <w:rPr>
                <w:noProof/>
                <w:webHidden/>
              </w:rPr>
              <w:instrText xml:space="preserve"> PAGEREF _Toc187661981 \h </w:instrText>
            </w:r>
            <w:r>
              <w:rPr>
                <w:noProof/>
                <w:webHidden/>
              </w:rPr>
            </w:r>
            <w:r>
              <w:rPr>
                <w:noProof/>
                <w:webHidden/>
              </w:rPr>
              <w:fldChar w:fldCharType="separate"/>
            </w:r>
            <w:r>
              <w:rPr>
                <w:noProof/>
                <w:webHidden/>
              </w:rPr>
              <w:t>123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82" w:history="1">
            <w:r w:rsidRPr="007D1F1F">
              <w:rPr>
                <w:rStyle w:val="Hyperlink"/>
                <w:noProof/>
              </w:rPr>
              <w:t>II. Compliance Filing Checklists</w:t>
            </w:r>
            <w:r>
              <w:rPr>
                <w:noProof/>
                <w:webHidden/>
              </w:rPr>
              <w:tab/>
            </w:r>
            <w:r>
              <w:rPr>
                <w:noProof/>
                <w:webHidden/>
              </w:rPr>
              <w:fldChar w:fldCharType="begin"/>
            </w:r>
            <w:r>
              <w:rPr>
                <w:noProof/>
                <w:webHidden/>
              </w:rPr>
              <w:instrText xml:space="preserve"> PAGEREF _Toc187661982 \h </w:instrText>
            </w:r>
            <w:r>
              <w:rPr>
                <w:noProof/>
                <w:webHidden/>
              </w:rPr>
            </w:r>
            <w:r>
              <w:rPr>
                <w:noProof/>
                <w:webHidden/>
              </w:rPr>
              <w:fldChar w:fldCharType="separate"/>
            </w:r>
            <w:r>
              <w:rPr>
                <w:noProof/>
                <w:webHidden/>
              </w:rPr>
              <w:t>124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83" w:history="1">
            <w:r w:rsidRPr="007D1F1F">
              <w:rPr>
                <w:rStyle w:val="Hyperlink"/>
                <w:noProof/>
              </w:rPr>
              <w:t>III. Template for Form 3CEB</w:t>
            </w:r>
            <w:r>
              <w:rPr>
                <w:noProof/>
                <w:webHidden/>
              </w:rPr>
              <w:tab/>
            </w:r>
            <w:r>
              <w:rPr>
                <w:noProof/>
                <w:webHidden/>
              </w:rPr>
              <w:fldChar w:fldCharType="begin"/>
            </w:r>
            <w:r>
              <w:rPr>
                <w:noProof/>
                <w:webHidden/>
              </w:rPr>
              <w:instrText xml:space="preserve"> PAGEREF _Toc187661983 \h </w:instrText>
            </w:r>
            <w:r>
              <w:rPr>
                <w:noProof/>
                <w:webHidden/>
              </w:rPr>
            </w:r>
            <w:r>
              <w:rPr>
                <w:noProof/>
                <w:webHidden/>
              </w:rPr>
              <w:fldChar w:fldCharType="separate"/>
            </w:r>
            <w:r>
              <w:rPr>
                <w:noProof/>
                <w:webHidden/>
              </w:rPr>
              <w:t>125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84" w:history="1">
            <w:r w:rsidRPr="007D1F1F">
              <w:rPr>
                <w:rStyle w:val="Hyperlink"/>
                <w:noProof/>
              </w:rPr>
              <w:t>Benefits of Using These Templates</w:t>
            </w:r>
            <w:r>
              <w:rPr>
                <w:noProof/>
                <w:webHidden/>
              </w:rPr>
              <w:tab/>
            </w:r>
            <w:r>
              <w:rPr>
                <w:noProof/>
                <w:webHidden/>
              </w:rPr>
              <w:fldChar w:fldCharType="begin"/>
            </w:r>
            <w:r>
              <w:rPr>
                <w:noProof/>
                <w:webHidden/>
              </w:rPr>
              <w:instrText xml:space="preserve"> PAGEREF _Toc187661984 \h </w:instrText>
            </w:r>
            <w:r>
              <w:rPr>
                <w:noProof/>
                <w:webHidden/>
              </w:rPr>
            </w:r>
            <w:r>
              <w:rPr>
                <w:noProof/>
                <w:webHidden/>
              </w:rPr>
              <w:fldChar w:fldCharType="separate"/>
            </w:r>
            <w:r>
              <w:rPr>
                <w:noProof/>
                <w:webHidden/>
              </w:rPr>
              <w:t>126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85" w:history="1">
            <w:r w:rsidRPr="007D1F1F">
              <w:rPr>
                <w:rStyle w:val="Hyperlink"/>
                <w:noProof/>
              </w:rPr>
              <w:t>Case Study: Tax and Compliance Challenges for GlobalTech Pvt. Ltd.</w:t>
            </w:r>
            <w:r>
              <w:rPr>
                <w:noProof/>
                <w:webHidden/>
              </w:rPr>
              <w:tab/>
            </w:r>
            <w:r>
              <w:rPr>
                <w:noProof/>
                <w:webHidden/>
              </w:rPr>
              <w:fldChar w:fldCharType="begin"/>
            </w:r>
            <w:r>
              <w:rPr>
                <w:noProof/>
                <w:webHidden/>
              </w:rPr>
              <w:instrText xml:space="preserve"> PAGEREF _Toc187661985 \h </w:instrText>
            </w:r>
            <w:r>
              <w:rPr>
                <w:noProof/>
                <w:webHidden/>
              </w:rPr>
            </w:r>
            <w:r>
              <w:rPr>
                <w:noProof/>
                <w:webHidden/>
              </w:rPr>
              <w:fldChar w:fldCharType="separate"/>
            </w:r>
            <w:r>
              <w:rPr>
                <w:noProof/>
                <w:webHidden/>
              </w:rPr>
              <w:t>127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86" w:history="1">
            <w:r w:rsidRPr="007D1F1F">
              <w:rPr>
                <w:rStyle w:val="Hyperlink"/>
                <w:noProof/>
              </w:rPr>
              <w:t>Transactions</w:t>
            </w:r>
            <w:r>
              <w:rPr>
                <w:noProof/>
                <w:webHidden/>
              </w:rPr>
              <w:tab/>
            </w:r>
            <w:r>
              <w:rPr>
                <w:noProof/>
                <w:webHidden/>
              </w:rPr>
              <w:fldChar w:fldCharType="begin"/>
            </w:r>
            <w:r>
              <w:rPr>
                <w:noProof/>
                <w:webHidden/>
              </w:rPr>
              <w:instrText xml:space="preserve"> PAGEREF _Toc187661986 \h </w:instrText>
            </w:r>
            <w:r>
              <w:rPr>
                <w:noProof/>
                <w:webHidden/>
              </w:rPr>
            </w:r>
            <w:r>
              <w:rPr>
                <w:noProof/>
                <w:webHidden/>
              </w:rPr>
              <w:fldChar w:fldCharType="separate"/>
            </w:r>
            <w:r>
              <w:rPr>
                <w:noProof/>
                <w:webHidden/>
              </w:rPr>
              <w:t>127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87" w:history="1">
            <w:r w:rsidRPr="007D1F1F">
              <w:rPr>
                <w:rStyle w:val="Hyperlink"/>
                <w:noProof/>
              </w:rPr>
              <w:t>Key Issues</w:t>
            </w:r>
            <w:r>
              <w:rPr>
                <w:noProof/>
                <w:webHidden/>
              </w:rPr>
              <w:tab/>
            </w:r>
            <w:r>
              <w:rPr>
                <w:noProof/>
                <w:webHidden/>
              </w:rPr>
              <w:fldChar w:fldCharType="begin"/>
            </w:r>
            <w:r>
              <w:rPr>
                <w:noProof/>
                <w:webHidden/>
              </w:rPr>
              <w:instrText xml:space="preserve"> PAGEREF _Toc187661987 \h </w:instrText>
            </w:r>
            <w:r>
              <w:rPr>
                <w:noProof/>
                <w:webHidden/>
              </w:rPr>
            </w:r>
            <w:r>
              <w:rPr>
                <w:noProof/>
                <w:webHidden/>
              </w:rPr>
              <w:fldChar w:fldCharType="separate"/>
            </w:r>
            <w:r>
              <w:rPr>
                <w:noProof/>
                <w:webHidden/>
              </w:rPr>
              <w:t>128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88"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_Toc187661988 \h </w:instrText>
            </w:r>
            <w:r>
              <w:rPr>
                <w:noProof/>
                <w:webHidden/>
              </w:rPr>
            </w:r>
            <w:r>
              <w:rPr>
                <w:noProof/>
                <w:webHidden/>
              </w:rPr>
              <w:fldChar w:fldCharType="separate"/>
            </w:r>
            <w:r>
              <w:rPr>
                <w:noProof/>
                <w:webHidden/>
              </w:rPr>
              <w:t>129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89"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_Toc187661989 \h </w:instrText>
            </w:r>
            <w:r>
              <w:rPr>
                <w:noProof/>
                <w:webHidden/>
              </w:rPr>
            </w:r>
            <w:r>
              <w:rPr>
                <w:noProof/>
                <w:webHidden/>
              </w:rPr>
              <w:fldChar w:fldCharType="separate"/>
            </w:r>
            <w:r>
              <w:rPr>
                <w:noProof/>
                <w:webHidden/>
              </w:rPr>
              <w:t>130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90"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_Toc187661990 \h </w:instrText>
            </w:r>
            <w:r>
              <w:rPr>
                <w:noProof/>
                <w:webHidden/>
              </w:rPr>
            </w:r>
            <w:r>
              <w:rPr>
                <w:noProof/>
                <w:webHidden/>
              </w:rPr>
              <w:fldChar w:fldCharType="separate"/>
            </w:r>
            <w:r>
              <w:rPr>
                <w:noProof/>
                <w:webHidden/>
              </w:rPr>
              <w:t>131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91" w:history="1">
            <w:r w:rsidRPr="007D1F1F">
              <w:rPr>
                <w:rStyle w:val="Hyperlink"/>
                <w:noProof/>
              </w:rPr>
              <w:t>Conclusion</w:t>
            </w:r>
            <w:r>
              <w:rPr>
                <w:noProof/>
                <w:webHidden/>
              </w:rPr>
              <w:tab/>
            </w:r>
            <w:r>
              <w:rPr>
                <w:noProof/>
                <w:webHidden/>
              </w:rPr>
              <w:fldChar w:fldCharType="begin"/>
            </w:r>
            <w:r>
              <w:rPr>
                <w:noProof/>
                <w:webHidden/>
              </w:rPr>
              <w:instrText xml:space="preserve"> PAGEREF _Toc187661991 \h </w:instrText>
            </w:r>
            <w:r>
              <w:rPr>
                <w:noProof/>
                <w:webHidden/>
              </w:rPr>
            </w:r>
            <w:r>
              <w:rPr>
                <w:noProof/>
                <w:webHidden/>
              </w:rPr>
              <w:fldChar w:fldCharType="separate"/>
            </w:r>
            <w:r>
              <w:rPr>
                <w:noProof/>
                <w:webHidden/>
              </w:rPr>
              <w:t>133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92" w:history="1">
            <w:r w:rsidRPr="007D1F1F">
              <w:rPr>
                <w:rStyle w:val="Hyperlink"/>
                <w:noProof/>
              </w:rPr>
              <w:t>Computation of Excess Interest, Royalty, FTS, Dividend, and Other Payments to Be Disallowed Under Section 94B</w:t>
            </w:r>
            <w:r>
              <w:rPr>
                <w:noProof/>
                <w:webHidden/>
              </w:rPr>
              <w:tab/>
            </w:r>
            <w:r>
              <w:rPr>
                <w:noProof/>
                <w:webHidden/>
              </w:rPr>
              <w:fldChar w:fldCharType="begin"/>
            </w:r>
            <w:r>
              <w:rPr>
                <w:noProof/>
                <w:webHidden/>
              </w:rPr>
              <w:instrText xml:space="preserve"> PAGEREF _Toc187661992 \h </w:instrText>
            </w:r>
            <w:r>
              <w:rPr>
                <w:noProof/>
                <w:webHidden/>
              </w:rPr>
            </w:r>
            <w:r>
              <w:rPr>
                <w:noProof/>
                <w:webHidden/>
              </w:rPr>
              <w:fldChar w:fldCharType="separate"/>
            </w:r>
            <w:r>
              <w:rPr>
                <w:noProof/>
                <w:webHidden/>
              </w:rPr>
              <w:t>134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93" w:history="1">
            <w:r w:rsidRPr="007D1F1F">
              <w:rPr>
                <w:rStyle w:val="Hyperlink"/>
                <w:noProof/>
              </w:rPr>
              <w:t>Example Computation</w:t>
            </w:r>
            <w:r>
              <w:rPr>
                <w:noProof/>
                <w:webHidden/>
              </w:rPr>
              <w:tab/>
            </w:r>
            <w:r>
              <w:rPr>
                <w:noProof/>
                <w:webHidden/>
              </w:rPr>
              <w:fldChar w:fldCharType="begin"/>
            </w:r>
            <w:r>
              <w:rPr>
                <w:noProof/>
                <w:webHidden/>
              </w:rPr>
              <w:instrText xml:space="preserve"> PAGEREF _Toc187661993 \h </w:instrText>
            </w:r>
            <w:r>
              <w:rPr>
                <w:noProof/>
                <w:webHidden/>
              </w:rPr>
            </w:r>
            <w:r>
              <w:rPr>
                <w:noProof/>
                <w:webHidden/>
              </w:rPr>
              <w:fldChar w:fldCharType="separate"/>
            </w:r>
            <w:r>
              <w:rPr>
                <w:noProof/>
                <w:webHidden/>
              </w:rPr>
              <w:t>135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94" w:history="1">
            <w:r w:rsidRPr="007D1F1F">
              <w:rPr>
                <w:rStyle w:val="Hyperlink"/>
                <w:noProof/>
              </w:rPr>
              <w:t>Final Computation Summary</w:t>
            </w:r>
            <w:r>
              <w:rPr>
                <w:noProof/>
                <w:webHidden/>
              </w:rPr>
              <w:tab/>
            </w:r>
            <w:r>
              <w:rPr>
                <w:noProof/>
                <w:webHidden/>
              </w:rPr>
              <w:fldChar w:fldCharType="begin"/>
            </w:r>
            <w:r>
              <w:rPr>
                <w:noProof/>
                <w:webHidden/>
              </w:rPr>
              <w:instrText xml:space="preserve"> PAGEREF _Toc187661994 \h </w:instrText>
            </w:r>
            <w:r>
              <w:rPr>
                <w:noProof/>
                <w:webHidden/>
              </w:rPr>
            </w:r>
            <w:r>
              <w:rPr>
                <w:noProof/>
                <w:webHidden/>
              </w:rPr>
              <w:fldChar w:fldCharType="separate"/>
            </w:r>
            <w:r>
              <w:rPr>
                <w:noProof/>
                <w:webHidden/>
              </w:rPr>
              <w:t>135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95" w:history="1">
            <w:r w:rsidRPr="007D1F1F">
              <w:rPr>
                <w:rStyle w:val="Hyperlink"/>
                <w:noProof/>
              </w:rPr>
              <w:t>Key Considerations</w:t>
            </w:r>
            <w:r>
              <w:rPr>
                <w:noProof/>
                <w:webHidden/>
              </w:rPr>
              <w:tab/>
            </w:r>
            <w:r>
              <w:rPr>
                <w:noProof/>
                <w:webHidden/>
              </w:rPr>
              <w:fldChar w:fldCharType="begin"/>
            </w:r>
            <w:r>
              <w:rPr>
                <w:noProof/>
                <w:webHidden/>
              </w:rPr>
              <w:instrText xml:space="preserve"> PAGEREF _Toc187661995 \h </w:instrText>
            </w:r>
            <w:r>
              <w:rPr>
                <w:noProof/>
                <w:webHidden/>
              </w:rPr>
            </w:r>
            <w:r>
              <w:rPr>
                <w:noProof/>
                <w:webHidden/>
              </w:rPr>
              <w:fldChar w:fldCharType="separate"/>
            </w:r>
            <w:r>
              <w:rPr>
                <w:noProof/>
                <w:webHidden/>
              </w:rPr>
              <w:t>136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96" w:history="1">
            <w:r w:rsidRPr="007D1F1F">
              <w:rPr>
                <w:rStyle w:val="Hyperlink"/>
                <w:noProof/>
              </w:rPr>
              <w:t>Detailed Computation and Analysis of Transactions Under Section 94B and Other Relevant Provisions</w:t>
            </w:r>
            <w:r>
              <w:rPr>
                <w:noProof/>
                <w:webHidden/>
              </w:rPr>
              <w:tab/>
            </w:r>
            <w:r>
              <w:rPr>
                <w:noProof/>
                <w:webHidden/>
              </w:rPr>
              <w:fldChar w:fldCharType="begin"/>
            </w:r>
            <w:r>
              <w:rPr>
                <w:noProof/>
                <w:webHidden/>
              </w:rPr>
              <w:instrText xml:space="preserve"> PAGEREF _Toc187661996 \h </w:instrText>
            </w:r>
            <w:r>
              <w:rPr>
                <w:noProof/>
                <w:webHidden/>
              </w:rPr>
            </w:r>
            <w:r>
              <w:rPr>
                <w:noProof/>
                <w:webHidden/>
              </w:rPr>
              <w:fldChar w:fldCharType="separate"/>
            </w:r>
            <w:r>
              <w:rPr>
                <w:noProof/>
                <w:webHidden/>
              </w:rPr>
              <w:t>137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97" w:history="1">
            <w:r w:rsidRPr="007D1F1F">
              <w:rPr>
                <w:rStyle w:val="Hyperlink"/>
                <w:noProof/>
              </w:rPr>
              <w:t>Summary of Computations</w:t>
            </w:r>
            <w:r>
              <w:rPr>
                <w:noProof/>
                <w:webHidden/>
              </w:rPr>
              <w:tab/>
            </w:r>
            <w:r>
              <w:rPr>
                <w:noProof/>
                <w:webHidden/>
              </w:rPr>
              <w:fldChar w:fldCharType="begin"/>
            </w:r>
            <w:r>
              <w:rPr>
                <w:noProof/>
                <w:webHidden/>
              </w:rPr>
              <w:instrText xml:space="preserve"> PAGEREF _Toc187661997 \h </w:instrText>
            </w:r>
            <w:r>
              <w:rPr>
                <w:noProof/>
                <w:webHidden/>
              </w:rPr>
            </w:r>
            <w:r>
              <w:rPr>
                <w:noProof/>
                <w:webHidden/>
              </w:rPr>
              <w:fldChar w:fldCharType="separate"/>
            </w:r>
            <w:r>
              <w:rPr>
                <w:noProof/>
                <w:webHidden/>
              </w:rPr>
              <w:t>141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98" w:history="1">
            <w:r w:rsidRPr="007D1F1F">
              <w:rPr>
                <w:rStyle w:val="Hyperlink"/>
                <w:noProof/>
              </w:rPr>
              <w:t>Conclusion</w:t>
            </w:r>
            <w:r>
              <w:rPr>
                <w:noProof/>
                <w:webHidden/>
              </w:rPr>
              <w:tab/>
            </w:r>
            <w:r>
              <w:rPr>
                <w:noProof/>
                <w:webHidden/>
              </w:rPr>
              <w:fldChar w:fldCharType="begin"/>
            </w:r>
            <w:r>
              <w:rPr>
                <w:noProof/>
                <w:webHidden/>
              </w:rPr>
              <w:instrText xml:space="preserve"> PAGEREF _Toc187661998 \h </w:instrText>
            </w:r>
            <w:r>
              <w:rPr>
                <w:noProof/>
                <w:webHidden/>
              </w:rPr>
            </w:r>
            <w:r>
              <w:rPr>
                <w:noProof/>
                <w:webHidden/>
              </w:rPr>
              <w:fldChar w:fldCharType="separate"/>
            </w:r>
            <w:r>
              <w:rPr>
                <w:noProof/>
                <w:webHidden/>
              </w:rPr>
              <w:t>141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1999" w:history="1">
            <w:r w:rsidRPr="007D1F1F">
              <w:rPr>
                <w:rStyle w:val="Hyperlink"/>
                <w:noProof/>
              </w:rPr>
              <w:t>Assistance with Preparing Form 3CEB</w:t>
            </w:r>
            <w:r>
              <w:rPr>
                <w:noProof/>
                <w:webHidden/>
              </w:rPr>
              <w:tab/>
            </w:r>
            <w:r>
              <w:rPr>
                <w:noProof/>
                <w:webHidden/>
              </w:rPr>
              <w:fldChar w:fldCharType="begin"/>
            </w:r>
            <w:r>
              <w:rPr>
                <w:noProof/>
                <w:webHidden/>
              </w:rPr>
              <w:instrText xml:space="preserve"> PAGEREF _Toc187661999 \h </w:instrText>
            </w:r>
            <w:r>
              <w:rPr>
                <w:noProof/>
                <w:webHidden/>
              </w:rPr>
            </w:r>
            <w:r>
              <w:rPr>
                <w:noProof/>
                <w:webHidden/>
              </w:rPr>
              <w:fldChar w:fldCharType="separate"/>
            </w:r>
            <w:r>
              <w:rPr>
                <w:noProof/>
                <w:webHidden/>
              </w:rPr>
              <w:t>142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00" w:history="1">
            <w:r w:rsidRPr="007D1F1F">
              <w:rPr>
                <w:rStyle w:val="Hyperlink"/>
                <w:noProof/>
              </w:rPr>
              <w:t>Structure of Form 3CEB</w:t>
            </w:r>
            <w:r>
              <w:rPr>
                <w:noProof/>
                <w:webHidden/>
              </w:rPr>
              <w:tab/>
            </w:r>
            <w:r>
              <w:rPr>
                <w:noProof/>
                <w:webHidden/>
              </w:rPr>
              <w:fldChar w:fldCharType="begin"/>
            </w:r>
            <w:r>
              <w:rPr>
                <w:noProof/>
                <w:webHidden/>
              </w:rPr>
              <w:instrText xml:space="preserve"> PAGEREF _Toc187662000 \h </w:instrText>
            </w:r>
            <w:r>
              <w:rPr>
                <w:noProof/>
                <w:webHidden/>
              </w:rPr>
            </w:r>
            <w:r>
              <w:rPr>
                <w:noProof/>
                <w:webHidden/>
              </w:rPr>
              <w:fldChar w:fldCharType="separate"/>
            </w:r>
            <w:r>
              <w:rPr>
                <w:noProof/>
                <w:webHidden/>
              </w:rPr>
              <w:t>142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01" w:history="1">
            <w:r w:rsidRPr="007D1F1F">
              <w:rPr>
                <w:rStyle w:val="Hyperlink"/>
                <w:noProof/>
              </w:rPr>
              <w:t>Certification by Chartered Accountant</w:t>
            </w:r>
            <w:r>
              <w:rPr>
                <w:noProof/>
                <w:webHidden/>
              </w:rPr>
              <w:tab/>
            </w:r>
            <w:r>
              <w:rPr>
                <w:noProof/>
                <w:webHidden/>
              </w:rPr>
              <w:fldChar w:fldCharType="begin"/>
            </w:r>
            <w:r>
              <w:rPr>
                <w:noProof/>
                <w:webHidden/>
              </w:rPr>
              <w:instrText xml:space="preserve"> PAGEREF _Toc187662001 \h </w:instrText>
            </w:r>
            <w:r>
              <w:rPr>
                <w:noProof/>
                <w:webHidden/>
              </w:rPr>
            </w:r>
            <w:r>
              <w:rPr>
                <w:noProof/>
                <w:webHidden/>
              </w:rPr>
              <w:fldChar w:fldCharType="separate"/>
            </w:r>
            <w:r>
              <w:rPr>
                <w:noProof/>
                <w:webHidden/>
              </w:rPr>
              <w:t>145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02" w:history="1">
            <w:r w:rsidRPr="007D1F1F">
              <w:rPr>
                <w:rStyle w:val="Hyperlink"/>
                <w:noProof/>
              </w:rPr>
              <w:t>Documentation Checklist for Form 3CEB</w:t>
            </w:r>
            <w:r>
              <w:rPr>
                <w:noProof/>
                <w:webHidden/>
              </w:rPr>
              <w:tab/>
            </w:r>
            <w:r>
              <w:rPr>
                <w:noProof/>
                <w:webHidden/>
              </w:rPr>
              <w:fldChar w:fldCharType="begin"/>
            </w:r>
            <w:r>
              <w:rPr>
                <w:noProof/>
                <w:webHidden/>
              </w:rPr>
              <w:instrText xml:space="preserve"> PAGEREF _Toc187662002 \h </w:instrText>
            </w:r>
            <w:r>
              <w:rPr>
                <w:noProof/>
                <w:webHidden/>
              </w:rPr>
            </w:r>
            <w:r>
              <w:rPr>
                <w:noProof/>
                <w:webHidden/>
              </w:rPr>
              <w:fldChar w:fldCharType="separate"/>
            </w:r>
            <w:r>
              <w:rPr>
                <w:noProof/>
                <w:webHidden/>
              </w:rPr>
              <w:t>145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03" w:history="1">
            <w:r w:rsidRPr="007D1F1F">
              <w:rPr>
                <w:rStyle w:val="Hyperlink"/>
                <w:noProof/>
              </w:rPr>
              <w:t>Filing Form 3CEB</w:t>
            </w:r>
            <w:r>
              <w:rPr>
                <w:noProof/>
                <w:webHidden/>
              </w:rPr>
              <w:tab/>
            </w:r>
            <w:r>
              <w:rPr>
                <w:noProof/>
                <w:webHidden/>
              </w:rPr>
              <w:fldChar w:fldCharType="begin"/>
            </w:r>
            <w:r>
              <w:rPr>
                <w:noProof/>
                <w:webHidden/>
              </w:rPr>
              <w:instrText xml:space="preserve"> PAGEREF _Toc187662003 \h </w:instrText>
            </w:r>
            <w:r>
              <w:rPr>
                <w:noProof/>
                <w:webHidden/>
              </w:rPr>
            </w:r>
            <w:r>
              <w:rPr>
                <w:noProof/>
                <w:webHidden/>
              </w:rPr>
              <w:fldChar w:fldCharType="separate"/>
            </w:r>
            <w:r>
              <w:rPr>
                <w:noProof/>
                <w:webHidden/>
              </w:rPr>
              <w:t>145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04" w:history="1">
            <w:r w:rsidRPr="007D1F1F">
              <w:rPr>
                <w:rStyle w:val="Hyperlink"/>
                <w:noProof/>
              </w:rPr>
              <w:t>Assistance with Drafting Functional and Risk Analysis, Benchmarking Study, and Portal-Specific Filing Steps for Form 3CEB</w:t>
            </w:r>
            <w:r>
              <w:rPr>
                <w:noProof/>
                <w:webHidden/>
              </w:rPr>
              <w:tab/>
            </w:r>
            <w:r>
              <w:rPr>
                <w:noProof/>
                <w:webHidden/>
              </w:rPr>
              <w:fldChar w:fldCharType="begin"/>
            </w:r>
            <w:r>
              <w:rPr>
                <w:noProof/>
                <w:webHidden/>
              </w:rPr>
              <w:instrText xml:space="preserve"> PAGEREF _Toc187662004 \h </w:instrText>
            </w:r>
            <w:r>
              <w:rPr>
                <w:noProof/>
                <w:webHidden/>
              </w:rPr>
            </w:r>
            <w:r>
              <w:rPr>
                <w:noProof/>
                <w:webHidden/>
              </w:rPr>
              <w:fldChar w:fldCharType="separate"/>
            </w:r>
            <w:r>
              <w:rPr>
                <w:noProof/>
                <w:webHidden/>
              </w:rPr>
              <w:t>146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05" w:history="1">
            <w:r w:rsidRPr="007D1F1F">
              <w:rPr>
                <w:rStyle w:val="Hyperlink"/>
                <w:noProof/>
              </w:rPr>
              <w:t>I. Drafting Functional and Risk Analysis</w:t>
            </w:r>
            <w:r>
              <w:rPr>
                <w:noProof/>
                <w:webHidden/>
              </w:rPr>
              <w:tab/>
            </w:r>
            <w:r>
              <w:rPr>
                <w:noProof/>
                <w:webHidden/>
              </w:rPr>
              <w:fldChar w:fldCharType="begin"/>
            </w:r>
            <w:r>
              <w:rPr>
                <w:noProof/>
                <w:webHidden/>
              </w:rPr>
              <w:instrText xml:space="preserve"> PAGEREF _Toc187662005 \h </w:instrText>
            </w:r>
            <w:r>
              <w:rPr>
                <w:noProof/>
                <w:webHidden/>
              </w:rPr>
            </w:r>
            <w:r>
              <w:rPr>
                <w:noProof/>
                <w:webHidden/>
              </w:rPr>
              <w:fldChar w:fldCharType="separate"/>
            </w:r>
            <w:r>
              <w:rPr>
                <w:noProof/>
                <w:webHidden/>
              </w:rPr>
              <w:t>146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06" w:history="1">
            <w:r w:rsidRPr="007D1F1F">
              <w:rPr>
                <w:rStyle w:val="Hyperlink"/>
                <w:noProof/>
              </w:rPr>
              <w:t>II. Drafting the Benchmarking Study</w:t>
            </w:r>
            <w:r>
              <w:rPr>
                <w:noProof/>
                <w:webHidden/>
              </w:rPr>
              <w:tab/>
            </w:r>
            <w:r>
              <w:rPr>
                <w:noProof/>
                <w:webHidden/>
              </w:rPr>
              <w:fldChar w:fldCharType="begin"/>
            </w:r>
            <w:r>
              <w:rPr>
                <w:noProof/>
                <w:webHidden/>
              </w:rPr>
              <w:instrText xml:space="preserve"> PAGEREF _Toc187662006 \h </w:instrText>
            </w:r>
            <w:r>
              <w:rPr>
                <w:noProof/>
                <w:webHidden/>
              </w:rPr>
            </w:r>
            <w:r>
              <w:rPr>
                <w:noProof/>
                <w:webHidden/>
              </w:rPr>
              <w:fldChar w:fldCharType="separate"/>
            </w:r>
            <w:r>
              <w:rPr>
                <w:noProof/>
                <w:webHidden/>
              </w:rPr>
              <w:t>147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07" w:history="1">
            <w:r w:rsidRPr="007D1F1F">
              <w:rPr>
                <w:rStyle w:val="Hyperlink"/>
                <w:noProof/>
              </w:rPr>
              <w:t>III. Portal-Specific Filing Steps for Form 3CEB</w:t>
            </w:r>
            <w:r>
              <w:rPr>
                <w:noProof/>
                <w:webHidden/>
              </w:rPr>
              <w:tab/>
            </w:r>
            <w:r>
              <w:rPr>
                <w:noProof/>
                <w:webHidden/>
              </w:rPr>
              <w:fldChar w:fldCharType="begin"/>
            </w:r>
            <w:r>
              <w:rPr>
                <w:noProof/>
                <w:webHidden/>
              </w:rPr>
              <w:instrText xml:space="preserve"> PAGEREF _Toc187662007 \h </w:instrText>
            </w:r>
            <w:r>
              <w:rPr>
                <w:noProof/>
                <w:webHidden/>
              </w:rPr>
            </w:r>
            <w:r>
              <w:rPr>
                <w:noProof/>
                <w:webHidden/>
              </w:rPr>
              <w:fldChar w:fldCharType="separate"/>
            </w:r>
            <w:r>
              <w:rPr>
                <w:noProof/>
                <w:webHidden/>
              </w:rPr>
              <w:t>148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08" w:history="1">
            <w:r w:rsidRPr="007D1F1F">
              <w:rPr>
                <w:rStyle w:val="Hyperlink"/>
                <w:noProof/>
              </w:rPr>
              <w:t>Checklist for Filing</w:t>
            </w:r>
            <w:r>
              <w:rPr>
                <w:noProof/>
                <w:webHidden/>
              </w:rPr>
              <w:tab/>
            </w:r>
            <w:r>
              <w:rPr>
                <w:noProof/>
                <w:webHidden/>
              </w:rPr>
              <w:fldChar w:fldCharType="begin"/>
            </w:r>
            <w:r>
              <w:rPr>
                <w:noProof/>
                <w:webHidden/>
              </w:rPr>
              <w:instrText xml:space="preserve"> PAGEREF _Toc187662008 \h </w:instrText>
            </w:r>
            <w:r>
              <w:rPr>
                <w:noProof/>
                <w:webHidden/>
              </w:rPr>
            </w:r>
            <w:r>
              <w:rPr>
                <w:noProof/>
                <w:webHidden/>
              </w:rPr>
              <w:fldChar w:fldCharType="separate"/>
            </w:r>
            <w:r>
              <w:rPr>
                <w:noProof/>
                <w:webHidden/>
              </w:rPr>
              <w:t>150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09" w:history="1">
            <w:r w:rsidRPr="007D1F1F">
              <w:rPr>
                <w:rStyle w:val="Hyperlink"/>
                <w:noProof/>
              </w:rPr>
              <w:t>Sample CA Certificate for Form 3CEB and Guidance on Document Preparation for Transactions</w:t>
            </w:r>
            <w:r>
              <w:rPr>
                <w:noProof/>
                <w:webHidden/>
              </w:rPr>
              <w:tab/>
            </w:r>
            <w:r>
              <w:rPr>
                <w:noProof/>
                <w:webHidden/>
              </w:rPr>
              <w:fldChar w:fldCharType="begin"/>
            </w:r>
            <w:r>
              <w:rPr>
                <w:noProof/>
                <w:webHidden/>
              </w:rPr>
              <w:instrText xml:space="preserve"> PAGEREF _Toc187662009 \h </w:instrText>
            </w:r>
            <w:r>
              <w:rPr>
                <w:noProof/>
                <w:webHidden/>
              </w:rPr>
            </w:r>
            <w:r>
              <w:rPr>
                <w:noProof/>
                <w:webHidden/>
              </w:rPr>
              <w:fldChar w:fldCharType="separate"/>
            </w:r>
            <w:r>
              <w:rPr>
                <w:noProof/>
                <w:webHidden/>
              </w:rPr>
              <w:t>151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10" w:history="1">
            <w:r w:rsidRPr="007D1F1F">
              <w:rPr>
                <w:rStyle w:val="Hyperlink"/>
                <w:noProof/>
              </w:rPr>
              <w:t>Sample CA Certificate for Form 3CEB</w:t>
            </w:r>
            <w:r>
              <w:rPr>
                <w:noProof/>
                <w:webHidden/>
              </w:rPr>
              <w:tab/>
            </w:r>
            <w:r>
              <w:rPr>
                <w:noProof/>
                <w:webHidden/>
              </w:rPr>
              <w:fldChar w:fldCharType="begin"/>
            </w:r>
            <w:r>
              <w:rPr>
                <w:noProof/>
                <w:webHidden/>
              </w:rPr>
              <w:instrText xml:space="preserve"> PAGEREF _Toc187662010 \h </w:instrText>
            </w:r>
            <w:r>
              <w:rPr>
                <w:noProof/>
                <w:webHidden/>
              </w:rPr>
            </w:r>
            <w:r>
              <w:rPr>
                <w:noProof/>
                <w:webHidden/>
              </w:rPr>
              <w:fldChar w:fldCharType="separate"/>
            </w:r>
            <w:r>
              <w:rPr>
                <w:noProof/>
                <w:webHidden/>
              </w:rPr>
              <w:t>151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11" w:history="1">
            <w:r w:rsidRPr="007D1F1F">
              <w:rPr>
                <w:rStyle w:val="Hyperlink"/>
                <w:noProof/>
              </w:rPr>
              <w:t>Guidance on Document Preparation for Each Transaction</w:t>
            </w:r>
            <w:r>
              <w:rPr>
                <w:noProof/>
                <w:webHidden/>
              </w:rPr>
              <w:tab/>
            </w:r>
            <w:r>
              <w:rPr>
                <w:noProof/>
                <w:webHidden/>
              </w:rPr>
              <w:fldChar w:fldCharType="begin"/>
            </w:r>
            <w:r>
              <w:rPr>
                <w:noProof/>
                <w:webHidden/>
              </w:rPr>
              <w:instrText xml:space="preserve"> PAGEREF _Toc187662011 \h </w:instrText>
            </w:r>
            <w:r>
              <w:rPr>
                <w:noProof/>
                <w:webHidden/>
              </w:rPr>
            </w:r>
            <w:r>
              <w:rPr>
                <w:noProof/>
                <w:webHidden/>
              </w:rPr>
              <w:fldChar w:fldCharType="separate"/>
            </w:r>
            <w:r>
              <w:rPr>
                <w:noProof/>
                <w:webHidden/>
              </w:rPr>
              <w:t>152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12" w:history="1">
            <w:r w:rsidRPr="007D1F1F">
              <w:rPr>
                <w:rStyle w:val="Hyperlink"/>
                <w:noProof/>
              </w:rPr>
              <w:t>Summary Checklist for Document Preparation</w:t>
            </w:r>
            <w:r>
              <w:rPr>
                <w:noProof/>
                <w:webHidden/>
              </w:rPr>
              <w:tab/>
            </w:r>
            <w:r>
              <w:rPr>
                <w:noProof/>
                <w:webHidden/>
              </w:rPr>
              <w:fldChar w:fldCharType="begin"/>
            </w:r>
            <w:r>
              <w:rPr>
                <w:noProof/>
                <w:webHidden/>
              </w:rPr>
              <w:instrText xml:space="preserve"> PAGEREF _Toc187662012 \h </w:instrText>
            </w:r>
            <w:r>
              <w:rPr>
                <w:noProof/>
                <w:webHidden/>
              </w:rPr>
            </w:r>
            <w:r>
              <w:rPr>
                <w:noProof/>
                <w:webHidden/>
              </w:rPr>
              <w:fldChar w:fldCharType="separate"/>
            </w:r>
            <w:r>
              <w:rPr>
                <w:noProof/>
                <w:webHidden/>
              </w:rPr>
              <w:t>155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13" w:history="1">
            <w:r w:rsidRPr="007D1F1F">
              <w:rPr>
                <w:rStyle w:val="Hyperlink"/>
                <w:noProof/>
              </w:rPr>
              <w:t>Templates for Agreements, Invoices, and Benchmarking Reports</w:t>
            </w:r>
            <w:r>
              <w:rPr>
                <w:noProof/>
                <w:webHidden/>
              </w:rPr>
              <w:tab/>
            </w:r>
            <w:r>
              <w:rPr>
                <w:noProof/>
                <w:webHidden/>
              </w:rPr>
              <w:fldChar w:fldCharType="begin"/>
            </w:r>
            <w:r>
              <w:rPr>
                <w:noProof/>
                <w:webHidden/>
              </w:rPr>
              <w:instrText xml:space="preserve"> PAGEREF _Toc187662013 \h </w:instrText>
            </w:r>
            <w:r>
              <w:rPr>
                <w:noProof/>
                <w:webHidden/>
              </w:rPr>
            </w:r>
            <w:r>
              <w:rPr>
                <w:noProof/>
                <w:webHidden/>
              </w:rPr>
              <w:fldChar w:fldCharType="separate"/>
            </w:r>
            <w:r>
              <w:rPr>
                <w:noProof/>
                <w:webHidden/>
              </w:rPr>
              <w:t>156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14" w:history="1">
            <w:r w:rsidRPr="007D1F1F">
              <w:rPr>
                <w:rStyle w:val="Hyperlink"/>
                <w:noProof/>
              </w:rPr>
              <w:t>I. Agreement Templates</w:t>
            </w:r>
            <w:r>
              <w:rPr>
                <w:noProof/>
                <w:webHidden/>
              </w:rPr>
              <w:tab/>
            </w:r>
            <w:r>
              <w:rPr>
                <w:noProof/>
                <w:webHidden/>
              </w:rPr>
              <w:fldChar w:fldCharType="begin"/>
            </w:r>
            <w:r>
              <w:rPr>
                <w:noProof/>
                <w:webHidden/>
              </w:rPr>
              <w:instrText xml:space="preserve"> PAGEREF _Toc187662014 \h </w:instrText>
            </w:r>
            <w:r>
              <w:rPr>
                <w:noProof/>
                <w:webHidden/>
              </w:rPr>
            </w:r>
            <w:r>
              <w:rPr>
                <w:noProof/>
                <w:webHidden/>
              </w:rPr>
              <w:fldChar w:fldCharType="separate"/>
            </w:r>
            <w:r>
              <w:rPr>
                <w:noProof/>
                <w:webHidden/>
              </w:rPr>
              <w:t>156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15" w:history="1">
            <w:r w:rsidRPr="007D1F1F">
              <w:rPr>
                <w:rStyle w:val="Hyperlink"/>
                <w:noProof/>
              </w:rPr>
              <w:t>II. Invoice Templates</w:t>
            </w:r>
            <w:r>
              <w:rPr>
                <w:noProof/>
                <w:webHidden/>
              </w:rPr>
              <w:tab/>
            </w:r>
            <w:r>
              <w:rPr>
                <w:noProof/>
                <w:webHidden/>
              </w:rPr>
              <w:fldChar w:fldCharType="begin"/>
            </w:r>
            <w:r>
              <w:rPr>
                <w:noProof/>
                <w:webHidden/>
              </w:rPr>
              <w:instrText xml:space="preserve"> PAGEREF _Toc187662015 \h </w:instrText>
            </w:r>
            <w:r>
              <w:rPr>
                <w:noProof/>
                <w:webHidden/>
              </w:rPr>
            </w:r>
            <w:r>
              <w:rPr>
                <w:noProof/>
                <w:webHidden/>
              </w:rPr>
              <w:fldChar w:fldCharType="separate"/>
            </w:r>
            <w:r>
              <w:rPr>
                <w:noProof/>
                <w:webHidden/>
              </w:rPr>
              <w:t>158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16" w:history="1">
            <w:r w:rsidRPr="007D1F1F">
              <w:rPr>
                <w:rStyle w:val="Hyperlink"/>
                <w:noProof/>
              </w:rPr>
              <w:t>III. Benchmarking Report Template</w:t>
            </w:r>
            <w:r>
              <w:rPr>
                <w:noProof/>
                <w:webHidden/>
              </w:rPr>
              <w:tab/>
            </w:r>
            <w:r>
              <w:rPr>
                <w:noProof/>
                <w:webHidden/>
              </w:rPr>
              <w:fldChar w:fldCharType="begin"/>
            </w:r>
            <w:r>
              <w:rPr>
                <w:noProof/>
                <w:webHidden/>
              </w:rPr>
              <w:instrText xml:space="preserve"> PAGEREF _Toc187662016 \h </w:instrText>
            </w:r>
            <w:r>
              <w:rPr>
                <w:noProof/>
                <w:webHidden/>
              </w:rPr>
            </w:r>
            <w:r>
              <w:rPr>
                <w:noProof/>
                <w:webHidden/>
              </w:rPr>
              <w:fldChar w:fldCharType="separate"/>
            </w:r>
            <w:r>
              <w:rPr>
                <w:noProof/>
                <w:webHidden/>
              </w:rPr>
              <w:t>159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17" w:history="1">
            <w:r w:rsidRPr="007D1F1F">
              <w:rPr>
                <w:rStyle w:val="Hyperlink"/>
                <w:noProof/>
              </w:rPr>
              <w:t>Summary</w:t>
            </w:r>
            <w:r>
              <w:rPr>
                <w:noProof/>
                <w:webHidden/>
              </w:rPr>
              <w:tab/>
            </w:r>
            <w:r>
              <w:rPr>
                <w:noProof/>
                <w:webHidden/>
              </w:rPr>
              <w:fldChar w:fldCharType="begin"/>
            </w:r>
            <w:r>
              <w:rPr>
                <w:noProof/>
                <w:webHidden/>
              </w:rPr>
              <w:instrText xml:space="preserve"> PAGEREF _Toc187662017 \h </w:instrText>
            </w:r>
            <w:r>
              <w:rPr>
                <w:noProof/>
                <w:webHidden/>
              </w:rPr>
            </w:r>
            <w:r>
              <w:rPr>
                <w:noProof/>
                <w:webHidden/>
              </w:rPr>
              <w:fldChar w:fldCharType="separate"/>
            </w:r>
            <w:r>
              <w:rPr>
                <w:noProof/>
                <w:webHidden/>
              </w:rPr>
              <w:t>160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18" w:history="1">
            <w:r w:rsidRPr="007D1F1F">
              <w:rPr>
                <w:rStyle w:val="Hyperlink"/>
                <w:noProof/>
              </w:rPr>
              <w:t>Case Study: Tax and Compliance Challenges for PowerEdge Pvt. Ltd.</w:t>
            </w:r>
            <w:r>
              <w:rPr>
                <w:noProof/>
                <w:webHidden/>
              </w:rPr>
              <w:tab/>
            </w:r>
            <w:r>
              <w:rPr>
                <w:noProof/>
                <w:webHidden/>
              </w:rPr>
              <w:fldChar w:fldCharType="begin"/>
            </w:r>
            <w:r>
              <w:rPr>
                <w:noProof/>
                <w:webHidden/>
              </w:rPr>
              <w:instrText xml:space="preserve"> PAGEREF _Toc187662018 \h </w:instrText>
            </w:r>
            <w:r>
              <w:rPr>
                <w:noProof/>
                <w:webHidden/>
              </w:rPr>
            </w:r>
            <w:r>
              <w:rPr>
                <w:noProof/>
                <w:webHidden/>
              </w:rPr>
              <w:fldChar w:fldCharType="separate"/>
            </w:r>
            <w:r>
              <w:rPr>
                <w:noProof/>
                <w:webHidden/>
              </w:rPr>
              <w:t>161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19" w:history="1">
            <w:r w:rsidRPr="007D1F1F">
              <w:rPr>
                <w:rStyle w:val="Hyperlink"/>
                <w:noProof/>
              </w:rPr>
              <w:t>Transactions</w:t>
            </w:r>
            <w:r>
              <w:rPr>
                <w:noProof/>
                <w:webHidden/>
              </w:rPr>
              <w:tab/>
            </w:r>
            <w:r>
              <w:rPr>
                <w:noProof/>
                <w:webHidden/>
              </w:rPr>
              <w:fldChar w:fldCharType="begin"/>
            </w:r>
            <w:r>
              <w:rPr>
                <w:noProof/>
                <w:webHidden/>
              </w:rPr>
              <w:instrText xml:space="preserve"> PAGEREF _Toc187662019 \h </w:instrText>
            </w:r>
            <w:r>
              <w:rPr>
                <w:noProof/>
                <w:webHidden/>
              </w:rPr>
            </w:r>
            <w:r>
              <w:rPr>
                <w:noProof/>
                <w:webHidden/>
              </w:rPr>
              <w:fldChar w:fldCharType="separate"/>
            </w:r>
            <w:r>
              <w:rPr>
                <w:noProof/>
                <w:webHidden/>
              </w:rPr>
              <w:t>161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20" w:history="1">
            <w:r w:rsidRPr="007D1F1F">
              <w:rPr>
                <w:rStyle w:val="Hyperlink"/>
                <w:noProof/>
              </w:rPr>
              <w:t>Key Issues</w:t>
            </w:r>
            <w:r>
              <w:rPr>
                <w:noProof/>
                <w:webHidden/>
              </w:rPr>
              <w:tab/>
            </w:r>
            <w:r>
              <w:rPr>
                <w:noProof/>
                <w:webHidden/>
              </w:rPr>
              <w:fldChar w:fldCharType="begin"/>
            </w:r>
            <w:r>
              <w:rPr>
                <w:noProof/>
                <w:webHidden/>
              </w:rPr>
              <w:instrText xml:space="preserve"> PAGEREF _Toc187662020 \h </w:instrText>
            </w:r>
            <w:r>
              <w:rPr>
                <w:noProof/>
                <w:webHidden/>
              </w:rPr>
            </w:r>
            <w:r>
              <w:rPr>
                <w:noProof/>
                <w:webHidden/>
              </w:rPr>
              <w:fldChar w:fldCharType="separate"/>
            </w:r>
            <w:r>
              <w:rPr>
                <w:noProof/>
                <w:webHidden/>
              </w:rPr>
              <w:t>162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21"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_Toc187662021 \h </w:instrText>
            </w:r>
            <w:r>
              <w:rPr>
                <w:noProof/>
                <w:webHidden/>
              </w:rPr>
            </w:r>
            <w:r>
              <w:rPr>
                <w:noProof/>
                <w:webHidden/>
              </w:rPr>
              <w:fldChar w:fldCharType="separate"/>
            </w:r>
            <w:r>
              <w:rPr>
                <w:noProof/>
                <w:webHidden/>
              </w:rPr>
              <w:t>163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22"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_Toc187662022 \h </w:instrText>
            </w:r>
            <w:r>
              <w:rPr>
                <w:noProof/>
                <w:webHidden/>
              </w:rPr>
            </w:r>
            <w:r>
              <w:rPr>
                <w:noProof/>
                <w:webHidden/>
              </w:rPr>
              <w:fldChar w:fldCharType="separate"/>
            </w:r>
            <w:r>
              <w:rPr>
                <w:noProof/>
                <w:webHidden/>
              </w:rPr>
              <w:t>163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23"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_Toc187662023 \h </w:instrText>
            </w:r>
            <w:r>
              <w:rPr>
                <w:noProof/>
                <w:webHidden/>
              </w:rPr>
            </w:r>
            <w:r>
              <w:rPr>
                <w:noProof/>
                <w:webHidden/>
              </w:rPr>
              <w:fldChar w:fldCharType="separate"/>
            </w:r>
            <w:r>
              <w:rPr>
                <w:noProof/>
                <w:webHidden/>
              </w:rPr>
              <w:t>165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24" w:history="1">
            <w:r w:rsidRPr="007D1F1F">
              <w:rPr>
                <w:rStyle w:val="Hyperlink"/>
                <w:noProof/>
              </w:rPr>
              <w:t>Conclusion</w:t>
            </w:r>
            <w:r>
              <w:rPr>
                <w:noProof/>
                <w:webHidden/>
              </w:rPr>
              <w:tab/>
            </w:r>
            <w:r>
              <w:rPr>
                <w:noProof/>
                <w:webHidden/>
              </w:rPr>
              <w:fldChar w:fldCharType="begin"/>
            </w:r>
            <w:r>
              <w:rPr>
                <w:noProof/>
                <w:webHidden/>
              </w:rPr>
              <w:instrText xml:space="preserve"> PAGEREF _Toc187662024 \h </w:instrText>
            </w:r>
            <w:r>
              <w:rPr>
                <w:noProof/>
                <w:webHidden/>
              </w:rPr>
            </w:r>
            <w:r>
              <w:rPr>
                <w:noProof/>
                <w:webHidden/>
              </w:rPr>
              <w:fldChar w:fldCharType="separate"/>
            </w:r>
            <w:r>
              <w:rPr>
                <w:noProof/>
                <w:webHidden/>
              </w:rPr>
              <w:t>165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25" w:history="1">
            <w:r w:rsidRPr="007D1F1F">
              <w:rPr>
                <w:rStyle w:val="Hyperlink"/>
                <w:noProof/>
              </w:rPr>
              <w:t>Further Assistance with Drafting Agreements, Benchmarking Studies, and CbC Reports for PowerEdge Pvt. Ltd.</w:t>
            </w:r>
            <w:r>
              <w:rPr>
                <w:noProof/>
                <w:webHidden/>
              </w:rPr>
              <w:tab/>
            </w:r>
            <w:r>
              <w:rPr>
                <w:noProof/>
                <w:webHidden/>
              </w:rPr>
              <w:fldChar w:fldCharType="begin"/>
            </w:r>
            <w:r>
              <w:rPr>
                <w:noProof/>
                <w:webHidden/>
              </w:rPr>
              <w:instrText xml:space="preserve"> PAGEREF _Toc187662025 \h </w:instrText>
            </w:r>
            <w:r>
              <w:rPr>
                <w:noProof/>
                <w:webHidden/>
              </w:rPr>
            </w:r>
            <w:r>
              <w:rPr>
                <w:noProof/>
                <w:webHidden/>
              </w:rPr>
              <w:fldChar w:fldCharType="separate"/>
            </w:r>
            <w:r>
              <w:rPr>
                <w:noProof/>
                <w:webHidden/>
              </w:rPr>
              <w:t>166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26" w:history="1">
            <w:r w:rsidRPr="007D1F1F">
              <w:rPr>
                <w:rStyle w:val="Hyperlink"/>
                <w:noProof/>
              </w:rPr>
              <w:t>I. Drafting Agreements</w:t>
            </w:r>
            <w:r>
              <w:rPr>
                <w:noProof/>
                <w:webHidden/>
              </w:rPr>
              <w:tab/>
            </w:r>
            <w:r>
              <w:rPr>
                <w:noProof/>
                <w:webHidden/>
              </w:rPr>
              <w:fldChar w:fldCharType="begin"/>
            </w:r>
            <w:r>
              <w:rPr>
                <w:noProof/>
                <w:webHidden/>
              </w:rPr>
              <w:instrText xml:space="preserve"> PAGEREF _Toc187662026 \h </w:instrText>
            </w:r>
            <w:r>
              <w:rPr>
                <w:noProof/>
                <w:webHidden/>
              </w:rPr>
            </w:r>
            <w:r>
              <w:rPr>
                <w:noProof/>
                <w:webHidden/>
              </w:rPr>
              <w:fldChar w:fldCharType="separate"/>
            </w:r>
            <w:r>
              <w:rPr>
                <w:noProof/>
                <w:webHidden/>
              </w:rPr>
              <w:t>166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27" w:history="1">
            <w:r w:rsidRPr="007D1F1F">
              <w:rPr>
                <w:rStyle w:val="Hyperlink"/>
                <w:noProof/>
              </w:rPr>
              <w:t>II. Benchmarking Studies</w:t>
            </w:r>
            <w:r>
              <w:rPr>
                <w:noProof/>
                <w:webHidden/>
              </w:rPr>
              <w:tab/>
            </w:r>
            <w:r>
              <w:rPr>
                <w:noProof/>
                <w:webHidden/>
              </w:rPr>
              <w:fldChar w:fldCharType="begin"/>
            </w:r>
            <w:r>
              <w:rPr>
                <w:noProof/>
                <w:webHidden/>
              </w:rPr>
              <w:instrText xml:space="preserve"> PAGEREF _Toc187662027 \h </w:instrText>
            </w:r>
            <w:r>
              <w:rPr>
                <w:noProof/>
                <w:webHidden/>
              </w:rPr>
            </w:r>
            <w:r>
              <w:rPr>
                <w:noProof/>
                <w:webHidden/>
              </w:rPr>
              <w:fldChar w:fldCharType="separate"/>
            </w:r>
            <w:r>
              <w:rPr>
                <w:noProof/>
                <w:webHidden/>
              </w:rPr>
              <w:t>168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28" w:history="1">
            <w:r w:rsidRPr="007D1F1F">
              <w:rPr>
                <w:rStyle w:val="Hyperlink"/>
                <w:noProof/>
              </w:rPr>
              <w:t>III. Country-by-Country (CbC) Reporting</w:t>
            </w:r>
            <w:r>
              <w:rPr>
                <w:noProof/>
                <w:webHidden/>
              </w:rPr>
              <w:tab/>
            </w:r>
            <w:r>
              <w:rPr>
                <w:noProof/>
                <w:webHidden/>
              </w:rPr>
              <w:fldChar w:fldCharType="begin"/>
            </w:r>
            <w:r>
              <w:rPr>
                <w:noProof/>
                <w:webHidden/>
              </w:rPr>
              <w:instrText xml:space="preserve"> PAGEREF _Toc187662028 \h </w:instrText>
            </w:r>
            <w:r>
              <w:rPr>
                <w:noProof/>
                <w:webHidden/>
              </w:rPr>
            </w:r>
            <w:r>
              <w:rPr>
                <w:noProof/>
                <w:webHidden/>
              </w:rPr>
              <w:fldChar w:fldCharType="separate"/>
            </w:r>
            <w:r>
              <w:rPr>
                <w:noProof/>
                <w:webHidden/>
              </w:rPr>
              <w:t>169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29" w:history="1">
            <w:r w:rsidRPr="007D1F1F">
              <w:rPr>
                <w:rStyle w:val="Hyperlink"/>
                <w:noProof/>
              </w:rPr>
              <w:t>Conclusion</w:t>
            </w:r>
            <w:r>
              <w:rPr>
                <w:noProof/>
                <w:webHidden/>
              </w:rPr>
              <w:tab/>
            </w:r>
            <w:r>
              <w:rPr>
                <w:noProof/>
                <w:webHidden/>
              </w:rPr>
              <w:fldChar w:fldCharType="begin"/>
            </w:r>
            <w:r>
              <w:rPr>
                <w:noProof/>
                <w:webHidden/>
              </w:rPr>
              <w:instrText xml:space="preserve"> PAGEREF _Toc187662029 \h </w:instrText>
            </w:r>
            <w:r>
              <w:rPr>
                <w:noProof/>
                <w:webHidden/>
              </w:rPr>
            </w:r>
            <w:r>
              <w:rPr>
                <w:noProof/>
                <w:webHidden/>
              </w:rPr>
              <w:fldChar w:fldCharType="separate"/>
            </w:r>
            <w:r>
              <w:rPr>
                <w:noProof/>
                <w:webHidden/>
              </w:rPr>
              <w:t>170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30" w:history="1">
            <w:r w:rsidRPr="007D1F1F">
              <w:rPr>
                <w:rStyle w:val="Hyperlink"/>
                <w:noProof/>
              </w:rPr>
              <w:t>Case Study: Tax and Compliance Challenges for EcoInfra Pvt. Ltd.</w:t>
            </w:r>
            <w:r>
              <w:rPr>
                <w:noProof/>
                <w:webHidden/>
              </w:rPr>
              <w:tab/>
            </w:r>
            <w:r>
              <w:rPr>
                <w:noProof/>
                <w:webHidden/>
              </w:rPr>
              <w:fldChar w:fldCharType="begin"/>
            </w:r>
            <w:r>
              <w:rPr>
                <w:noProof/>
                <w:webHidden/>
              </w:rPr>
              <w:instrText xml:space="preserve"> PAGEREF _Toc187662030 \h </w:instrText>
            </w:r>
            <w:r>
              <w:rPr>
                <w:noProof/>
                <w:webHidden/>
              </w:rPr>
            </w:r>
            <w:r>
              <w:rPr>
                <w:noProof/>
                <w:webHidden/>
              </w:rPr>
              <w:fldChar w:fldCharType="separate"/>
            </w:r>
            <w:r>
              <w:rPr>
                <w:noProof/>
                <w:webHidden/>
              </w:rPr>
              <w:t>171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31" w:history="1">
            <w:r w:rsidRPr="007D1F1F">
              <w:rPr>
                <w:rStyle w:val="Hyperlink"/>
                <w:noProof/>
              </w:rPr>
              <w:t>Background</w:t>
            </w:r>
            <w:r>
              <w:rPr>
                <w:noProof/>
                <w:webHidden/>
              </w:rPr>
              <w:tab/>
            </w:r>
            <w:r>
              <w:rPr>
                <w:noProof/>
                <w:webHidden/>
              </w:rPr>
              <w:fldChar w:fldCharType="begin"/>
            </w:r>
            <w:r>
              <w:rPr>
                <w:noProof/>
                <w:webHidden/>
              </w:rPr>
              <w:instrText xml:space="preserve"> PAGEREF _Toc187662031 \h </w:instrText>
            </w:r>
            <w:r>
              <w:rPr>
                <w:noProof/>
                <w:webHidden/>
              </w:rPr>
            </w:r>
            <w:r>
              <w:rPr>
                <w:noProof/>
                <w:webHidden/>
              </w:rPr>
              <w:fldChar w:fldCharType="separate"/>
            </w:r>
            <w:r>
              <w:rPr>
                <w:noProof/>
                <w:webHidden/>
              </w:rPr>
              <w:t>171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32" w:history="1">
            <w:r w:rsidRPr="007D1F1F">
              <w:rPr>
                <w:rStyle w:val="Hyperlink"/>
                <w:noProof/>
              </w:rPr>
              <w:t>Transactions</w:t>
            </w:r>
            <w:r>
              <w:rPr>
                <w:noProof/>
                <w:webHidden/>
              </w:rPr>
              <w:tab/>
            </w:r>
            <w:r>
              <w:rPr>
                <w:noProof/>
                <w:webHidden/>
              </w:rPr>
              <w:fldChar w:fldCharType="begin"/>
            </w:r>
            <w:r>
              <w:rPr>
                <w:noProof/>
                <w:webHidden/>
              </w:rPr>
              <w:instrText xml:space="preserve"> PAGEREF _Toc187662032 \h </w:instrText>
            </w:r>
            <w:r>
              <w:rPr>
                <w:noProof/>
                <w:webHidden/>
              </w:rPr>
            </w:r>
            <w:r>
              <w:rPr>
                <w:noProof/>
                <w:webHidden/>
              </w:rPr>
              <w:fldChar w:fldCharType="separate"/>
            </w:r>
            <w:r>
              <w:rPr>
                <w:noProof/>
                <w:webHidden/>
              </w:rPr>
              <w:t>171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33" w:history="1">
            <w:r w:rsidRPr="007D1F1F">
              <w:rPr>
                <w:rStyle w:val="Hyperlink"/>
                <w:noProof/>
              </w:rPr>
              <w:t>Key Issues</w:t>
            </w:r>
            <w:r>
              <w:rPr>
                <w:noProof/>
                <w:webHidden/>
              </w:rPr>
              <w:tab/>
            </w:r>
            <w:r>
              <w:rPr>
                <w:noProof/>
                <w:webHidden/>
              </w:rPr>
              <w:fldChar w:fldCharType="begin"/>
            </w:r>
            <w:r>
              <w:rPr>
                <w:noProof/>
                <w:webHidden/>
              </w:rPr>
              <w:instrText xml:space="preserve"> PAGEREF _Toc187662033 \h </w:instrText>
            </w:r>
            <w:r>
              <w:rPr>
                <w:noProof/>
                <w:webHidden/>
              </w:rPr>
            </w:r>
            <w:r>
              <w:rPr>
                <w:noProof/>
                <w:webHidden/>
              </w:rPr>
              <w:fldChar w:fldCharType="separate"/>
            </w:r>
            <w:r>
              <w:rPr>
                <w:noProof/>
                <w:webHidden/>
              </w:rPr>
              <w:t>172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34"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_Toc187662034 \h </w:instrText>
            </w:r>
            <w:r>
              <w:rPr>
                <w:noProof/>
                <w:webHidden/>
              </w:rPr>
            </w:r>
            <w:r>
              <w:rPr>
                <w:noProof/>
                <w:webHidden/>
              </w:rPr>
              <w:fldChar w:fldCharType="separate"/>
            </w:r>
            <w:r>
              <w:rPr>
                <w:noProof/>
                <w:webHidden/>
              </w:rPr>
              <w:t>173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35"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_Toc187662035 \h </w:instrText>
            </w:r>
            <w:r>
              <w:rPr>
                <w:noProof/>
                <w:webHidden/>
              </w:rPr>
            </w:r>
            <w:r>
              <w:rPr>
                <w:noProof/>
                <w:webHidden/>
              </w:rPr>
              <w:fldChar w:fldCharType="separate"/>
            </w:r>
            <w:r>
              <w:rPr>
                <w:noProof/>
                <w:webHidden/>
              </w:rPr>
              <w:t>173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36"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_Toc187662036 \h </w:instrText>
            </w:r>
            <w:r>
              <w:rPr>
                <w:noProof/>
                <w:webHidden/>
              </w:rPr>
            </w:r>
            <w:r>
              <w:rPr>
                <w:noProof/>
                <w:webHidden/>
              </w:rPr>
              <w:fldChar w:fldCharType="separate"/>
            </w:r>
            <w:r>
              <w:rPr>
                <w:noProof/>
                <w:webHidden/>
              </w:rPr>
              <w:t>175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37" w:history="1">
            <w:r w:rsidRPr="007D1F1F">
              <w:rPr>
                <w:rStyle w:val="Hyperlink"/>
                <w:noProof/>
              </w:rPr>
              <w:t>Conclusion</w:t>
            </w:r>
            <w:r>
              <w:rPr>
                <w:noProof/>
                <w:webHidden/>
              </w:rPr>
              <w:tab/>
            </w:r>
            <w:r>
              <w:rPr>
                <w:noProof/>
                <w:webHidden/>
              </w:rPr>
              <w:fldChar w:fldCharType="begin"/>
            </w:r>
            <w:r>
              <w:rPr>
                <w:noProof/>
                <w:webHidden/>
              </w:rPr>
              <w:instrText xml:space="preserve"> PAGEREF _Toc187662037 \h </w:instrText>
            </w:r>
            <w:r>
              <w:rPr>
                <w:noProof/>
                <w:webHidden/>
              </w:rPr>
            </w:r>
            <w:r>
              <w:rPr>
                <w:noProof/>
                <w:webHidden/>
              </w:rPr>
              <w:fldChar w:fldCharType="separate"/>
            </w:r>
            <w:r>
              <w:rPr>
                <w:noProof/>
                <w:webHidden/>
              </w:rPr>
              <w:t>176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38" w:history="1">
            <w:r w:rsidRPr="007D1F1F">
              <w:rPr>
                <w:rStyle w:val="Hyperlink"/>
                <w:noProof/>
              </w:rPr>
              <w:t>Detailed Templates for Agreements, Benchmarking Report, and Filing Compliance Assistance</w:t>
            </w:r>
            <w:r>
              <w:rPr>
                <w:noProof/>
                <w:webHidden/>
              </w:rPr>
              <w:tab/>
            </w:r>
            <w:r>
              <w:rPr>
                <w:noProof/>
                <w:webHidden/>
              </w:rPr>
              <w:fldChar w:fldCharType="begin"/>
            </w:r>
            <w:r>
              <w:rPr>
                <w:noProof/>
                <w:webHidden/>
              </w:rPr>
              <w:instrText xml:space="preserve"> PAGEREF _Toc187662038 \h </w:instrText>
            </w:r>
            <w:r>
              <w:rPr>
                <w:noProof/>
                <w:webHidden/>
              </w:rPr>
            </w:r>
            <w:r>
              <w:rPr>
                <w:noProof/>
                <w:webHidden/>
              </w:rPr>
              <w:fldChar w:fldCharType="separate"/>
            </w:r>
            <w:r>
              <w:rPr>
                <w:noProof/>
                <w:webHidden/>
              </w:rPr>
              <w:t>177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39" w:history="1">
            <w:r w:rsidRPr="007D1F1F">
              <w:rPr>
                <w:rStyle w:val="Hyperlink"/>
                <w:noProof/>
              </w:rPr>
              <w:t>I. Detailed Templates for Agreements</w:t>
            </w:r>
            <w:r>
              <w:rPr>
                <w:noProof/>
                <w:webHidden/>
              </w:rPr>
              <w:tab/>
            </w:r>
            <w:r>
              <w:rPr>
                <w:noProof/>
                <w:webHidden/>
              </w:rPr>
              <w:fldChar w:fldCharType="begin"/>
            </w:r>
            <w:r>
              <w:rPr>
                <w:noProof/>
                <w:webHidden/>
              </w:rPr>
              <w:instrText xml:space="preserve"> PAGEREF _Toc187662039 \h </w:instrText>
            </w:r>
            <w:r>
              <w:rPr>
                <w:noProof/>
                <w:webHidden/>
              </w:rPr>
            </w:r>
            <w:r>
              <w:rPr>
                <w:noProof/>
                <w:webHidden/>
              </w:rPr>
              <w:fldChar w:fldCharType="separate"/>
            </w:r>
            <w:r>
              <w:rPr>
                <w:noProof/>
                <w:webHidden/>
              </w:rPr>
              <w:t>177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40" w:history="1">
            <w:r w:rsidRPr="007D1F1F">
              <w:rPr>
                <w:rStyle w:val="Hyperlink"/>
                <w:noProof/>
              </w:rPr>
              <w:t>II. Benchmarking Report</w:t>
            </w:r>
            <w:r>
              <w:rPr>
                <w:noProof/>
                <w:webHidden/>
              </w:rPr>
              <w:tab/>
            </w:r>
            <w:r>
              <w:rPr>
                <w:noProof/>
                <w:webHidden/>
              </w:rPr>
              <w:fldChar w:fldCharType="begin"/>
            </w:r>
            <w:r>
              <w:rPr>
                <w:noProof/>
                <w:webHidden/>
              </w:rPr>
              <w:instrText xml:space="preserve"> PAGEREF _Toc187662040 \h </w:instrText>
            </w:r>
            <w:r>
              <w:rPr>
                <w:noProof/>
                <w:webHidden/>
              </w:rPr>
            </w:r>
            <w:r>
              <w:rPr>
                <w:noProof/>
                <w:webHidden/>
              </w:rPr>
              <w:fldChar w:fldCharType="separate"/>
            </w:r>
            <w:r>
              <w:rPr>
                <w:noProof/>
                <w:webHidden/>
              </w:rPr>
              <w:t>179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41" w:history="1">
            <w:r w:rsidRPr="007D1F1F">
              <w:rPr>
                <w:rStyle w:val="Hyperlink"/>
                <w:noProof/>
              </w:rPr>
              <w:t>III. Filing Compliance Assistance</w:t>
            </w:r>
            <w:r>
              <w:rPr>
                <w:noProof/>
                <w:webHidden/>
              </w:rPr>
              <w:tab/>
            </w:r>
            <w:r>
              <w:rPr>
                <w:noProof/>
                <w:webHidden/>
              </w:rPr>
              <w:fldChar w:fldCharType="begin"/>
            </w:r>
            <w:r>
              <w:rPr>
                <w:noProof/>
                <w:webHidden/>
              </w:rPr>
              <w:instrText xml:space="preserve"> PAGEREF _Toc187662041 \h </w:instrText>
            </w:r>
            <w:r>
              <w:rPr>
                <w:noProof/>
                <w:webHidden/>
              </w:rPr>
            </w:r>
            <w:r>
              <w:rPr>
                <w:noProof/>
                <w:webHidden/>
              </w:rPr>
              <w:fldChar w:fldCharType="separate"/>
            </w:r>
            <w:r>
              <w:rPr>
                <w:noProof/>
                <w:webHidden/>
              </w:rPr>
              <w:t>181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42" w:history="1">
            <w:r w:rsidRPr="007D1F1F">
              <w:rPr>
                <w:rStyle w:val="Hyperlink"/>
                <w:noProof/>
              </w:rPr>
              <w:t>Case Study: Tax and Compliance Challenges for TechGlobal Pvt. Ltd.</w:t>
            </w:r>
            <w:r>
              <w:rPr>
                <w:noProof/>
                <w:webHidden/>
              </w:rPr>
              <w:tab/>
            </w:r>
            <w:r>
              <w:rPr>
                <w:noProof/>
                <w:webHidden/>
              </w:rPr>
              <w:fldChar w:fldCharType="begin"/>
            </w:r>
            <w:r>
              <w:rPr>
                <w:noProof/>
                <w:webHidden/>
              </w:rPr>
              <w:instrText xml:space="preserve"> PAGEREF _Toc187662042 \h </w:instrText>
            </w:r>
            <w:r>
              <w:rPr>
                <w:noProof/>
                <w:webHidden/>
              </w:rPr>
            </w:r>
            <w:r>
              <w:rPr>
                <w:noProof/>
                <w:webHidden/>
              </w:rPr>
              <w:fldChar w:fldCharType="separate"/>
            </w:r>
            <w:r>
              <w:rPr>
                <w:noProof/>
                <w:webHidden/>
              </w:rPr>
              <w:t>182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43" w:history="1">
            <w:r w:rsidRPr="007D1F1F">
              <w:rPr>
                <w:rStyle w:val="Hyperlink"/>
                <w:noProof/>
              </w:rPr>
              <w:t>Background</w:t>
            </w:r>
            <w:r>
              <w:rPr>
                <w:noProof/>
                <w:webHidden/>
              </w:rPr>
              <w:tab/>
            </w:r>
            <w:r>
              <w:rPr>
                <w:noProof/>
                <w:webHidden/>
              </w:rPr>
              <w:fldChar w:fldCharType="begin"/>
            </w:r>
            <w:r>
              <w:rPr>
                <w:noProof/>
                <w:webHidden/>
              </w:rPr>
              <w:instrText xml:space="preserve"> PAGEREF _Toc187662043 \h </w:instrText>
            </w:r>
            <w:r>
              <w:rPr>
                <w:noProof/>
                <w:webHidden/>
              </w:rPr>
            </w:r>
            <w:r>
              <w:rPr>
                <w:noProof/>
                <w:webHidden/>
              </w:rPr>
              <w:fldChar w:fldCharType="separate"/>
            </w:r>
            <w:r>
              <w:rPr>
                <w:noProof/>
                <w:webHidden/>
              </w:rPr>
              <w:t>182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44" w:history="1">
            <w:r w:rsidRPr="007D1F1F">
              <w:rPr>
                <w:rStyle w:val="Hyperlink"/>
                <w:noProof/>
              </w:rPr>
              <w:t>Transactions</w:t>
            </w:r>
            <w:r>
              <w:rPr>
                <w:noProof/>
                <w:webHidden/>
              </w:rPr>
              <w:tab/>
            </w:r>
            <w:r>
              <w:rPr>
                <w:noProof/>
                <w:webHidden/>
              </w:rPr>
              <w:fldChar w:fldCharType="begin"/>
            </w:r>
            <w:r>
              <w:rPr>
                <w:noProof/>
                <w:webHidden/>
              </w:rPr>
              <w:instrText xml:space="preserve"> PAGEREF _Toc187662044 \h </w:instrText>
            </w:r>
            <w:r>
              <w:rPr>
                <w:noProof/>
                <w:webHidden/>
              </w:rPr>
            </w:r>
            <w:r>
              <w:rPr>
                <w:noProof/>
                <w:webHidden/>
              </w:rPr>
              <w:fldChar w:fldCharType="separate"/>
            </w:r>
            <w:r>
              <w:rPr>
                <w:noProof/>
                <w:webHidden/>
              </w:rPr>
              <w:t>182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45" w:history="1">
            <w:r w:rsidRPr="007D1F1F">
              <w:rPr>
                <w:rStyle w:val="Hyperlink"/>
                <w:noProof/>
              </w:rPr>
              <w:t>Key Issues</w:t>
            </w:r>
            <w:r>
              <w:rPr>
                <w:noProof/>
                <w:webHidden/>
              </w:rPr>
              <w:tab/>
            </w:r>
            <w:r>
              <w:rPr>
                <w:noProof/>
                <w:webHidden/>
              </w:rPr>
              <w:fldChar w:fldCharType="begin"/>
            </w:r>
            <w:r>
              <w:rPr>
                <w:noProof/>
                <w:webHidden/>
              </w:rPr>
              <w:instrText xml:space="preserve"> PAGEREF _Toc187662045 \h </w:instrText>
            </w:r>
            <w:r>
              <w:rPr>
                <w:noProof/>
                <w:webHidden/>
              </w:rPr>
            </w:r>
            <w:r>
              <w:rPr>
                <w:noProof/>
                <w:webHidden/>
              </w:rPr>
              <w:fldChar w:fldCharType="separate"/>
            </w:r>
            <w:r>
              <w:rPr>
                <w:noProof/>
                <w:webHidden/>
              </w:rPr>
              <w:t>183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46"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_Toc187662046 \h </w:instrText>
            </w:r>
            <w:r>
              <w:rPr>
                <w:noProof/>
                <w:webHidden/>
              </w:rPr>
            </w:r>
            <w:r>
              <w:rPr>
                <w:noProof/>
                <w:webHidden/>
              </w:rPr>
              <w:fldChar w:fldCharType="separate"/>
            </w:r>
            <w:r>
              <w:rPr>
                <w:noProof/>
                <w:webHidden/>
              </w:rPr>
              <w:t>184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47"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_Toc187662047 \h </w:instrText>
            </w:r>
            <w:r>
              <w:rPr>
                <w:noProof/>
                <w:webHidden/>
              </w:rPr>
            </w:r>
            <w:r>
              <w:rPr>
                <w:noProof/>
                <w:webHidden/>
              </w:rPr>
              <w:fldChar w:fldCharType="separate"/>
            </w:r>
            <w:r>
              <w:rPr>
                <w:noProof/>
                <w:webHidden/>
              </w:rPr>
              <w:t>185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48" w:history="1">
            <w:r w:rsidRPr="007D1F1F">
              <w:rPr>
                <w:rStyle w:val="Hyperlink"/>
                <w:noProof/>
              </w:rPr>
              <w:t>Detailed Discussion of Proposed Solutions</w:t>
            </w:r>
            <w:r>
              <w:rPr>
                <w:noProof/>
                <w:webHidden/>
              </w:rPr>
              <w:tab/>
            </w:r>
            <w:r>
              <w:rPr>
                <w:noProof/>
                <w:webHidden/>
              </w:rPr>
              <w:fldChar w:fldCharType="begin"/>
            </w:r>
            <w:r>
              <w:rPr>
                <w:noProof/>
                <w:webHidden/>
              </w:rPr>
              <w:instrText xml:space="preserve"> PAGEREF _Toc187662048 \h </w:instrText>
            </w:r>
            <w:r>
              <w:rPr>
                <w:noProof/>
                <w:webHidden/>
              </w:rPr>
            </w:r>
            <w:r>
              <w:rPr>
                <w:noProof/>
                <w:webHidden/>
              </w:rPr>
              <w:fldChar w:fldCharType="separate"/>
            </w:r>
            <w:r>
              <w:rPr>
                <w:noProof/>
                <w:webHidden/>
              </w:rPr>
              <w:t>186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49" w:history="1">
            <w:r w:rsidRPr="007D1F1F">
              <w:rPr>
                <w:rStyle w:val="Hyperlink"/>
                <w:noProof/>
              </w:rPr>
              <w:t>Conclusion</w:t>
            </w:r>
            <w:r>
              <w:rPr>
                <w:noProof/>
                <w:webHidden/>
              </w:rPr>
              <w:tab/>
            </w:r>
            <w:r>
              <w:rPr>
                <w:noProof/>
                <w:webHidden/>
              </w:rPr>
              <w:fldChar w:fldCharType="begin"/>
            </w:r>
            <w:r>
              <w:rPr>
                <w:noProof/>
                <w:webHidden/>
              </w:rPr>
              <w:instrText xml:space="preserve"> PAGEREF _Toc187662049 \h </w:instrText>
            </w:r>
            <w:r>
              <w:rPr>
                <w:noProof/>
                <w:webHidden/>
              </w:rPr>
            </w:r>
            <w:r>
              <w:rPr>
                <w:noProof/>
                <w:webHidden/>
              </w:rPr>
              <w:fldChar w:fldCharType="separate"/>
            </w:r>
            <w:r>
              <w:rPr>
                <w:noProof/>
                <w:webHidden/>
              </w:rPr>
              <w:t>187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50" w:history="1">
            <w:r w:rsidRPr="007D1F1F">
              <w:rPr>
                <w:rStyle w:val="Hyperlink"/>
                <w:noProof/>
              </w:rPr>
              <w:t>Assistance with Agreement Templates, Benchmarking Reports, and CbC Reporting Filing</w:t>
            </w:r>
            <w:r>
              <w:rPr>
                <w:noProof/>
                <w:webHidden/>
              </w:rPr>
              <w:tab/>
            </w:r>
            <w:r>
              <w:rPr>
                <w:noProof/>
                <w:webHidden/>
              </w:rPr>
              <w:fldChar w:fldCharType="begin"/>
            </w:r>
            <w:r>
              <w:rPr>
                <w:noProof/>
                <w:webHidden/>
              </w:rPr>
              <w:instrText xml:space="preserve"> PAGEREF _Toc187662050 \h </w:instrText>
            </w:r>
            <w:r>
              <w:rPr>
                <w:noProof/>
                <w:webHidden/>
              </w:rPr>
            </w:r>
            <w:r>
              <w:rPr>
                <w:noProof/>
                <w:webHidden/>
              </w:rPr>
              <w:fldChar w:fldCharType="separate"/>
            </w:r>
            <w:r>
              <w:rPr>
                <w:noProof/>
                <w:webHidden/>
              </w:rPr>
              <w:t>188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51" w:history="1">
            <w:r w:rsidRPr="007D1F1F">
              <w:rPr>
                <w:rStyle w:val="Hyperlink"/>
                <w:noProof/>
              </w:rPr>
              <w:t>I. Agreement Templates</w:t>
            </w:r>
            <w:r>
              <w:rPr>
                <w:noProof/>
                <w:webHidden/>
              </w:rPr>
              <w:tab/>
            </w:r>
            <w:r>
              <w:rPr>
                <w:noProof/>
                <w:webHidden/>
              </w:rPr>
              <w:fldChar w:fldCharType="begin"/>
            </w:r>
            <w:r>
              <w:rPr>
                <w:noProof/>
                <w:webHidden/>
              </w:rPr>
              <w:instrText xml:space="preserve"> PAGEREF _Toc187662051 \h </w:instrText>
            </w:r>
            <w:r>
              <w:rPr>
                <w:noProof/>
                <w:webHidden/>
              </w:rPr>
            </w:r>
            <w:r>
              <w:rPr>
                <w:noProof/>
                <w:webHidden/>
              </w:rPr>
              <w:fldChar w:fldCharType="separate"/>
            </w:r>
            <w:r>
              <w:rPr>
                <w:noProof/>
                <w:webHidden/>
              </w:rPr>
              <w:t>188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52" w:history="1">
            <w:r w:rsidRPr="007D1F1F">
              <w:rPr>
                <w:rStyle w:val="Hyperlink"/>
                <w:noProof/>
              </w:rPr>
              <w:t>II. Benchmarking Report</w:t>
            </w:r>
            <w:r>
              <w:rPr>
                <w:noProof/>
                <w:webHidden/>
              </w:rPr>
              <w:tab/>
            </w:r>
            <w:r>
              <w:rPr>
                <w:noProof/>
                <w:webHidden/>
              </w:rPr>
              <w:fldChar w:fldCharType="begin"/>
            </w:r>
            <w:r>
              <w:rPr>
                <w:noProof/>
                <w:webHidden/>
              </w:rPr>
              <w:instrText xml:space="preserve"> PAGEREF _Toc187662052 \h </w:instrText>
            </w:r>
            <w:r>
              <w:rPr>
                <w:noProof/>
                <w:webHidden/>
              </w:rPr>
            </w:r>
            <w:r>
              <w:rPr>
                <w:noProof/>
                <w:webHidden/>
              </w:rPr>
              <w:fldChar w:fldCharType="separate"/>
            </w:r>
            <w:r>
              <w:rPr>
                <w:noProof/>
                <w:webHidden/>
              </w:rPr>
              <w:t>190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53" w:history="1">
            <w:r w:rsidRPr="007D1F1F">
              <w:rPr>
                <w:rStyle w:val="Hyperlink"/>
                <w:noProof/>
              </w:rPr>
              <w:t>III. Filing Compliance for CbC Reporting</w:t>
            </w:r>
            <w:r>
              <w:rPr>
                <w:noProof/>
                <w:webHidden/>
              </w:rPr>
              <w:tab/>
            </w:r>
            <w:r>
              <w:rPr>
                <w:noProof/>
                <w:webHidden/>
              </w:rPr>
              <w:fldChar w:fldCharType="begin"/>
            </w:r>
            <w:r>
              <w:rPr>
                <w:noProof/>
                <w:webHidden/>
              </w:rPr>
              <w:instrText xml:space="preserve"> PAGEREF _Toc187662053 \h </w:instrText>
            </w:r>
            <w:r>
              <w:rPr>
                <w:noProof/>
                <w:webHidden/>
              </w:rPr>
            </w:r>
            <w:r>
              <w:rPr>
                <w:noProof/>
                <w:webHidden/>
              </w:rPr>
              <w:fldChar w:fldCharType="separate"/>
            </w:r>
            <w:r>
              <w:rPr>
                <w:noProof/>
                <w:webHidden/>
              </w:rPr>
              <w:t>192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54" w:history="1">
            <w:r w:rsidRPr="007D1F1F">
              <w:rPr>
                <w:rStyle w:val="Hyperlink"/>
                <w:noProof/>
              </w:rPr>
              <w:t>Case Study: Tax and Compliance Challenges for GlobalEdge Pvt. Ltd.</w:t>
            </w:r>
            <w:r>
              <w:rPr>
                <w:noProof/>
                <w:webHidden/>
              </w:rPr>
              <w:tab/>
            </w:r>
            <w:r>
              <w:rPr>
                <w:noProof/>
                <w:webHidden/>
              </w:rPr>
              <w:fldChar w:fldCharType="begin"/>
            </w:r>
            <w:r>
              <w:rPr>
                <w:noProof/>
                <w:webHidden/>
              </w:rPr>
              <w:instrText xml:space="preserve"> PAGEREF _Toc187662054 \h </w:instrText>
            </w:r>
            <w:r>
              <w:rPr>
                <w:noProof/>
                <w:webHidden/>
              </w:rPr>
            </w:r>
            <w:r>
              <w:rPr>
                <w:noProof/>
                <w:webHidden/>
              </w:rPr>
              <w:fldChar w:fldCharType="separate"/>
            </w:r>
            <w:r>
              <w:rPr>
                <w:noProof/>
                <w:webHidden/>
              </w:rPr>
              <w:t>193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55" w:history="1">
            <w:r w:rsidRPr="007D1F1F">
              <w:rPr>
                <w:rStyle w:val="Hyperlink"/>
                <w:noProof/>
              </w:rPr>
              <w:t>Background</w:t>
            </w:r>
            <w:r>
              <w:rPr>
                <w:noProof/>
                <w:webHidden/>
              </w:rPr>
              <w:tab/>
            </w:r>
            <w:r>
              <w:rPr>
                <w:noProof/>
                <w:webHidden/>
              </w:rPr>
              <w:fldChar w:fldCharType="begin"/>
            </w:r>
            <w:r>
              <w:rPr>
                <w:noProof/>
                <w:webHidden/>
              </w:rPr>
              <w:instrText xml:space="preserve"> PAGEREF _Toc187662055 \h </w:instrText>
            </w:r>
            <w:r>
              <w:rPr>
                <w:noProof/>
                <w:webHidden/>
              </w:rPr>
            </w:r>
            <w:r>
              <w:rPr>
                <w:noProof/>
                <w:webHidden/>
              </w:rPr>
              <w:fldChar w:fldCharType="separate"/>
            </w:r>
            <w:r>
              <w:rPr>
                <w:noProof/>
                <w:webHidden/>
              </w:rPr>
              <w:t>193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56" w:history="1">
            <w:r w:rsidRPr="007D1F1F">
              <w:rPr>
                <w:rStyle w:val="Hyperlink"/>
                <w:noProof/>
              </w:rPr>
              <w:t>Transactions</w:t>
            </w:r>
            <w:r>
              <w:rPr>
                <w:noProof/>
                <w:webHidden/>
              </w:rPr>
              <w:tab/>
            </w:r>
            <w:r>
              <w:rPr>
                <w:noProof/>
                <w:webHidden/>
              </w:rPr>
              <w:fldChar w:fldCharType="begin"/>
            </w:r>
            <w:r>
              <w:rPr>
                <w:noProof/>
                <w:webHidden/>
              </w:rPr>
              <w:instrText xml:space="preserve"> PAGEREF _Toc187662056 \h </w:instrText>
            </w:r>
            <w:r>
              <w:rPr>
                <w:noProof/>
                <w:webHidden/>
              </w:rPr>
            </w:r>
            <w:r>
              <w:rPr>
                <w:noProof/>
                <w:webHidden/>
              </w:rPr>
              <w:fldChar w:fldCharType="separate"/>
            </w:r>
            <w:r>
              <w:rPr>
                <w:noProof/>
                <w:webHidden/>
              </w:rPr>
              <w:t>194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57" w:history="1">
            <w:r w:rsidRPr="007D1F1F">
              <w:rPr>
                <w:rStyle w:val="Hyperlink"/>
                <w:noProof/>
              </w:rPr>
              <w:t>Key Issues</w:t>
            </w:r>
            <w:r>
              <w:rPr>
                <w:noProof/>
                <w:webHidden/>
              </w:rPr>
              <w:tab/>
            </w:r>
            <w:r>
              <w:rPr>
                <w:noProof/>
                <w:webHidden/>
              </w:rPr>
              <w:fldChar w:fldCharType="begin"/>
            </w:r>
            <w:r>
              <w:rPr>
                <w:noProof/>
                <w:webHidden/>
              </w:rPr>
              <w:instrText xml:space="preserve"> PAGEREF _Toc187662057 \h </w:instrText>
            </w:r>
            <w:r>
              <w:rPr>
                <w:noProof/>
                <w:webHidden/>
              </w:rPr>
            </w:r>
            <w:r>
              <w:rPr>
                <w:noProof/>
                <w:webHidden/>
              </w:rPr>
              <w:fldChar w:fldCharType="separate"/>
            </w:r>
            <w:r>
              <w:rPr>
                <w:noProof/>
                <w:webHidden/>
              </w:rPr>
              <w:t>194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58"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_Toc187662058 \h </w:instrText>
            </w:r>
            <w:r>
              <w:rPr>
                <w:noProof/>
                <w:webHidden/>
              </w:rPr>
            </w:r>
            <w:r>
              <w:rPr>
                <w:noProof/>
                <w:webHidden/>
              </w:rPr>
              <w:fldChar w:fldCharType="separate"/>
            </w:r>
            <w:r>
              <w:rPr>
                <w:noProof/>
                <w:webHidden/>
              </w:rPr>
              <w:t>196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59"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_Toc187662059 \h </w:instrText>
            </w:r>
            <w:r>
              <w:rPr>
                <w:noProof/>
                <w:webHidden/>
              </w:rPr>
            </w:r>
            <w:r>
              <w:rPr>
                <w:noProof/>
                <w:webHidden/>
              </w:rPr>
              <w:fldChar w:fldCharType="separate"/>
            </w:r>
            <w:r>
              <w:rPr>
                <w:noProof/>
                <w:webHidden/>
              </w:rPr>
              <w:t>196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60" w:history="1">
            <w:r w:rsidRPr="007D1F1F">
              <w:rPr>
                <w:rStyle w:val="Hyperlink"/>
                <w:noProof/>
              </w:rPr>
              <w:t>Conclusion</w:t>
            </w:r>
            <w:r>
              <w:rPr>
                <w:noProof/>
                <w:webHidden/>
              </w:rPr>
              <w:tab/>
            </w:r>
            <w:r>
              <w:rPr>
                <w:noProof/>
                <w:webHidden/>
              </w:rPr>
              <w:fldChar w:fldCharType="begin"/>
            </w:r>
            <w:r>
              <w:rPr>
                <w:noProof/>
                <w:webHidden/>
              </w:rPr>
              <w:instrText xml:space="preserve"> PAGEREF _Toc187662060 \h </w:instrText>
            </w:r>
            <w:r>
              <w:rPr>
                <w:noProof/>
                <w:webHidden/>
              </w:rPr>
            </w:r>
            <w:r>
              <w:rPr>
                <w:noProof/>
                <w:webHidden/>
              </w:rPr>
              <w:fldChar w:fldCharType="separate"/>
            </w:r>
            <w:r>
              <w:rPr>
                <w:noProof/>
                <w:webHidden/>
              </w:rPr>
              <w:t>198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61" w:history="1">
            <w:r w:rsidRPr="007D1F1F">
              <w:rPr>
                <w:rStyle w:val="Hyperlink"/>
                <w:noProof/>
              </w:rPr>
              <w:t>Detailed Assistance: Agreement Templates, Benchmarking Reports, and PE Risk Mitigation Plans</w:t>
            </w:r>
            <w:r>
              <w:rPr>
                <w:noProof/>
                <w:webHidden/>
              </w:rPr>
              <w:tab/>
            </w:r>
            <w:r>
              <w:rPr>
                <w:noProof/>
                <w:webHidden/>
              </w:rPr>
              <w:fldChar w:fldCharType="begin"/>
            </w:r>
            <w:r>
              <w:rPr>
                <w:noProof/>
                <w:webHidden/>
              </w:rPr>
              <w:instrText xml:space="preserve"> PAGEREF _Toc187662061 \h </w:instrText>
            </w:r>
            <w:r>
              <w:rPr>
                <w:noProof/>
                <w:webHidden/>
              </w:rPr>
            </w:r>
            <w:r>
              <w:rPr>
                <w:noProof/>
                <w:webHidden/>
              </w:rPr>
              <w:fldChar w:fldCharType="separate"/>
            </w:r>
            <w:r>
              <w:rPr>
                <w:noProof/>
                <w:webHidden/>
              </w:rPr>
              <w:t>199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62" w:history="1">
            <w:r w:rsidRPr="007D1F1F">
              <w:rPr>
                <w:rStyle w:val="Hyperlink"/>
                <w:noProof/>
              </w:rPr>
              <w:t>I. Detailed Agreement Templates</w:t>
            </w:r>
            <w:r>
              <w:rPr>
                <w:noProof/>
                <w:webHidden/>
              </w:rPr>
              <w:tab/>
            </w:r>
            <w:r>
              <w:rPr>
                <w:noProof/>
                <w:webHidden/>
              </w:rPr>
              <w:fldChar w:fldCharType="begin"/>
            </w:r>
            <w:r>
              <w:rPr>
                <w:noProof/>
                <w:webHidden/>
              </w:rPr>
              <w:instrText xml:space="preserve"> PAGEREF _Toc187662062 \h </w:instrText>
            </w:r>
            <w:r>
              <w:rPr>
                <w:noProof/>
                <w:webHidden/>
              </w:rPr>
            </w:r>
            <w:r>
              <w:rPr>
                <w:noProof/>
                <w:webHidden/>
              </w:rPr>
              <w:fldChar w:fldCharType="separate"/>
            </w:r>
            <w:r>
              <w:rPr>
                <w:noProof/>
                <w:webHidden/>
              </w:rPr>
              <w:t>199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63" w:history="1">
            <w:r w:rsidRPr="007D1F1F">
              <w:rPr>
                <w:rStyle w:val="Hyperlink"/>
                <w:noProof/>
              </w:rPr>
              <w:t>II. Detailed Benchmarking Report</w:t>
            </w:r>
            <w:r>
              <w:rPr>
                <w:noProof/>
                <w:webHidden/>
              </w:rPr>
              <w:tab/>
            </w:r>
            <w:r>
              <w:rPr>
                <w:noProof/>
                <w:webHidden/>
              </w:rPr>
              <w:fldChar w:fldCharType="begin"/>
            </w:r>
            <w:r>
              <w:rPr>
                <w:noProof/>
                <w:webHidden/>
              </w:rPr>
              <w:instrText xml:space="preserve"> PAGEREF _Toc187662063 \h </w:instrText>
            </w:r>
            <w:r>
              <w:rPr>
                <w:noProof/>
                <w:webHidden/>
              </w:rPr>
            </w:r>
            <w:r>
              <w:rPr>
                <w:noProof/>
                <w:webHidden/>
              </w:rPr>
              <w:fldChar w:fldCharType="separate"/>
            </w:r>
            <w:r>
              <w:rPr>
                <w:noProof/>
                <w:webHidden/>
              </w:rPr>
              <w:t>202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64" w:history="1">
            <w:r w:rsidRPr="007D1F1F">
              <w:rPr>
                <w:rStyle w:val="Hyperlink"/>
                <w:noProof/>
              </w:rPr>
              <w:t>III. PE Risk Mitigation Plan</w:t>
            </w:r>
            <w:r>
              <w:rPr>
                <w:noProof/>
                <w:webHidden/>
              </w:rPr>
              <w:tab/>
            </w:r>
            <w:r>
              <w:rPr>
                <w:noProof/>
                <w:webHidden/>
              </w:rPr>
              <w:fldChar w:fldCharType="begin"/>
            </w:r>
            <w:r>
              <w:rPr>
                <w:noProof/>
                <w:webHidden/>
              </w:rPr>
              <w:instrText xml:space="preserve"> PAGEREF _Toc187662064 \h </w:instrText>
            </w:r>
            <w:r>
              <w:rPr>
                <w:noProof/>
                <w:webHidden/>
              </w:rPr>
            </w:r>
            <w:r>
              <w:rPr>
                <w:noProof/>
                <w:webHidden/>
              </w:rPr>
              <w:fldChar w:fldCharType="separate"/>
            </w:r>
            <w:r>
              <w:rPr>
                <w:noProof/>
                <w:webHidden/>
              </w:rPr>
              <w:t>203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65" w:history="1">
            <w:r w:rsidRPr="007D1F1F">
              <w:rPr>
                <w:rStyle w:val="Hyperlink"/>
                <w:noProof/>
              </w:rPr>
              <w:t>Further Assistance: Specific PE Documentation, CbC Reports, and Compliance Templates</w:t>
            </w:r>
            <w:r>
              <w:rPr>
                <w:noProof/>
                <w:webHidden/>
              </w:rPr>
              <w:tab/>
            </w:r>
            <w:r>
              <w:rPr>
                <w:noProof/>
                <w:webHidden/>
              </w:rPr>
              <w:fldChar w:fldCharType="begin"/>
            </w:r>
            <w:r>
              <w:rPr>
                <w:noProof/>
                <w:webHidden/>
              </w:rPr>
              <w:instrText xml:space="preserve"> PAGEREF _Toc187662065 \h </w:instrText>
            </w:r>
            <w:r>
              <w:rPr>
                <w:noProof/>
                <w:webHidden/>
              </w:rPr>
            </w:r>
            <w:r>
              <w:rPr>
                <w:noProof/>
                <w:webHidden/>
              </w:rPr>
              <w:fldChar w:fldCharType="separate"/>
            </w:r>
            <w:r>
              <w:rPr>
                <w:noProof/>
                <w:webHidden/>
              </w:rPr>
              <w:t>205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66" w:history="1">
            <w:r w:rsidRPr="007D1F1F">
              <w:rPr>
                <w:rStyle w:val="Hyperlink"/>
                <w:noProof/>
              </w:rPr>
              <w:t>I. Specific PE Documentation</w:t>
            </w:r>
            <w:r>
              <w:rPr>
                <w:noProof/>
                <w:webHidden/>
              </w:rPr>
              <w:tab/>
            </w:r>
            <w:r>
              <w:rPr>
                <w:noProof/>
                <w:webHidden/>
              </w:rPr>
              <w:fldChar w:fldCharType="begin"/>
            </w:r>
            <w:r>
              <w:rPr>
                <w:noProof/>
                <w:webHidden/>
              </w:rPr>
              <w:instrText xml:space="preserve"> PAGEREF _Toc187662066 \h </w:instrText>
            </w:r>
            <w:r>
              <w:rPr>
                <w:noProof/>
                <w:webHidden/>
              </w:rPr>
            </w:r>
            <w:r>
              <w:rPr>
                <w:noProof/>
                <w:webHidden/>
              </w:rPr>
              <w:fldChar w:fldCharType="separate"/>
            </w:r>
            <w:r>
              <w:rPr>
                <w:noProof/>
                <w:webHidden/>
              </w:rPr>
              <w:t>205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67" w:history="1">
            <w:r w:rsidRPr="007D1F1F">
              <w:rPr>
                <w:rStyle w:val="Hyperlink"/>
                <w:noProof/>
              </w:rPr>
              <w:t>II. Country-by-Country (CbC) Report</w:t>
            </w:r>
            <w:r>
              <w:rPr>
                <w:noProof/>
                <w:webHidden/>
              </w:rPr>
              <w:tab/>
            </w:r>
            <w:r>
              <w:rPr>
                <w:noProof/>
                <w:webHidden/>
              </w:rPr>
              <w:fldChar w:fldCharType="begin"/>
            </w:r>
            <w:r>
              <w:rPr>
                <w:noProof/>
                <w:webHidden/>
              </w:rPr>
              <w:instrText xml:space="preserve"> PAGEREF _Toc187662067 \h </w:instrText>
            </w:r>
            <w:r>
              <w:rPr>
                <w:noProof/>
                <w:webHidden/>
              </w:rPr>
            </w:r>
            <w:r>
              <w:rPr>
                <w:noProof/>
                <w:webHidden/>
              </w:rPr>
              <w:fldChar w:fldCharType="separate"/>
            </w:r>
            <w:r>
              <w:rPr>
                <w:noProof/>
                <w:webHidden/>
              </w:rPr>
              <w:t>206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68" w:history="1">
            <w:r w:rsidRPr="007D1F1F">
              <w:rPr>
                <w:rStyle w:val="Hyperlink"/>
                <w:noProof/>
              </w:rPr>
              <w:t>III. Compliance Templates</w:t>
            </w:r>
            <w:r>
              <w:rPr>
                <w:noProof/>
                <w:webHidden/>
              </w:rPr>
              <w:tab/>
            </w:r>
            <w:r>
              <w:rPr>
                <w:noProof/>
                <w:webHidden/>
              </w:rPr>
              <w:fldChar w:fldCharType="begin"/>
            </w:r>
            <w:r>
              <w:rPr>
                <w:noProof/>
                <w:webHidden/>
              </w:rPr>
              <w:instrText xml:space="preserve"> PAGEREF _Toc187662068 \h </w:instrText>
            </w:r>
            <w:r>
              <w:rPr>
                <w:noProof/>
                <w:webHidden/>
              </w:rPr>
            </w:r>
            <w:r>
              <w:rPr>
                <w:noProof/>
                <w:webHidden/>
              </w:rPr>
              <w:fldChar w:fldCharType="separate"/>
            </w:r>
            <w:r>
              <w:rPr>
                <w:noProof/>
                <w:webHidden/>
              </w:rPr>
              <w:t>207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69" w:history="1">
            <w:r w:rsidRPr="007D1F1F">
              <w:rPr>
                <w:rStyle w:val="Hyperlink"/>
                <w:noProof/>
              </w:rPr>
              <w:t>Case Study: Tax and Compliance Challenges for GreenEdge Pvt. Ltd.</w:t>
            </w:r>
            <w:r>
              <w:rPr>
                <w:noProof/>
                <w:webHidden/>
              </w:rPr>
              <w:tab/>
            </w:r>
            <w:r>
              <w:rPr>
                <w:noProof/>
                <w:webHidden/>
              </w:rPr>
              <w:fldChar w:fldCharType="begin"/>
            </w:r>
            <w:r>
              <w:rPr>
                <w:noProof/>
                <w:webHidden/>
              </w:rPr>
              <w:instrText xml:space="preserve"> PAGEREF _Toc187662069 \h </w:instrText>
            </w:r>
            <w:r>
              <w:rPr>
                <w:noProof/>
                <w:webHidden/>
              </w:rPr>
            </w:r>
            <w:r>
              <w:rPr>
                <w:noProof/>
                <w:webHidden/>
              </w:rPr>
              <w:fldChar w:fldCharType="separate"/>
            </w:r>
            <w:r>
              <w:rPr>
                <w:noProof/>
                <w:webHidden/>
              </w:rPr>
              <w:t>208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70" w:history="1">
            <w:r w:rsidRPr="007D1F1F">
              <w:rPr>
                <w:rStyle w:val="Hyperlink"/>
                <w:noProof/>
              </w:rPr>
              <w:t>Background</w:t>
            </w:r>
            <w:r>
              <w:rPr>
                <w:noProof/>
                <w:webHidden/>
              </w:rPr>
              <w:tab/>
            </w:r>
            <w:r>
              <w:rPr>
                <w:noProof/>
                <w:webHidden/>
              </w:rPr>
              <w:fldChar w:fldCharType="begin"/>
            </w:r>
            <w:r>
              <w:rPr>
                <w:noProof/>
                <w:webHidden/>
              </w:rPr>
              <w:instrText xml:space="preserve"> PAGEREF _Toc187662070 \h </w:instrText>
            </w:r>
            <w:r>
              <w:rPr>
                <w:noProof/>
                <w:webHidden/>
              </w:rPr>
            </w:r>
            <w:r>
              <w:rPr>
                <w:noProof/>
                <w:webHidden/>
              </w:rPr>
              <w:fldChar w:fldCharType="separate"/>
            </w:r>
            <w:r>
              <w:rPr>
                <w:noProof/>
                <w:webHidden/>
              </w:rPr>
              <w:t>208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71" w:history="1">
            <w:r w:rsidRPr="007D1F1F">
              <w:rPr>
                <w:rStyle w:val="Hyperlink"/>
                <w:noProof/>
              </w:rPr>
              <w:t>Transactions</w:t>
            </w:r>
            <w:r>
              <w:rPr>
                <w:noProof/>
                <w:webHidden/>
              </w:rPr>
              <w:tab/>
            </w:r>
            <w:r>
              <w:rPr>
                <w:noProof/>
                <w:webHidden/>
              </w:rPr>
              <w:fldChar w:fldCharType="begin"/>
            </w:r>
            <w:r>
              <w:rPr>
                <w:noProof/>
                <w:webHidden/>
              </w:rPr>
              <w:instrText xml:space="preserve"> PAGEREF _Toc187662071 \h </w:instrText>
            </w:r>
            <w:r>
              <w:rPr>
                <w:noProof/>
                <w:webHidden/>
              </w:rPr>
            </w:r>
            <w:r>
              <w:rPr>
                <w:noProof/>
                <w:webHidden/>
              </w:rPr>
              <w:fldChar w:fldCharType="separate"/>
            </w:r>
            <w:r>
              <w:rPr>
                <w:noProof/>
                <w:webHidden/>
              </w:rPr>
              <w:t>209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72" w:history="1">
            <w:r w:rsidRPr="007D1F1F">
              <w:rPr>
                <w:rStyle w:val="Hyperlink"/>
                <w:noProof/>
              </w:rPr>
              <w:t>Key Issues</w:t>
            </w:r>
            <w:r>
              <w:rPr>
                <w:noProof/>
                <w:webHidden/>
              </w:rPr>
              <w:tab/>
            </w:r>
            <w:r>
              <w:rPr>
                <w:noProof/>
                <w:webHidden/>
              </w:rPr>
              <w:fldChar w:fldCharType="begin"/>
            </w:r>
            <w:r>
              <w:rPr>
                <w:noProof/>
                <w:webHidden/>
              </w:rPr>
              <w:instrText xml:space="preserve"> PAGEREF _Toc187662072 \h </w:instrText>
            </w:r>
            <w:r>
              <w:rPr>
                <w:noProof/>
                <w:webHidden/>
              </w:rPr>
            </w:r>
            <w:r>
              <w:rPr>
                <w:noProof/>
                <w:webHidden/>
              </w:rPr>
              <w:fldChar w:fldCharType="separate"/>
            </w:r>
            <w:r>
              <w:rPr>
                <w:noProof/>
                <w:webHidden/>
              </w:rPr>
              <w:t>209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73"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_Toc187662073 \h </w:instrText>
            </w:r>
            <w:r>
              <w:rPr>
                <w:noProof/>
                <w:webHidden/>
              </w:rPr>
            </w:r>
            <w:r>
              <w:rPr>
                <w:noProof/>
                <w:webHidden/>
              </w:rPr>
              <w:fldChar w:fldCharType="separate"/>
            </w:r>
            <w:r>
              <w:rPr>
                <w:noProof/>
                <w:webHidden/>
              </w:rPr>
              <w:t>210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74"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_Toc187662074 \h </w:instrText>
            </w:r>
            <w:r>
              <w:rPr>
                <w:noProof/>
                <w:webHidden/>
              </w:rPr>
            </w:r>
            <w:r>
              <w:rPr>
                <w:noProof/>
                <w:webHidden/>
              </w:rPr>
              <w:fldChar w:fldCharType="separate"/>
            </w:r>
            <w:r>
              <w:rPr>
                <w:noProof/>
                <w:webHidden/>
              </w:rPr>
              <w:t>211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75" w:history="1">
            <w:r w:rsidRPr="007D1F1F">
              <w:rPr>
                <w:rStyle w:val="Hyperlink"/>
                <w:noProof/>
              </w:rPr>
              <w:t>Conclusion</w:t>
            </w:r>
            <w:r>
              <w:rPr>
                <w:noProof/>
                <w:webHidden/>
              </w:rPr>
              <w:tab/>
            </w:r>
            <w:r>
              <w:rPr>
                <w:noProof/>
                <w:webHidden/>
              </w:rPr>
              <w:fldChar w:fldCharType="begin"/>
            </w:r>
            <w:r>
              <w:rPr>
                <w:noProof/>
                <w:webHidden/>
              </w:rPr>
              <w:instrText xml:space="preserve"> PAGEREF _Toc187662075 \h </w:instrText>
            </w:r>
            <w:r>
              <w:rPr>
                <w:noProof/>
                <w:webHidden/>
              </w:rPr>
            </w:r>
            <w:r>
              <w:rPr>
                <w:noProof/>
                <w:webHidden/>
              </w:rPr>
              <w:fldChar w:fldCharType="separate"/>
            </w:r>
            <w:r>
              <w:rPr>
                <w:noProof/>
                <w:webHidden/>
              </w:rPr>
              <w:t>213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76" w:history="1">
            <w:r w:rsidRPr="007D1F1F">
              <w:rPr>
                <w:rStyle w:val="Hyperlink"/>
                <w:noProof/>
              </w:rPr>
              <w:t>Assistance with AAR Applications, Valuation Reports, and Compliance Templates for PE and TIEA</w:t>
            </w:r>
            <w:r>
              <w:rPr>
                <w:noProof/>
                <w:webHidden/>
              </w:rPr>
              <w:tab/>
            </w:r>
            <w:r>
              <w:rPr>
                <w:noProof/>
                <w:webHidden/>
              </w:rPr>
              <w:fldChar w:fldCharType="begin"/>
            </w:r>
            <w:r>
              <w:rPr>
                <w:noProof/>
                <w:webHidden/>
              </w:rPr>
              <w:instrText xml:space="preserve"> PAGEREF _Toc187662076 \h </w:instrText>
            </w:r>
            <w:r>
              <w:rPr>
                <w:noProof/>
                <w:webHidden/>
              </w:rPr>
            </w:r>
            <w:r>
              <w:rPr>
                <w:noProof/>
                <w:webHidden/>
              </w:rPr>
              <w:fldChar w:fldCharType="separate"/>
            </w:r>
            <w:r>
              <w:rPr>
                <w:noProof/>
                <w:webHidden/>
              </w:rPr>
              <w:t>214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77" w:history="1">
            <w:r w:rsidRPr="007D1F1F">
              <w:rPr>
                <w:rStyle w:val="Hyperlink"/>
                <w:noProof/>
              </w:rPr>
              <w:t>I. AAR Application Assistance</w:t>
            </w:r>
            <w:r>
              <w:rPr>
                <w:noProof/>
                <w:webHidden/>
              </w:rPr>
              <w:tab/>
            </w:r>
            <w:r>
              <w:rPr>
                <w:noProof/>
                <w:webHidden/>
              </w:rPr>
              <w:fldChar w:fldCharType="begin"/>
            </w:r>
            <w:r>
              <w:rPr>
                <w:noProof/>
                <w:webHidden/>
              </w:rPr>
              <w:instrText xml:space="preserve"> PAGEREF _Toc187662077 \h </w:instrText>
            </w:r>
            <w:r>
              <w:rPr>
                <w:noProof/>
                <w:webHidden/>
              </w:rPr>
            </w:r>
            <w:r>
              <w:rPr>
                <w:noProof/>
                <w:webHidden/>
              </w:rPr>
              <w:fldChar w:fldCharType="separate"/>
            </w:r>
            <w:r>
              <w:rPr>
                <w:noProof/>
                <w:webHidden/>
              </w:rPr>
              <w:t>214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78" w:history="1">
            <w:r w:rsidRPr="007D1F1F">
              <w:rPr>
                <w:rStyle w:val="Hyperlink"/>
                <w:noProof/>
              </w:rPr>
              <w:t>II. Valuation Report Template</w:t>
            </w:r>
            <w:r>
              <w:rPr>
                <w:noProof/>
                <w:webHidden/>
              </w:rPr>
              <w:tab/>
            </w:r>
            <w:r>
              <w:rPr>
                <w:noProof/>
                <w:webHidden/>
              </w:rPr>
              <w:fldChar w:fldCharType="begin"/>
            </w:r>
            <w:r>
              <w:rPr>
                <w:noProof/>
                <w:webHidden/>
              </w:rPr>
              <w:instrText xml:space="preserve"> PAGEREF _Toc187662078 \h </w:instrText>
            </w:r>
            <w:r>
              <w:rPr>
                <w:noProof/>
                <w:webHidden/>
              </w:rPr>
            </w:r>
            <w:r>
              <w:rPr>
                <w:noProof/>
                <w:webHidden/>
              </w:rPr>
              <w:fldChar w:fldCharType="separate"/>
            </w:r>
            <w:r>
              <w:rPr>
                <w:noProof/>
                <w:webHidden/>
              </w:rPr>
              <w:t>216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79" w:history="1">
            <w:r w:rsidRPr="007D1F1F">
              <w:rPr>
                <w:rStyle w:val="Hyperlink"/>
                <w:noProof/>
              </w:rPr>
              <w:t>III. Compliance Templates for PE and TIEA</w:t>
            </w:r>
            <w:r>
              <w:rPr>
                <w:noProof/>
                <w:webHidden/>
              </w:rPr>
              <w:tab/>
            </w:r>
            <w:r>
              <w:rPr>
                <w:noProof/>
                <w:webHidden/>
              </w:rPr>
              <w:fldChar w:fldCharType="begin"/>
            </w:r>
            <w:r>
              <w:rPr>
                <w:noProof/>
                <w:webHidden/>
              </w:rPr>
              <w:instrText xml:space="preserve"> PAGEREF _Toc187662079 \h </w:instrText>
            </w:r>
            <w:r>
              <w:rPr>
                <w:noProof/>
                <w:webHidden/>
              </w:rPr>
            </w:r>
            <w:r>
              <w:rPr>
                <w:noProof/>
                <w:webHidden/>
              </w:rPr>
              <w:fldChar w:fldCharType="separate"/>
            </w:r>
            <w:r>
              <w:rPr>
                <w:noProof/>
                <w:webHidden/>
              </w:rPr>
              <w:t>217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80" w:history="1">
            <w:r w:rsidRPr="007D1F1F">
              <w:rPr>
                <w:rStyle w:val="Hyperlink"/>
                <w:noProof/>
              </w:rPr>
              <w:t>Would you like further assistance with document finalization, AAR submission steps, or PE-specific compliance?</w:t>
            </w:r>
            <w:r>
              <w:rPr>
                <w:noProof/>
                <w:webHidden/>
              </w:rPr>
              <w:tab/>
            </w:r>
            <w:r>
              <w:rPr>
                <w:noProof/>
                <w:webHidden/>
              </w:rPr>
              <w:fldChar w:fldCharType="begin"/>
            </w:r>
            <w:r>
              <w:rPr>
                <w:noProof/>
                <w:webHidden/>
              </w:rPr>
              <w:instrText xml:space="preserve"> PAGEREF _Toc187662080 \h </w:instrText>
            </w:r>
            <w:r>
              <w:rPr>
                <w:noProof/>
                <w:webHidden/>
              </w:rPr>
            </w:r>
            <w:r>
              <w:rPr>
                <w:noProof/>
                <w:webHidden/>
              </w:rPr>
              <w:fldChar w:fldCharType="separate"/>
            </w:r>
            <w:r>
              <w:rPr>
                <w:noProof/>
                <w:webHidden/>
              </w:rPr>
              <w:t>219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81" w:history="1">
            <w:r w:rsidRPr="007D1F1F">
              <w:rPr>
                <w:rStyle w:val="Hyperlink"/>
                <w:noProof/>
              </w:rPr>
              <w:t>Detailed Assistance: Document Finalization, AAR Submission Steps, and PE-Specific Compliance</w:t>
            </w:r>
            <w:r>
              <w:rPr>
                <w:noProof/>
                <w:webHidden/>
              </w:rPr>
              <w:tab/>
            </w:r>
            <w:r>
              <w:rPr>
                <w:noProof/>
                <w:webHidden/>
              </w:rPr>
              <w:fldChar w:fldCharType="begin"/>
            </w:r>
            <w:r>
              <w:rPr>
                <w:noProof/>
                <w:webHidden/>
              </w:rPr>
              <w:instrText xml:space="preserve"> PAGEREF _Toc187662081 \h </w:instrText>
            </w:r>
            <w:r>
              <w:rPr>
                <w:noProof/>
                <w:webHidden/>
              </w:rPr>
            </w:r>
            <w:r>
              <w:rPr>
                <w:noProof/>
                <w:webHidden/>
              </w:rPr>
              <w:fldChar w:fldCharType="separate"/>
            </w:r>
            <w:r>
              <w:rPr>
                <w:noProof/>
                <w:webHidden/>
              </w:rPr>
              <w:t>219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82" w:history="1">
            <w:r w:rsidRPr="007D1F1F">
              <w:rPr>
                <w:rStyle w:val="Hyperlink"/>
                <w:noProof/>
              </w:rPr>
              <w:t>I. Finalizing Documents</w:t>
            </w:r>
            <w:r>
              <w:rPr>
                <w:noProof/>
                <w:webHidden/>
              </w:rPr>
              <w:tab/>
            </w:r>
            <w:r>
              <w:rPr>
                <w:noProof/>
                <w:webHidden/>
              </w:rPr>
              <w:fldChar w:fldCharType="begin"/>
            </w:r>
            <w:r>
              <w:rPr>
                <w:noProof/>
                <w:webHidden/>
              </w:rPr>
              <w:instrText xml:space="preserve"> PAGEREF _Toc187662082 \h </w:instrText>
            </w:r>
            <w:r>
              <w:rPr>
                <w:noProof/>
                <w:webHidden/>
              </w:rPr>
            </w:r>
            <w:r>
              <w:rPr>
                <w:noProof/>
                <w:webHidden/>
              </w:rPr>
              <w:fldChar w:fldCharType="separate"/>
            </w:r>
            <w:r>
              <w:rPr>
                <w:noProof/>
                <w:webHidden/>
              </w:rPr>
              <w:t>219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83" w:history="1">
            <w:r w:rsidRPr="007D1F1F">
              <w:rPr>
                <w:rStyle w:val="Hyperlink"/>
                <w:noProof/>
              </w:rPr>
              <w:t>II. Steps for AAR Submission</w:t>
            </w:r>
            <w:r>
              <w:rPr>
                <w:noProof/>
                <w:webHidden/>
              </w:rPr>
              <w:tab/>
            </w:r>
            <w:r>
              <w:rPr>
                <w:noProof/>
                <w:webHidden/>
              </w:rPr>
              <w:fldChar w:fldCharType="begin"/>
            </w:r>
            <w:r>
              <w:rPr>
                <w:noProof/>
                <w:webHidden/>
              </w:rPr>
              <w:instrText xml:space="preserve"> PAGEREF _Toc187662083 \h </w:instrText>
            </w:r>
            <w:r>
              <w:rPr>
                <w:noProof/>
                <w:webHidden/>
              </w:rPr>
            </w:r>
            <w:r>
              <w:rPr>
                <w:noProof/>
                <w:webHidden/>
              </w:rPr>
              <w:fldChar w:fldCharType="separate"/>
            </w:r>
            <w:r>
              <w:rPr>
                <w:noProof/>
                <w:webHidden/>
              </w:rPr>
              <w:t>221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84" w:history="1">
            <w:r w:rsidRPr="007D1F1F">
              <w:rPr>
                <w:rStyle w:val="Hyperlink"/>
                <w:noProof/>
              </w:rPr>
              <w:t>III. PE-Specific Compliance</w:t>
            </w:r>
            <w:r>
              <w:rPr>
                <w:noProof/>
                <w:webHidden/>
              </w:rPr>
              <w:tab/>
            </w:r>
            <w:r>
              <w:rPr>
                <w:noProof/>
                <w:webHidden/>
              </w:rPr>
              <w:fldChar w:fldCharType="begin"/>
            </w:r>
            <w:r>
              <w:rPr>
                <w:noProof/>
                <w:webHidden/>
              </w:rPr>
              <w:instrText xml:space="preserve"> PAGEREF _Toc187662084 \h </w:instrText>
            </w:r>
            <w:r>
              <w:rPr>
                <w:noProof/>
                <w:webHidden/>
              </w:rPr>
            </w:r>
            <w:r>
              <w:rPr>
                <w:noProof/>
                <w:webHidden/>
              </w:rPr>
              <w:fldChar w:fldCharType="separate"/>
            </w:r>
            <w:r>
              <w:rPr>
                <w:noProof/>
                <w:webHidden/>
              </w:rPr>
              <w:t>221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85" w:history="1">
            <w:r w:rsidRPr="007D1F1F">
              <w:rPr>
                <w:rStyle w:val="Hyperlink"/>
                <w:noProof/>
              </w:rPr>
              <w:t>IV. TIEA Compliance</w:t>
            </w:r>
            <w:r>
              <w:rPr>
                <w:noProof/>
                <w:webHidden/>
              </w:rPr>
              <w:tab/>
            </w:r>
            <w:r>
              <w:rPr>
                <w:noProof/>
                <w:webHidden/>
              </w:rPr>
              <w:fldChar w:fldCharType="begin"/>
            </w:r>
            <w:r>
              <w:rPr>
                <w:noProof/>
                <w:webHidden/>
              </w:rPr>
              <w:instrText xml:space="preserve"> PAGEREF _Toc187662085 \h </w:instrText>
            </w:r>
            <w:r>
              <w:rPr>
                <w:noProof/>
                <w:webHidden/>
              </w:rPr>
            </w:r>
            <w:r>
              <w:rPr>
                <w:noProof/>
                <w:webHidden/>
              </w:rPr>
              <w:fldChar w:fldCharType="separate"/>
            </w:r>
            <w:r>
              <w:rPr>
                <w:noProof/>
                <w:webHidden/>
              </w:rPr>
              <w:t>222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86" w:history="1">
            <w:r w:rsidRPr="007D1F1F">
              <w:rPr>
                <w:rStyle w:val="Hyperlink"/>
                <w:noProof/>
              </w:rPr>
              <w:t>Would you like detailed assistance in drafting any specific document or a review of completed drafts? Let me know!</w:t>
            </w:r>
            <w:r>
              <w:rPr>
                <w:noProof/>
                <w:webHidden/>
              </w:rPr>
              <w:tab/>
            </w:r>
            <w:r>
              <w:rPr>
                <w:noProof/>
                <w:webHidden/>
              </w:rPr>
              <w:fldChar w:fldCharType="begin"/>
            </w:r>
            <w:r>
              <w:rPr>
                <w:noProof/>
                <w:webHidden/>
              </w:rPr>
              <w:instrText xml:space="preserve"> PAGEREF _Toc187662086 \h </w:instrText>
            </w:r>
            <w:r>
              <w:rPr>
                <w:noProof/>
                <w:webHidden/>
              </w:rPr>
            </w:r>
            <w:r>
              <w:rPr>
                <w:noProof/>
                <w:webHidden/>
              </w:rPr>
              <w:fldChar w:fldCharType="separate"/>
            </w:r>
            <w:r>
              <w:rPr>
                <w:noProof/>
                <w:webHidden/>
              </w:rPr>
              <w:t>223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87" w:history="1">
            <w:r w:rsidRPr="007D1F1F">
              <w:rPr>
                <w:rStyle w:val="Hyperlink"/>
                <w:noProof/>
              </w:rPr>
              <w:t>Detailed Assistance: Drafting and Reviewing Specific Documents</w:t>
            </w:r>
            <w:r>
              <w:rPr>
                <w:noProof/>
                <w:webHidden/>
              </w:rPr>
              <w:tab/>
            </w:r>
            <w:r>
              <w:rPr>
                <w:noProof/>
                <w:webHidden/>
              </w:rPr>
              <w:fldChar w:fldCharType="begin"/>
            </w:r>
            <w:r>
              <w:rPr>
                <w:noProof/>
                <w:webHidden/>
              </w:rPr>
              <w:instrText xml:space="preserve"> PAGEREF _Toc187662087 \h </w:instrText>
            </w:r>
            <w:r>
              <w:rPr>
                <w:noProof/>
                <w:webHidden/>
              </w:rPr>
            </w:r>
            <w:r>
              <w:rPr>
                <w:noProof/>
                <w:webHidden/>
              </w:rPr>
              <w:fldChar w:fldCharType="separate"/>
            </w:r>
            <w:r>
              <w:rPr>
                <w:noProof/>
                <w:webHidden/>
              </w:rPr>
              <w:t>223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88" w:history="1">
            <w:r w:rsidRPr="007D1F1F">
              <w:rPr>
                <w:rStyle w:val="Hyperlink"/>
                <w:noProof/>
              </w:rPr>
              <w:t>I. Drafting Specific Documents</w:t>
            </w:r>
            <w:r>
              <w:rPr>
                <w:noProof/>
                <w:webHidden/>
              </w:rPr>
              <w:tab/>
            </w:r>
            <w:r>
              <w:rPr>
                <w:noProof/>
                <w:webHidden/>
              </w:rPr>
              <w:fldChar w:fldCharType="begin"/>
            </w:r>
            <w:r>
              <w:rPr>
                <w:noProof/>
                <w:webHidden/>
              </w:rPr>
              <w:instrText xml:space="preserve"> PAGEREF _Toc187662088 \h </w:instrText>
            </w:r>
            <w:r>
              <w:rPr>
                <w:noProof/>
                <w:webHidden/>
              </w:rPr>
            </w:r>
            <w:r>
              <w:rPr>
                <w:noProof/>
                <w:webHidden/>
              </w:rPr>
              <w:fldChar w:fldCharType="separate"/>
            </w:r>
            <w:r>
              <w:rPr>
                <w:noProof/>
                <w:webHidden/>
              </w:rPr>
              <w:t>223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89" w:history="1">
            <w:r w:rsidRPr="007D1F1F">
              <w:rPr>
                <w:rStyle w:val="Hyperlink"/>
                <w:noProof/>
              </w:rPr>
              <w:t>IV. Review Steps</w:t>
            </w:r>
            <w:r>
              <w:rPr>
                <w:noProof/>
                <w:webHidden/>
              </w:rPr>
              <w:tab/>
            </w:r>
            <w:r>
              <w:rPr>
                <w:noProof/>
                <w:webHidden/>
              </w:rPr>
              <w:fldChar w:fldCharType="begin"/>
            </w:r>
            <w:r>
              <w:rPr>
                <w:noProof/>
                <w:webHidden/>
              </w:rPr>
              <w:instrText xml:space="preserve"> PAGEREF _Toc187662089 \h </w:instrText>
            </w:r>
            <w:r>
              <w:rPr>
                <w:noProof/>
                <w:webHidden/>
              </w:rPr>
            </w:r>
            <w:r>
              <w:rPr>
                <w:noProof/>
                <w:webHidden/>
              </w:rPr>
              <w:fldChar w:fldCharType="separate"/>
            </w:r>
            <w:r>
              <w:rPr>
                <w:noProof/>
                <w:webHidden/>
              </w:rPr>
              <w:t>228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90" w:history="1">
            <w:r w:rsidRPr="007D1F1F">
              <w:rPr>
                <w:rStyle w:val="Hyperlink"/>
                <w:noProof/>
              </w:rPr>
              <w:t>Case Study: Tax and Compliance Challenges for BrightPower Pvt. Ltd.</w:t>
            </w:r>
            <w:r>
              <w:rPr>
                <w:noProof/>
                <w:webHidden/>
              </w:rPr>
              <w:tab/>
            </w:r>
            <w:r>
              <w:rPr>
                <w:noProof/>
                <w:webHidden/>
              </w:rPr>
              <w:fldChar w:fldCharType="begin"/>
            </w:r>
            <w:r>
              <w:rPr>
                <w:noProof/>
                <w:webHidden/>
              </w:rPr>
              <w:instrText xml:space="preserve"> PAGEREF _Toc187662090 \h </w:instrText>
            </w:r>
            <w:r>
              <w:rPr>
                <w:noProof/>
                <w:webHidden/>
              </w:rPr>
            </w:r>
            <w:r>
              <w:rPr>
                <w:noProof/>
                <w:webHidden/>
              </w:rPr>
              <w:fldChar w:fldCharType="separate"/>
            </w:r>
            <w:r>
              <w:rPr>
                <w:noProof/>
                <w:webHidden/>
              </w:rPr>
              <w:t>229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91" w:history="1">
            <w:r w:rsidRPr="007D1F1F">
              <w:rPr>
                <w:rStyle w:val="Hyperlink"/>
                <w:noProof/>
              </w:rPr>
              <w:t>Background</w:t>
            </w:r>
            <w:r>
              <w:rPr>
                <w:noProof/>
                <w:webHidden/>
              </w:rPr>
              <w:tab/>
            </w:r>
            <w:r>
              <w:rPr>
                <w:noProof/>
                <w:webHidden/>
              </w:rPr>
              <w:fldChar w:fldCharType="begin"/>
            </w:r>
            <w:r>
              <w:rPr>
                <w:noProof/>
                <w:webHidden/>
              </w:rPr>
              <w:instrText xml:space="preserve"> PAGEREF _Toc187662091 \h </w:instrText>
            </w:r>
            <w:r>
              <w:rPr>
                <w:noProof/>
                <w:webHidden/>
              </w:rPr>
            </w:r>
            <w:r>
              <w:rPr>
                <w:noProof/>
                <w:webHidden/>
              </w:rPr>
              <w:fldChar w:fldCharType="separate"/>
            </w:r>
            <w:r>
              <w:rPr>
                <w:noProof/>
                <w:webHidden/>
              </w:rPr>
              <w:t>229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92" w:history="1">
            <w:r w:rsidRPr="007D1F1F">
              <w:rPr>
                <w:rStyle w:val="Hyperlink"/>
                <w:noProof/>
              </w:rPr>
              <w:t>Transactions</w:t>
            </w:r>
            <w:r>
              <w:rPr>
                <w:noProof/>
                <w:webHidden/>
              </w:rPr>
              <w:tab/>
            </w:r>
            <w:r>
              <w:rPr>
                <w:noProof/>
                <w:webHidden/>
              </w:rPr>
              <w:fldChar w:fldCharType="begin"/>
            </w:r>
            <w:r>
              <w:rPr>
                <w:noProof/>
                <w:webHidden/>
              </w:rPr>
              <w:instrText xml:space="preserve"> PAGEREF _Toc187662092 \h </w:instrText>
            </w:r>
            <w:r>
              <w:rPr>
                <w:noProof/>
                <w:webHidden/>
              </w:rPr>
            </w:r>
            <w:r>
              <w:rPr>
                <w:noProof/>
                <w:webHidden/>
              </w:rPr>
              <w:fldChar w:fldCharType="separate"/>
            </w:r>
            <w:r>
              <w:rPr>
                <w:noProof/>
                <w:webHidden/>
              </w:rPr>
              <w:t>229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93" w:history="1">
            <w:r w:rsidRPr="007D1F1F">
              <w:rPr>
                <w:rStyle w:val="Hyperlink"/>
                <w:noProof/>
              </w:rPr>
              <w:t>Key Issues</w:t>
            </w:r>
            <w:r>
              <w:rPr>
                <w:noProof/>
                <w:webHidden/>
              </w:rPr>
              <w:tab/>
            </w:r>
            <w:r>
              <w:rPr>
                <w:noProof/>
                <w:webHidden/>
              </w:rPr>
              <w:fldChar w:fldCharType="begin"/>
            </w:r>
            <w:r>
              <w:rPr>
                <w:noProof/>
                <w:webHidden/>
              </w:rPr>
              <w:instrText xml:space="preserve"> PAGEREF _Toc187662093 \h </w:instrText>
            </w:r>
            <w:r>
              <w:rPr>
                <w:noProof/>
                <w:webHidden/>
              </w:rPr>
            </w:r>
            <w:r>
              <w:rPr>
                <w:noProof/>
                <w:webHidden/>
              </w:rPr>
              <w:fldChar w:fldCharType="separate"/>
            </w:r>
            <w:r>
              <w:rPr>
                <w:noProof/>
                <w:webHidden/>
              </w:rPr>
              <w:t>230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94"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_Toc187662094 \h </w:instrText>
            </w:r>
            <w:r>
              <w:rPr>
                <w:noProof/>
                <w:webHidden/>
              </w:rPr>
            </w:r>
            <w:r>
              <w:rPr>
                <w:noProof/>
                <w:webHidden/>
              </w:rPr>
              <w:fldChar w:fldCharType="separate"/>
            </w:r>
            <w:r>
              <w:rPr>
                <w:noProof/>
                <w:webHidden/>
              </w:rPr>
              <w:t>231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95"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_Toc187662095 \h </w:instrText>
            </w:r>
            <w:r>
              <w:rPr>
                <w:noProof/>
                <w:webHidden/>
              </w:rPr>
            </w:r>
            <w:r>
              <w:rPr>
                <w:noProof/>
                <w:webHidden/>
              </w:rPr>
              <w:fldChar w:fldCharType="separate"/>
            </w:r>
            <w:r>
              <w:rPr>
                <w:noProof/>
                <w:webHidden/>
              </w:rPr>
              <w:t>232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96" w:history="1">
            <w:r w:rsidRPr="007D1F1F">
              <w:rPr>
                <w:rStyle w:val="Hyperlink"/>
                <w:noProof/>
              </w:rPr>
              <w:t>Conclusion</w:t>
            </w:r>
            <w:r>
              <w:rPr>
                <w:noProof/>
                <w:webHidden/>
              </w:rPr>
              <w:tab/>
            </w:r>
            <w:r>
              <w:rPr>
                <w:noProof/>
                <w:webHidden/>
              </w:rPr>
              <w:fldChar w:fldCharType="begin"/>
            </w:r>
            <w:r>
              <w:rPr>
                <w:noProof/>
                <w:webHidden/>
              </w:rPr>
              <w:instrText xml:space="preserve"> PAGEREF _Toc187662096 \h </w:instrText>
            </w:r>
            <w:r>
              <w:rPr>
                <w:noProof/>
                <w:webHidden/>
              </w:rPr>
            </w:r>
            <w:r>
              <w:rPr>
                <w:noProof/>
                <w:webHidden/>
              </w:rPr>
              <w:fldChar w:fldCharType="separate"/>
            </w:r>
            <w:r>
              <w:rPr>
                <w:noProof/>
                <w:webHidden/>
              </w:rPr>
              <w:t>234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97" w:history="1">
            <w:r w:rsidRPr="007D1F1F">
              <w:rPr>
                <w:rStyle w:val="Hyperlink"/>
                <w:noProof/>
              </w:rPr>
              <w:t>Assistance with CbC Filing Formats, PE-Specific Compliance Templates, and Document Customization</w:t>
            </w:r>
            <w:r>
              <w:rPr>
                <w:noProof/>
                <w:webHidden/>
              </w:rPr>
              <w:tab/>
            </w:r>
            <w:r>
              <w:rPr>
                <w:noProof/>
                <w:webHidden/>
              </w:rPr>
              <w:fldChar w:fldCharType="begin"/>
            </w:r>
            <w:r>
              <w:rPr>
                <w:noProof/>
                <w:webHidden/>
              </w:rPr>
              <w:instrText xml:space="preserve"> PAGEREF _Toc187662097 \h </w:instrText>
            </w:r>
            <w:r>
              <w:rPr>
                <w:noProof/>
                <w:webHidden/>
              </w:rPr>
            </w:r>
            <w:r>
              <w:rPr>
                <w:noProof/>
                <w:webHidden/>
              </w:rPr>
              <w:fldChar w:fldCharType="separate"/>
            </w:r>
            <w:r>
              <w:rPr>
                <w:noProof/>
                <w:webHidden/>
              </w:rPr>
              <w:t>235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98" w:history="1">
            <w:r w:rsidRPr="007D1F1F">
              <w:rPr>
                <w:rStyle w:val="Hyperlink"/>
                <w:noProof/>
              </w:rPr>
              <w:t>I. CbC Filing Formats</w:t>
            </w:r>
            <w:r>
              <w:rPr>
                <w:noProof/>
                <w:webHidden/>
              </w:rPr>
              <w:tab/>
            </w:r>
            <w:r>
              <w:rPr>
                <w:noProof/>
                <w:webHidden/>
              </w:rPr>
              <w:fldChar w:fldCharType="begin"/>
            </w:r>
            <w:r>
              <w:rPr>
                <w:noProof/>
                <w:webHidden/>
              </w:rPr>
              <w:instrText xml:space="preserve"> PAGEREF _Toc187662098 \h </w:instrText>
            </w:r>
            <w:r>
              <w:rPr>
                <w:noProof/>
                <w:webHidden/>
              </w:rPr>
            </w:r>
            <w:r>
              <w:rPr>
                <w:noProof/>
                <w:webHidden/>
              </w:rPr>
              <w:fldChar w:fldCharType="separate"/>
            </w:r>
            <w:r>
              <w:rPr>
                <w:noProof/>
                <w:webHidden/>
              </w:rPr>
              <w:t>235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099" w:history="1">
            <w:r w:rsidRPr="007D1F1F">
              <w:rPr>
                <w:rStyle w:val="Hyperlink"/>
                <w:noProof/>
              </w:rPr>
              <w:t>II. Permanent Establishment (PE) Compliance Templates</w:t>
            </w:r>
            <w:r>
              <w:rPr>
                <w:noProof/>
                <w:webHidden/>
              </w:rPr>
              <w:tab/>
            </w:r>
            <w:r>
              <w:rPr>
                <w:noProof/>
                <w:webHidden/>
              </w:rPr>
              <w:fldChar w:fldCharType="begin"/>
            </w:r>
            <w:r>
              <w:rPr>
                <w:noProof/>
                <w:webHidden/>
              </w:rPr>
              <w:instrText xml:space="preserve"> PAGEREF _Toc187662099 \h </w:instrText>
            </w:r>
            <w:r>
              <w:rPr>
                <w:noProof/>
                <w:webHidden/>
              </w:rPr>
            </w:r>
            <w:r>
              <w:rPr>
                <w:noProof/>
                <w:webHidden/>
              </w:rPr>
              <w:fldChar w:fldCharType="separate"/>
            </w:r>
            <w:r>
              <w:rPr>
                <w:noProof/>
                <w:webHidden/>
              </w:rPr>
              <w:t>236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00" w:history="1">
            <w:r w:rsidRPr="007D1F1F">
              <w:rPr>
                <w:rStyle w:val="Hyperlink"/>
                <w:noProof/>
              </w:rPr>
              <w:t>III. Customization of Documents</w:t>
            </w:r>
            <w:r>
              <w:rPr>
                <w:noProof/>
                <w:webHidden/>
              </w:rPr>
              <w:tab/>
            </w:r>
            <w:r>
              <w:rPr>
                <w:noProof/>
                <w:webHidden/>
              </w:rPr>
              <w:fldChar w:fldCharType="begin"/>
            </w:r>
            <w:r>
              <w:rPr>
                <w:noProof/>
                <w:webHidden/>
              </w:rPr>
              <w:instrText xml:space="preserve"> PAGEREF _Toc187662100 \h </w:instrText>
            </w:r>
            <w:r>
              <w:rPr>
                <w:noProof/>
                <w:webHidden/>
              </w:rPr>
            </w:r>
            <w:r>
              <w:rPr>
                <w:noProof/>
                <w:webHidden/>
              </w:rPr>
              <w:fldChar w:fldCharType="separate"/>
            </w:r>
            <w:r>
              <w:rPr>
                <w:noProof/>
                <w:webHidden/>
              </w:rPr>
              <w:t>237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01" w:history="1">
            <w:r w:rsidRPr="007D1F1F">
              <w:rPr>
                <w:rStyle w:val="Hyperlink"/>
                <w:noProof/>
              </w:rPr>
              <w:t>Case Study: Tax and Compliance Challenges for SolarBright Pvt. Ltd.</w:t>
            </w:r>
            <w:r>
              <w:rPr>
                <w:noProof/>
                <w:webHidden/>
              </w:rPr>
              <w:tab/>
            </w:r>
            <w:r>
              <w:rPr>
                <w:noProof/>
                <w:webHidden/>
              </w:rPr>
              <w:fldChar w:fldCharType="begin"/>
            </w:r>
            <w:r>
              <w:rPr>
                <w:noProof/>
                <w:webHidden/>
              </w:rPr>
              <w:instrText xml:space="preserve"> PAGEREF _Toc187662101 \h </w:instrText>
            </w:r>
            <w:r>
              <w:rPr>
                <w:noProof/>
                <w:webHidden/>
              </w:rPr>
            </w:r>
            <w:r>
              <w:rPr>
                <w:noProof/>
                <w:webHidden/>
              </w:rPr>
              <w:fldChar w:fldCharType="separate"/>
            </w:r>
            <w:r>
              <w:rPr>
                <w:noProof/>
                <w:webHidden/>
              </w:rPr>
              <w:t>240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02" w:history="1">
            <w:r w:rsidRPr="007D1F1F">
              <w:rPr>
                <w:rStyle w:val="Hyperlink"/>
                <w:noProof/>
              </w:rPr>
              <w:t>Background</w:t>
            </w:r>
            <w:r>
              <w:rPr>
                <w:noProof/>
                <w:webHidden/>
              </w:rPr>
              <w:tab/>
            </w:r>
            <w:r>
              <w:rPr>
                <w:noProof/>
                <w:webHidden/>
              </w:rPr>
              <w:fldChar w:fldCharType="begin"/>
            </w:r>
            <w:r>
              <w:rPr>
                <w:noProof/>
                <w:webHidden/>
              </w:rPr>
              <w:instrText xml:space="preserve"> PAGEREF _Toc187662102 \h </w:instrText>
            </w:r>
            <w:r>
              <w:rPr>
                <w:noProof/>
                <w:webHidden/>
              </w:rPr>
            </w:r>
            <w:r>
              <w:rPr>
                <w:noProof/>
                <w:webHidden/>
              </w:rPr>
              <w:fldChar w:fldCharType="separate"/>
            </w:r>
            <w:r>
              <w:rPr>
                <w:noProof/>
                <w:webHidden/>
              </w:rPr>
              <w:t>240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03" w:history="1">
            <w:r w:rsidRPr="007D1F1F">
              <w:rPr>
                <w:rStyle w:val="Hyperlink"/>
                <w:noProof/>
              </w:rPr>
              <w:t>Transactions</w:t>
            </w:r>
            <w:r>
              <w:rPr>
                <w:noProof/>
                <w:webHidden/>
              </w:rPr>
              <w:tab/>
            </w:r>
            <w:r>
              <w:rPr>
                <w:noProof/>
                <w:webHidden/>
              </w:rPr>
              <w:fldChar w:fldCharType="begin"/>
            </w:r>
            <w:r>
              <w:rPr>
                <w:noProof/>
                <w:webHidden/>
              </w:rPr>
              <w:instrText xml:space="preserve"> PAGEREF _Toc187662103 \h </w:instrText>
            </w:r>
            <w:r>
              <w:rPr>
                <w:noProof/>
                <w:webHidden/>
              </w:rPr>
            </w:r>
            <w:r>
              <w:rPr>
                <w:noProof/>
                <w:webHidden/>
              </w:rPr>
              <w:fldChar w:fldCharType="separate"/>
            </w:r>
            <w:r>
              <w:rPr>
                <w:noProof/>
                <w:webHidden/>
              </w:rPr>
              <w:t>240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04" w:history="1">
            <w:r w:rsidRPr="007D1F1F">
              <w:rPr>
                <w:rStyle w:val="Hyperlink"/>
                <w:noProof/>
              </w:rPr>
              <w:t>Key Issues</w:t>
            </w:r>
            <w:r>
              <w:rPr>
                <w:noProof/>
                <w:webHidden/>
              </w:rPr>
              <w:tab/>
            </w:r>
            <w:r>
              <w:rPr>
                <w:noProof/>
                <w:webHidden/>
              </w:rPr>
              <w:fldChar w:fldCharType="begin"/>
            </w:r>
            <w:r>
              <w:rPr>
                <w:noProof/>
                <w:webHidden/>
              </w:rPr>
              <w:instrText xml:space="preserve"> PAGEREF _Toc187662104 \h </w:instrText>
            </w:r>
            <w:r>
              <w:rPr>
                <w:noProof/>
                <w:webHidden/>
              </w:rPr>
            </w:r>
            <w:r>
              <w:rPr>
                <w:noProof/>
                <w:webHidden/>
              </w:rPr>
              <w:fldChar w:fldCharType="separate"/>
            </w:r>
            <w:r>
              <w:rPr>
                <w:noProof/>
                <w:webHidden/>
              </w:rPr>
              <w:t>241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05"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_Toc187662105 \h </w:instrText>
            </w:r>
            <w:r>
              <w:rPr>
                <w:noProof/>
                <w:webHidden/>
              </w:rPr>
            </w:r>
            <w:r>
              <w:rPr>
                <w:noProof/>
                <w:webHidden/>
              </w:rPr>
              <w:fldChar w:fldCharType="separate"/>
            </w:r>
            <w:r>
              <w:rPr>
                <w:noProof/>
                <w:webHidden/>
              </w:rPr>
              <w:t>242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06"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_Toc187662106 \h </w:instrText>
            </w:r>
            <w:r>
              <w:rPr>
                <w:noProof/>
                <w:webHidden/>
              </w:rPr>
            </w:r>
            <w:r>
              <w:rPr>
                <w:noProof/>
                <w:webHidden/>
              </w:rPr>
              <w:fldChar w:fldCharType="separate"/>
            </w:r>
            <w:r>
              <w:rPr>
                <w:noProof/>
                <w:webHidden/>
              </w:rPr>
              <w:t>243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07" w:history="1">
            <w:r w:rsidRPr="007D1F1F">
              <w:rPr>
                <w:rStyle w:val="Hyperlink"/>
                <w:noProof/>
              </w:rPr>
              <w:t>Conclusion</w:t>
            </w:r>
            <w:r>
              <w:rPr>
                <w:noProof/>
                <w:webHidden/>
              </w:rPr>
              <w:tab/>
            </w:r>
            <w:r>
              <w:rPr>
                <w:noProof/>
                <w:webHidden/>
              </w:rPr>
              <w:fldChar w:fldCharType="begin"/>
            </w:r>
            <w:r>
              <w:rPr>
                <w:noProof/>
                <w:webHidden/>
              </w:rPr>
              <w:instrText xml:space="preserve"> PAGEREF _Toc187662107 \h </w:instrText>
            </w:r>
            <w:r>
              <w:rPr>
                <w:noProof/>
                <w:webHidden/>
              </w:rPr>
            </w:r>
            <w:r>
              <w:rPr>
                <w:noProof/>
                <w:webHidden/>
              </w:rPr>
              <w:fldChar w:fldCharType="separate"/>
            </w:r>
            <w:r>
              <w:rPr>
                <w:noProof/>
                <w:webHidden/>
              </w:rPr>
              <w:t>245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08" w:history="1">
            <w:r w:rsidRPr="007D1F1F">
              <w:rPr>
                <w:rStyle w:val="Hyperlink"/>
                <w:noProof/>
              </w:rPr>
              <w:t>Assistance with AAR Application, TP Documentation, and Compliance Templates for WHT, PE, and CbC Reporting</w:t>
            </w:r>
            <w:r>
              <w:rPr>
                <w:noProof/>
                <w:webHidden/>
              </w:rPr>
              <w:tab/>
            </w:r>
            <w:r>
              <w:rPr>
                <w:noProof/>
                <w:webHidden/>
              </w:rPr>
              <w:fldChar w:fldCharType="begin"/>
            </w:r>
            <w:r>
              <w:rPr>
                <w:noProof/>
                <w:webHidden/>
              </w:rPr>
              <w:instrText xml:space="preserve"> PAGEREF _Toc187662108 \h </w:instrText>
            </w:r>
            <w:r>
              <w:rPr>
                <w:noProof/>
                <w:webHidden/>
              </w:rPr>
            </w:r>
            <w:r>
              <w:rPr>
                <w:noProof/>
                <w:webHidden/>
              </w:rPr>
              <w:fldChar w:fldCharType="separate"/>
            </w:r>
            <w:r>
              <w:rPr>
                <w:noProof/>
                <w:webHidden/>
              </w:rPr>
              <w:t>246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09" w:history="1">
            <w:r w:rsidRPr="007D1F1F">
              <w:rPr>
                <w:rStyle w:val="Hyperlink"/>
                <w:noProof/>
              </w:rPr>
              <w:t>I. AAR Application Drafting</w:t>
            </w:r>
            <w:r>
              <w:rPr>
                <w:noProof/>
                <w:webHidden/>
              </w:rPr>
              <w:tab/>
            </w:r>
            <w:r>
              <w:rPr>
                <w:noProof/>
                <w:webHidden/>
              </w:rPr>
              <w:fldChar w:fldCharType="begin"/>
            </w:r>
            <w:r>
              <w:rPr>
                <w:noProof/>
                <w:webHidden/>
              </w:rPr>
              <w:instrText xml:space="preserve"> PAGEREF _Toc187662109 \h </w:instrText>
            </w:r>
            <w:r>
              <w:rPr>
                <w:noProof/>
                <w:webHidden/>
              </w:rPr>
            </w:r>
            <w:r>
              <w:rPr>
                <w:noProof/>
                <w:webHidden/>
              </w:rPr>
              <w:fldChar w:fldCharType="separate"/>
            </w:r>
            <w:r>
              <w:rPr>
                <w:noProof/>
                <w:webHidden/>
              </w:rPr>
              <w:t>246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10" w:history="1">
            <w:r w:rsidRPr="007D1F1F">
              <w:rPr>
                <w:rStyle w:val="Hyperlink"/>
                <w:noProof/>
              </w:rPr>
              <w:t>II. Transfer Pricing (TP) Documentation</w:t>
            </w:r>
            <w:r>
              <w:rPr>
                <w:noProof/>
                <w:webHidden/>
              </w:rPr>
              <w:tab/>
            </w:r>
            <w:r>
              <w:rPr>
                <w:noProof/>
                <w:webHidden/>
              </w:rPr>
              <w:fldChar w:fldCharType="begin"/>
            </w:r>
            <w:r>
              <w:rPr>
                <w:noProof/>
                <w:webHidden/>
              </w:rPr>
              <w:instrText xml:space="preserve"> PAGEREF _Toc187662110 \h </w:instrText>
            </w:r>
            <w:r>
              <w:rPr>
                <w:noProof/>
                <w:webHidden/>
              </w:rPr>
            </w:r>
            <w:r>
              <w:rPr>
                <w:noProof/>
                <w:webHidden/>
              </w:rPr>
              <w:fldChar w:fldCharType="separate"/>
            </w:r>
            <w:r>
              <w:rPr>
                <w:noProof/>
                <w:webHidden/>
              </w:rPr>
              <w:t>247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11" w:history="1">
            <w:r w:rsidRPr="007D1F1F">
              <w:rPr>
                <w:rStyle w:val="Hyperlink"/>
                <w:noProof/>
              </w:rPr>
              <w:t>III. Compliance Templates</w:t>
            </w:r>
            <w:r>
              <w:rPr>
                <w:noProof/>
                <w:webHidden/>
              </w:rPr>
              <w:tab/>
            </w:r>
            <w:r>
              <w:rPr>
                <w:noProof/>
                <w:webHidden/>
              </w:rPr>
              <w:fldChar w:fldCharType="begin"/>
            </w:r>
            <w:r>
              <w:rPr>
                <w:noProof/>
                <w:webHidden/>
              </w:rPr>
              <w:instrText xml:space="preserve"> PAGEREF _Toc187662111 \h </w:instrText>
            </w:r>
            <w:r>
              <w:rPr>
                <w:noProof/>
                <w:webHidden/>
              </w:rPr>
            </w:r>
            <w:r>
              <w:rPr>
                <w:noProof/>
                <w:webHidden/>
              </w:rPr>
              <w:fldChar w:fldCharType="separate"/>
            </w:r>
            <w:r>
              <w:rPr>
                <w:noProof/>
                <w:webHidden/>
              </w:rPr>
              <w:t>248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12" w:history="1">
            <w:r w:rsidRPr="007D1F1F">
              <w:rPr>
                <w:rStyle w:val="Hyperlink"/>
                <w:noProof/>
              </w:rPr>
              <w:t>Case Study: Tax and Compliance Challenges for GlobalSolar Pvt. Ltd.</w:t>
            </w:r>
            <w:r>
              <w:rPr>
                <w:noProof/>
                <w:webHidden/>
              </w:rPr>
              <w:tab/>
            </w:r>
            <w:r>
              <w:rPr>
                <w:noProof/>
                <w:webHidden/>
              </w:rPr>
              <w:fldChar w:fldCharType="begin"/>
            </w:r>
            <w:r>
              <w:rPr>
                <w:noProof/>
                <w:webHidden/>
              </w:rPr>
              <w:instrText xml:space="preserve"> PAGEREF _Toc187662112 \h </w:instrText>
            </w:r>
            <w:r>
              <w:rPr>
                <w:noProof/>
                <w:webHidden/>
              </w:rPr>
            </w:r>
            <w:r>
              <w:rPr>
                <w:noProof/>
                <w:webHidden/>
              </w:rPr>
              <w:fldChar w:fldCharType="separate"/>
            </w:r>
            <w:r>
              <w:rPr>
                <w:noProof/>
                <w:webHidden/>
              </w:rPr>
              <w:t>251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13" w:history="1">
            <w:r w:rsidRPr="007D1F1F">
              <w:rPr>
                <w:rStyle w:val="Hyperlink"/>
                <w:noProof/>
              </w:rPr>
              <w:t>Background</w:t>
            </w:r>
            <w:r>
              <w:rPr>
                <w:noProof/>
                <w:webHidden/>
              </w:rPr>
              <w:tab/>
            </w:r>
            <w:r>
              <w:rPr>
                <w:noProof/>
                <w:webHidden/>
              </w:rPr>
              <w:fldChar w:fldCharType="begin"/>
            </w:r>
            <w:r>
              <w:rPr>
                <w:noProof/>
                <w:webHidden/>
              </w:rPr>
              <w:instrText xml:space="preserve"> PAGEREF _Toc187662113 \h </w:instrText>
            </w:r>
            <w:r>
              <w:rPr>
                <w:noProof/>
                <w:webHidden/>
              </w:rPr>
            </w:r>
            <w:r>
              <w:rPr>
                <w:noProof/>
                <w:webHidden/>
              </w:rPr>
              <w:fldChar w:fldCharType="separate"/>
            </w:r>
            <w:r>
              <w:rPr>
                <w:noProof/>
                <w:webHidden/>
              </w:rPr>
              <w:t>251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14" w:history="1">
            <w:r w:rsidRPr="007D1F1F">
              <w:rPr>
                <w:rStyle w:val="Hyperlink"/>
                <w:noProof/>
              </w:rPr>
              <w:t>Transactions</w:t>
            </w:r>
            <w:r>
              <w:rPr>
                <w:noProof/>
                <w:webHidden/>
              </w:rPr>
              <w:tab/>
            </w:r>
            <w:r>
              <w:rPr>
                <w:noProof/>
                <w:webHidden/>
              </w:rPr>
              <w:fldChar w:fldCharType="begin"/>
            </w:r>
            <w:r>
              <w:rPr>
                <w:noProof/>
                <w:webHidden/>
              </w:rPr>
              <w:instrText xml:space="preserve"> PAGEREF _Toc187662114 \h </w:instrText>
            </w:r>
            <w:r>
              <w:rPr>
                <w:noProof/>
                <w:webHidden/>
              </w:rPr>
            </w:r>
            <w:r>
              <w:rPr>
                <w:noProof/>
                <w:webHidden/>
              </w:rPr>
              <w:fldChar w:fldCharType="separate"/>
            </w:r>
            <w:r>
              <w:rPr>
                <w:noProof/>
                <w:webHidden/>
              </w:rPr>
              <w:t>251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15" w:history="1">
            <w:r w:rsidRPr="007D1F1F">
              <w:rPr>
                <w:rStyle w:val="Hyperlink"/>
                <w:noProof/>
              </w:rPr>
              <w:t>Key Issues</w:t>
            </w:r>
            <w:r>
              <w:rPr>
                <w:noProof/>
                <w:webHidden/>
              </w:rPr>
              <w:tab/>
            </w:r>
            <w:r>
              <w:rPr>
                <w:noProof/>
                <w:webHidden/>
              </w:rPr>
              <w:fldChar w:fldCharType="begin"/>
            </w:r>
            <w:r>
              <w:rPr>
                <w:noProof/>
                <w:webHidden/>
              </w:rPr>
              <w:instrText xml:space="preserve"> PAGEREF _Toc187662115 \h </w:instrText>
            </w:r>
            <w:r>
              <w:rPr>
                <w:noProof/>
                <w:webHidden/>
              </w:rPr>
            </w:r>
            <w:r>
              <w:rPr>
                <w:noProof/>
                <w:webHidden/>
              </w:rPr>
              <w:fldChar w:fldCharType="separate"/>
            </w:r>
            <w:r>
              <w:rPr>
                <w:noProof/>
                <w:webHidden/>
              </w:rPr>
              <w:t>252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16"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_Toc187662116 \h </w:instrText>
            </w:r>
            <w:r>
              <w:rPr>
                <w:noProof/>
                <w:webHidden/>
              </w:rPr>
            </w:r>
            <w:r>
              <w:rPr>
                <w:noProof/>
                <w:webHidden/>
              </w:rPr>
              <w:fldChar w:fldCharType="separate"/>
            </w:r>
            <w:r>
              <w:rPr>
                <w:noProof/>
                <w:webHidden/>
              </w:rPr>
              <w:t>253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17"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_Toc187662117 \h </w:instrText>
            </w:r>
            <w:r>
              <w:rPr>
                <w:noProof/>
                <w:webHidden/>
              </w:rPr>
            </w:r>
            <w:r>
              <w:rPr>
                <w:noProof/>
                <w:webHidden/>
              </w:rPr>
              <w:fldChar w:fldCharType="separate"/>
            </w:r>
            <w:r>
              <w:rPr>
                <w:noProof/>
                <w:webHidden/>
              </w:rPr>
              <w:t>254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18" w:history="1">
            <w:r w:rsidRPr="007D1F1F">
              <w:rPr>
                <w:rStyle w:val="Hyperlink"/>
                <w:noProof/>
              </w:rPr>
              <w:t>Conclusion</w:t>
            </w:r>
            <w:r>
              <w:rPr>
                <w:noProof/>
                <w:webHidden/>
              </w:rPr>
              <w:tab/>
            </w:r>
            <w:r>
              <w:rPr>
                <w:noProof/>
                <w:webHidden/>
              </w:rPr>
              <w:fldChar w:fldCharType="begin"/>
            </w:r>
            <w:r>
              <w:rPr>
                <w:noProof/>
                <w:webHidden/>
              </w:rPr>
              <w:instrText xml:space="preserve"> PAGEREF _Toc187662118 \h </w:instrText>
            </w:r>
            <w:r>
              <w:rPr>
                <w:noProof/>
                <w:webHidden/>
              </w:rPr>
            </w:r>
            <w:r>
              <w:rPr>
                <w:noProof/>
                <w:webHidden/>
              </w:rPr>
              <w:fldChar w:fldCharType="separate"/>
            </w:r>
            <w:r>
              <w:rPr>
                <w:noProof/>
                <w:webHidden/>
              </w:rPr>
              <w:t>256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19" w:history="1">
            <w:r w:rsidRPr="007D1F1F">
              <w:rPr>
                <w:rStyle w:val="Hyperlink"/>
                <w:noProof/>
              </w:rPr>
              <w:t>Customized Templates for AAR Filing, TP Documentation, and PE-Specific Compliance</w:t>
            </w:r>
            <w:r>
              <w:rPr>
                <w:noProof/>
                <w:webHidden/>
              </w:rPr>
              <w:tab/>
            </w:r>
            <w:r>
              <w:rPr>
                <w:noProof/>
                <w:webHidden/>
              </w:rPr>
              <w:fldChar w:fldCharType="begin"/>
            </w:r>
            <w:r>
              <w:rPr>
                <w:noProof/>
                <w:webHidden/>
              </w:rPr>
              <w:instrText xml:space="preserve"> PAGEREF _Toc187662119 \h </w:instrText>
            </w:r>
            <w:r>
              <w:rPr>
                <w:noProof/>
                <w:webHidden/>
              </w:rPr>
            </w:r>
            <w:r>
              <w:rPr>
                <w:noProof/>
                <w:webHidden/>
              </w:rPr>
              <w:fldChar w:fldCharType="separate"/>
            </w:r>
            <w:r>
              <w:rPr>
                <w:noProof/>
                <w:webHidden/>
              </w:rPr>
              <w:t>257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20" w:history="1">
            <w:r w:rsidRPr="007D1F1F">
              <w:rPr>
                <w:rStyle w:val="Hyperlink"/>
                <w:noProof/>
              </w:rPr>
              <w:t>I. AAR Filing Template</w:t>
            </w:r>
            <w:r>
              <w:rPr>
                <w:noProof/>
                <w:webHidden/>
              </w:rPr>
              <w:tab/>
            </w:r>
            <w:r>
              <w:rPr>
                <w:noProof/>
                <w:webHidden/>
              </w:rPr>
              <w:fldChar w:fldCharType="begin"/>
            </w:r>
            <w:r>
              <w:rPr>
                <w:noProof/>
                <w:webHidden/>
              </w:rPr>
              <w:instrText xml:space="preserve"> PAGEREF _Toc187662120 \h </w:instrText>
            </w:r>
            <w:r>
              <w:rPr>
                <w:noProof/>
                <w:webHidden/>
              </w:rPr>
            </w:r>
            <w:r>
              <w:rPr>
                <w:noProof/>
                <w:webHidden/>
              </w:rPr>
              <w:fldChar w:fldCharType="separate"/>
            </w:r>
            <w:r>
              <w:rPr>
                <w:noProof/>
                <w:webHidden/>
              </w:rPr>
              <w:t>257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21" w:history="1">
            <w:r w:rsidRPr="007D1F1F">
              <w:rPr>
                <w:rStyle w:val="Hyperlink"/>
                <w:noProof/>
              </w:rPr>
              <w:t>II. Transfer Pricing (TP) Documentation Template</w:t>
            </w:r>
            <w:r>
              <w:rPr>
                <w:noProof/>
                <w:webHidden/>
              </w:rPr>
              <w:tab/>
            </w:r>
            <w:r>
              <w:rPr>
                <w:noProof/>
                <w:webHidden/>
              </w:rPr>
              <w:fldChar w:fldCharType="begin"/>
            </w:r>
            <w:r>
              <w:rPr>
                <w:noProof/>
                <w:webHidden/>
              </w:rPr>
              <w:instrText xml:space="preserve"> PAGEREF _Toc187662121 \h </w:instrText>
            </w:r>
            <w:r>
              <w:rPr>
                <w:noProof/>
                <w:webHidden/>
              </w:rPr>
            </w:r>
            <w:r>
              <w:rPr>
                <w:noProof/>
                <w:webHidden/>
              </w:rPr>
              <w:fldChar w:fldCharType="separate"/>
            </w:r>
            <w:r>
              <w:rPr>
                <w:noProof/>
                <w:webHidden/>
              </w:rPr>
              <w:t>259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22" w:history="1">
            <w:r w:rsidRPr="007D1F1F">
              <w:rPr>
                <w:rStyle w:val="Hyperlink"/>
                <w:noProof/>
              </w:rPr>
              <w:t>III. PE-Specific Compliance Template</w:t>
            </w:r>
            <w:r>
              <w:rPr>
                <w:noProof/>
                <w:webHidden/>
              </w:rPr>
              <w:tab/>
            </w:r>
            <w:r>
              <w:rPr>
                <w:noProof/>
                <w:webHidden/>
              </w:rPr>
              <w:fldChar w:fldCharType="begin"/>
            </w:r>
            <w:r>
              <w:rPr>
                <w:noProof/>
                <w:webHidden/>
              </w:rPr>
              <w:instrText xml:space="preserve"> PAGEREF _Toc187662122 \h </w:instrText>
            </w:r>
            <w:r>
              <w:rPr>
                <w:noProof/>
                <w:webHidden/>
              </w:rPr>
            </w:r>
            <w:r>
              <w:rPr>
                <w:noProof/>
                <w:webHidden/>
              </w:rPr>
              <w:fldChar w:fldCharType="separate"/>
            </w:r>
            <w:r>
              <w:rPr>
                <w:noProof/>
                <w:webHidden/>
              </w:rPr>
              <w:t>260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23" w:history="1">
            <w:r w:rsidRPr="007D1F1F">
              <w:rPr>
                <w:rStyle w:val="Hyperlink"/>
                <w:noProof/>
              </w:rPr>
              <w:t>IV. Withholding Tax (WHT) Compliance Template</w:t>
            </w:r>
            <w:r>
              <w:rPr>
                <w:noProof/>
                <w:webHidden/>
              </w:rPr>
              <w:tab/>
            </w:r>
            <w:r>
              <w:rPr>
                <w:noProof/>
                <w:webHidden/>
              </w:rPr>
              <w:fldChar w:fldCharType="begin"/>
            </w:r>
            <w:r>
              <w:rPr>
                <w:noProof/>
                <w:webHidden/>
              </w:rPr>
              <w:instrText xml:space="preserve"> PAGEREF _Toc187662123 \h </w:instrText>
            </w:r>
            <w:r>
              <w:rPr>
                <w:noProof/>
                <w:webHidden/>
              </w:rPr>
            </w:r>
            <w:r>
              <w:rPr>
                <w:noProof/>
                <w:webHidden/>
              </w:rPr>
              <w:fldChar w:fldCharType="separate"/>
            </w:r>
            <w:r>
              <w:rPr>
                <w:noProof/>
                <w:webHidden/>
              </w:rPr>
              <w:t>261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24" w:history="1">
            <w:r w:rsidRPr="007D1F1F">
              <w:rPr>
                <w:rStyle w:val="Hyperlink"/>
                <w:noProof/>
              </w:rPr>
              <w:t>V. CbC Reporting Template</w:t>
            </w:r>
            <w:r>
              <w:rPr>
                <w:noProof/>
                <w:webHidden/>
              </w:rPr>
              <w:tab/>
            </w:r>
            <w:r>
              <w:rPr>
                <w:noProof/>
                <w:webHidden/>
              </w:rPr>
              <w:fldChar w:fldCharType="begin"/>
            </w:r>
            <w:r>
              <w:rPr>
                <w:noProof/>
                <w:webHidden/>
              </w:rPr>
              <w:instrText xml:space="preserve"> PAGEREF _Toc187662124 \h </w:instrText>
            </w:r>
            <w:r>
              <w:rPr>
                <w:noProof/>
                <w:webHidden/>
              </w:rPr>
            </w:r>
            <w:r>
              <w:rPr>
                <w:noProof/>
                <w:webHidden/>
              </w:rPr>
              <w:fldChar w:fldCharType="separate"/>
            </w:r>
            <w:r>
              <w:rPr>
                <w:noProof/>
                <w:webHidden/>
              </w:rPr>
              <w:t>261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25" w:history="1">
            <w:r w:rsidRPr="007D1F1F">
              <w:rPr>
                <w:rStyle w:val="Hyperlink"/>
                <w:noProof/>
              </w:rPr>
              <w:t>Assistance with Reviewing Drafts, Further Customization, and Portal Submission Support</w:t>
            </w:r>
            <w:r>
              <w:rPr>
                <w:noProof/>
                <w:webHidden/>
              </w:rPr>
              <w:tab/>
            </w:r>
            <w:r>
              <w:rPr>
                <w:noProof/>
                <w:webHidden/>
              </w:rPr>
              <w:fldChar w:fldCharType="begin"/>
            </w:r>
            <w:r>
              <w:rPr>
                <w:noProof/>
                <w:webHidden/>
              </w:rPr>
              <w:instrText xml:space="preserve"> PAGEREF _Toc187662125 \h </w:instrText>
            </w:r>
            <w:r>
              <w:rPr>
                <w:noProof/>
                <w:webHidden/>
              </w:rPr>
            </w:r>
            <w:r>
              <w:rPr>
                <w:noProof/>
                <w:webHidden/>
              </w:rPr>
              <w:fldChar w:fldCharType="separate"/>
            </w:r>
            <w:r>
              <w:rPr>
                <w:noProof/>
                <w:webHidden/>
              </w:rPr>
              <w:t>262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26" w:history="1">
            <w:r w:rsidRPr="007D1F1F">
              <w:rPr>
                <w:rStyle w:val="Hyperlink"/>
                <w:noProof/>
              </w:rPr>
              <w:t>I. Review of Drafts</w:t>
            </w:r>
            <w:r>
              <w:rPr>
                <w:noProof/>
                <w:webHidden/>
              </w:rPr>
              <w:tab/>
            </w:r>
            <w:r>
              <w:rPr>
                <w:noProof/>
                <w:webHidden/>
              </w:rPr>
              <w:fldChar w:fldCharType="begin"/>
            </w:r>
            <w:r>
              <w:rPr>
                <w:noProof/>
                <w:webHidden/>
              </w:rPr>
              <w:instrText xml:space="preserve"> PAGEREF _Toc187662126 \h </w:instrText>
            </w:r>
            <w:r>
              <w:rPr>
                <w:noProof/>
                <w:webHidden/>
              </w:rPr>
            </w:r>
            <w:r>
              <w:rPr>
                <w:noProof/>
                <w:webHidden/>
              </w:rPr>
              <w:fldChar w:fldCharType="separate"/>
            </w:r>
            <w:r>
              <w:rPr>
                <w:noProof/>
                <w:webHidden/>
              </w:rPr>
              <w:t>262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27" w:history="1">
            <w:r w:rsidRPr="007D1F1F">
              <w:rPr>
                <w:rStyle w:val="Hyperlink"/>
                <w:noProof/>
              </w:rPr>
              <w:t>II. Customization Options</w:t>
            </w:r>
            <w:r>
              <w:rPr>
                <w:noProof/>
                <w:webHidden/>
              </w:rPr>
              <w:tab/>
            </w:r>
            <w:r>
              <w:rPr>
                <w:noProof/>
                <w:webHidden/>
              </w:rPr>
              <w:fldChar w:fldCharType="begin"/>
            </w:r>
            <w:r>
              <w:rPr>
                <w:noProof/>
                <w:webHidden/>
              </w:rPr>
              <w:instrText xml:space="preserve"> PAGEREF _Toc187662127 \h </w:instrText>
            </w:r>
            <w:r>
              <w:rPr>
                <w:noProof/>
                <w:webHidden/>
              </w:rPr>
            </w:r>
            <w:r>
              <w:rPr>
                <w:noProof/>
                <w:webHidden/>
              </w:rPr>
              <w:fldChar w:fldCharType="separate"/>
            </w:r>
            <w:r>
              <w:rPr>
                <w:noProof/>
                <w:webHidden/>
              </w:rPr>
              <w:t>263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28" w:history="1">
            <w:r w:rsidRPr="007D1F1F">
              <w:rPr>
                <w:rStyle w:val="Hyperlink"/>
                <w:noProof/>
              </w:rPr>
              <w:t>III. Portal Submission Support</w:t>
            </w:r>
            <w:r>
              <w:rPr>
                <w:noProof/>
                <w:webHidden/>
              </w:rPr>
              <w:tab/>
            </w:r>
            <w:r>
              <w:rPr>
                <w:noProof/>
                <w:webHidden/>
              </w:rPr>
              <w:fldChar w:fldCharType="begin"/>
            </w:r>
            <w:r>
              <w:rPr>
                <w:noProof/>
                <w:webHidden/>
              </w:rPr>
              <w:instrText xml:space="preserve"> PAGEREF _Toc187662128 \h </w:instrText>
            </w:r>
            <w:r>
              <w:rPr>
                <w:noProof/>
                <w:webHidden/>
              </w:rPr>
            </w:r>
            <w:r>
              <w:rPr>
                <w:noProof/>
                <w:webHidden/>
              </w:rPr>
              <w:fldChar w:fldCharType="separate"/>
            </w:r>
            <w:r>
              <w:rPr>
                <w:noProof/>
                <w:webHidden/>
              </w:rPr>
              <w:t>263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29" w:history="1">
            <w:r w:rsidRPr="007D1F1F">
              <w:rPr>
                <w:rStyle w:val="Hyperlink"/>
                <w:noProof/>
              </w:rPr>
              <w:t>Case Study: Tax and Compliance Challenges for GreenEnergy Pvt. Ltd.</w:t>
            </w:r>
            <w:r>
              <w:rPr>
                <w:noProof/>
                <w:webHidden/>
              </w:rPr>
              <w:tab/>
            </w:r>
            <w:r>
              <w:rPr>
                <w:noProof/>
                <w:webHidden/>
              </w:rPr>
              <w:fldChar w:fldCharType="begin"/>
            </w:r>
            <w:r>
              <w:rPr>
                <w:noProof/>
                <w:webHidden/>
              </w:rPr>
              <w:instrText xml:space="preserve"> PAGEREF _Toc187662129 \h </w:instrText>
            </w:r>
            <w:r>
              <w:rPr>
                <w:noProof/>
                <w:webHidden/>
              </w:rPr>
            </w:r>
            <w:r>
              <w:rPr>
                <w:noProof/>
                <w:webHidden/>
              </w:rPr>
              <w:fldChar w:fldCharType="separate"/>
            </w:r>
            <w:r>
              <w:rPr>
                <w:noProof/>
                <w:webHidden/>
              </w:rPr>
              <w:t>265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30" w:history="1">
            <w:r w:rsidRPr="007D1F1F">
              <w:rPr>
                <w:rStyle w:val="Hyperlink"/>
                <w:noProof/>
              </w:rPr>
              <w:t>Background</w:t>
            </w:r>
            <w:r>
              <w:rPr>
                <w:noProof/>
                <w:webHidden/>
              </w:rPr>
              <w:tab/>
            </w:r>
            <w:r>
              <w:rPr>
                <w:noProof/>
                <w:webHidden/>
              </w:rPr>
              <w:fldChar w:fldCharType="begin"/>
            </w:r>
            <w:r>
              <w:rPr>
                <w:noProof/>
                <w:webHidden/>
              </w:rPr>
              <w:instrText xml:space="preserve"> PAGEREF _Toc187662130 \h </w:instrText>
            </w:r>
            <w:r>
              <w:rPr>
                <w:noProof/>
                <w:webHidden/>
              </w:rPr>
            </w:r>
            <w:r>
              <w:rPr>
                <w:noProof/>
                <w:webHidden/>
              </w:rPr>
              <w:fldChar w:fldCharType="separate"/>
            </w:r>
            <w:r>
              <w:rPr>
                <w:noProof/>
                <w:webHidden/>
              </w:rPr>
              <w:t>265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31" w:history="1">
            <w:r w:rsidRPr="007D1F1F">
              <w:rPr>
                <w:rStyle w:val="Hyperlink"/>
                <w:noProof/>
              </w:rPr>
              <w:t>Transactions</w:t>
            </w:r>
            <w:r>
              <w:rPr>
                <w:noProof/>
                <w:webHidden/>
              </w:rPr>
              <w:tab/>
            </w:r>
            <w:r>
              <w:rPr>
                <w:noProof/>
                <w:webHidden/>
              </w:rPr>
              <w:fldChar w:fldCharType="begin"/>
            </w:r>
            <w:r>
              <w:rPr>
                <w:noProof/>
                <w:webHidden/>
              </w:rPr>
              <w:instrText xml:space="preserve"> PAGEREF _Toc187662131 \h </w:instrText>
            </w:r>
            <w:r>
              <w:rPr>
                <w:noProof/>
                <w:webHidden/>
              </w:rPr>
            </w:r>
            <w:r>
              <w:rPr>
                <w:noProof/>
                <w:webHidden/>
              </w:rPr>
              <w:fldChar w:fldCharType="separate"/>
            </w:r>
            <w:r>
              <w:rPr>
                <w:noProof/>
                <w:webHidden/>
              </w:rPr>
              <w:t>265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32" w:history="1">
            <w:r w:rsidRPr="007D1F1F">
              <w:rPr>
                <w:rStyle w:val="Hyperlink"/>
                <w:noProof/>
              </w:rPr>
              <w:t>Key Issues</w:t>
            </w:r>
            <w:r>
              <w:rPr>
                <w:noProof/>
                <w:webHidden/>
              </w:rPr>
              <w:tab/>
            </w:r>
            <w:r>
              <w:rPr>
                <w:noProof/>
                <w:webHidden/>
              </w:rPr>
              <w:fldChar w:fldCharType="begin"/>
            </w:r>
            <w:r>
              <w:rPr>
                <w:noProof/>
                <w:webHidden/>
              </w:rPr>
              <w:instrText xml:space="preserve"> PAGEREF _Toc187662132 \h </w:instrText>
            </w:r>
            <w:r>
              <w:rPr>
                <w:noProof/>
                <w:webHidden/>
              </w:rPr>
            </w:r>
            <w:r>
              <w:rPr>
                <w:noProof/>
                <w:webHidden/>
              </w:rPr>
              <w:fldChar w:fldCharType="separate"/>
            </w:r>
            <w:r>
              <w:rPr>
                <w:noProof/>
                <w:webHidden/>
              </w:rPr>
              <w:t>266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33"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_Toc187662133 \h </w:instrText>
            </w:r>
            <w:r>
              <w:rPr>
                <w:noProof/>
                <w:webHidden/>
              </w:rPr>
            </w:r>
            <w:r>
              <w:rPr>
                <w:noProof/>
                <w:webHidden/>
              </w:rPr>
              <w:fldChar w:fldCharType="separate"/>
            </w:r>
            <w:r>
              <w:rPr>
                <w:noProof/>
                <w:webHidden/>
              </w:rPr>
              <w:t>268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34"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_Toc187662134 \h </w:instrText>
            </w:r>
            <w:r>
              <w:rPr>
                <w:noProof/>
                <w:webHidden/>
              </w:rPr>
            </w:r>
            <w:r>
              <w:rPr>
                <w:noProof/>
                <w:webHidden/>
              </w:rPr>
              <w:fldChar w:fldCharType="separate"/>
            </w:r>
            <w:r>
              <w:rPr>
                <w:noProof/>
                <w:webHidden/>
              </w:rPr>
              <w:t>268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35" w:history="1">
            <w:r w:rsidRPr="007D1F1F">
              <w:rPr>
                <w:rStyle w:val="Hyperlink"/>
                <w:noProof/>
              </w:rPr>
              <w:t>Conclusion</w:t>
            </w:r>
            <w:r>
              <w:rPr>
                <w:noProof/>
                <w:webHidden/>
              </w:rPr>
              <w:tab/>
            </w:r>
            <w:r>
              <w:rPr>
                <w:noProof/>
                <w:webHidden/>
              </w:rPr>
              <w:fldChar w:fldCharType="begin"/>
            </w:r>
            <w:r>
              <w:rPr>
                <w:noProof/>
                <w:webHidden/>
              </w:rPr>
              <w:instrText xml:space="preserve"> PAGEREF _Toc187662135 \h </w:instrText>
            </w:r>
            <w:r>
              <w:rPr>
                <w:noProof/>
                <w:webHidden/>
              </w:rPr>
            </w:r>
            <w:r>
              <w:rPr>
                <w:noProof/>
                <w:webHidden/>
              </w:rPr>
              <w:fldChar w:fldCharType="separate"/>
            </w:r>
            <w:r>
              <w:rPr>
                <w:noProof/>
                <w:webHidden/>
              </w:rPr>
              <w:t>270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36" w:history="1">
            <w:r w:rsidRPr="007D1F1F">
              <w:rPr>
                <w:rStyle w:val="Hyperlink"/>
                <w:noProof/>
              </w:rPr>
              <w:t>Assistance with Drafting Customized AAR Applications, TP Documentation, PE Templates, and Compliance Reports</w:t>
            </w:r>
            <w:r>
              <w:rPr>
                <w:noProof/>
                <w:webHidden/>
              </w:rPr>
              <w:tab/>
            </w:r>
            <w:r>
              <w:rPr>
                <w:noProof/>
                <w:webHidden/>
              </w:rPr>
              <w:fldChar w:fldCharType="begin"/>
            </w:r>
            <w:r>
              <w:rPr>
                <w:noProof/>
                <w:webHidden/>
              </w:rPr>
              <w:instrText xml:space="preserve"> PAGEREF _Toc187662136 \h </w:instrText>
            </w:r>
            <w:r>
              <w:rPr>
                <w:noProof/>
                <w:webHidden/>
              </w:rPr>
            </w:r>
            <w:r>
              <w:rPr>
                <w:noProof/>
                <w:webHidden/>
              </w:rPr>
              <w:fldChar w:fldCharType="separate"/>
            </w:r>
            <w:r>
              <w:rPr>
                <w:noProof/>
                <w:webHidden/>
              </w:rPr>
              <w:t>271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37" w:history="1">
            <w:r w:rsidRPr="007D1F1F">
              <w:rPr>
                <w:rStyle w:val="Hyperlink"/>
                <w:noProof/>
              </w:rPr>
              <w:t>I. Customized AAR Application</w:t>
            </w:r>
            <w:r>
              <w:rPr>
                <w:noProof/>
                <w:webHidden/>
              </w:rPr>
              <w:tab/>
            </w:r>
            <w:r>
              <w:rPr>
                <w:noProof/>
                <w:webHidden/>
              </w:rPr>
              <w:fldChar w:fldCharType="begin"/>
            </w:r>
            <w:r>
              <w:rPr>
                <w:noProof/>
                <w:webHidden/>
              </w:rPr>
              <w:instrText xml:space="preserve"> PAGEREF _Toc187662137 \h </w:instrText>
            </w:r>
            <w:r>
              <w:rPr>
                <w:noProof/>
                <w:webHidden/>
              </w:rPr>
            </w:r>
            <w:r>
              <w:rPr>
                <w:noProof/>
                <w:webHidden/>
              </w:rPr>
              <w:fldChar w:fldCharType="separate"/>
            </w:r>
            <w:r>
              <w:rPr>
                <w:noProof/>
                <w:webHidden/>
              </w:rPr>
              <w:t>271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38" w:history="1">
            <w:r w:rsidRPr="007D1F1F">
              <w:rPr>
                <w:rStyle w:val="Hyperlink"/>
                <w:noProof/>
              </w:rPr>
              <w:t>II. Customized TP Documentation</w:t>
            </w:r>
            <w:r>
              <w:rPr>
                <w:noProof/>
                <w:webHidden/>
              </w:rPr>
              <w:tab/>
            </w:r>
            <w:r>
              <w:rPr>
                <w:noProof/>
                <w:webHidden/>
              </w:rPr>
              <w:fldChar w:fldCharType="begin"/>
            </w:r>
            <w:r>
              <w:rPr>
                <w:noProof/>
                <w:webHidden/>
              </w:rPr>
              <w:instrText xml:space="preserve"> PAGEREF _Toc187662138 \h </w:instrText>
            </w:r>
            <w:r>
              <w:rPr>
                <w:noProof/>
                <w:webHidden/>
              </w:rPr>
            </w:r>
            <w:r>
              <w:rPr>
                <w:noProof/>
                <w:webHidden/>
              </w:rPr>
              <w:fldChar w:fldCharType="separate"/>
            </w:r>
            <w:r>
              <w:rPr>
                <w:noProof/>
                <w:webHidden/>
              </w:rPr>
              <w:t>273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39" w:history="1">
            <w:r w:rsidRPr="007D1F1F">
              <w:rPr>
                <w:rStyle w:val="Hyperlink"/>
                <w:noProof/>
              </w:rPr>
              <w:t>III. Customized PE Analysis Template</w:t>
            </w:r>
            <w:r>
              <w:rPr>
                <w:noProof/>
                <w:webHidden/>
              </w:rPr>
              <w:tab/>
            </w:r>
            <w:r>
              <w:rPr>
                <w:noProof/>
                <w:webHidden/>
              </w:rPr>
              <w:fldChar w:fldCharType="begin"/>
            </w:r>
            <w:r>
              <w:rPr>
                <w:noProof/>
                <w:webHidden/>
              </w:rPr>
              <w:instrText xml:space="preserve"> PAGEREF _Toc187662139 \h </w:instrText>
            </w:r>
            <w:r>
              <w:rPr>
                <w:noProof/>
                <w:webHidden/>
              </w:rPr>
            </w:r>
            <w:r>
              <w:rPr>
                <w:noProof/>
                <w:webHidden/>
              </w:rPr>
              <w:fldChar w:fldCharType="separate"/>
            </w:r>
            <w:r>
              <w:rPr>
                <w:noProof/>
                <w:webHidden/>
              </w:rPr>
              <w:t>274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40" w:history="1">
            <w:r w:rsidRPr="007D1F1F">
              <w:rPr>
                <w:rStyle w:val="Hyperlink"/>
                <w:noProof/>
              </w:rPr>
              <w:t>IV. Compliance Report Templates</w:t>
            </w:r>
            <w:r>
              <w:rPr>
                <w:noProof/>
                <w:webHidden/>
              </w:rPr>
              <w:tab/>
            </w:r>
            <w:r>
              <w:rPr>
                <w:noProof/>
                <w:webHidden/>
              </w:rPr>
              <w:fldChar w:fldCharType="begin"/>
            </w:r>
            <w:r>
              <w:rPr>
                <w:noProof/>
                <w:webHidden/>
              </w:rPr>
              <w:instrText xml:space="preserve"> PAGEREF _Toc187662140 \h </w:instrText>
            </w:r>
            <w:r>
              <w:rPr>
                <w:noProof/>
                <w:webHidden/>
              </w:rPr>
            </w:r>
            <w:r>
              <w:rPr>
                <w:noProof/>
                <w:webHidden/>
              </w:rPr>
              <w:fldChar w:fldCharType="separate"/>
            </w:r>
            <w:r>
              <w:rPr>
                <w:noProof/>
                <w:webHidden/>
              </w:rPr>
              <w:t>275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41" w:history="1">
            <w:r w:rsidRPr="007D1F1F">
              <w:rPr>
                <w:rStyle w:val="Hyperlink"/>
                <w:noProof/>
              </w:rPr>
              <w:t>Next Steps</w:t>
            </w:r>
            <w:r>
              <w:rPr>
                <w:noProof/>
                <w:webHidden/>
              </w:rPr>
              <w:tab/>
            </w:r>
            <w:r>
              <w:rPr>
                <w:noProof/>
                <w:webHidden/>
              </w:rPr>
              <w:fldChar w:fldCharType="begin"/>
            </w:r>
            <w:r>
              <w:rPr>
                <w:noProof/>
                <w:webHidden/>
              </w:rPr>
              <w:instrText xml:space="preserve"> PAGEREF _Toc187662141 \h </w:instrText>
            </w:r>
            <w:r>
              <w:rPr>
                <w:noProof/>
                <w:webHidden/>
              </w:rPr>
            </w:r>
            <w:r>
              <w:rPr>
                <w:noProof/>
                <w:webHidden/>
              </w:rPr>
              <w:fldChar w:fldCharType="separate"/>
            </w:r>
            <w:r>
              <w:rPr>
                <w:noProof/>
                <w:webHidden/>
              </w:rPr>
              <w:t>276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42" w:history="1">
            <w:r w:rsidRPr="007D1F1F">
              <w:rPr>
                <w:rStyle w:val="Hyperlink"/>
                <w:noProof/>
              </w:rPr>
              <w:t>Case Study: Tax and Compliance Challenges for EcoPower Pvt. Ltd.</w:t>
            </w:r>
            <w:r>
              <w:rPr>
                <w:noProof/>
                <w:webHidden/>
              </w:rPr>
              <w:tab/>
            </w:r>
            <w:r>
              <w:rPr>
                <w:noProof/>
                <w:webHidden/>
              </w:rPr>
              <w:fldChar w:fldCharType="begin"/>
            </w:r>
            <w:r>
              <w:rPr>
                <w:noProof/>
                <w:webHidden/>
              </w:rPr>
              <w:instrText xml:space="preserve"> PAGEREF _Toc187662142 \h </w:instrText>
            </w:r>
            <w:r>
              <w:rPr>
                <w:noProof/>
                <w:webHidden/>
              </w:rPr>
            </w:r>
            <w:r>
              <w:rPr>
                <w:noProof/>
                <w:webHidden/>
              </w:rPr>
              <w:fldChar w:fldCharType="separate"/>
            </w:r>
            <w:r>
              <w:rPr>
                <w:noProof/>
                <w:webHidden/>
              </w:rPr>
              <w:t>276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43" w:history="1">
            <w:r w:rsidRPr="007D1F1F">
              <w:rPr>
                <w:rStyle w:val="Hyperlink"/>
                <w:noProof/>
              </w:rPr>
              <w:t>Background</w:t>
            </w:r>
            <w:r>
              <w:rPr>
                <w:noProof/>
                <w:webHidden/>
              </w:rPr>
              <w:tab/>
            </w:r>
            <w:r>
              <w:rPr>
                <w:noProof/>
                <w:webHidden/>
              </w:rPr>
              <w:fldChar w:fldCharType="begin"/>
            </w:r>
            <w:r>
              <w:rPr>
                <w:noProof/>
                <w:webHidden/>
              </w:rPr>
              <w:instrText xml:space="preserve"> PAGEREF _Toc187662143 \h </w:instrText>
            </w:r>
            <w:r>
              <w:rPr>
                <w:noProof/>
                <w:webHidden/>
              </w:rPr>
            </w:r>
            <w:r>
              <w:rPr>
                <w:noProof/>
                <w:webHidden/>
              </w:rPr>
              <w:fldChar w:fldCharType="separate"/>
            </w:r>
            <w:r>
              <w:rPr>
                <w:noProof/>
                <w:webHidden/>
              </w:rPr>
              <w:t>276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44" w:history="1">
            <w:r w:rsidRPr="007D1F1F">
              <w:rPr>
                <w:rStyle w:val="Hyperlink"/>
                <w:noProof/>
              </w:rPr>
              <w:t>Transactions</w:t>
            </w:r>
            <w:r>
              <w:rPr>
                <w:noProof/>
                <w:webHidden/>
              </w:rPr>
              <w:tab/>
            </w:r>
            <w:r>
              <w:rPr>
                <w:noProof/>
                <w:webHidden/>
              </w:rPr>
              <w:fldChar w:fldCharType="begin"/>
            </w:r>
            <w:r>
              <w:rPr>
                <w:noProof/>
                <w:webHidden/>
              </w:rPr>
              <w:instrText xml:space="preserve"> PAGEREF _Toc187662144 \h </w:instrText>
            </w:r>
            <w:r>
              <w:rPr>
                <w:noProof/>
                <w:webHidden/>
              </w:rPr>
            </w:r>
            <w:r>
              <w:rPr>
                <w:noProof/>
                <w:webHidden/>
              </w:rPr>
              <w:fldChar w:fldCharType="separate"/>
            </w:r>
            <w:r>
              <w:rPr>
                <w:noProof/>
                <w:webHidden/>
              </w:rPr>
              <w:t>277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45" w:history="1">
            <w:r w:rsidRPr="007D1F1F">
              <w:rPr>
                <w:rStyle w:val="Hyperlink"/>
                <w:noProof/>
              </w:rPr>
              <w:t>Key Issues</w:t>
            </w:r>
            <w:r>
              <w:rPr>
                <w:noProof/>
                <w:webHidden/>
              </w:rPr>
              <w:tab/>
            </w:r>
            <w:r>
              <w:rPr>
                <w:noProof/>
                <w:webHidden/>
              </w:rPr>
              <w:fldChar w:fldCharType="begin"/>
            </w:r>
            <w:r>
              <w:rPr>
                <w:noProof/>
                <w:webHidden/>
              </w:rPr>
              <w:instrText xml:space="preserve"> PAGEREF _Toc187662145 \h </w:instrText>
            </w:r>
            <w:r>
              <w:rPr>
                <w:noProof/>
                <w:webHidden/>
              </w:rPr>
            </w:r>
            <w:r>
              <w:rPr>
                <w:noProof/>
                <w:webHidden/>
              </w:rPr>
              <w:fldChar w:fldCharType="separate"/>
            </w:r>
            <w:r>
              <w:rPr>
                <w:noProof/>
                <w:webHidden/>
              </w:rPr>
              <w:t>278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46"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_Toc187662146 \h </w:instrText>
            </w:r>
            <w:r>
              <w:rPr>
                <w:noProof/>
                <w:webHidden/>
              </w:rPr>
            </w:r>
            <w:r>
              <w:rPr>
                <w:noProof/>
                <w:webHidden/>
              </w:rPr>
              <w:fldChar w:fldCharType="separate"/>
            </w:r>
            <w:r>
              <w:rPr>
                <w:noProof/>
                <w:webHidden/>
              </w:rPr>
              <w:t>279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47"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_Toc187662147 \h </w:instrText>
            </w:r>
            <w:r>
              <w:rPr>
                <w:noProof/>
                <w:webHidden/>
              </w:rPr>
            </w:r>
            <w:r>
              <w:rPr>
                <w:noProof/>
                <w:webHidden/>
              </w:rPr>
              <w:fldChar w:fldCharType="separate"/>
            </w:r>
            <w:r>
              <w:rPr>
                <w:noProof/>
                <w:webHidden/>
              </w:rPr>
              <w:t>279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48" w:history="1">
            <w:r w:rsidRPr="007D1F1F">
              <w:rPr>
                <w:rStyle w:val="Hyperlink"/>
                <w:noProof/>
              </w:rPr>
              <w:t>Conclusion</w:t>
            </w:r>
            <w:r>
              <w:rPr>
                <w:noProof/>
                <w:webHidden/>
              </w:rPr>
              <w:tab/>
            </w:r>
            <w:r>
              <w:rPr>
                <w:noProof/>
                <w:webHidden/>
              </w:rPr>
              <w:fldChar w:fldCharType="begin"/>
            </w:r>
            <w:r>
              <w:rPr>
                <w:noProof/>
                <w:webHidden/>
              </w:rPr>
              <w:instrText xml:space="preserve"> PAGEREF _Toc187662148 \h </w:instrText>
            </w:r>
            <w:r>
              <w:rPr>
                <w:noProof/>
                <w:webHidden/>
              </w:rPr>
            </w:r>
            <w:r>
              <w:rPr>
                <w:noProof/>
                <w:webHidden/>
              </w:rPr>
              <w:fldChar w:fldCharType="separate"/>
            </w:r>
            <w:r>
              <w:rPr>
                <w:noProof/>
                <w:webHidden/>
              </w:rPr>
              <w:t>282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49" w:history="1">
            <w:r w:rsidRPr="007D1F1F">
              <w:rPr>
                <w:rStyle w:val="Hyperlink"/>
                <w:noProof/>
              </w:rPr>
              <w:t>Customized Templates for AAR Filing, TP Documentation, PE-Specific Compliance, and Portal Submission Assistance</w:t>
            </w:r>
            <w:r>
              <w:rPr>
                <w:noProof/>
                <w:webHidden/>
              </w:rPr>
              <w:tab/>
            </w:r>
            <w:r>
              <w:rPr>
                <w:noProof/>
                <w:webHidden/>
              </w:rPr>
              <w:fldChar w:fldCharType="begin"/>
            </w:r>
            <w:r>
              <w:rPr>
                <w:noProof/>
                <w:webHidden/>
              </w:rPr>
              <w:instrText xml:space="preserve"> PAGEREF _Toc187662149 \h </w:instrText>
            </w:r>
            <w:r>
              <w:rPr>
                <w:noProof/>
                <w:webHidden/>
              </w:rPr>
            </w:r>
            <w:r>
              <w:rPr>
                <w:noProof/>
                <w:webHidden/>
              </w:rPr>
              <w:fldChar w:fldCharType="separate"/>
            </w:r>
            <w:r>
              <w:rPr>
                <w:noProof/>
                <w:webHidden/>
              </w:rPr>
              <w:t>283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50" w:history="1">
            <w:r w:rsidRPr="007D1F1F">
              <w:rPr>
                <w:rStyle w:val="Hyperlink"/>
                <w:noProof/>
              </w:rPr>
              <w:t>I. AAR Filing Template</w:t>
            </w:r>
            <w:r>
              <w:rPr>
                <w:noProof/>
                <w:webHidden/>
              </w:rPr>
              <w:tab/>
            </w:r>
            <w:r>
              <w:rPr>
                <w:noProof/>
                <w:webHidden/>
              </w:rPr>
              <w:fldChar w:fldCharType="begin"/>
            </w:r>
            <w:r>
              <w:rPr>
                <w:noProof/>
                <w:webHidden/>
              </w:rPr>
              <w:instrText xml:space="preserve"> PAGEREF _Toc187662150 \h </w:instrText>
            </w:r>
            <w:r>
              <w:rPr>
                <w:noProof/>
                <w:webHidden/>
              </w:rPr>
            </w:r>
            <w:r>
              <w:rPr>
                <w:noProof/>
                <w:webHidden/>
              </w:rPr>
              <w:fldChar w:fldCharType="separate"/>
            </w:r>
            <w:r>
              <w:rPr>
                <w:noProof/>
                <w:webHidden/>
              </w:rPr>
              <w:t>283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51" w:history="1">
            <w:r w:rsidRPr="007D1F1F">
              <w:rPr>
                <w:rStyle w:val="Hyperlink"/>
                <w:noProof/>
              </w:rPr>
              <w:t>II. TP Documentation Template</w:t>
            </w:r>
            <w:r>
              <w:rPr>
                <w:noProof/>
                <w:webHidden/>
              </w:rPr>
              <w:tab/>
            </w:r>
            <w:r>
              <w:rPr>
                <w:noProof/>
                <w:webHidden/>
              </w:rPr>
              <w:fldChar w:fldCharType="begin"/>
            </w:r>
            <w:r>
              <w:rPr>
                <w:noProof/>
                <w:webHidden/>
              </w:rPr>
              <w:instrText xml:space="preserve"> PAGEREF _Toc187662151 \h </w:instrText>
            </w:r>
            <w:r>
              <w:rPr>
                <w:noProof/>
                <w:webHidden/>
              </w:rPr>
            </w:r>
            <w:r>
              <w:rPr>
                <w:noProof/>
                <w:webHidden/>
              </w:rPr>
              <w:fldChar w:fldCharType="separate"/>
            </w:r>
            <w:r>
              <w:rPr>
                <w:noProof/>
                <w:webHidden/>
              </w:rPr>
              <w:t>284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52" w:history="1">
            <w:r w:rsidRPr="007D1F1F">
              <w:rPr>
                <w:rStyle w:val="Hyperlink"/>
                <w:noProof/>
              </w:rPr>
              <w:t>III. PE-Specific Compliance Template</w:t>
            </w:r>
            <w:r>
              <w:rPr>
                <w:noProof/>
                <w:webHidden/>
              </w:rPr>
              <w:tab/>
            </w:r>
            <w:r>
              <w:rPr>
                <w:noProof/>
                <w:webHidden/>
              </w:rPr>
              <w:fldChar w:fldCharType="begin"/>
            </w:r>
            <w:r>
              <w:rPr>
                <w:noProof/>
                <w:webHidden/>
              </w:rPr>
              <w:instrText xml:space="preserve"> PAGEREF _Toc187662152 \h </w:instrText>
            </w:r>
            <w:r>
              <w:rPr>
                <w:noProof/>
                <w:webHidden/>
              </w:rPr>
            </w:r>
            <w:r>
              <w:rPr>
                <w:noProof/>
                <w:webHidden/>
              </w:rPr>
              <w:fldChar w:fldCharType="separate"/>
            </w:r>
            <w:r>
              <w:rPr>
                <w:noProof/>
                <w:webHidden/>
              </w:rPr>
              <w:t>285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53" w:history="1">
            <w:r w:rsidRPr="007D1F1F">
              <w:rPr>
                <w:rStyle w:val="Hyperlink"/>
                <w:noProof/>
              </w:rPr>
              <w:t>IV. Compliance Templates</w:t>
            </w:r>
            <w:r>
              <w:rPr>
                <w:noProof/>
                <w:webHidden/>
              </w:rPr>
              <w:tab/>
            </w:r>
            <w:r>
              <w:rPr>
                <w:noProof/>
                <w:webHidden/>
              </w:rPr>
              <w:fldChar w:fldCharType="begin"/>
            </w:r>
            <w:r>
              <w:rPr>
                <w:noProof/>
                <w:webHidden/>
              </w:rPr>
              <w:instrText xml:space="preserve"> PAGEREF _Toc187662153 \h </w:instrText>
            </w:r>
            <w:r>
              <w:rPr>
                <w:noProof/>
                <w:webHidden/>
              </w:rPr>
            </w:r>
            <w:r>
              <w:rPr>
                <w:noProof/>
                <w:webHidden/>
              </w:rPr>
              <w:fldChar w:fldCharType="separate"/>
            </w:r>
            <w:r>
              <w:rPr>
                <w:noProof/>
                <w:webHidden/>
              </w:rPr>
              <w:t>286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54" w:history="1">
            <w:r w:rsidRPr="007D1F1F">
              <w:rPr>
                <w:rStyle w:val="Hyperlink"/>
                <w:noProof/>
              </w:rPr>
              <w:t>V. Portal Submission Assistance</w:t>
            </w:r>
            <w:r>
              <w:rPr>
                <w:noProof/>
                <w:webHidden/>
              </w:rPr>
              <w:tab/>
            </w:r>
            <w:r>
              <w:rPr>
                <w:noProof/>
                <w:webHidden/>
              </w:rPr>
              <w:fldChar w:fldCharType="begin"/>
            </w:r>
            <w:r>
              <w:rPr>
                <w:noProof/>
                <w:webHidden/>
              </w:rPr>
              <w:instrText xml:space="preserve"> PAGEREF _Toc187662154 \h </w:instrText>
            </w:r>
            <w:r>
              <w:rPr>
                <w:noProof/>
                <w:webHidden/>
              </w:rPr>
            </w:r>
            <w:r>
              <w:rPr>
                <w:noProof/>
                <w:webHidden/>
              </w:rPr>
              <w:fldChar w:fldCharType="separate"/>
            </w:r>
            <w:r>
              <w:rPr>
                <w:noProof/>
                <w:webHidden/>
              </w:rPr>
              <w:t>287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55" w:history="1">
            <w:r w:rsidRPr="007D1F1F">
              <w:rPr>
                <w:rStyle w:val="Hyperlink"/>
                <w:noProof/>
              </w:rPr>
              <w:t>Case Study: Tax and Compliance Challenges for SolarPower Pvt. Ltd.</w:t>
            </w:r>
            <w:r>
              <w:rPr>
                <w:noProof/>
                <w:webHidden/>
              </w:rPr>
              <w:tab/>
            </w:r>
            <w:r>
              <w:rPr>
                <w:noProof/>
                <w:webHidden/>
              </w:rPr>
              <w:fldChar w:fldCharType="begin"/>
            </w:r>
            <w:r>
              <w:rPr>
                <w:noProof/>
                <w:webHidden/>
              </w:rPr>
              <w:instrText xml:space="preserve"> PAGEREF _Toc187662155 \h </w:instrText>
            </w:r>
            <w:r>
              <w:rPr>
                <w:noProof/>
                <w:webHidden/>
              </w:rPr>
            </w:r>
            <w:r>
              <w:rPr>
                <w:noProof/>
                <w:webHidden/>
              </w:rPr>
              <w:fldChar w:fldCharType="separate"/>
            </w:r>
            <w:r>
              <w:rPr>
                <w:noProof/>
                <w:webHidden/>
              </w:rPr>
              <w:t>288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56" w:history="1">
            <w:r w:rsidRPr="007D1F1F">
              <w:rPr>
                <w:rStyle w:val="Hyperlink"/>
                <w:noProof/>
              </w:rPr>
              <w:t>Background</w:t>
            </w:r>
            <w:r>
              <w:rPr>
                <w:noProof/>
                <w:webHidden/>
              </w:rPr>
              <w:tab/>
            </w:r>
            <w:r>
              <w:rPr>
                <w:noProof/>
                <w:webHidden/>
              </w:rPr>
              <w:fldChar w:fldCharType="begin"/>
            </w:r>
            <w:r>
              <w:rPr>
                <w:noProof/>
                <w:webHidden/>
              </w:rPr>
              <w:instrText xml:space="preserve"> PAGEREF _Toc187662156 \h </w:instrText>
            </w:r>
            <w:r>
              <w:rPr>
                <w:noProof/>
                <w:webHidden/>
              </w:rPr>
            </w:r>
            <w:r>
              <w:rPr>
                <w:noProof/>
                <w:webHidden/>
              </w:rPr>
              <w:fldChar w:fldCharType="separate"/>
            </w:r>
            <w:r>
              <w:rPr>
                <w:noProof/>
                <w:webHidden/>
              </w:rPr>
              <w:t>288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57" w:history="1">
            <w:r w:rsidRPr="007D1F1F">
              <w:rPr>
                <w:rStyle w:val="Hyperlink"/>
                <w:noProof/>
              </w:rPr>
              <w:t>Transactions</w:t>
            </w:r>
            <w:r>
              <w:rPr>
                <w:noProof/>
                <w:webHidden/>
              </w:rPr>
              <w:tab/>
            </w:r>
            <w:r>
              <w:rPr>
                <w:noProof/>
                <w:webHidden/>
              </w:rPr>
              <w:fldChar w:fldCharType="begin"/>
            </w:r>
            <w:r>
              <w:rPr>
                <w:noProof/>
                <w:webHidden/>
              </w:rPr>
              <w:instrText xml:space="preserve"> PAGEREF _Toc187662157 \h </w:instrText>
            </w:r>
            <w:r>
              <w:rPr>
                <w:noProof/>
                <w:webHidden/>
              </w:rPr>
            </w:r>
            <w:r>
              <w:rPr>
                <w:noProof/>
                <w:webHidden/>
              </w:rPr>
              <w:fldChar w:fldCharType="separate"/>
            </w:r>
            <w:r>
              <w:rPr>
                <w:noProof/>
                <w:webHidden/>
              </w:rPr>
              <w:t>289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58" w:history="1">
            <w:r w:rsidRPr="007D1F1F">
              <w:rPr>
                <w:rStyle w:val="Hyperlink"/>
                <w:noProof/>
              </w:rPr>
              <w:t>Key Issues</w:t>
            </w:r>
            <w:r>
              <w:rPr>
                <w:noProof/>
                <w:webHidden/>
              </w:rPr>
              <w:tab/>
            </w:r>
            <w:r>
              <w:rPr>
                <w:noProof/>
                <w:webHidden/>
              </w:rPr>
              <w:fldChar w:fldCharType="begin"/>
            </w:r>
            <w:r>
              <w:rPr>
                <w:noProof/>
                <w:webHidden/>
              </w:rPr>
              <w:instrText xml:space="preserve"> PAGEREF _Toc187662158 \h </w:instrText>
            </w:r>
            <w:r>
              <w:rPr>
                <w:noProof/>
                <w:webHidden/>
              </w:rPr>
            </w:r>
            <w:r>
              <w:rPr>
                <w:noProof/>
                <w:webHidden/>
              </w:rPr>
              <w:fldChar w:fldCharType="separate"/>
            </w:r>
            <w:r>
              <w:rPr>
                <w:noProof/>
                <w:webHidden/>
              </w:rPr>
              <w:t>290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59"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_Toc187662159 \h </w:instrText>
            </w:r>
            <w:r>
              <w:rPr>
                <w:noProof/>
                <w:webHidden/>
              </w:rPr>
            </w:r>
            <w:r>
              <w:rPr>
                <w:noProof/>
                <w:webHidden/>
              </w:rPr>
              <w:fldChar w:fldCharType="separate"/>
            </w:r>
            <w:r>
              <w:rPr>
                <w:noProof/>
                <w:webHidden/>
              </w:rPr>
              <w:t>291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60"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_Toc187662160 \h </w:instrText>
            </w:r>
            <w:r>
              <w:rPr>
                <w:noProof/>
                <w:webHidden/>
              </w:rPr>
            </w:r>
            <w:r>
              <w:rPr>
                <w:noProof/>
                <w:webHidden/>
              </w:rPr>
              <w:fldChar w:fldCharType="separate"/>
            </w:r>
            <w:r>
              <w:rPr>
                <w:noProof/>
                <w:webHidden/>
              </w:rPr>
              <w:t>291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61" w:history="1">
            <w:r w:rsidRPr="007D1F1F">
              <w:rPr>
                <w:rStyle w:val="Hyperlink"/>
                <w:noProof/>
              </w:rPr>
              <w:t>Conclusion</w:t>
            </w:r>
            <w:r>
              <w:rPr>
                <w:noProof/>
                <w:webHidden/>
              </w:rPr>
              <w:tab/>
            </w:r>
            <w:r>
              <w:rPr>
                <w:noProof/>
                <w:webHidden/>
              </w:rPr>
              <w:fldChar w:fldCharType="begin"/>
            </w:r>
            <w:r>
              <w:rPr>
                <w:noProof/>
                <w:webHidden/>
              </w:rPr>
              <w:instrText xml:space="preserve"> PAGEREF _Toc187662161 \h </w:instrText>
            </w:r>
            <w:r>
              <w:rPr>
                <w:noProof/>
                <w:webHidden/>
              </w:rPr>
            </w:r>
            <w:r>
              <w:rPr>
                <w:noProof/>
                <w:webHidden/>
              </w:rPr>
              <w:fldChar w:fldCharType="separate"/>
            </w:r>
            <w:r>
              <w:rPr>
                <w:noProof/>
                <w:webHidden/>
              </w:rPr>
              <w:t>294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62" w:history="1">
            <w:r w:rsidRPr="007D1F1F">
              <w:rPr>
                <w:rStyle w:val="Hyperlink"/>
                <w:noProof/>
              </w:rPr>
              <w:t>Case Study: Tax and Compliance Challenges for PowerGrid Pvt. Ltd.</w:t>
            </w:r>
            <w:r>
              <w:rPr>
                <w:noProof/>
                <w:webHidden/>
              </w:rPr>
              <w:tab/>
            </w:r>
            <w:r>
              <w:rPr>
                <w:noProof/>
                <w:webHidden/>
              </w:rPr>
              <w:fldChar w:fldCharType="begin"/>
            </w:r>
            <w:r>
              <w:rPr>
                <w:noProof/>
                <w:webHidden/>
              </w:rPr>
              <w:instrText xml:space="preserve"> PAGEREF _Toc187662162 \h </w:instrText>
            </w:r>
            <w:r>
              <w:rPr>
                <w:noProof/>
                <w:webHidden/>
              </w:rPr>
            </w:r>
            <w:r>
              <w:rPr>
                <w:noProof/>
                <w:webHidden/>
              </w:rPr>
              <w:fldChar w:fldCharType="separate"/>
            </w:r>
            <w:r>
              <w:rPr>
                <w:noProof/>
                <w:webHidden/>
              </w:rPr>
              <w:t>295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63" w:history="1">
            <w:r w:rsidRPr="007D1F1F">
              <w:rPr>
                <w:rStyle w:val="Hyperlink"/>
                <w:noProof/>
              </w:rPr>
              <w:t>Background</w:t>
            </w:r>
            <w:r>
              <w:rPr>
                <w:noProof/>
                <w:webHidden/>
              </w:rPr>
              <w:tab/>
            </w:r>
            <w:r>
              <w:rPr>
                <w:noProof/>
                <w:webHidden/>
              </w:rPr>
              <w:fldChar w:fldCharType="begin"/>
            </w:r>
            <w:r>
              <w:rPr>
                <w:noProof/>
                <w:webHidden/>
              </w:rPr>
              <w:instrText xml:space="preserve"> PAGEREF _Toc187662163 \h </w:instrText>
            </w:r>
            <w:r>
              <w:rPr>
                <w:noProof/>
                <w:webHidden/>
              </w:rPr>
            </w:r>
            <w:r>
              <w:rPr>
                <w:noProof/>
                <w:webHidden/>
              </w:rPr>
              <w:fldChar w:fldCharType="separate"/>
            </w:r>
            <w:r>
              <w:rPr>
                <w:noProof/>
                <w:webHidden/>
              </w:rPr>
              <w:t>295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64" w:history="1">
            <w:r w:rsidRPr="007D1F1F">
              <w:rPr>
                <w:rStyle w:val="Hyperlink"/>
                <w:noProof/>
              </w:rPr>
              <w:t>Transactions</w:t>
            </w:r>
            <w:r>
              <w:rPr>
                <w:noProof/>
                <w:webHidden/>
              </w:rPr>
              <w:tab/>
            </w:r>
            <w:r>
              <w:rPr>
                <w:noProof/>
                <w:webHidden/>
              </w:rPr>
              <w:fldChar w:fldCharType="begin"/>
            </w:r>
            <w:r>
              <w:rPr>
                <w:noProof/>
                <w:webHidden/>
              </w:rPr>
              <w:instrText xml:space="preserve"> PAGEREF _Toc187662164 \h </w:instrText>
            </w:r>
            <w:r>
              <w:rPr>
                <w:noProof/>
                <w:webHidden/>
              </w:rPr>
            </w:r>
            <w:r>
              <w:rPr>
                <w:noProof/>
                <w:webHidden/>
              </w:rPr>
              <w:fldChar w:fldCharType="separate"/>
            </w:r>
            <w:r>
              <w:rPr>
                <w:noProof/>
                <w:webHidden/>
              </w:rPr>
              <w:t>295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65" w:history="1">
            <w:r w:rsidRPr="007D1F1F">
              <w:rPr>
                <w:rStyle w:val="Hyperlink"/>
                <w:noProof/>
              </w:rPr>
              <w:t>Key Issues</w:t>
            </w:r>
            <w:r>
              <w:rPr>
                <w:noProof/>
                <w:webHidden/>
              </w:rPr>
              <w:tab/>
            </w:r>
            <w:r>
              <w:rPr>
                <w:noProof/>
                <w:webHidden/>
              </w:rPr>
              <w:fldChar w:fldCharType="begin"/>
            </w:r>
            <w:r>
              <w:rPr>
                <w:noProof/>
                <w:webHidden/>
              </w:rPr>
              <w:instrText xml:space="preserve"> PAGEREF _Toc187662165 \h </w:instrText>
            </w:r>
            <w:r>
              <w:rPr>
                <w:noProof/>
                <w:webHidden/>
              </w:rPr>
            </w:r>
            <w:r>
              <w:rPr>
                <w:noProof/>
                <w:webHidden/>
              </w:rPr>
              <w:fldChar w:fldCharType="separate"/>
            </w:r>
            <w:r>
              <w:rPr>
                <w:noProof/>
                <w:webHidden/>
              </w:rPr>
              <w:t>296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66"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_Toc187662166 \h </w:instrText>
            </w:r>
            <w:r>
              <w:rPr>
                <w:noProof/>
                <w:webHidden/>
              </w:rPr>
            </w:r>
            <w:r>
              <w:rPr>
                <w:noProof/>
                <w:webHidden/>
              </w:rPr>
              <w:fldChar w:fldCharType="separate"/>
            </w:r>
            <w:r>
              <w:rPr>
                <w:noProof/>
                <w:webHidden/>
              </w:rPr>
              <w:t>297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67"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_Toc187662167 \h </w:instrText>
            </w:r>
            <w:r>
              <w:rPr>
                <w:noProof/>
                <w:webHidden/>
              </w:rPr>
            </w:r>
            <w:r>
              <w:rPr>
                <w:noProof/>
                <w:webHidden/>
              </w:rPr>
              <w:fldChar w:fldCharType="separate"/>
            </w:r>
            <w:r>
              <w:rPr>
                <w:noProof/>
                <w:webHidden/>
              </w:rPr>
              <w:t>298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68" w:history="1">
            <w:r w:rsidRPr="007D1F1F">
              <w:rPr>
                <w:rStyle w:val="Hyperlink"/>
                <w:noProof/>
              </w:rPr>
              <w:t>Conclusion</w:t>
            </w:r>
            <w:r>
              <w:rPr>
                <w:noProof/>
                <w:webHidden/>
              </w:rPr>
              <w:tab/>
            </w:r>
            <w:r>
              <w:rPr>
                <w:noProof/>
                <w:webHidden/>
              </w:rPr>
              <w:fldChar w:fldCharType="begin"/>
            </w:r>
            <w:r>
              <w:rPr>
                <w:noProof/>
                <w:webHidden/>
              </w:rPr>
              <w:instrText xml:space="preserve"> PAGEREF _Toc187662168 \h </w:instrText>
            </w:r>
            <w:r>
              <w:rPr>
                <w:noProof/>
                <w:webHidden/>
              </w:rPr>
            </w:r>
            <w:r>
              <w:rPr>
                <w:noProof/>
                <w:webHidden/>
              </w:rPr>
              <w:fldChar w:fldCharType="separate"/>
            </w:r>
            <w:r>
              <w:rPr>
                <w:noProof/>
                <w:webHidden/>
              </w:rPr>
              <w:t>300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69" w:history="1">
            <w:r w:rsidRPr="007D1F1F">
              <w:rPr>
                <w:rStyle w:val="Hyperlink"/>
                <w:noProof/>
              </w:rPr>
              <w:t>Templates for AAR Filing, TP Documentation, PE-Specific Compliance, and CbC Reporting</w:t>
            </w:r>
            <w:r>
              <w:rPr>
                <w:noProof/>
                <w:webHidden/>
              </w:rPr>
              <w:tab/>
            </w:r>
            <w:r>
              <w:rPr>
                <w:noProof/>
                <w:webHidden/>
              </w:rPr>
              <w:fldChar w:fldCharType="begin"/>
            </w:r>
            <w:r>
              <w:rPr>
                <w:noProof/>
                <w:webHidden/>
              </w:rPr>
              <w:instrText xml:space="preserve"> PAGEREF _Toc187662169 \h </w:instrText>
            </w:r>
            <w:r>
              <w:rPr>
                <w:noProof/>
                <w:webHidden/>
              </w:rPr>
            </w:r>
            <w:r>
              <w:rPr>
                <w:noProof/>
                <w:webHidden/>
              </w:rPr>
              <w:fldChar w:fldCharType="separate"/>
            </w:r>
            <w:r>
              <w:rPr>
                <w:noProof/>
                <w:webHidden/>
              </w:rPr>
              <w:t>301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70" w:history="1">
            <w:r w:rsidRPr="007D1F1F">
              <w:rPr>
                <w:rStyle w:val="Hyperlink"/>
                <w:noProof/>
              </w:rPr>
              <w:t>I. AAR Filing Template</w:t>
            </w:r>
            <w:r>
              <w:rPr>
                <w:noProof/>
                <w:webHidden/>
              </w:rPr>
              <w:tab/>
            </w:r>
            <w:r>
              <w:rPr>
                <w:noProof/>
                <w:webHidden/>
              </w:rPr>
              <w:fldChar w:fldCharType="begin"/>
            </w:r>
            <w:r>
              <w:rPr>
                <w:noProof/>
                <w:webHidden/>
              </w:rPr>
              <w:instrText xml:space="preserve"> PAGEREF _Toc187662170 \h </w:instrText>
            </w:r>
            <w:r>
              <w:rPr>
                <w:noProof/>
                <w:webHidden/>
              </w:rPr>
            </w:r>
            <w:r>
              <w:rPr>
                <w:noProof/>
                <w:webHidden/>
              </w:rPr>
              <w:fldChar w:fldCharType="separate"/>
            </w:r>
            <w:r>
              <w:rPr>
                <w:noProof/>
                <w:webHidden/>
              </w:rPr>
              <w:t>301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71" w:history="1">
            <w:r w:rsidRPr="007D1F1F">
              <w:rPr>
                <w:rStyle w:val="Hyperlink"/>
                <w:noProof/>
              </w:rPr>
              <w:t>II. Transfer Pricing (TP) Documentation Template</w:t>
            </w:r>
            <w:r>
              <w:rPr>
                <w:noProof/>
                <w:webHidden/>
              </w:rPr>
              <w:tab/>
            </w:r>
            <w:r>
              <w:rPr>
                <w:noProof/>
                <w:webHidden/>
              </w:rPr>
              <w:fldChar w:fldCharType="begin"/>
            </w:r>
            <w:r>
              <w:rPr>
                <w:noProof/>
                <w:webHidden/>
              </w:rPr>
              <w:instrText xml:space="preserve"> PAGEREF _Toc187662171 \h </w:instrText>
            </w:r>
            <w:r>
              <w:rPr>
                <w:noProof/>
                <w:webHidden/>
              </w:rPr>
            </w:r>
            <w:r>
              <w:rPr>
                <w:noProof/>
                <w:webHidden/>
              </w:rPr>
              <w:fldChar w:fldCharType="separate"/>
            </w:r>
            <w:r>
              <w:rPr>
                <w:noProof/>
                <w:webHidden/>
              </w:rPr>
              <w:t>303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72" w:history="1">
            <w:r w:rsidRPr="007D1F1F">
              <w:rPr>
                <w:rStyle w:val="Hyperlink"/>
                <w:noProof/>
              </w:rPr>
              <w:t>III. PE-Specific Compliance Template</w:t>
            </w:r>
            <w:r>
              <w:rPr>
                <w:noProof/>
                <w:webHidden/>
              </w:rPr>
              <w:tab/>
            </w:r>
            <w:r>
              <w:rPr>
                <w:noProof/>
                <w:webHidden/>
              </w:rPr>
              <w:fldChar w:fldCharType="begin"/>
            </w:r>
            <w:r>
              <w:rPr>
                <w:noProof/>
                <w:webHidden/>
              </w:rPr>
              <w:instrText xml:space="preserve"> PAGEREF _Toc187662172 \h </w:instrText>
            </w:r>
            <w:r>
              <w:rPr>
                <w:noProof/>
                <w:webHidden/>
              </w:rPr>
            </w:r>
            <w:r>
              <w:rPr>
                <w:noProof/>
                <w:webHidden/>
              </w:rPr>
              <w:fldChar w:fldCharType="separate"/>
            </w:r>
            <w:r>
              <w:rPr>
                <w:noProof/>
                <w:webHidden/>
              </w:rPr>
              <w:t>304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73" w:history="1">
            <w:r w:rsidRPr="007D1F1F">
              <w:rPr>
                <w:rStyle w:val="Hyperlink"/>
                <w:noProof/>
              </w:rPr>
              <w:t>IV. CbC Reporting Template</w:t>
            </w:r>
            <w:r>
              <w:rPr>
                <w:noProof/>
                <w:webHidden/>
              </w:rPr>
              <w:tab/>
            </w:r>
            <w:r>
              <w:rPr>
                <w:noProof/>
                <w:webHidden/>
              </w:rPr>
              <w:fldChar w:fldCharType="begin"/>
            </w:r>
            <w:r>
              <w:rPr>
                <w:noProof/>
                <w:webHidden/>
              </w:rPr>
              <w:instrText xml:space="preserve"> PAGEREF _Toc187662173 \h </w:instrText>
            </w:r>
            <w:r>
              <w:rPr>
                <w:noProof/>
                <w:webHidden/>
              </w:rPr>
            </w:r>
            <w:r>
              <w:rPr>
                <w:noProof/>
                <w:webHidden/>
              </w:rPr>
              <w:fldChar w:fldCharType="separate"/>
            </w:r>
            <w:r>
              <w:rPr>
                <w:noProof/>
                <w:webHidden/>
              </w:rPr>
              <w:t>305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74" w:history="1">
            <w:r w:rsidRPr="007D1F1F">
              <w:rPr>
                <w:rStyle w:val="Hyperlink"/>
                <w:noProof/>
              </w:rPr>
              <w:t>V. Portal Submission Assistance</w:t>
            </w:r>
            <w:r>
              <w:rPr>
                <w:noProof/>
                <w:webHidden/>
              </w:rPr>
              <w:tab/>
            </w:r>
            <w:r>
              <w:rPr>
                <w:noProof/>
                <w:webHidden/>
              </w:rPr>
              <w:fldChar w:fldCharType="begin"/>
            </w:r>
            <w:r>
              <w:rPr>
                <w:noProof/>
                <w:webHidden/>
              </w:rPr>
              <w:instrText xml:space="preserve"> PAGEREF _Toc187662174 \h </w:instrText>
            </w:r>
            <w:r>
              <w:rPr>
                <w:noProof/>
                <w:webHidden/>
              </w:rPr>
            </w:r>
            <w:r>
              <w:rPr>
                <w:noProof/>
                <w:webHidden/>
              </w:rPr>
              <w:fldChar w:fldCharType="separate"/>
            </w:r>
            <w:r>
              <w:rPr>
                <w:noProof/>
                <w:webHidden/>
              </w:rPr>
              <w:t>305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75" w:history="1">
            <w:r w:rsidRPr="007D1F1F">
              <w:rPr>
                <w:rStyle w:val="Hyperlink"/>
                <w:noProof/>
              </w:rPr>
              <w:t>Case Study: Tax and Compliance Challenges for BrightGrid Pvt. Ltd.</w:t>
            </w:r>
            <w:r>
              <w:rPr>
                <w:noProof/>
                <w:webHidden/>
              </w:rPr>
              <w:tab/>
            </w:r>
            <w:r>
              <w:rPr>
                <w:noProof/>
                <w:webHidden/>
              </w:rPr>
              <w:fldChar w:fldCharType="begin"/>
            </w:r>
            <w:r>
              <w:rPr>
                <w:noProof/>
                <w:webHidden/>
              </w:rPr>
              <w:instrText xml:space="preserve"> PAGEREF _Toc187662175 \h </w:instrText>
            </w:r>
            <w:r>
              <w:rPr>
                <w:noProof/>
                <w:webHidden/>
              </w:rPr>
            </w:r>
            <w:r>
              <w:rPr>
                <w:noProof/>
                <w:webHidden/>
              </w:rPr>
              <w:fldChar w:fldCharType="separate"/>
            </w:r>
            <w:r>
              <w:rPr>
                <w:noProof/>
                <w:webHidden/>
              </w:rPr>
              <w:t>306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76" w:history="1">
            <w:r w:rsidRPr="007D1F1F">
              <w:rPr>
                <w:rStyle w:val="Hyperlink"/>
                <w:noProof/>
              </w:rPr>
              <w:t>Background</w:t>
            </w:r>
            <w:r>
              <w:rPr>
                <w:noProof/>
                <w:webHidden/>
              </w:rPr>
              <w:tab/>
            </w:r>
            <w:r>
              <w:rPr>
                <w:noProof/>
                <w:webHidden/>
              </w:rPr>
              <w:fldChar w:fldCharType="begin"/>
            </w:r>
            <w:r>
              <w:rPr>
                <w:noProof/>
                <w:webHidden/>
              </w:rPr>
              <w:instrText xml:space="preserve"> PAGEREF _Toc187662176 \h </w:instrText>
            </w:r>
            <w:r>
              <w:rPr>
                <w:noProof/>
                <w:webHidden/>
              </w:rPr>
            </w:r>
            <w:r>
              <w:rPr>
                <w:noProof/>
                <w:webHidden/>
              </w:rPr>
              <w:fldChar w:fldCharType="separate"/>
            </w:r>
            <w:r>
              <w:rPr>
                <w:noProof/>
                <w:webHidden/>
              </w:rPr>
              <w:t>306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77" w:history="1">
            <w:r w:rsidRPr="007D1F1F">
              <w:rPr>
                <w:rStyle w:val="Hyperlink"/>
                <w:noProof/>
              </w:rPr>
              <w:t>Transactions</w:t>
            </w:r>
            <w:r>
              <w:rPr>
                <w:noProof/>
                <w:webHidden/>
              </w:rPr>
              <w:tab/>
            </w:r>
            <w:r>
              <w:rPr>
                <w:noProof/>
                <w:webHidden/>
              </w:rPr>
              <w:fldChar w:fldCharType="begin"/>
            </w:r>
            <w:r>
              <w:rPr>
                <w:noProof/>
                <w:webHidden/>
              </w:rPr>
              <w:instrText xml:space="preserve"> PAGEREF _Toc187662177 \h </w:instrText>
            </w:r>
            <w:r>
              <w:rPr>
                <w:noProof/>
                <w:webHidden/>
              </w:rPr>
            </w:r>
            <w:r>
              <w:rPr>
                <w:noProof/>
                <w:webHidden/>
              </w:rPr>
              <w:fldChar w:fldCharType="separate"/>
            </w:r>
            <w:r>
              <w:rPr>
                <w:noProof/>
                <w:webHidden/>
              </w:rPr>
              <w:t>307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78" w:history="1">
            <w:r w:rsidRPr="007D1F1F">
              <w:rPr>
                <w:rStyle w:val="Hyperlink"/>
                <w:noProof/>
              </w:rPr>
              <w:t>Key Issues</w:t>
            </w:r>
            <w:r>
              <w:rPr>
                <w:noProof/>
                <w:webHidden/>
              </w:rPr>
              <w:tab/>
            </w:r>
            <w:r>
              <w:rPr>
                <w:noProof/>
                <w:webHidden/>
              </w:rPr>
              <w:fldChar w:fldCharType="begin"/>
            </w:r>
            <w:r>
              <w:rPr>
                <w:noProof/>
                <w:webHidden/>
              </w:rPr>
              <w:instrText xml:space="preserve"> PAGEREF _Toc187662178 \h </w:instrText>
            </w:r>
            <w:r>
              <w:rPr>
                <w:noProof/>
                <w:webHidden/>
              </w:rPr>
            </w:r>
            <w:r>
              <w:rPr>
                <w:noProof/>
                <w:webHidden/>
              </w:rPr>
              <w:fldChar w:fldCharType="separate"/>
            </w:r>
            <w:r>
              <w:rPr>
                <w:noProof/>
                <w:webHidden/>
              </w:rPr>
              <w:t>307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79" w:history="1">
            <w:r w:rsidRPr="007D1F1F">
              <w:rPr>
                <w:rStyle w:val="Hyperlink"/>
                <w:noProof/>
              </w:rPr>
              <w:t>Documents Required</w:t>
            </w:r>
            <w:r>
              <w:rPr>
                <w:noProof/>
                <w:webHidden/>
              </w:rPr>
              <w:tab/>
            </w:r>
            <w:r>
              <w:rPr>
                <w:noProof/>
                <w:webHidden/>
              </w:rPr>
              <w:fldChar w:fldCharType="begin"/>
            </w:r>
            <w:r>
              <w:rPr>
                <w:noProof/>
                <w:webHidden/>
              </w:rPr>
              <w:instrText xml:space="preserve"> PAGEREF _Toc187662179 \h </w:instrText>
            </w:r>
            <w:r>
              <w:rPr>
                <w:noProof/>
                <w:webHidden/>
              </w:rPr>
            </w:r>
            <w:r>
              <w:rPr>
                <w:noProof/>
                <w:webHidden/>
              </w:rPr>
              <w:fldChar w:fldCharType="separate"/>
            </w:r>
            <w:r>
              <w:rPr>
                <w:noProof/>
                <w:webHidden/>
              </w:rPr>
              <w:t>309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80" w:history="1">
            <w:r w:rsidRPr="007D1F1F">
              <w:rPr>
                <w:rStyle w:val="Hyperlink"/>
                <w:noProof/>
              </w:rPr>
              <w:t>Proposed Solutions</w:t>
            </w:r>
            <w:r>
              <w:rPr>
                <w:noProof/>
                <w:webHidden/>
              </w:rPr>
              <w:tab/>
            </w:r>
            <w:r>
              <w:rPr>
                <w:noProof/>
                <w:webHidden/>
              </w:rPr>
              <w:fldChar w:fldCharType="begin"/>
            </w:r>
            <w:r>
              <w:rPr>
                <w:noProof/>
                <w:webHidden/>
              </w:rPr>
              <w:instrText xml:space="preserve"> PAGEREF _Toc187662180 \h </w:instrText>
            </w:r>
            <w:r>
              <w:rPr>
                <w:noProof/>
                <w:webHidden/>
              </w:rPr>
            </w:r>
            <w:r>
              <w:rPr>
                <w:noProof/>
                <w:webHidden/>
              </w:rPr>
              <w:fldChar w:fldCharType="separate"/>
            </w:r>
            <w:r>
              <w:rPr>
                <w:noProof/>
                <w:webHidden/>
              </w:rPr>
              <w:t>309</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81" w:history="1">
            <w:r w:rsidRPr="007D1F1F">
              <w:rPr>
                <w:rStyle w:val="Hyperlink"/>
                <w:noProof/>
              </w:rPr>
              <w:t>Conclusion</w:t>
            </w:r>
            <w:r>
              <w:rPr>
                <w:noProof/>
                <w:webHidden/>
              </w:rPr>
              <w:tab/>
            </w:r>
            <w:r>
              <w:rPr>
                <w:noProof/>
                <w:webHidden/>
              </w:rPr>
              <w:fldChar w:fldCharType="begin"/>
            </w:r>
            <w:r>
              <w:rPr>
                <w:noProof/>
                <w:webHidden/>
              </w:rPr>
              <w:instrText xml:space="preserve"> PAGEREF _Toc187662181 \h </w:instrText>
            </w:r>
            <w:r>
              <w:rPr>
                <w:noProof/>
                <w:webHidden/>
              </w:rPr>
            </w:r>
            <w:r>
              <w:rPr>
                <w:noProof/>
                <w:webHidden/>
              </w:rPr>
              <w:fldChar w:fldCharType="separate"/>
            </w:r>
            <w:r>
              <w:rPr>
                <w:noProof/>
                <w:webHidden/>
              </w:rPr>
              <w:t>311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82" w:history="1">
            <w:r w:rsidRPr="007D1F1F">
              <w:rPr>
                <w:rStyle w:val="Hyperlink"/>
                <w:noProof/>
              </w:rPr>
              <w:t>Templates for AAR Filing, TP Documentation, PE-Specific Compliance, and CbC Reporting</w:t>
            </w:r>
            <w:r>
              <w:rPr>
                <w:noProof/>
                <w:webHidden/>
              </w:rPr>
              <w:tab/>
            </w:r>
            <w:r>
              <w:rPr>
                <w:noProof/>
                <w:webHidden/>
              </w:rPr>
              <w:fldChar w:fldCharType="begin"/>
            </w:r>
            <w:r>
              <w:rPr>
                <w:noProof/>
                <w:webHidden/>
              </w:rPr>
              <w:instrText xml:space="preserve"> PAGEREF _Toc187662182 \h </w:instrText>
            </w:r>
            <w:r>
              <w:rPr>
                <w:noProof/>
                <w:webHidden/>
              </w:rPr>
            </w:r>
            <w:r>
              <w:rPr>
                <w:noProof/>
                <w:webHidden/>
              </w:rPr>
              <w:fldChar w:fldCharType="separate"/>
            </w:r>
            <w:r>
              <w:rPr>
                <w:noProof/>
                <w:webHidden/>
              </w:rPr>
              <w:t>312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83" w:history="1">
            <w:r w:rsidRPr="007D1F1F">
              <w:rPr>
                <w:rStyle w:val="Hyperlink"/>
                <w:noProof/>
              </w:rPr>
              <w:t>I. AAR Filing Template</w:t>
            </w:r>
            <w:r>
              <w:rPr>
                <w:noProof/>
                <w:webHidden/>
              </w:rPr>
              <w:tab/>
            </w:r>
            <w:r>
              <w:rPr>
                <w:noProof/>
                <w:webHidden/>
              </w:rPr>
              <w:fldChar w:fldCharType="begin"/>
            </w:r>
            <w:r>
              <w:rPr>
                <w:noProof/>
                <w:webHidden/>
              </w:rPr>
              <w:instrText xml:space="preserve"> PAGEREF _Toc187662183 \h </w:instrText>
            </w:r>
            <w:r>
              <w:rPr>
                <w:noProof/>
                <w:webHidden/>
              </w:rPr>
            </w:r>
            <w:r>
              <w:rPr>
                <w:noProof/>
                <w:webHidden/>
              </w:rPr>
              <w:fldChar w:fldCharType="separate"/>
            </w:r>
            <w:r>
              <w:rPr>
                <w:noProof/>
                <w:webHidden/>
              </w:rPr>
              <w:t>312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84" w:history="1">
            <w:r w:rsidRPr="007D1F1F">
              <w:rPr>
                <w:rStyle w:val="Hyperlink"/>
                <w:noProof/>
              </w:rPr>
              <w:t>II. Transfer Pricing (TP) Documentation Template</w:t>
            </w:r>
            <w:r>
              <w:rPr>
                <w:noProof/>
                <w:webHidden/>
              </w:rPr>
              <w:tab/>
            </w:r>
            <w:r>
              <w:rPr>
                <w:noProof/>
                <w:webHidden/>
              </w:rPr>
              <w:fldChar w:fldCharType="begin"/>
            </w:r>
            <w:r>
              <w:rPr>
                <w:noProof/>
                <w:webHidden/>
              </w:rPr>
              <w:instrText xml:space="preserve"> PAGEREF _Toc187662184 \h </w:instrText>
            </w:r>
            <w:r>
              <w:rPr>
                <w:noProof/>
                <w:webHidden/>
              </w:rPr>
            </w:r>
            <w:r>
              <w:rPr>
                <w:noProof/>
                <w:webHidden/>
              </w:rPr>
              <w:fldChar w:fldCharType="separate"/>
            </w:r>
            <w:r>
              <w:rPr>
                <w:noProof/>
                <w:webHidden/>
              </w:rPr>
              <w:t>314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85" w:history="1">
            <w:r w:rsidRPr="007D1F1F">
              <w:rPr>
                <w:rStyle w:val="Hyperlink"/>
                <w:noProof/>
              </w:rPr>
              <w:t>III. PE-Specific Compliance Template</w:t>
            </w:r>
            <w:r>
              <w:rPr>
                <w:noProof/>
                <w:webHidden/>
              </w:rPr>
              <w:tab/>
            </w:r>
            <w:r>
              <w:rPr>
                <w:noProof/>
                <w:webHidden/>
              </w:rPr>
              <w:fldChar w:fldCharType="begin"/>
            </w:r>
            <w:r>
              <w:rPr>
                <w:noProof/>
                <w:webHidden/>
              </w:rPr>
              <w:instrText xml:space="preserve"> PAGEREF _Toc187662185 \h </w:instrText>
            </w:r>
            <w:r>
              <w:rPr>
                <w:noProof/>
                <w:webHidden/>
              </w:rPr>
            </w:r>
            <w:r>
              <w:rPr>
                <w:noProof/>
                <w:webHidden/>
              </w:rPr>
              <w:fldChar w:fldCharType="separate"/>
            </w:r>
            <w:r>
              <w:rPr>
                <w:noProof/>
                <w:webHidden/>
              </w:rPr>
              <w:t>315</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86" w:history="1">
            <w:r w:rsidRPr="007D1F1F">
              <w:rPr>
                <w:rStyle w:val="Hyperlink"/>
                <w:noProof/>
              </w:rPr>
              <w:t>IV. CbC Reporting Template</w:t>
            </w:r>
            <w:r>
              <w:rPr>
                <w:noProof/>
                <w:webHidden/>
              </w:rPr>
              <w:tab/>
            </w:r>
            <w:r>
              <w:rPr>
                <w:noProof/>
                <w:webHidden/>
              </w:rPr>
              <w:fldChar w:fldCharType="begin"/>
            </w:r>
            <w:r>
              <w:rPr>
                <w:noProof/>
                <w:webHidden/>
              </w:rPr>
              <w:instrText xml:space="preserve"> PAGEREF _Toc187662186 \h </w:instrText>
            </w:r>
            <w:r>
              <w:rPr>
                <w:noProof/>
                <w:webHidden/>
              </w:rPr>
            </w:r>
            <w:r>
              <w:rPr>
                <w:noProof/>
                <w:webHidden/>
              </w:rPr>
              <w:fldChar w:fldCharType="separate"/>
            </w:r>
            <w:r>
              <w:rPr>
                <w:noProof/>
                <w:webHidden/>
              </w:rPr>
              <w:t>316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87" w:history="1">
            <w:r w:rsidRPr="007D1F1F">
              <w:rPr>
                <w:rStyle w:val="Hyperlink"/>
                <w:noProof/>
              </w:rPr>
              <w:t>V. Portal Submission Assistance</w:t>
            </w:r>
            <w:r>
              <w:rPr>
                <w:noProof/>
                <w:webHidden/>
              </w:rPr>
              <w:tab/>
            </w:r>
            <w:r>
              <w:rPr>
                <w:noProof/>
                <w:webHidden/>
              </w:rPr>
              <w:fldChar w:fldCharType="begin"/>
            </w:r>
            <w:r>
              <w:rPr>
                <w:noProof/>
                <w:webHidden/>
              </w:rPr>
              <w:instrText xml:space="preserve"> PAGEREF _Toc187662187 \h </w:instrText>
            </w:r>
            <w:r>
              <w:rPr>
                <w:noProof/>
                <w:webHidden/>
              </w:rPr>
            </w:r>
            <w:r>
              <w:rPr>
                <w:noProof/>
                <w:webHidden/>
              </w:rPr>
              <w:fldChar w:fldCharType="separate"/>
            </w:r>
            <w:r>
              <w:rPr>
                <w:noProof/>
                <w:webHidden/>
              </w:rPr>
              <w:t>316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88" w:history="1">
            <w:r w:rsidRPr="007D1F1F">
              <w:rPr>
                <w:rStyle w:val="Hyperlink"/>
                <w:noProof/>
              </w:rPr>
              <w:t>Facts:</w:t>
            </w:r>
            <w:r>
              <w:rPr>
                <w:noProof/>
                <w:webHidden/>
              </w:rPr>
              <w:tab/>
            </w:r>
            <w:r>
              <w:rPr>
                <w:noProof/>
                <w:webHidden/>
              </w:rPr>
              <w:fldChar w:fldCharType="begin"/>
            </w:r>
            <w:r>
              <w:rPr>
                <w:noProof/>
                <w:webHidden/>
              </w:rPr>
              <w:instrText xml:space="preserve"> PAGEREF _Toc187662188 \h </w:instrText>
            </w:r>
            <w:r>
              <w:rPr>
                <w:noProof/>
                <w:webHidden/>
              </w:rPr>
            </w:r>
            <w:r>
              <w:rPr>
                <w:noProof/>
                <w:webHidden/>
              </w:rPr>
              <w:fldChar w:fldCharType="separate"/>
            </w:r>
            <w:r>
              <w:rPr>
                <w:noProof/>
                <w:webHidden/>
              </w:rPr>
              <w:t>371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89" w:history="1">
            <w:r w:rsidRPr="007D1F1F">
              <w:rPr>
                <w:rStyle w:val="Hyperlink"/>
                <w:noProof/>
              </w:rPr>
              <w:t>Issues:</w:t>
            </w:r>
            <w:r>
              <w:rPr>
                <w:noProof/>
                <w:webHidden/>
              </w:rPr>
              <w:tab/>
            </w:r>
            <w:r>
              <w:rPr>
                <w:noProof/>
                <w:webHidden/>
              </w:rPr>
              <w:fldChar w:fldCharType="begin"/>
            </w:r>
            <w:r>
              <w:rPr>
                <w:noProof/>
                <w:webHidden/>
              </w:rPr>
              <w:instrText xml:space="preserve"> PAGEREF _Toc187662189 \h </w:instrText>
            </w:r>
            <w:r>
              <w:rPr>
                <w:noProof/>
                <w:webHidden/>
              </w:rPr>
            </w:r>
            <w:r>
              <w:rPr>
                <w:noProof/>
                <w:webHidden/>
              </w:rPr>
              <w:fldChar w:fldCharType="separate"/>
            </w:r>
            <w:r>
              <w:rPr>
                <w:noProof/>
                <w:webHidden/>
              </w:rPr>
              <w:t>372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90" w:history="1">
            <w:r w:rsidRPr="007D1F1F">
              <w:rPr>
                <w:rStyle w:val="Hyperlink"/>
                <w:noProof/>
              </w:rPr>
              <w:t>Applicant’s Arguments:</w:t>
            </w:r>
            <w:r>
              <w:rPr>
                <w:noProof/>
                <w:webHidden/>
              </w:rPr>
              <w:tab/>
            </w:r>
            <w:r>
              <w:rPr>
                <w:noProof/>
                <w:webHidden/>
              </w:rPr>
              <w:fldChar w:fldCharType="begin"/>
            </w:r>
            <w:r>
              <w:rPr>
                <w:noProof/>
                <w:webHidden/>
              </w:rPr>
              <w:instrText xml:space="preserve"> PAGEREF _Toc187662190 \h </w:instrText>
            </w:r>
            <w:r>
              <w:rPr>
                <w:noProof/>
                <w:webHidden/>
              </w:rPr>
            </w:r>
            <w:r>
              <w:rPr>
                <w:noProof/>
                <w:webHidden/>
              </w:rPr>
              <w:fldChar w:fldCharType="separate"/>
            </w:r>
            <w:r>
              <w:rPr>
                <w:noProof/>
                <w:webHidden/>
              </w:rPr>
              <w:t>372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91" w:history="1">
            <w:r w:rsidRPr="007D1F1F">
              <w:rPr>
                <w:rStyle w:val="Hyperlink"/>
                <w:noProof/>
              </w:rPr>
              <w:t>Revenue’s Arguments:</w:t>
            </w:r>
            <w:r>
              <w:rPr>
                <w:noProof/>
                <w:webHidden/>
              </w:rPr>
              <w:tab/>
            </w:r>
            <w:r>
              <w:rPr>
                <w:noProof/>
                <w:webHidden/>
              </w:rPr>
              <w:fldChar w:fldCharType="begin"/>
            </w:r>
            <w:r>
              <w:rPr>
                <w:noProof/>
                <w:webHidden/>
              </w:rPr>
              <w:instrText xml:space="preserve"> PAGEREF _Toc187662191 \h </w:instrText>
            </w:r>
            <w:r>
              <w:rPr>
                <w:noProof/>
                <w:webHidden/>
              </w:rPr>
            </w:r>
            <w:r>
              <w:rPr>
                <w:noProof/>
                <w:webHidden/>
              </w:rPr>
              <w:fldChar w:fldCharType="separate"/>
            </w:r>
            <w:r>
              <w:rPr>
                <w:noProof/>
                <w:webHidden/>
              </w:rPr>
              <w:t>372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92" w:history="1">
            <w:r w:rsidRPr="007D1F1F">
              <w:rPr>
                <w:rStyle w:val="Hyperlink"/>
                <w:noProof/>
              </w:rPr>
              <w:t>AAR’s Analysis:</w:t>
            </w:r>
            <w:r>
              <w:rPr>
                <w:noProof/>
                <w:webHidden/>
              </w:rPr>
              <w:tab/>
            </w:r>
            <w:r>
              <w:rPr>
                <w:noProof/>
                <w:webHidden/>
              </w:rPr>
              <w:fldChar w:fldCharType="begin"/>
            </w:r>
            <w:r>
              <w:rPr>
                <w:noProof/>
                <w:webHidden/>
              </w:rPr>
              <w:instrText xml:space="preserve"> PAGEREF _Toc187662192 \h </w:instrText>
            </w:r>
            <w:r>
              <w:rPr>
                <w:noProof/>
                <w:webHidden/>
              </w:rPr>
            </w:r>
            <w:r>
              <w:rPr>
                <w:noProof/>
                <w:webHidden/>
              </w:rPr>
              <w:fldChar w:fldCharType="separate"/>
            </w:r>
            <w:r>
              <w:rPr>
                <w:noProof/>
                <w:webHidden/>
              </w:rPr>
              <w:t>373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93" w:history="1">
            <w:r w:rsidRPr="007D1F1F">
              <w:rPr>
                <w:rStyle w:val="Hyperlink"/>
                <w:noProof/>
              </w:rPr>
              <w:t>Ruling and Reasoning:</w:t>
            </w:r>
            <w:r>
              <w:rPr>
                <w:noProof/>
                <w:webHidden/>
              </w:rPr>
              <w:tab/>
            </w:r>
            <w:r>
              <w:rPr>
                <w:noProof/>
                <w:webHidden/>
              </w:rPr>
              <w:fldChar w:fldCharType="begin"/>
            </w:r>
            <w:r>
              <w:rPr>
                <w:noProof/>
                <w:webHidden/>
              </w:rPr>
              <w:instrText xml:space="preserve"> PAGEREF _Toc187662193 \h </w:instrText>
            </w:r>
            <w:r>
              <w:rPr>
                <w:noProof/>
                <w:webHidden/>
              </w:rPr>
            </w:r>
            <w:r>
              <w:rPr>
                <w:noProof/>
                <w:webHidden/>
              </w:rPr>
              <w:fldChar w:fldCharType="separate"/>
            </w:r>
            <w:r>
              <w:rPr>
                <w:noProof/>
                <w:webHidden/>
              </w:rPr>
              <w:t>373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94" w:history="1">
            <w:r w:rsidRPr="007D1F1F">
              <w:rPr>
                <w:rStyle w:val="Hyperlink"/>
                <w:noProof/>
              </w:rPr>
              <w:t>Conclusion:</w:t>
            </w:r>
            <w:r>
              <w:rPr>
                <w:noProof/>
                <w:webHidden/>
              </w:rPr>
              <w:tab/>
            </w:r>
            <w:r>
              <w:rPr>
                <w:noProof/>
                <w:webHidden/>
              </w:rPr>
              <w:fldChar w:fldCharType="begin"/>
            </w:r>
            <w:r>
              <w:rPr>
                <w:noProof/>
                <w:webHidden/>
              </w:rPr>
              <w:instrText xml:space="preserve"> PAGEREF _Toc187662194 \h </w:instrText>
            </w:r>
            <w:r>
              <w:rPr>
                <w:noProof/>
                <w:webHidden/>
              </w:rPr>
            </w:r>
            <w:r>
              <w:rPr>
                <w:noProof/>
                <w:webHidden/>
              </w:rPr>
              <w:fldChar w:fldCharType="separate"/>
            </w:r>
            <w:r>
              <w:rPr>
                <w:noProof/>
                <w:webHidden/>
              </w:rPr>
              <w:t>374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95" w:history="1">
            <w:r w:rsidRPr="007D1F1F">
              <w:rPr>
                <w:rStyle w:val="Hyperlink"/>
                <w:noProof/>
              </w:rPr>
              <w:t>Facts:</w:t>
            </w:r>
            <w:r>
              <w:rPr>
                <w:noProof/>
                <w:webHidden/>
              </w:rPr>
              <w:tab/>
            </w:r>
            <w:r>
              <w:rPr>
                <w:noProof/>
                <w:webHidden/>
              </w:rPr>
              <w:fldChar w:fldCharType="begin"/>
            </w:r>
            <w:r>
              <w:rPr>
                <w:noProof/>
                <w:webHidden/>
              </w:rPr>
              <w:instrText xml:space="preserve"> PAGEREF _Toc187662195 \h </w:instrText>
            </w:r>
            <w:r>
              <w:rPr>
                <w:noProof/>
                <w:webHidden/>
              </w:rPr>
            </w:r>
            <w:r>
              <w:rPr>
                <w:noProof/>
                <w:webHidden/>
              </w:rPr>
              <w:fldChar w:fldCharType="separate"/>
            </w:r>
            <w:r>
              <w:rPr>
                <w:noProof/>
                <w:webHidden/>
              </w:rPr>
              <w:t>390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96" w:history="1">
            <w:r w:rsidRPr="007D1F1F">
              <w:rPr>
                <w:rStyle w:val="Hyperlink"/>
                <w:noProof/>
              </w:rPr>
              <w:t>Issues:</w:t>
            </w:r>
            <w:r>
              <w:rPr>
                <w:noProof/>
                <w:webHidden/>
              </w:rPr>
              <w:tab/>
            </w:r>
            <w:r>
              <w:rPr>
                <w:noProof/>
                <w:webHidden/>
              </w:rPr>
              <w:fldChar w:fldCharType="begin"/>
            </w:r>
            <w:r>
              <w:rPr>
                <w:noProof/>
                <w:webHidden/>
              </w:rPr>
              <w:instrText xml:space="preserve"> PAGEREF _Toc187662196 \h </w:instrText>
            </w:r>
            <w:r>
              <w:rPr>
                <w:noProof/>
                <w:webHidden/>
              </w:rPr>
            </w:r>
            <w:r>
              <w:rPr>
                <w:noProof/>
                <w:webHidden/>
              </w:rPr>
              <w:fldChar w:fldCharType="separate"/>
            </w:r>
            <w:r>
              <w:rPr>
                <w:noProof/>
                <w:webHidden/>
              </w:rPr>
              <w:t>390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97" w:history="1">
            <w:r w:rsidRPr="007D1F1F">
              <w:rPr>
                <w:rStyle w:val="Hyperlink"/>
                <w:noProof/>
              </w:rPr>
              <w:t>Applicant’s Arguments:</w:t>
            </w:r>
            <w:r>
              <w:rPr>
                <w:noProof/>
                <w:webHidden/>
              </w:rPr>
              <w:tab/>
            </w:r>
            <w:r>
              <w:rPr>
                <w:noProof/>
                <w:webHidden/>
              </w:rPr>
              <w:fldChar w:fldCharType="begin"/>
            </w:r>
            <w:r>
              <w:rPr>
                <w:noProof/>
                <w:webHidden/>
              </w:rPr>
              <w:instrText xml:space="preserve"> PAGEREF _Toc187662197 \h </w:instrText>
            </w:r>
            <w:r>
              <w:rPr>
                <w:noProof/>
                <w:webHidden/>
              </w:rPr>
            </w:r>
            <w:r>
              <w:rPr>
                <w:noProof/>
                <w:webHidden/>
              </w:rPr>
              <w:fldChar w:fldCharType="separate"/>
            </w:r>
            <w:r>
              <w:rPr>
                <w:noProof/>
                <w:webHidden/>
              </w:rPr>
              <w:t>391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98" w:history="1">
            <w:r w:rsidRPr="007D1F1F">
              <w:rPr>
                <w:rStyle w:val="Hyperlink"/>
                <w:noProof/>
              </w:rPr>
              <w:t>Revenue’s Arguments:</w:t>
            </w:r>
            <w:r>
              <w:rPr>
                <w:noProof/>
                <w:webHidden/>
              </w:rPr>
              <w:tab/>
            </w:r>
            <w:r>
              <w:rPr>
                <w:noProof/>
                <w:webHidden/>
              </w:rPr>
              <w:fldChar w:fldCharType="begin"/>
            </w:r>
            <w:r>
              <w:rPr>
                <w:noProof/>
                <w:webHidden/>
              </w:rPr>
              <w:instrText xml:space="preserve"> PAGEREF _Toc187662198 \h </w:instrText>
            </w:r>
            <w:r>
              <w:rPr>
                <w:noProof/>
                <w:webHidden/>
              </w:rPr>
            </w:r>
            <w:r>
              <w:rPr>
                <w:noProof/>
                <w:webHidden/>
              </w:rPr>
              <w:fldChar w:fldCharType="separate"/>
            </w:r>
            <w:r>
              <w:rPr>
                <w:noProof/>
                <w:webHidden/>
              </w:rPr>
              <w:t>391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199" w:history="1">
            <w:r w:rsidRPr="007D1F1F">
              <w:rPr>
                <w:rStyle w:val="Hyperlink"/>
                <w:noProof/>
              </w:rPr>
              <w:t>AAR’s Analysis:</w:t>
            </w:r>
            <w:r>
              <w:rPr>
                <w:noProof/>
                <w:webHidden/>
              </w:rPr>
              <w:tab/>
            </w:r>
            <w:r>
              <w:rPr>
                <w:noProof/>
                <w:webHidden/>
              </w:rPr>
              <w:fldChar w:fldCharType="begin"/>
            </w:r>
            <w:r>
              <w:rPr>
                <w:noProof/>
                <w:webHidden/>
              </w:rPr>
              <w:instrText xml:space="preserve"> PAGEREF _Toc187662199 \h </w:instrText>
            </w:r>
            <w:r>
              <w:rPr>
                <w:noProof/>
                <w:webHidden/>
              </w:rPr>
            </w:r>
            <w:r>
              <w:rPr>
                <w:noProof/>
                <w:webHidden/>
              </w:rPr>
              <w:fldChar w:fldCharType="separate"/>
            </w:r>
            <w:r>
              <w:rPr>
                <w:noProof/>
                <w:webHidden/>
              </w:rPr>
              <w:t>391</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00" w:history="1">
            <w:r w:rsidRPr="007D1F1F">
              <w:rPr>
                <w:rStyle w:val="Hyperlink"/>
                <w:noProof/>
              </w:rPr>
              <w:t>Ruling and Reasoning:</w:t>
            </w:r>
            <w:r>
              <w:rPr>
                <w:noProof/>
                <w:webHidden/>
              </w:rPr>
              <w:tab/>
            </w:r>
            <w:r>
              <w:rPr>
                <w:noProof/>
                <w:webHidden/>
              </w:rPr>
              <w:fldChar w:fldCharType="begin"/>
            </w:r>
            <w:r>
              <w:rPr>
                <w:noProof/>
                <w:webHidden/>
              </w:rPr>
              <w:instrText xml:space="preserve"> PAGEREF _Toc187662200 \h </w:instrText>
            </w:r>
            <w:r>
              <w:rPr>
                <w:noProof/>
                <w:webHidden/>
              </w:rPr>
            </w:r>
            <w:r>
              <w:rPr>
                <w:noProof/>
                <w:webHidden/>
              </w:rPr>
              <w:fldChar w:fldCharType="separate"/>
            </w:r>
            <w:r>
              <w:rPr>
                <w:noProof/>
                <w:webHidden/>
              </w:rPr>
              <w:t>392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01" w:history="1">
            <w:r w:rsidRPr="007D1F1F">
              <w:rPr>
                <w:rStyle w:val="Hyperlink"/>
                <w:noProof/>
              </w:rPr>
              <w:t>Conclusion:</w:t>
            </w:r>
            <w:r>
              <w:rPr>
                <w:noProof/>
                <w:webHidden/>
              </w:rPr>
              <w:tab/>
            </w:r>
            <w:r>
              <w:rPr>
                <w:noProof/>
                <w:webHidden/>
              </w:rPr>
              <w:fldChar w:fldCharType="begin"/>
            </w:r>
            <w:r>
              <w:rPr>
                <w:noProof/>
                <w:webHidden/>
              </w:rPr>
              <w:instrText xml:space="preserve"> PAGEREF _Toc187662201 \h </w:instrText>
            </w:r>
            <w:r>
              <w:rPr>
                <w:noProof/>
                <w:webHidden/>
              </w:rPr>
            </w:r>
            <w:r>
              <w:rPr>
                <w:noProof/>
                <w:webHidden/>
              </w:rPr>
              <w:fldChar w:fldCharType="separate"/>
            </w:r>
            <w:r>
              <w:rPr>
                <w:noProof/>
                <w:webHidden/>
              </w:rPr>
              <w:t>392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02" w:history="1">
            <w:r w:rsidRPr="007D1F1F">
              <w:rPr>
                <w:rStyle w:val="Hyperlink"/>
                <w:noProof/>
              </w:rPr>
              <w:t>Reference:</w:t>
            </w:r>
            <w:r>
              <w:rPr>
                <w:noProof/>
                <w:webHidden/>
              </w:rPr>
              <w:tab/>
            </w:r>
            <w:r>
              <w:rPr>
                <w:noProof/>
                <w:webHidden/>
              </w:rPr>
              <w:fldChar w:fldCharType="begin"/>
            </w:r>
            <w:r>
              <w:rPr>
                <w:noProof/>
                <w:webHidden/>
              </w:rPr>
              <w:instrText xml:space="preserve"> PAGEREF _Toc187662202 \h </w:instrText>
            </w:r>
            <w:r>
              <w:rPr>
                <w:noProof/>
                <w:webHidden/>
              </w:rPr>
            </w:r>
            <w:r>
              <w:rPr>
                <w:noProof/>
                <w:webHidden/>
              </w:rPr>
              <w:fldChar w:fldCharType="separate"/>
            </w:r>
            <w:r>
              <w:rPr>
                <w:noProof/>
                <w:webHidden/>
              </w:rPr>
              <w:t>393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03" w:history="1">
            <w:r w:rsidRPr="007D1F1F">
              <w:rPr>
                <w:rStyle w:val="Hyperlink"/>
                <w:noProof/>
              </w:rPr>
              <w:t>Reference:</w:t>
            </w:r>
            <w:r>
              <w:rPr>
                <w:noProof/>
                <w:webHidden/>
              </w:rPr>
              <w:tab/>
            </w:r>
            <w:r>
              <w:rPr>
                <w:noProof/>
                <w:webHidden/>
              </w:rPr>
              <w:fldChar w:fldCharType="begin"/>
            </w:r>
            <w:r>
              <w:rPr>
                <w:noProof/>
                <w:webHidden/>
              </w:rPr>
              <w:instrText xml:space="preserve"> PAGEREF _Toc187662203 \h </w:instrText>
            </w:r>
            <w:r>
              <w:rPr>
                <w:noProof/>
                <w:webHidden/>
              </w:rPr>
            </w:r>
            <w:r>
              <w:rPr>
                <w:noProof/>
                <w:webHidden/>
              </w:rPr>
              <w:fldChar w:fldCharType="separate"/>
            </w:r>
            <w:r>
              <w:rPr>
                <w:noProof/>
                <w:webHidden/>
              </w:rPr>
              <w:t>490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04" w:history="1">
            <w:r w:rsidRPr="007D1F1F">
              <w:rPr>
                <w:rStyle w:val="Hyperlink"/>
                <w:rFonts w:ascii="Times New Roman" w:eastAsia="Times New Roman" w:hAnsi="Times New Roman" w:cs="Times New Roman"/>
                <w:b/>
                <w:bCs/>
                <w:noProof/>
                <w:lang w:eastAsia="en-IN"/>
              </w:rPr>
              <w:t>Background</w:t>
            </w:r>
            <w:r>
              <w:rPr>
                <w:noProof/>
                <w:webHidden/>
              </w:rPr>
              <w:tab/>
            </w:r>
            <w:r>
              <w:rPr>
                <w:noProof/>
                <w:webHidden/>
              </w:rPr>
              <w:fldChar w:fldCharType="begin"/>
            </w:r>
            <w:r>
              <w:rPr>
                <w:noProof/>
                <w:webHidden/>
              </w:rPr>
              <w:instrText xml:space="preserve"> PAGEREF _Toc187662204 \h </w:instrText>
            </w:r>
            <w:r>
              <w:rPr>
                <w:noProof/>
                <w:webHidden/>
              </w:rPr>
            </w:r>
            <w:r>
              <w:rPr>
                <w:noProof/>
                <w:webHidden/>
              </w:rPr>
              <w:fldChar w:fldCharType="separate"/>
            </w:r>
            <w:r>
              <w:rPr>
                <w:noProof/>
                <w:webHidden/>
              </w:rPr>
              <w:t>626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05" w:history="1">
            <w:r w:rsidRPr="007D1F1F">
              <w:rPr>
                <w:rStyle w:val="Hyperlink"/>
                <w:rFonts w:ascii="Times New Roman" w:eastAsia="Times New Roman" w:hAnsi="Times New Roman" w:cs="Times New Roman"/>
                <w:b/>
                <w:bCs/>
                <w:noProof/>
                <w:lang w:eastAsia="en-IN"/>
              </w:rPr>
              <w:t>Legal Framework</w:t>
            </w:r>
            <w:r>
              <w:rPr>
                <w:noProof/>
                <w:webHidden/>
              </w:rPr>
              <w:tab/>
            </w:r>
            <w:r>
              <w:rPr>
                <w:noProof/>
                <w:webHidden/>
              </w:rPr>
              <w:fldChar w:fldCharType="begin"/>
            </w:r>
            <w:r>
              <w:rPr>
                <w:noProof/>
                <w:webHidden/>
              </w:rPr>
              <w:instrText xml:space="preserve"> PAGEREF _Toc187662205 \h </w:instrText>
            </w:r>
            <w:r>
              <w:rPr>
                <w:noProof/>
                <w:webHidden/>
              </w:rPr>
            </w:r>
            <w:r>
              <w:rPr>
                <w:noProof/>
                <w:webHidden/>
              </w:rPr>
              <w:fldChar w:fldCharType="separate"/>
            </w:r>
            <w:r>
              <w:rPr>
                <w:noProof/>
                <w:webHidden/>
              </w:rPr>
              <w:t>626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06" w:history="1">
            <w:r w:rsidRPr="007D1F1F">
              <w:rPr>
                <w:rStyle w:val="Hyperlink"/>
                <w:rFonts w:ascii="Times New Roman" w:eastAsia="Times New Roman" w:hAnsi="Times New Roman" w:cs="Times New Roman"/>
                <w:b/>
                <w:bCs/>
                <w:noProof/>
                <w:lang w:eastAsia="en-IN"/>
              </w:rPr>
              <w:t>Key Issues</w:t>
            </w:r>
            <w:r>
              <w:rPr>
                <w:noProof/>
                <w:webHidden/>
              </w:rPr>
              <w:tab/>
            </w:r>
            <w:r>
              <w:rPr>
                <w:noProof/>
                <w:webHidden/>
              </w:rPr>
              <w:fldChar w:fldCharType="begin"/>
            </w:r>
            <w:r>
              <w:rPr>
                <w:noProof/>
                <w:webHidden/>
              </w:rPr>
              <w:instrText xml:space="preserve"> PAGEREF _Toc187662206 \h </w:instrText>
            </w:r>
            <w:r>
              <w:rPr>
                <w:noProof/>
                <w:webHidden/>
              </w:rPr>
            </w:r>
            <w:r>
              <w:rPr>
                <w:noProof/>
                <w:webHidden/>
              </w:rPr>
              <w:fldChar w:fldCharType="separate"/>
            </w:r>
            <w:r>
              <w:rPr>
                <w:noProof/>
                <w:webHidden/>
              </w:rPr>
              <w:t>626</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07" w:history="1">
            <w:r w:rsidRPr="007D1F1F">
              <w:rPr>
                <w:rStyle w:val="Hyperlink"/>
                <w:rFonts w:ascii="Times New Roman" w:eastAsia="Times New Roman" w:hAnsi="Times New Roman" w:cs="Times New Roman"/>
                <w:b/>
                <w:bCs/>
                <w:noProof/>
                <w:lang w:eastAsia="en-IN"/>
              </w:rPr>
              <w:t>Arguments</w:t>
            </w:r>
            <w:r>
              <w:rPr>
                <w:noProof/>
                <w:webHidden/>
              </w:rPr>
              <w:tab/>
            </w:r>
            <w:r>
              <w:rPr>
                <w:noProof/>
                <w:webHidden/>
              </w:rPr>
              <w:fldChar w:fldCharType="begin"/>
            </w:r>
            <w:r>
              <w:rPr>
                <w:noProof/>
                <w:webHidden/>
              </w:rPr>
              <w:instrText xml:space="preserve"> PAGEREF _Toc187662207 \h </w:instrText>
            </w:r>
            <w:r>
              <w:rPr>
                <w:noProof/>
                <w:webHidden/>
              </w:rPr>
            </w:r>
            <w:r>
              <w:rPr>
                <w:noProof/>
                <w:webHidden/>
              </w:rPr>
              <w:fldChar w:fldCharType="separate"/>
            </w:r>
            <w:r>
              <w:rPr>
                <w:noProof/>
                <w:webHidden/>
              </w:rPr>
              <w:t>627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08" w:history="1">
            <w:r w:rsidRPr="007D1F1F">
              <w:rPr>
                <w:rStyle w:val="Hyperlink"/>
                <w:rFonts w:ascii="Times New Roman" w:eastAsia="Times New Roman" w:hAnsi="Times New Roman" w:cs="Times New Roman"/>
                <w:b/>
                <w:bCs/>
                <w:noProof/>
                <w:lang w:eastAsia="en-IN"/>
              </w:rPr>
              <w:t>Court's Analysis</w:t>
            </w:r>
            <w:r>
              <w:rPr>
                <w:noProof/>
                <w:webHidden/>
              </w:rPr>
              <w:tab/>
            </w:r>
            <w:r>
              <w:rPr>
                <w:noProof/>
                <w:webHidden/>
              </w:rPr>
              <w:fldChar w:fldCharType="begin"/>
            </w:r>
            <w:r>
              <w:rPr>
                <w:noProof/>
                <w:webHidden/>
              </w:rPr>
              <w:instrText xml:space="preserve"> PAGEREF _Toc187662208 \h </w:instrText>
            </w:r>
            <w:r>
              <w:rPr>
                <w:noProof/>
                <w:webHidden/>
              </w:rPr>
            </w:r>
            <w:r>
              <w:rPr>
                <w:noProof/>
                <w:webHidden/>
              </w:rPr>
              <w:fldChar w:fldCharType="separate"/>
            </w:r>
            <w:r>
              <w:rPr>
                <w:noProof/>
                <w:webHidden/>
              </w:rPr>
              <w:t>627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09" w:history="1">
            <w:r w:rsidRPr="007D1F1F">
              <w:rPr>
                <w:rStyle w:val="Hyperlink"/>
                <w:rFonts w:ascii="Times New Roman" w:eastAsia="Times New Roman" w:hAnsi="Times New Roman" w:cs="Times New Roman"/>
                <w:b/>
                <w:bCs/>
                <w:noProof/>
                <w:lang w:eastAsia="en-IN"/>
              </w:rPr>
              <w:t>Judgment</w:t>
            </w:r>
            <w:r>
              <w:rPr>
                <w:noProof/>
                <w:webHidden/>
              </w:rPr>
              <w:tab/>
            </w:r>
            <w:r>
              <w:rPr>
                <w:noProof/>
                <w:webHidden/>
              </w:rPr>
              <w:fldChar w:fldCharType="begin"/>
            </w:r>
            <w:r>
              <w:rPr>
                <w:noProof/>
                <w:webHidden/>
              </w:rPr>
              <w:instrText xml:space="preserve"> PAGEREF _Toc187662209 \h </w:instrText>
            </w:r>
            <w:r>
              <w:rPr>
                <w:noProof/>
                <w:webHidden/>
              </w:rPr>
            </w:r>
            <w:r>
              <w:rPr>
                <w:noProof/>
                <w:webHidden/>
              </w:rPr>
              <w:fldChar w:fldCharType="separate"/>
            </w:r>
            <w:r>
              <w:rPr>
                <w:noProof/>
                <w:webHidden/>
              </w:rPr>
              <w:t>627</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10" w:history="1">
            <w:r w:rsidRPr="007D1F1F">
              <w:rPr>
                <w:rStyle w:val="Hyperlink"/>
                <w:rFonts w:ascii="Times New Roman" w:eastAsia="Times New Roman" w:hAnsi="Times New Roman" w:cs="Times New Roman"/>
                <w:b/>
                <w:bCs/>
                <w:noProof/>
                <w:lang w:eastAsia="en-IN"/>
              </w:rPr>
              <w:t>Conclusion</w:t>
            </w:r>
            <w:r>
              <w:rPr>
                <w:noProof/>
                <w:webHidden/>
              </w:rPr>
              <w:tab/>
            </w:r>
            <w:r>
              <w:rPr>
                <w:noProof/>
                <w:webHidden/>
              </w:rPr>
              <w:fldChar w:fldCharType="begin"/>
            </w:r>
            <w:r>
              <w:rPr>
                <w:noProof/>
                <w:webHidden/>
              </w:rPr>
              <w:instrText xml:space="preserve"> PAGEREF _Toc187662210 \h </w:instrText>
            </w:r>
            <w:r>
              <w:rPr>
                <w:noProof/>
                <w:webHidden/>
              </w:rPr>
            </w:r>
            <w:r>
              <w:rPr>
                <w:noProof/>
                <w:webHidden/>
              </w:rPr>
              <w:fldChar w:fldCharType="separate"/>
            </w:r>
            <w:r>
              <w:rPr>
                <w:noProof/>
                <w:webHidden/>
              </w:rPr>
              <w:t>628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11" w:history="1">
            <w:r w:rsidRPr="007D1F1F">
              <w:rPr>
                <w:rStyle w:val="Hyperlink"/>
                <w:rFonts w:ascii="Times New Roman" w:eastAsia="Times New Roman" w:hAnsi="Times New Roman" w:cs="Times New Roman"/>
                <w:b/>
                <w:bCs/>
                <w:noProof/>
                <w:lang w:eastAsia="en-IN"/>
              </w:rPr>
              <w:t>Reference</w:t>
            </w:r>
            <w:r>
              <w:rPr>
                <w:noProof/>
                <w:webHidden/>
              </w:rPr>
              <w:tab/>
            </w:r>
            <w:r>
              <w:rPr>
                <w:noProof/>
                <w:webHidden/>
              </w:rPr>
              <w:fldChar w:fldCharType="begin"/>
            </w:r>
            <w:r>
              <w:rPr>
                <w:noProof/>
                <w:webHidden/>
              </w:rPr>
              <w:instrText xml:space="preserve"> PAGEREF _Toc187662211 \h </w:instrText>
            </w:r>
            <w:r>
              <w:rPr>
                <w:noProof/>
                <w:webHidden/>
              </w:rPr>
            </w:r>
            <w:r>
              <w:rPr>
                <w:noProof/>
                <w:webHidden/>
              </w:rPr>
              <w:fldChar w:fldCharType="separate"/>
            </w:r>
            <w:r>
              <w:rPr>
                <w:noProof/>
                <w:webHidden/>
              </w:rPr>
              <w:t>628</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12" w:history="1">
            <w:r w:rsidRPr="007D1F1F">
              <w:rPr>
                <w:rStyle w:val="Hyperlink"/>
                <w:rFonts w:ascii="Times New Roman" w:eastAsia="Times New Roman" w:hAnsi="Times New Roman" w:cs="Times New Roman"/>
                <w:b/>
                <w:bCs/>
                <w:noProof/>
                <w:lang w:eastAsia="en-IN"/>
              </w:rPr>
              <w:t>Background:</w:t>
            </w:r>
            <w:r>
              <w:rPr>
                <w:noProof/>
                <w:webHidden/>
              </w:rPr>
              <w:tab/>
            </w:r>
            <w:r>
              <w:rPr>
                <w:noProof/>
                <w:webHidden/>
              </w:rPr>
              <w:fldChar w:fldCharType="begin"/>
            </w:r>
            <w:r>
              <w:rPr>
                <w:noProof/>
                <w:webHidden/>
              </w:rPr>
              <w:instrText xml:space="preserve"> PAGEREF _Toc187662212 \h </w:instrText>
            </w:r>
            <w:r>
              <w:rPr>
                <w:noProof/>
                <w:webHidden/>
              </w:rPr>
            </w:r>
            <w:r>
              <w:rPr>
                <w:noProof/>
                <w:webHidden/>
              </w:rPr>
              <w:fldChar w:fldCharType="separate"/>
            </w:r>
            <w:r>
              <w:rPr>
                <w:noProof/>
                <w:webHidden/>
              </w:rPr>
              <w:t>632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13" w:history="1">
            <w:r w:rsidRPr="007D1F1F">
              <w:rPr>
                <w:rStyle w:val="Hyperlink"/>
                <w:rFonts w:ascii="Times New Roman" w:eastAsia="Times New Roman" w:hAnsi="Times New Roman" w:cs="Times New Roman"/>
                <w:b/>
                <w:bCs/>
                <w:noProof/>
                <w:lang w:eastAsia="en-IN"/>
              </w:rPr>
              <w:t>Legal Framework:</w:t>
            </w:r>
            <w:r>
              <w:rPr>
                <w:noProof/>
                <w:webHidden/>
              </w:rPr>
              <w:tab/>
            </w:r>
            <w:r>
              <w:rPr>
                <w:noProof/>
                <w:webHidden/>
              </w:rPr>
              <w:fldChar w:fldCharType="begin"/>
            </w:r>
            <w:r>
              <w:rPr>
                <w:noProof/>
                <w:webHidden/>
              </w:rPr>
              <w:instrText xml:space="preserve"> PAGEREF _Toc187662213 \h </w:instrText>
            </w:r>
            <w:r>
              <w:rPr>
                <w:noProof/>
                <w:webHidden/>
              </w:rPr>
            </w:r>
            <w:r>
              <w:rPr>
                <w:noProof/>
                <w:webHidden/>
              </w:rPr>
              <w:fldChar w:fldCharType="separate"/>
            </w:r>
            <w:r>
              <w:rPr>
                <w:noProof/>
                <w:webHidden/>
              </w:rPr>
              <w:t>632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14" w:history="1">
            <w:r w:rsidRPr="007D1F1F">
              <w:rPr>
                <w:rStyle w:val="Hyperlink"/>
                <w:rFonts w:ascii="Times New Roman" w:eastAsia="Times New Roman" w:hAnsi="Times New Roman" w:cs="Times New Roman"/>
                <w:b/>
                <w:bCs/>
                <w:noProof/>
                <w:lang w:eastAsia="en-IN"/>
              </w:rPr>
              <w:t>Key Issue:</w:t>
            </w:r>
            <w:r>
              <w:rPr>
                <w:noProof/>
                <w:webHidden/>
              </w:rPr>
              <w:tab/>
            </w:r>
            <w:r>
              <w:rPr>
                <w:noProof/>
                <w:webHidden/>
              </w:rPr>
              <w:fldChar w:fldCharType="begin"/>
            </w:r>
            <w:r>
              <w:rPr>
                <w:noProof/>
                <w:webHidden/>
              </w:rPr>
              <w:instrText xml:space="preserve"> PAGEREF _Toc187662214 \h </w:instrText>
            </w:r>
            <w:r>
              <w:rPr>
                <w:noProof/>
                <w:webHidden/>
              </w:rPr>
            </w:r>
            <w:r>
              <w:rPr>
                <w:noProof/>
                <w:webHidden/>
              </w:rPr>
              <w:fldChar w:fldCharType="separate"/>
            </w:r>
            <w:r>
              <w:rPr>
                <w:noProof/>
                <w:webHidden/>
              </w:rPr>
              <w:t>633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15" w:history="1">
            <w:r w:rsidRPr="007D1F1F">
              <w:rPr>
                <w:rStyle w:val="Hyperlink"/>
                <w:rFonts w:ascii="Times New Roman" w:eastAsia="Times New Roman" w:hAnsi="Times New Roman" w:cs="Times New Roman"/>
                <w:b/>
                <w:bCs/>
                <w:noProof/>
                <w:lang w:eastAsia="en-IN"/>
              </w:rPr>
              <w:t>Arguments:</w:t>
            </w:r>
            <w:r>
              <w:rPr>
                <w:noProof/>
                <w:webHidden/>
              </w:rPr>
              <w:tab/>
            </w:r>
            <w:r>
              <w:rPr>
                <w:noProof/>
                <w:webHidden/>
              </w:rPr>
              <w:fldChar w:fldCharType="begin"/>
            </w:r>
            <w:r>
              <w:rPr>
                <w:noProof/>
                <w:webHidden/>
              </w:rPr>
              <w:instrText xml:space="preserve"> PAGEREF _Toc187662215 \h </w:instrText>
            </w:r>
            <w:r>
              <w:rPr>
                <w:noProof/>
                <w:webHidden/>
              </w:rPr>
            </w:r>
            <w:r>
              <w:rPr>
                <w:noProof/>
                <w:webHidden/>
              </w:rPr>
              <w:fldChar w:fldCharType="separate"/>
            </w:r>
            <w:r>
              <w:rPr>
                <w:noProof/>
                <w:webHidden/>
              </w:rPr>
              <w:t>633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16" w:history="1">
            <w:r w:rsidRPr="007D1F1F">
              <w:rPr>
                <w:rStyle w:val="Hyperlink"/>
                <w:rFonts w:ascii="Times New Roman" w:eastAsia="Times New Roman" w:hAnsi="Times New Roman" w:cs="Times New Roman"/>
                <w:b/>
                <w:bCs/>
                <w:noProof/>
                <w:lang w:eastAsia="en-IN"/>
              </w:rPr>
              <w:t>Court's Analysis:</w:t>
            </w:r>
            <w:r>
              <w:rPr>
                <w:noProof/>
                <w:webHidden/>
              </w:rPr>
              <w:tab/>
            </w:r>
            <w:r>
              <w:rPr>
                <w:noProof/>
                <w:webHidden/>
              </w:rPr>
              <w:fldChar w:fldCharType="begin"/>
            </w:r>
            <w:r>
              <w:rPr>
                <w:noProof/>
                <w:webHidden/>
              </w:rPr>
              <w:instrText xml:space="preserve"> PAGEREF _Toc187662216 \h </w:instrText>
            </w:r>
            <w:r>
              <w:rPr>
                <w:noProof/>
                <w:webHidden/>
              </w:rPr>
            </w:r>
            <w:r>
              <w:rPr>
                <w:noProof/>
                <w:webHidden/>
              </w:rPr>
              <w:fldChar w:fldCharType="separate"/>
            </w:r>
            <w:r>
              <w:rPr>
                <w:noProof/>
                <w:webHidden/>
              </w:rPr>
              <w:t>633</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17" w:history="1">
            <w:r w:rsidRPr="007D1F1F">
              <w:rPr>
                <w:rStyle w:val="Hyperlink"/>
                <w:rFonts w:ascii="Times New Roman" w:eastAsia="Times New Roman" w:hAnsi="Times New Roman" w:cs="Times New Roman"/>
                <w:b/>
                <w:bCs/>
                <w:noProof/>
                <w:lang w:eastAsia="en-IN"/>
              </w:rPr>
              <w:t>Judgment:</w:t>
            </w:r>
            <w:r>
              <w:rPr>
                <w:noProof/>
                <w:webHidden/>
              </w:rPr>
              <w:tab/>
            </w:r>
            <w:r>
              <w:rPr>
                <w:noProof/>
                <w:webHidden/>
              </w:rPr>
              <w:fldChar w:fldCharType="begin"/>
            </w:r>
            <w:r>
              <w:rPr>
                <w:noProof/>
                <w:webHidden/>
              </w:rPr>
              <w:instrText xml:space="preserve"> PAGEREF _Toc187662217 \h </w:instrText>
            </w:r>
            <w:r>
              <w:rPr>
                <w:noProof/>
                <w:webHidden/>
              </w:rPr>
            </w:r>
            <w:r>
              <w:rPr>
                <w:noProof/>
                <w:webHidden/>
              </w:rPr>
              <w:fldChar w:fldCharType="separate"/>
            </w:r>
            <w:r>
              <w:rPr>
                <w:noProof/>
                <w:webHidden/>
              </w:rPr>
              <w:t>634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18" w:history="1">
            <w:r w:rsidRPr="007D1F1F">
              <w:rPr>
                <w:rStyle w:val="Hyperlink"/>
                <w:rFonts w:ascii="Times New Roman" w:eastAsia="Times New Roman" w:hAnsi="Times New Roman" w:cs="Times New Roman"/>
                <w:b/>
                <w:bCs/>
                <w:noProof/>
                <w:lang w:eastAsia="en-IN"/>
              </w:rPr>
              <w:t>Conclusion:</w:t>
            </w:r>
            <w:r>
              <w:rPr>
                <w:noProof/>
                <w:webHidden/>
              </w:rPr>
              <w:tab/>
            </w:r>
            <w:r>
              <w:rPr>
                <w:noProof/>
                <w:webHidden/>
              </w:rPr>
              <w:fldChar w:fldCharType="begin"/>
            </w:r>
            <w:r>
              <w:rPr>
                <w:noProof/>
                <w:webHidden/>
              </w:rPr>
              <w:instrText xml:space="preserve"> PAGEREF _Toc187662218 \h </w:instrText>
            </w:r>
            <w:r>
              <w:rPr>
                <w:noProof/>
                <w:webHidden/>
              </w:rPr>
            </w:r>
            <w:r>
              <w:rPr>
                <w:noProof/>
                <w:webHidden/>
              </w:rPr>
              <w:fldChar w:fldCharType="separate"/>
            </w:r>
            <w:r>
              <w:rPr>
                <w:noProof/>
                <w:webHidden/>
              </w:rPr>
              <w:t>634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19" w:history="1">
            <w:r w:rsidRPr="007D1F1F">
              <w:rPr>
                <w:rStyle w:val="Hyperlink"/>
                <w:rFonts w:ascii="Times New Roman" w:eastAsia="Times New Roman" w:hAnsi="Times New Roman" w:cs="Times New Roman"/>
                <w:b/>
                <w:bCs/>
                <w:noProof/>
                <w:lang w:eastAsia="en-IN"/>
              </w:rPr>
              <w:t>Reference:</w:t>
            </w:r>
            <w:r>
              <w:rPr>
                <w:noProof/>
                <w:webHidden/>
              </w:rPr>
              <w:tab/>
            </w:r>
            <w:r>
              <w:rPr>
                <w:noProof/>
                <w:webHidden/>
              </w:rPr>
              <w:fldChar w:fldCharType="begin"/>
            </w:r>
            <w:r>
              <w:rPr>
                <w:noProof/>
                <w:webHidden/>
              </w:rPr>
              <w:instrText xml:space="preserve"> PAGEREF _Toc187662219 \h </w:instrText>
            </w:r>
            <w:r>
              <w:rPr>
                <w:noProof/>
                <w:webHidden/>
              </w:rPr>
            </w:r>
            <w:r>
              <w:rPr>
                <w:noProof/>
                <w:webHidden/>
              </w:rPr>
              <w:fldChar w:fldCharType="separate"/>
            </w:r>
            <w:r>
              <w:rPr>
                <w:noProof/>
                <w:webHidden/>
              </w:rPr>
              <w:t>634</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20" w:history="1">
            <w:r w:rsidRPr="007D1F1F">
              <w:rPr>
                <w:rStyle w:val="Hyperlink"/>
                <w:rFonts w:ascii="Times New Roman" w:eastAsia="Times New Roman" w:hAnsi="Times New Roman" w:cs="Times New Roman"/>
                <w:b/>
                <w:bCs/>
                <w:noProof/>
                <w:lang w:eastAsia="en-IN"/>
              </w:rPr>
              <w:t>Do's and Don'ts While Handling Cases Under International Taxation</w:t>
            </w:r>
            <w:r>
              <w:rPr>
                <w:noProof/>
                <w:webHidden/>
              </w:rPr>
              <w:tab/>
            </w:r>
            <w:r>
              <w:rPr>
                <w:noProof/>
                <w:webHidden/>
              </w:rPr>
              <w:fldChar w:fldCharType="begin"/>
            </w:r>
            <w:r>
              <w:rPr>
                <w:noProof/>
                <w:webHidden/>
              </w:rPr>
              <w:instrText xml:space="preserve"> PAGEREF _Toc187662220 \h </w:instrText>
            </w:r>
            <w:r>
              <w:rPr>
                <w:noProof/>
                <w:webHidden/>
              </w:rPr>
            </w:r>
            <w:r>
              <w:rPr>
                <w:noProof/>
                <w:webHidden/>
              </w:rPr>
              <w:fldChar w:fldCharType="separate"/>
            </w:r>
            <w:r>
              <w:rPr>
                <w:noProof/>
                <w:webHidden/>
              </w:rPr>
              <w:t>650</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21" w:history="1">
            <w:r w:rsidRPr="007D1F1F">
              <w:rPr>
                <w:rStyle w:val="Hyperlink"/>
                <w:rFonts w:ascii="Times New Roman" w:eastAsia="Times New Roman" w:hAnsi="Times New Roman" w:cs="Times New Roman"/>
                <w:b/>
                <w:bCs/>
                <w:noProof/>
                <w:lang w:eastAsia="en-IN"/>
              </w:rPr>
              <w:t>Key Takeaways from Discussions on International Taxation</w:t>
            </w:r>
            <w:r>
              <w:rPr>
                <w:noProof/>
                <w:webHidden/>
              </w:rPr>
              <w:tab/>
            </w:r>
            <w:r>
              <w:rPr>
                <w:noProof/>
                <w:webHidden/>
              </w:rPr>
              <w:fldChar w:fldCharType="begin"/>
            </w:r>
            <w:r>
              <w:rPr>
                <w:noProof/>
                <w:webHidden/>
              </w:rPr>
              <w:instrText xml:space="preserve"> PAGEREF _Toc187662221 \h </w:instrText>
            </w:r>
            <w:r>
              <w:rPr>
                <w:noProof/>
                <w:webHidden/>
              </w:rPr>
            </w:r>
            <w:r>
              <w:rPr>
                <w:noProof/>
                <w:webHidden/>
              </w:rPr>
              <w:fldChar w:fldCharType="separate"/>
            </w:r>
            <w:r>
              <w:rPr>
                <w:noProof/>
                <w:webHidden/>
              </w:rPr>
              <w:t>652</w:t>
            </w:r>
            <w:r>
              <w:rPr>
                <w:noProof/>
                <w:webHidden/>
              </w:rPr>
              <w:fldChar w:fldCharType="end"/>
            </w:r>
          </w:hyperlink>
        </w:p>
        <w:p w:rsidR="00B37CA0" w:rsidRDefault="00B37CA0">
          <w:pPr>
            <w:pStyle w:val="TOC3"/>
            <w:tabs>
              <w:tab w:val="right" w:leader="dot" w:pos="9016"/>
            </w:tabs>
            <w:rPr>
              <w:rFonts w:eastAsiaTheme="minorEastAsia"/>
              <w:noProof/>
              <w:lang w:eastAsia="en-IN" w:bidi="ta-IN"/>
            </w:rPr>
          </w:pPr>
          <w:hyperlink w:anchor="_Toc187662222" w:history="1">
            <w:r w:rsidRPr="007D1F1F">
              <w:rPr>
                <w:rStyle w:val="Hyperlink"/>
                <w:rFonts w:ascii="Times New Roman" w:eastAsia="Times New Roman" w:hAnsi="Times New Roman" w:cs="Times New Roman"/>
                <w:b/>
                <w:bCs/>
                <w:noProof/>
                <w:lang w:eastAsia="en-IN"/>
              </w:rPr>
              <w:t>Final Thoughts:</w:t>
            </w:r>
            <w:r>
              <w:rPr>
                <w:noProof/>
                <w:webHidden/>
              </w:rPr>
              <w:tab/>
            </w:r>
            <w:r>
              <w:rPr>
                <w:noProof/>
                <w:webHidden/>
              </w:rPr>
              <w:fldChar w:fldCharType="begin"/>
            </w:r>
            <w:r>
              <w:rPr>
                <w:noProof/>
                <w:webHidden/>
              </w:rPr>
              <w:instrText xml:space="preserve"> PAGEREF _Toc187662222 \h </w:instrText>
            </w:r>
            <w:r>
              <w:rPr>
                <w:noProof/>
                <w:webHidden/>
              </w:rPr>
            </w:r>
            <w:r>
              <w:rPr>
                <w:noProof/>
                <w:webHidden/>
              </w:rPr>
              <w:fldChar w:fldCharType="separate"/>
            </w:r>
            <w:r>
              <w:rPr>
                <w:noProof/>
                <w:webHidden/>
              </w:rPr>
              <w:t>655</w:t>
            </w:r>
            <w:r>
              <w:rPr>
                <w:noProof/>
                <w:webHidden/>
              </w:rPr>
              <w:fldChar w:fldCharType="end"/>
            </w:r>
          </w:hyperlink>
        </w:p>
        <w:p w:rsidR="004D0ABB" w:rsidRDefault="004D0ABB">
          <w:r>
            <w:rPr>
              <w:b/>
              <w:bCs/>
              <w:noProof/>
            </w:rPr>
            <w:fldChar w:fldCharType="end"/>
          </w:r>
        </w:p>
      </w:sdtContent>
    </w:sdt>
    <w:p w:rsidR="004D0ABB" w:rsidRDefault="004D0ABB" w:rsidP="00743A5F">
      <w:pPr>
        <w:pStyle w:val="Heading3"/>
        <w:spacing w:before="0" w:beforeAutospacing="0"/>
        <w:rPr>
          <w:sz w:val="24"/>
          <w:szCs w:val="24"/>
        </w:rPr>
      </w:pPr>
    </w:p>
    <w:p w:rsidR="00A056B6" w:rsidRPr="009C5151" w:rsidRDefault="00A056B6" w:rsidP="00743A5F">
      <w:pPr>
        <w:pStyle w:val="Heading3"/>
        <w:spacing w:before="0" w:beforeAutospacing="0"/>
        <w:rPr>
          <w:sz w:val="24"/>
          <w:szCs w:val="24"/>
        </w:rPr>
      </w:pPr>
      <w:bookmarkStart w:id="4" w:name="_Toc187661866"/>
      <w:r w:rsidRPr="009C5151">
        <w:rPr>
          <w:sz w:val="24"/>
          <w:szCs w:val="24"/>
        </w:rPr>
        <w:t>Case Study and Analysis for a Company with International and Specific Domestic Transactions</w:t>
      </w:r>
      <w:bookmarkEnd w:id="0"/>
      <w:bookmarkEnd w:id="1"/>
      <w:bookmarkEnd w:id="2"/>
      <w:bookmarkEnd w:id="4"/>
    </w:p>
    <w:p w:rsidR="00A056B6" w:rsidRPr="009C5151" w:rsidRDefault="00A056B6" w:rsidP="00743A5F">
      <w:pPr>
        <w:pStyle w:val="Heading4"/>
        <w:spacing w:before="0" w:beforeAutospacing="0"/>
      </w:pPr>
      <w:r w:rsidRPr="009C5151">
        <w:rPr>
          <w:rStyle w:val="Strong"/>
          <w:b/>
          <w:bCs/>
        </w:rPr>
        <w:t>Case Details</w:t>
      </w:r>
    </w:p>
    <w:p w:rsidR="00A056B6" w:rsidRPr="009C5151" w:rsidRDefault="00A056B6" w:rsidP="00743A5F">
      <w:pPr>
        <w:pStyle w:val="NormalWeb"/>
        <w:spacing w:before="0" w:beforeAutospacing="0"/>
      </w:pPr>
      <w:r w:rsidRPr="009C5151">
        <w:t>A multinational company (MNC) engages in international trade and domestic operations, including:</w:t>
      </w:r>
    </w:p>
    <w:p w:rsidR="00A056B6" w:rsidRPr="003B6437" w:rsidRDefault="00A056B6" w:rsidP="00773507">
      <w:pPr>
        <w:pStyle w:val="ListParagraph"/>
        <w:numPr>
          <w:ilvl w:val="0"/>
          <w:numId w:val="1"/>
        </w:numPr>
        <w:tabs>
          <w:tab w:val="num" w:pos="720"/>
        </w:tabs>
        <w:spacing w:before="100" w:after="100" w:afterAutospacing="1" w:line="240" w:lineRule="auto"/>
        <w:rPr>
          <w:rFonts w:ascii="Times New Roman" w:hAnsi="Times New Roman" w:cs="Times New Roman"/>
          <w:sz w:val="24"/>
          <w:szCs w:val="24"/>
        </w:rPr>
      </w:pPr>
      <w:r w:rsidRPr="003B6437">
        <w:rPr>
          <w:rFonts w:ascii="Times New Roman" w:hAnsi="Times New Roman" w:cs="Times New Roman"/>
          <w:sz w:val="24"/>
          <w:szCs w:val="24"/>
        </w:rPr>
        <w:t>Sale of goods/services to subsidiaries in the USA, UK, Germany, Singapore, and Mauritius.</w:t>
      </w:r>
    </w:p>
    <w:p w:rsidR="00A056B6" w:rsidRPr="003B6437" w:rsidRDefault="00A056B6" w:rsidP="00773507">
      <w:pPr>
        <w:pStyle w:val="ListParagraph"/>
        <w:numPr>
          <w:ilvl w:val="0"/>
          <w:numId w:val="1"/>
        </w:numPr>
        <w:tabs>
          <w:tab w:val="num" w:pos="720"/>
        </w:tabs>
        <w:spacing w:before="100" w:after="100" w:afterAutospacing="1" w:line="240" w:lineRule="auto"/>
        <w:rPr>
          <w:rFonts w:ascii="Times New Roman" w:hAnsi="Times New Roman" w:cs="Times New Roman"/>
          <w:sz w:val="24"/>
          <w:szCs w:val="24"/>
        </w:rPr>
      </w:pPr>
      <w:r w:rsidRPr="003B6437">
        <w:rPr>
          <w:rFonts w:ascii="Times New Roman" w:hAnsi="Times New Roman" w:cs="Times New Roman"/>
          <w:sz w:val="24"/>
          <w:szCs w:val="24"/>
        </w:rPr>
        <w:t>Receiving technical services from entities in China and Russia.</w:t>
      </w:r>
    </w:p>
    <w:p w:rsidR="00A056B6" w:rsidRPr="003B6437" w:rsidRDefault="00A056B6" w:rsidP="00773507">
      <w:pPr>
        <w:pStyle w:val="ListParagraph"/>
        <w:numPr>
          <w:ilvl w:val="0"/>
          <w:numId w:val="1"/>
        </w:numPr>
        <w:tabs>
          <w:tab w:val="num" w:pos="720"/>
        </w:tabs>
        <w:spacing w:before="100" w:after="100" w:afterAutospacing="1" w:line="240" w:lineRule="auto"/>
        <w:rPr>
          <w:rFonts w:ascii="Times New Roman" w:hAnsi="Times New Roman" w:cs="Times New Roman"/>
          <w:sz w:val="24"/>
          <w:szCs w:val="24"/>
        </w:rPr>
      </w:pPr>
      <w:r w:rsidRPr="003B6437">
        <w:rPr>
          <w:rFonts w:ascii="Times New Roman" w:hAnsi="Times New Roman" w:cs="Times New Roman"/>
          <w:sz w:val="24"/>
          <w:szCs w:val="24"/>
        </w:rPr>
        <w:t>Capital and IP transactions with group companies.</w:t>
      </w:r>
    </w:p>
    <w:p w:rsidR="00A056B6" w:rsidRPr="003B6437" w:rsidRDefault="00A056B6" w:rsidP="00773507">
      <w:pPr>
        <w:pStyle w:val="ListParagraph"/>
        <w:numPr>
          <w:ilvl w:val="0"/>
          <w:numId w:val="1"/>
        </w:numPr>
        <w:tabs>
          <w:tab w:val="num" w:pos="720"/>
        </w:tabs>
        <w:spacing w:before="100" w:after="100" w:afterAutospacing="1" w:line="240" w:lineRule="auto"/>
        <w:rPr>
          <w:rFonts w:ascii="Times New Roman" w:hAnsi="Times New Roman" w:cs="Times New Roman"/>
          <w:sz w:val="24"/>
          <w:szCs w:val="24"/>
        </w:rPr>
      </w:pPr>
      <w:r w:rsidRPr="003B6437">
        <w:rPr>
          <w:rFonts w:ascii="Times New Roman" w:hAnsi="Times New Roman" w:cs="Times New Roman"/>
          <w:sz w:val="24"/>
          <w:szCs w:val="24"/>
        </w:rPr>
        <w:t>Equalization levy obligations due to digital advertising services.</w:t>
      </w:r>
    </w:p>
    <w:p w:rsidR="00A056B6" w:rsidRPr="003B6437" w:rsidRDefault="00A056B6" w:rsidP="00773507">
      <w:pPr>
        <w:pStyle w:val="ListParagraph"/>
        <w:numPr>
          <w:ilvl w:val="0"/>
          <w:numId w:val="1"/>
        </w:numPr>
        <w:tabs>
          <w:tab w:val="num" w:pos="720"/>
        </w:tabs>
        <w:spacing w:before="100" w:after="100" w:afterAutospacing="1" w:line="240" w:lineRule="auto"/>
        <w:rPr>
          <w:rFonts w:ascii="Times New Roman" w:hAnsi="Times New Roman" w:cs="Times New Roman"/>
          <w:sz w:val="24"/>
          <w:szCs w:val="24"/>
        </w:rPr>
      </w:pPr>
      <w:r w:rsidRPr="003B6437">
        <w:rPr>
          <w:rFonts w:ascii="Times New Roman" w:hAnsi="Times New Roman" w:cs="Times New Roman"/>
          <w:sz w:val="24"/>
          <w:szCs w:val="24"/>
        </w:rPr>
        <w:t>Reporting requirements under Country-by-Country (CbC) reporting.</w:t>
      </w:r>
    </w:p>
    <w:p w:rsidR="00A056B6" w:rsidRPr="003B6437" w:rsidRDefault="00A056B6" w:rsidP="00773507">
      <w:pPr>
        <w:pStyle w:val="ListParagraph"/>
        <w:numPr>
          <w:ilvl w:val="0"/>
          <w:numId w:val="1"/>
        </w:numPr>
        <w:tabs>
          <w:tab w:val="num" w:pos="720"/>
        </w:tabs>
        <w:spacing w:before="100" w:after="100" w:afterAutospacing="1" w:line="240" w:lineRule="auto"/>
        <w:rPr>
          <w:rFonts w:ascii="Times New Roman" w:hAnsi="Times New Roman" w:cs="Times New Roman"/>
          <w:sz w:val="24"/>
          <w:szCs w:val="24"/>
        </w:rPr>
      </w:pPr>
      <w:r w:rsidRPr="003B6437">
        <w:rPr>
          <w:rFonts w:ascii="Times New Roman" w:hAnsi="Times New Roman" w:cs="Times New Roman"/>
          <w:sz w:val="24"/>
          <w:szCs w:val="24"/>
        </w:rPr>
        <w:t>Treaty benefits claimed under DTAAs with various countries.</w:t>
      </w:r>
    </w:p>
    <w:p w:rsidR="00A056B6" w:rsidRPr="009C5151" w:rsidRDefault="00A056B6" w:rsidP="00743A5F">
      <w:pPr>
        <w:pStyle w:val="Heading4"/>
        <w:spacing w:before="0" w:beforeAutospacing="0"/>
      </w:pPr>
      <w:r w:rsidRPr="009C5151">
        <w:rPr>
          <w:rStyle w:val="Strong"/>
          <w:b/>
          <w:bCs/>
        </w:rPr>
        <w:t>Key Issues</w:t>
      </w:r>
    </w:p>
    <w:p w:rsidR="00A056B6" w:rsidRPr="009C5151" w:rsidRDefault="00A056B6" w:rsidP="00743A5F">
      <w:pPr>
        <w:pStyle w:val="NormalWeb"/>
        <w:tabs>
          <w:tab w:val="num" w:pos="720"/>
        </w:tabs>
        <w:spacing w:before="0" w:beforeAutospacing="0"/>
        <w:ind w:left="720" w:hanging="360"/>
      </w:pPr>
      <w:r w:rsidRPr="009C5151">
        <w:rPr>
          <w:rStyle w:val="Strong"/>
        </w:rPr>
        <w:t>Withholding Tax (WHT) Compliance: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Ensuring proper withholding on cross-border payments, including royalties, fees for technical services, and dividends.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Correct treaty rate application under DTAAs.</w:t>
      </w:r>
    </w:p>
    <w:p w:rsidR="00A056B6" w:rsidRPr="009C5151" w:rsidRDefault="00A056B6" w:rsidP="00743A5F">
      <w:pPr>
        <w:pStyle w:val="NormalWeb"/>
        <w:tabs>
          <w:tab w:val="num" w:pos="720"/>
          <w:tab w:val="right" w:pos="9026"/>
        </w:tabs>
        <w:spacing w:before="0" w:beforeAutospacing="0"/>
        <w:ind w:left="720" w:hanging="360"/>
      </w:pPr>
      <w:r w:rsidRPr="009C5151">
        <w:rPr>
          <w:rStyle w:val="Strong"/>
        </w:rPr>
        <w:t>Transfer Pricing Compliance:</w:t>
      </w:r>
      <w:r>
        <w:rPr>
          <w:rStyle w:val="Strong"/>
        </w:rPr>
        <w:tab/>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Documentation of arm's length pricing for international and specified domestic transactions as per Section 92E of the Income-tax Act, 1961.</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Selection of the most appropriate method and computation of Arm’s Length Price (ALP)​.</w:t>
      </w:r>
    </w:p>
    <w:p w:rsidR="00A056B6" w:rsidRPr="009C5151" w:rsidRDefault="00A056B6" w:rsidP="00743A5F">
      <w:pPr>
        <w:pStyle w:val="NormalWeb"/>
        <w:tabs>
          <w:tab w:val="num" w:pos="720"/>
        </w:tabs>
        <w:spacing w:before="0" w:beforeAutospacing="0"/>
        <w:ind w:left="720" w:hanging="360"/>
      </w:pPr>
      <w:r w:rsidRPr="009C5151">
        <w:rPr>
          <w:rStyle w:val="Strong"/>
        </w:rPr>
        <w:t>CbC Reporting and BEPS Compliance: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Submission of accurate CbC reports as per OECD BEPS Action 13.</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Aligning with India's domestic rules for master and local files​​.</w:t>
      </w:r>
    </w:p>
    <w:p w:rsidR="00A056B6" w:rsidRPr="009C5151" w:rsidRDefault="00A056B6" w:rsidP="00743A5F">
      <w:pPr>
        <w:pStyle w:val="NormalWeb"/>
        <w:tabs>
          <w:tab w:val="num" w:pos="720"/>
        </w:tabs>
        <w:spacing w:before="0" w:beforeAutospacing="0"/>
        <w:ind w:left="720" w:hanging="360"/>
      </w:pPr>
      <w:r w:rsidRPr="009C5151">
        <w:rPr>
          <w:rStyle w:val="Strong"/>
        </w:rPr>
        <w:t>Mutual Agreement Procedure (MAP):</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Resolution of disputes regarding double taxation arising under DTAAs.</w:t>
      </w:r>
    </w:p>
    <w:p w:rsidR="00A056B6" w:rsidRPr="009C5151" w:rsidRDefault="00A056B6" w:rsidP="00743A5F">
      <w:pPr>
        <w:pStyle w:val="NormalWeb"/>
        <w:tabs>
          <w:tab w:val="num" w:pos="720"/>
        </w:tabs>
        <w:spacing w:before="0" w:beforeAutospacing="0"/>
        <w:ind w:left="720" w:hanging="360"/>
      </w:pPr>
      <w:r w:rsidRPr="009C5151">
        <w:rPr>
          <w:rStyle w:val="Strong"/>
        </w:rPr>
        <w:t>Equalization Levy (EL):</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Applicability of EL on payments to foreign entities providing digital services.</w:t>
      </w:r>
    </w:p>
    <w:p w:rsidR="00A056B6" w:rsidRPr="009C5151" w:rsidRDefault="00A056B6" w:rsidP="00743A5F">
      <w:pPr>
        <w:pStyle w:val="NormalWeb"/>
        <w:tabs>
          <w:tab w:val="num" w:pos="720"/>
        </w:tabs>
        <w:spacing w:before="0" w:beforeAutospacing="0"/>
        <w:ind w:left="720" w:hanging="360"/>
      </w:pPr>
      <w:r w:rsidRPr="009C5151">
        <w:rPr>
          <w:rStyle w:val="Strong"/>
        </w:rPr>
        <w:t>Double Taxation Avoidance Agreements (DTAAs):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Treaty interpretation and ensuring compliance with anti-abuse provisions.</w:t>
      </w:r>
    </w:p>
    <w:p w:rsidR="00A056B6" w:rsidRPr="009C5151" w:rsidRDefault="00A056B6" w:rsidP="00743A5F">
      <w:pPr>
        <w:pStyle w:val="NormalWeb"/>
        <w:tabs>
          <w:tab w:val="num" w:pos="720"/>
        </w:tabs>
        <w:spacing w:before="0" w:beforeAutospacing="0"/>
        <w:ind w:left="720" w:hanging="360"/>
      </w:pPr>
      <w:r w:rsidRPr="009C5151">
        <w:rPr>
          <w:rStyle w:val="Strong"/>
        </w:rPr>
        <w:t>BEPS and MLI:</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Addressing challenges posed by the Multilateral Instrument (MLI) on treaty benefits.</w:t>
      </w:r>
    </w:p>
    <w:p w:rsidR="00A056B6" w:rsidRPr="009C5151" w:rsidRDefault="00A056B6" w:rsidP="00743A5F">
      <w:pPr>
        <w:pStyle w:val="Heading4"/>
        <w:spacing w:before="0" w:beforeAutospacing="0"/>
      </w:pPr>
      <w:r w:rsidRPr="009C5151">
        <w:rPr>
          <w:rStyle w:val="Strong"/>
          <w:b/>
          <w:bCs/>
        </w:rPr>
        <w:t>Documents Required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Transfer pricing documentation, including Form 3CEB.</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CbC report and master file.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Agreements with foreign entities (technical services, royalties).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Certificates of residence for availing treaty benefits.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Tax deduction and collection records (TDS, WHT).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Financial statements and audit reports for the last 5 assessment years.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Equalization levy compliance records.</w:t>
      </w:r>
    </w:p>
    <w:p w:rsidR="00A056B6" w:rsidRPr="009C5151" w:rsidRDefault="00A056B6" w:rsidP="00743A5F">
      <w:pPr>
        <w:pStyle w:val="Heading4"/>
        <w:spacing w:before="0" w:beforeAutospacing="0"/>
      </w:pPr>
      <w:r w:rsidRPr="009C5151">
        <w:rPr>
          <w:rStyle w:val="Strong"/>
          <w:b/>
          <w:bCs/>
        </w:rPr>
        <w:t>Chartered Accountant's (CA) Advice</w:t>
      </w:r>
    </w:p>
    <w:p w:rsidR="00A056B6" w:rsidRPr="009C5151" w:rsidRDefault="00A056B6" w:rsidP="00743A5F">
      <w:pPr>
        <w:pStyle w:val="NormalWeb"/>
        <w:tabs>
          <w:tab w:val="num" w:pos="720"/>
        </w:tabs>
        <w:spacing w:before="0" w:beforeAutospacing="0"/>
        <w:ind w:left="720" w:hanging="360"/>
      </w:pPr>
      <w:r w:rsidRPr="009C5151">
        <w:rPr>
          <w:rStyle w:val="Strong"/>
        </w:rPr>
        <w:t>WHT Optimization: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treaty rates where beneficial and obtain Tax Residency Certificates (TRCs).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a systematic approach to determine withholding requirements under domestic and international laws.</w:t>
      </w:r>
    </w:p>
    <w:p w:rsidR="00A056B6" w:rsidRPr="009C5151" w:rsidRDefault="00A056B6" w:rsidP="00743A5F">
      <w:pPr>
        <w:pStyle w:val="NormalWeb"/>
        <w:tabs>
          <w:tab w:val="num" w:pos="720"/>
        </w:tabs>
        <w:spacing w:before="0" w:beforeAutospacing="0"/>
        <w:ind w:left="720" w:hanging="360"/>
      </w:pPr>
      <w:r w:rsidRPr="009C5151">
        <w:rPr>
          <w:rStyle w:val="Strong"/>
        </w:rPr>
        <w:t>Transfer Pricing Strategy: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Develop robust documentation with detailed benchmarking studies.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Review inter-company agreements for consistency with ALP requirements​.</w:t>
      </w:r>
    </w:p>
    <w:p w:rsidR="00A056B6" w:rsidRPr="009C5151" w:rsidRDefault="00A056B6" w:rsidP="00743A5F">
      <w:pPr>
        <w:pStyle w:val="NormalWeb"/>
        <w:tabs>
          <w:tab w:val="num" w:pos="720"/>
        </w:tabs>
        <w:spacing w:before="0" w:beforeAutospacing="0"/>
        <w:ind w:left="720" w:hanging="360"/>
      </w:pPr>
      <w:r w:rsidRPr="009C5151">
        <w:rPr>
          <w:rStyle w:val="Strong"/>
        </w:rPr>
        <w:t>CbC Reporting Compliance: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timely and accurate filing of CbC and related reports.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 global reporting with Indian requirements for transparency.</w:t>
      </w:r>
    </w:p>
    <w:p w:rsidR="00A056B6" w:rsidRPr="009C5151" w:rsidRDefault="00A056B6" w:rsidP="00743A5F">
      <w:pPr>
        <w:pStyle w:val="NormalWeb"/>
        <w:tabs>
          <w:tab w:val="num" w:pos="720"/>
        </w:tabs>
        <w:spacing w:before="0" w:beforeAutospacing="0"/>
        <w:ind w:left="720" w:hanging="360"/>
      </w:pPr>
      <w:r w:rsidRPr="009C5151">
        <w:rPr>
          <w:rStyle w:val="Strong"/>
        </w:rPr>
        <w:t>MAP Resolution: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Initiate MAP where disputes arise under treaties, ensuring timely filing of applications​.</w:t>
      </w:r>
    </w:p>
    <w:p w:rsidR="00A056B6" w:rsidRPr="009C5151" w:rsidRDefault="00A056B6" w:rsidP="00743A5F">
      <w:pPr>
        <w:pStyle w:val="NormalWeb"/>
        <w:tabs>
          <w:tab w:val="num" w:pos="720"/>
        </w:tabs>
        <w:spacing w:before="0" w:beforeAutospacing="0"/>
        <w:ind w:left="720" w:hanging="360"/>
      </w:pPr>
      <w:r w:rsidRPr="009C5151">
        <w:rPr>
          <w:rStyle w:val="Strong"/>
        </w:rPr>
        <w:t>Equalization Levy (EL):</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Verify applicability of EL on payments to non-residents for specified services and ensure correct compliance​.</w:t>
      </w:r>
    </w:p>
    <w:p w:rsidR="00A056B6" w:rsidRPr="009C5151" w:rsidRDefault="00A056B6" w:rsidP="00743A5F">
      <w:pPr>
        <w:pStyle w:val="NormalWeb"/>
        <w:tabs>
          <w:tab w:val="num" w:pos="720"/>
        </w:tabs>
        <w:spacing w:before="0" w:beforeAutospacing="0"/>
        <w:ind w:left="720" w:hanging="360"/>
      </w:pPr>
      <w:r w:rsidRPr="009C5151">
        <w:rPr>
          <w:rStyle w:val="Strong"/>
        </w:rPr>
        <w:t>MLI and Treaty Interpretation: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Assess impact of MLI on existing DTAAs and document treaty positions.</w:t>
      </w:r>
    </w:p>
    <w:p w:rsidR="00A056B6" w:rsidRPr="009C5151" w:rsidRDefault="00A056B6" w:rsidP="00743A5F">
      <w:pPr>
        <w:pStyle w:val="NormalWeb"/>
        <w:tabs>
          <w:tab w:val="num" w:pos="720"/>
        </w:tabs>
        <w:spacing w:before="0" w:beforeAutospacing="0"/>
        <w:ind w:left="720" w:hanging="360"/>
      </w:pPr>
      <w:r w:rsidRPr="009C5151">
        <w:rPr>
          <w:rStyle w:val="Strong"/>
        </w:rPr>
        <w:t>Periodic Review:</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Conduct regular internal audits to ensure tax compliance and assess risks proactively.</w:t>
      </w:r>
    </w:p>
    <w:p w:rsidR="00A056B6" w:rsidRPr="009C5151" w:rsidRDefault="00A056B6" w:rsidP="00743A5F">
      <w:pPr>
        <w:pStyle w:val="NormalWeb"/>
        <w:tabs>
          <w:tab w:val="num" w:pos="720"/>
        </w:tabs>
        <w:spacing w:before="0" w:beforeAutospacing="0"/>
        <w:ind w:left="720" w:hanging="360"/>
      </w:pPr>
      <w:r w:rsidRPr="009C5151">
        <w:rPr>
          <w:rStyle w:val="Strong"/>
        </w:rPr>
        <w:t>Risk Mitigation for Digital Transactions: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Document digital transactions clearly for EL applicability and maintain a compliance tracker for digital tax obligations.</w:t>
      </w:r>
    </w:p>
    <w:p w:rsidR="00A056B6" w:rsidRPr="009C5151" w:rsidRDefault="00A056B6" w:rsidP="00743A5F">
      <w:pPr>
        <w:pStyle w:val="NormalWeb"/>
        <w:spacing w:before="0" w:beforeAutospacing="0"/>
      </w:pPr>
      <w:r w:rsidRPr="009C5151">
        <w:t>Would you like further detail on any specific issue?</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Please add numbers and answer</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432D3AF" wp14:editId="6CEFAF06">
            <wp:extent cx="763905" cy="763905"/>
            <wp:effectExtent l="0" t="0" r="0" b="0"/>
            <wp:docPr id="329" name="Picture 32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6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5" w:name="_Toc187623889"/>
      <w:bookmarkStart w:id="6" w:name="_Toc187630609"/>
      <w:bookmarkStart w:id="7" w:name="_Toc187660788"/>
      <w:bookmarkStart w:id="8" w:name="_Toc187661867"/>
      <w:r w:rsidRPr="009C5151">
        <w:rPr>
          <w:sz w:val="24"/>
          <w:szCs w:val="24"/>
        </w:rPr>
        <w:t>Case Study: Tax Challenges for a Multinational Company (MNC)</w:t>
      </w:r>
      <w:bookmarkEnd w:id="5"/>
      <w:bookmarkEnd w:id="6"/>
      <w:bookmarkEnd w:id="7"/>
      <w:bookmarkEnd w:id="8"/>
    </w:p>
    <w:p w:rsidR="00A056B6" w:rsidRPr="009C5151" w:rsidRDefault="00A056B6" w:rsidP="00743A5F">
      <w:pPr>
        <w:pStyle w:val="Heading4"/>
        <w:spacing w:before="0" w:beforeAutospacing="0"/>
      </w:pPr>
      <w:r w:rsidRPr="009C5151">
        <w:rPr>
          <w:rStyle w:val="Strong"/>
          <w:b/>
          <w:bCs/>
        </w:rPr>
        <w:t>Case Details</w:t>
      </w:r>
    </w:p>
    <w:p w:rsidR="00A056B6" w:rsidRPr="009C5151" w:rsidRDefault="00A056B6" w:rsidP="00743A5F">
      <w:pPr>
        <w:pStyle w:val="NormalWeb"/>
        <w:spacing w:before="0" w:beforeAutospacing="0"/>
      </w:pPr>
      <w:r w:rsidRPr="009C5151">
        <w:t>A multinational company (MNC) engages in international trade and domestic operations, with the following key activities: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Sale of goods/services to subsidiaries in the </w:t>
      </w:r>
      <w:r w:rsidRPr="009C5151">
        <w:rPr>
          <w:rStyle w:val="Strong"/>
          <w:rFonts w:ascii="Times New Roman" w:hAnsi="Times New Roman" w:cs="Times New Roman"/>
          <w:sz w:val="24"/>
          <w:szCs w:val="24"/>
        </w:rPr>
        <w:t>USA, UK, Germany, Singapore, and Mauritius</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Receipt of technical services from entities in </w:t>
      </w:r>
      <w:r w:rsidRPr="009C5151">
        <w:rPr>
          <w:rStyle w:val="Strong"/>
          <w:rFonts w:ascii="Times New Roman" w:hAnsi="Times New Roman" w:cs="Times New Roman"/>
          <w:sz w:val="24"/>
          <w:szCs w:val="24"/>
        </w:rPr>
        <w:t>China and Russia</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Capital and IP transactions with group companies.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Digital advertising services attracting </w:t>
      </w:r>
      <w:r w:rsidRPr="009C5151">
        <w:rPr>
          <w:rStyle w:val="Strong"/>
          <w:rFonts w:ascii="Times New Roman" w:hAnsi="Times New Roman" w:cs="Times New Roman"/>
          <w:sz w:val="24"/>
          <w:szCs w:val="24"/>
        </w:rPr>
        <w:t>equalization levy (EL)</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Obligations for </w:t>
      </w:r>
      <w:r w:rsidRPr="009C5151">
        <w:rPr>
          <w:rStyle w:val="Strong"/>
          <w:rFonts w:ascii="Times New Roman" w:hAnsi="Times New Roman" w:cs="Times New Roman"/>
          <w:sz w:val="24"/>
          <w:szCs w:val="24"/>
        </w:rPr>
        <w:t>Country-by-Country (CbC) reporting</w:t>
      </w:r>
      <w:r w:rsidRPr="009C5151">
        <w:rPr>
          <w:rFonts w:ascii="Times New Roman" w:hAnsi="Times New Roman" w:cs="Times New Roman"/>
          <w:sz w:val="24"/>
          <w:szCs w:val="24"/>
        </w:rPr>
        <w:t xml:space="preserve"> under OECD BEPS Action 13.</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Claiming </w:t>
      </w:r>
      <w:r w:rsidRPr="009C5151">
        <w:rPr>
          <w:rStyle w:val="Strong"/>
          <w:rFonts w:ascii="Times New Roman" w:hAnsi="Times New Roman" w:cs="Times New Roman"/>
          <w:sz w:val="24"/>
          <w:szCs w:val="24"/>
        </w:rPr>
        <w:t>treaty benefits under DTAAs</w:t>
      </w:r>
      <w:r w:rsidRPr="009C5151">
        <w:rPr>
          <w:rFonts w:ascii="Times New Roman" w:hAnsi="Times New Roman" w:cs="Times New Roman"/>
          <w:sz w:val="24"/>
          <w:szCs w:val="24"/>
        </w:rPr>
        <w:t xml:space="preserve"> with various countries.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2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 w:name="_Toc187623890"/>
      <w:bookmarkStart w:id="10" w:name="_Toc187630610"/>
      <w:bookmarkStart w:id="11" w:name="_Toc187660789"/>
      <w:bookmarkStart w:id="12" w:name="_Toc187661868"/>
      <w:r w:rsidRPr="009C5151">
        <w:rPr>
          <w:rStyle w:val="Strong"/>
          <w:b/>
          <w:bCs/>
          <w:sz w:val="24"/>
          <w:szCs w:val="24"/>
        </w:rPr>
        <w:t>Key Issues and Problems</w:t>
      </w:r>
      <w:bookmarkEnd w:id="9"/>
      <w:bookmarkEnd w:id="10"/>
      <w:bookmarkEnd w:id="11"/>
      <w:bookmarkEnd w:id="12"/>
    </w:p>
    <w:p w:rsidR="00A056B6" w:rsidRPr="009C5151" w:rsidRDefault="00A056B6" w:rsidP="00743A5F">
      <w:pPr>
        <w:pStyle w:val="Heading4"/>
        <w:spacing w:before="0" w:beforeAutospacing="0"/>
      </w:pPr>
      <w:r w:rsidRPr="009C5151">
        <w:t xml:space="preserve">1. </w:t>
      </w:r>
      <w:r w:rsidRPr="009C5151">
        <w:rPr>
          <w:rStyle w:val="Strong"/>
          <w:b/>
          <w:bCs/>
        </w:rPr>
        <w:t>Withholding Tax (WHT)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Incorrect tax deduction on cross-border payments for royalties, technical fees, or dividends.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Treaty rate application errors under DTAAs.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penalties for under-deduction or non-compliance.</w:t>
      </w:r>
    </w:p>
    <w:p w:rsidR="00A056B6" w:rsidRPr="009C5151" w:rsidRDefault="00A056B6" w:rsidP="00743A5F">
      <w:pPr>
        <w:pStyle w:val="Heading4"/>
        <w:spacing w:before="0" w:beforeAutospacing="0"/>
      </w:pPr>
      <w:r w:rsidRPr="009C5151">
        <w:t xml:space="preserve">2. </w:t>
      </w:r>
      <w:r w:rsidRPr="009C5151">
        <w:rPr>
          <w:rStyle w:val="Strong"/>
          <w:b/>
          <w:bCs/>
        </w:rPr>
        <w:t>Transfer Pricing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Arm's Length Price (ALP) determination for transactions with associated enterprises.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Selection of appropriate methods under Section 92E and preparation of </w:t>
      </w:r>
      <w:r w:rsidRPr="009C5151">
        <w:rPr>
          <w:rStyle w:val="Strong"/>
          <w:rFonts w:ascii="Times New Roman" w:hAnsi="Times New Roman" w:cs="Times New Roman"/>
          <w:sz w:val="24"/>
          <w:szCs w:val="24"/>
        </w:rPr>
        <w:t>Form 3CEB</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Ensuring compliance with both international and specified domestic transactions​.</w:t>
      </w:r>
    </w:p>
    <w:p w:rsidR="00A056B6" w:rsidRPr="009C5151" w:rsidRDefault="00A056B6" w:rsidP="00743A5F">
      <w:pPr>
        <w:pStyle w:val="Heading4"/>
        <w:spacing w:before="0" w:beforeAutospacing="0"/>
      </w:pPr>
      <w:r w:rsidRPr="009C5151">
        <w:t xml:space="preserve">3. </w:t>
      </w:r>
      <w:r w:rsidRPr="009C5151">
        <w:rPr>
          <w:rStyle w:val="Strong"/>
          <w:b/>
          <w:bCs/>
        </w:rPr>
        <w:t>Country-by-Country (CbC) Reporting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Submission of accurate CbC, master, and local files for OECD BEPS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Managing disclosure of sensitive financial data as per </w:t>
      </w:r>
      <w:r w:rsidRPr="009C5151">
        <w:rPr>
          <w:rStyle w:val="Strong"/>
          <w:rFonts w:ascii="Times New Roman" w:hAnsi="Times New Roman" w:cs="Times New Roman"/>
          <w:sz w:val="24"/>
          <w:szCs w:val="24"/>
        </w:rPr>
        <w:t>Indian regulations</w:t>
      </w:r>
      <w:r w:rsidRPr="009C5151">
        <w:rPr>
          <w:rFonts w:ascii="Times New Roman" w:hAnsi="Times New Roman" w:cs="Times New Roman"/>
          <w:sz w:val="24"/>
          <w:szCs w:val="24"/>
        </w:rPr>
        <w:t>.</w:t>
      </w:r>
    </w:p>
    <w:p w:rsidR="00A056B6" w:rsidRPr="009C5151" w:rsidRDefault="00A056B6" w:rsidP="00743A5F">
      <w:pPr>
        <w:pStyle w:val="Heading4"/>
        <w:spacing w:before="0" w:beforeAutospacing="0"/>
      </w:pPr>
      <w:r w:rsidRPr="009C5151">
        <w:t xml:space="preserve">4. </w:t>
      </w:r>
      <w:r w:rsidRPr="009C5151">
        <w:rPr>
          <w:rStyle w:val="Strong"/>
          <w:b/>
          <w:bCs/>
        </w:rPr>
        <w:t>Mutual Agreement Procedure (MAP)</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Delays in resolving tax disputes under treaties.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unresolved double taxation issues affecting profitability​.</w:t>
      </w:r>
    </w:p>
    <w:p w:rsidR="00A056B6" w:rsidRPr="009C5151" w:rsidRDefault="00A056B6" w:rsidP="00743A5F">
      <w:pPr>
        <w:pStyle w:val="Heading4"/>
        <w:spacing w:before="0" w:beforeAutospacing="0"/>
      </w:pPr>
      <w:r w:rsidRPr="009C5151">
        <w:t xml:space="preserve">5. </w:t>
      </w:r>
      <w:r w:rsidRPr="009C5151">
        <w:rPr>
          <w:rStyle w:val="Strong"/>
          <w:b/>
          <w:bCs/>
        </w:rPr>
        <w:t>Equalization Levy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on payments for digital services and foreign advertisements.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Ambiguities in EL scope for certain e-commerce transactions.</w:t>
      </w:r>
    </w:p>
    <w:p w:rsidR="00A056B6" w:rsidRPr="009C5151" w:rsidRDefault="00A056B6" w:rsidP="00743A5F">
      <w:pPr>
        <w:pStyle w:val="Heading4"/>
        <w:spacing w:before="0" w:beforeAutospacing="0"/>
      </w:pPr>
      <w:r w:rsidRPr="009C5151">
        <w:t xml:space="preserve">6. </w:t>
      </w:r>
      <w:r w:rsidRPr="009C5151">
        <w:rPr>
          <w:rStyle w:val="Strong"/>
          <w:b/>
          <w:bCs/>
        </w:rPr>
        <w:t>Double Tax Avoidance Agreements (DTAAs)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Interpretation challenges for treaties with </w:t>
      </w:r>
      <w:r w:rsidRPr="009C5151">
        <w:rPr>
          <w:rStyle w:val="Strong"/>
          <w:rFonts w:ascii="Times New Roman" w:hAnsi="Times New Roman" w:cs="Times New Roman"/>
          <w:sz w:val="24"/>
          <w:szCs w:val="24"/>
        </w:rPr>
        <w:t>USA, UK, Germany, Singapore, Mauritius, China, and Russia</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Adherence to anti-abuse provisions to avoid treaty benefits being denied.</w:t>
      </w:r>
    </w:p>
    <w:p w:rsidR="00A056B6" w:rsidRPr="009C5151" w:rsidRDefault="00A056B6" w:rsidP="00743A5F">
      <w:pPr>
        <w:pStyle w:val="Heading4"/>
        <w:spacing w:before="0" w:beforeAutospacing="0"/>
      </w:pPr>
      <w:r w:rsidRPr="009C5151">
        <w:t xml:space="preserve">7. </w:t>
      </w:r>
      <w:r w:rsidRPr="009C5151">
        <w:rPr>
          <w:rStyle w:val="Strong"/>
          <w:b/>
          <w:bCs/>
        </w:rPr>
        <w:t>BEPS and Multilateral Instrument (MLI)</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Compliance with treaty-related anti-avoidance rules introduced under MLI.</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Challenges in aligning existing business practices with MLI provisions​.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2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3" w:name="_Toc187623891"/>
      <w:bookmarkStart w:id="14" w:name="_Toc187630611"/>
      <w:bookmarkStart w:id="15" w:name="_Toc187660790"/>
      <w:bookmarkStart w:id="16" w:name="_Toc187661869"/>
      <w:r w:rsidRPr="009C5151">
        <w:rPr>
          <w:rStyle w:val="Strong"/>
          <w:b/>
          <w:bCs/>
          <w:sz w:val="24"/>
          <w:szCs w:val="24"/>
        </w:rPr>
        <w:t>Documents Required</w:t>
      </w:r>
      <w:bookmarkEnd w:id="13"/>
      <w:bookmarkEnd w:id="14"/>
      <w:bookmarkEnd w:id="15"/>
      <w:bookmarkEnd w:id="16"/>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Transfer Pricing Documentation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Form 3CEB and benchmarking reports.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Agreements for royalty, technical fees, and other inter-company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CbC and Master File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Financial and tax data for all group entities.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Organizational structure and functional analysis.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Withholding Tax Records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Certificates of residence (TRC) for treaty benefits.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Tax deduction filings and proof of remittance.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Audit Reports and Financial Statements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Last 5 years' records for scrutiny assessments.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Equalization Levy 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Tracker for payments subject to EL.</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Supporting documentation for exclusions, if claimed.</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2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7" w:name="_Toc187623892"/>
      <w:bookmarkStart w:id="18" w:name="_Toc187630612"/>
      <w:bookmarkStart w:id="19" w:name="_Toc187660791"/>
      <w:bookmarkStart w:id="20" w:name="_Toc187661870"/>
      <w:r w:rsidRPr="009C5151">
        <w:rPr>
          <w:rStyle w:val="Strong"/>
          <w:b/>
          <w:bCs/>
          <w:sz w:val="24"/>
          <w:szCs w:val="24"/>
        </w:rPr>
        <w:t>Chartered Accountant’s (CA) Advice</w:t>
      </w:r>
      <w:bookmarkEnd w:id="17"/>
      <w:bookmarkEnd w:id="18"/>
      <w:bookmarkEnd w:id="19"/>
      <w:bookmarkEnd w:id="20"/>
    </w:p>
    <w:p w:rsidR="00A056B6" w:rsidRPr="009C5151" w:rsidRDefault="00A056B6" w:rsidP="00743A5F">
      <w:pPr>
        <w:pStyle w:val="Heading4"/>
        <w:spacing w:before="0" w:beforeAutospacing="0"/>
      </w:pPr>
      <w:r w:rsidRPr="009C5151">
        <w:t xml:space="preserve">1. </w:t>
      </w:r>
      <w:r w:rsidRPr="009C5151">
        <w:rPr>
          <w:rStyle w:val="Strong"/>
          <w:b/>
          <w:bCs/>
        </w:rPr>
        <w:t>Withholding Tax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WHT rates are applied based on DTAA provisions (e.g., 10% for royalty/fees under India-USA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Obtain </w:t>
      </w:r>
      <w:r w:rsidRPr="009C5151">
        <w:rPr>
          <w:rStyle w:val="Strong"/>
          <w:rFonts w:ascii="Times New Roman" w:hAnsi="Times New Roman" w:cs="Times New Roman"/>
          <w:sz w:val="24"/>
          <w:szCs w:val="24"/>
        </w:rPr>
        <w:t>Tax Residency Certificates (TRC)</w:t>
      </w:r>
      <w:r w:rsidRPr="009C5151">
        <w:rPr>
          <w:rFonts w:ascii="Times New Roman" w:hAnsi="Times New Roman" w:cs="Times New Roman"/>
          <w:sz w:val="24"/>
          <w:szCs w:val="24"/>
        </w:rPr>
        <w:t xml:space="preserve"> for foreign entities to justify lower treaty rates.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Maintain proper documentation to defend WHT compliance during audits.</w:t>
      </w:r>
    </w:p>
    <w:p w:rsidR="00A056B6" w:rsidRPr="009C5151" w:rsidRDefault="00A056B6" w:rsidP="00743A5F">
      <w:pPr>
        <w:pStyle w:val="Heading4"/>
        <w:spacing w:before="0" w:beforeAutospacing="0"/>
      </w:pPr>
      <w:r w:rsidRPr="009C5151">
        <w:t xml:space="preserve">2. </w:t>
      </w:r>
      <w:r w:rsidRPr="009C5151">
        <w:rPr>
          <w:rStyle w:val="Strong"/>
          <w:b/>
          <w:bCs/>
        </w:rPr>
        <w:t>Transfer Pricing Strategy</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Conduct annual benchmarking studies for all international and domestic specified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Prepare robust documentation for </w:t>
      </w:r>
      <w:r w:rsidRPr="009C5151">
        <w:rPr>
          <w:rStyle w:val="Strong"/>
          <w:rFonts w:ascii="Times New Roman" w:hAnsi="Times New Roman" w:cs="Times New Roman"/>
          <w:sz w:val="24"/>
          <w:szCs w:val="24"/>
        </w:rPr>
        <w:t>ALP calculations</w:t>
      </w:r>
      <w:r w:rsidRPr="009C5151">
        <w:rPr>
          <w:rFonts w:ascii="Times New Roman" w:hAnsi="Times New Roman" w:cs="Times New Roman"/>
          <w:sz w:val="24"/>
          <w:szCs w:val="24"/>
        </w:rPr>
        <w:t xml:space="preserve"> and comply with </w:t>
      </w:r>
      <w:r w:rsidRPr="009C5151">
        <w:rPr>
          <w:rStyle w:val="Strong"/>
          <w:rFonts w:ascii="Times New Roman" w:hAnsi="Times New Roman" w:cs="Times New Roman"/>
          <w:sz w:val="24"/>
          <w:szCs w:val="24"/>
        </w:rPr>
        <w:t>Form 3CEB filings</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Implement an internal review process for all inter-company agreements.</w:t>
      </w:r>
    </w:p>
    <w:p w:rsidR="00A056B6" w:rsidRPr="009C5151" w:rsidRDefault="00A056B6" w:rsidP="00743A5F">
      <w:pPr>
        <w:pStyle w:val="Heading4"/>
        <w:spacing w:before="0" w:beforeAutospacing="0"/>
      </w:pPr>
      <w:r w:rsidRPr="009C5151">
        <w:t xml:space="preserve">3. </w:t>
      </w:r>
      <w:r w:rsidRPr="009C5151">
        <w:rPr>
          <w:rStyle w:val="Strong"/>
          <w:b/>
          <w:bCs/>
        </w:rPr>
        <w:t>CbC Reporting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Adhere to OECD and Indian reporting timelines for master and local files.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Train internal teams on maintaining and reviewing disclosures to ensure consistency across jurisdictions.</w:t>
      </w:r>
    </w:p>
    <w:p w:rsidR="00A056B6" w:rsidRPr="009C5151" w:rsidRDefault="00A056B6" w:rsidP="00743A5F">
      <w:pPr>
        <w:pStyle w:val="Heading4"/>
        <w:spacing w:before="0" w:beforeAutospacing="0"/>
      </w:pPr>
      <w:r w:rsidRPr="009C5151">
        <w:t xml:space="preserve">4. </w:t>
      </w:r>
      <w:r w:rsidRPr="009C5151">
        <w:rPr>
          <w:rStyle w:val="Strong"/>
          <w:b/>
          <w:bCs/>
        </w:rPr>
        <w:t>MAP and Dispute Resolution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Engage in early MAP applications to resolve double taxation issues promptly.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Collaborate with tax authorities under DTAA provisions to expedite outcomes.</w:t>
      </w:r>
    </w:p>
    <w:p w:rsidR="00A056B6" w:rsidRPr="009C5151" w:rsidRDefault="00A056B6" w:rsidP="00743A5F">
      <w:pPr>
        <w:pStyle w:val="Heading4"/>
        <w:spacing w:before="0" w:beforeAutospacing="0"/>
      </w:pPr>
      <w:r w:rsidRPr="009C5151">
        <w:t xml:space="preserve">5. </w:t>
      </w:r>
      <w:r w:rsidRPr="009C5151">
        <w:rPr>
          <w:rStyle w:val="Strong"/>
          <w:b/>
          <w:bCs/>
        </w:rPr>
        <w:t>Equalization Levy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Analyze applicability of EL on payments to non-residents for digital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Monitor thresholds and file necessary forms for compliance.</w:t>
      </w:r>
    </w:p>
    <w:p w:rsidR="00A056B6" w:rsidRPr="009C5151" w:rsidRDefault="00A056B6" w:rsidP="00743A5F">
      <w:pPr>
        <w:pStyle w:val="Heading4"/>
        <w:spacing w:before="0" w:beforeAutospacing="0"/>
      </w:pPr>
      <w:r w:rsidRPr="009C5151">
        <w:t xml:space="preserve">6. </w:t>
      </w:r>
      <w:r w:rsidRPr="009C5151">
        <w:rPr>
          <w:rStyle w:val="Strong"/>
          <w:b/>
          <w:bCs/>
        </w:rPr>
        <w:t>DTAAs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Regularly review treaty updates and MLI amendments affecting </w:t>
      </w:r>
      <w:r w:rsidRPr="009C5151">
        <w:rPr>
          <w:rStyle w:val="Strong"/>
          <w:rFonts w:ascii="Times New Roman" w:hAnsi="Times New Roman" w:cs="Times New Roman"/>
          <w:sz w:val="24"/>
          <w:szCs w:val="24"/>
        </w:rPr>
        <w:t>DTAAs with USA, UK, Germany, Singapore, Mauritius, China, and Russia</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Ensure anti-abuse provisions like </w:t>
      </w:r>
      <w:r w:rsidRPr="009C5151">
        <w:rPr>
          <w:rStyle w:val="Strong"/>
          <w:rFonts w:ascii="Times New Roman" w:hAnsi="Times New Roman" w:cs="Times New Roman"/>
          <w:sz w:val="24"/>
          <w:szCs w:val="24"/>
        </w:rPr>
        <w:t>Principal Purpose Test (PPT)</w:t>
      </w:r>
      <w:r w:rsidRPr="009C5151">
        <w:rPr>
          <w:rFonts w:ascii="Times New Roman" w:hAnsi="Times New Roman" w:cs="Times New Roman"/>
          <w:sz w:val="24"/>
          <w:szCs w:val="24"/>
        </w:rPr>
        <w:t xml:space="preserve"> are satisfied.</w:t>
      </w:r>
    </w:p>
    <w:p w:rsidR="00A056B6" w:rsidRPr="009C5151" w:rsidRDefault="00A056B6" w:rsidP="00743A5F">
      <w:pPr>
        <w:pStyle w:val="Heading4"/>
        <w:spacing w:before="0" w:beforeAutospacing="0"/>
      </w:pPr>
      <w:r w:rsidRPr="009C5151">
        <w:t xml:space="preserve">7. </w:t>
      </w:r>
      <w:r w:rsidRPr="009C5151">
        <w:rPr>
          <w:rStyle w:val="Strong"/>
          <w:b/>
          <w:bCs/>
        </w:rPr>
        <w:t>BEPS Action Plan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Monitor compliance with OECD BEPS Action 13, focusing on transfer pricing, risk allocation, and economic substance tests​​.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Implement MLI-related updates in internal tax policies.</w:t>
      </w:r>
    </w:p>
    <w:p w:rsidR="00A056B6" w:rsidRPr="009C5151" w:rsidRDefault="00A056B6" w:rsidP="00743A5F">
      <w:pPr>
        <w:pStyle w:val="Heading4"/>
        <w:spacing w:before="0" w:beforeAutospacing="0"/>
      </w:pPr>
      <w:r w:rsidRPr="009C5151">
        <w:t xml:space="preserve">8. </w:t>
      </w:r>
      <w:r w:rsidRPr="009C5151">
        <w:rPr>
          <w:rStyle w:val="Strong"/>
          <w:b/>
          <w:bCs/>
        </w:rPr>
        <w:t>Proactive Risk Management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Conduct periodic tax health checks for </w:t>
      </w:r>
      <w:r w:rsidRPr="009C5151">
        <w:rPr>
          <w:rStyle w:val="Strong"/>
          <w:rFonts w:ascii="Times New Roman" w:hAnsi="Times New Roman" w:cs="Times New Roman"/>
          <w:sz w:val="24"/>
          <w:szCs w:val="24"/>
        </w:rPr>
        <w:t>digital transactions</w:t>
      </w:r>
      <w:r w:rsidRPr="009C5151">
        <w:rPr>
          <w:rFonts w:ascii="Times New Roman" w:hAnsi="Times New Roman" w:cs="Times New Roman"/>
          <w:sz w:val="24"/>
          <w:szCs w:val="24"/>
        </w:rPr>
        <w:t>, treaty benefits, and transfer pricing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software tools for automated tracking of filing deadlines and WHT rates.</w:t>
      </w:r>
    </w:p>
    <w:p w:rsidR="00A056B6" w:rsidRPr="009C5151" w:rsidRDefault="00A056B6" w:rsidP="00743A5F">
      <w:pPr>
        <w:pStyle w:val="NormalWeb"/>
        <w:spacing w:before="0" w:beforeAutospacing="0"/>
      </w:pPr>
      <w:r w:rsidRPr="009C5151">
        <w:t>Would you like assistance with templates for compliance or further details on specific issues?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create a story considering all these transactions with numbers, issues and provide answers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21A59D6" wp14:editId="07F54CE0">
            <wp:extent cx="763905" cy="763905"/>
            <wp:effectExtent l="0" t="0" r="0" b="0"/>
            <wp:docPr id="328" name="Picture 32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6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21" w:name="_Toc187623893"/>
      <w:bookmarkStart w:id="22" w:name="_Toc187630613"/>
      <w:bookmarkStart w:id="23" w:name="_Toc187660792"/>
      <w:bookmarkStart w:id="24" w:name="_Toc187661871"/>
      <w:r w:rsidRPr="009C5151">
        <w:rPr>
          <w:rStyle w:val="Strong"/>
          <w:b/>
          <w:bCs/>
          <w:sz w:val="24"/>
          <w:szCs w:val="24"/>
        </w:rPr>
        <w:t>Case Study: International Taxation for GlobalTech Ltd.</w:t>
      </w:r>
      <w:bookmarkEnd w:id="21"/>
      <w:bookmarkEnd w:id="22"/>
      <w:bookmarkEnd w:id="23"/>
      <w:bookmarkEnd w:id="24"/>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GlobalTech Ltd., an Indian multinational company, operates in diverse sectors, including technology services, digital advertising, and IP licensing. It has subsidiaries and business partners in </w:t>
      </w:r>
      <w:r w:rsidRPr="009C5151">
        <w:rPr>
          <w:rStyle w:val="Strong"/>
        </w:rPr>
        <w:t>USA, UK, Germany, Singapore, Mauritius, China, and Russia</w:t>
      </w:r>
      <w:r w:rsidRPr="009C5151">
        <w:t>. Over the last 5 years, GlobalTech has faced increasing complexity in managing international and domestic tax compliance. Below is a snapshot of its key transactions and issues: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2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5" w:name="_Toc187623894"/>
      <w:bookmarkStart w:id="26" w:name="_Toc187630614"/>
      <w:bookmarkStart w:id="27" w:name="_Toc187660793"/>
      <w:bookmarkStart w:id="28" w:name="_Toc187661872"/>
      <w:r w:rsidRPr="009C5151">
        <w:rPr>
          <w:rStyle w:val="Strong"/>
          <w:b/>
          <w:bCs/>
          <w:sz w:val="24"/>
          <w:szCs w:val="24"/>
        </w:rPr>
        <w:t>Transactions</w:t>
      </w:r>
      <w:bookmarkEnd w:id="25"/>
      <w:bookmarkEnd w:id="26"/>
      <w:bookmarkEnd w:id="27"/>
      <w:bookmarkEnd w:id="28"/>
    </w:p>
    <w:p w:rsidR="00A056B6" w:rsidRPr="009C5151" w:rsidRDefault="00A056B6" w:rsidP="00743A5F">
      <w:pPr>
        <w:pStyle w:val="Heading4"/>
        <w:spacing w:before="0" w:beforeAutospacing="0"/>
      </w:pPr>
      <w:r w:rsidRPr="009C5151">
        <w:rPr>
          <w:rStyle w:val="Strong"/>
          <w:b/>
          <w:bCs/>
        </w:rPr>
        <w:lastRenderedPageBreak/>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Royalties and IP Licensing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Received ₹50 crore from USA and Germany for patented software.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₹30 crore to a Russian group entity for using proprietary technology.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Withholding tax rates: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India-USA DTAA: 10%</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India-Russia DTAA: 15%.</w:t>
      </w:r>
    </w:p>
    <w:p w:rsidR="00A056B6" w:rsidRPr="009C5151" w:rsidRDefault="00A056B6" w:rsidP="00743A5F">
      <w:pPr>
        <w:pStyle w:val="NormalWeb"/>
        <w:tabs>
          <w:tab w:val="num" w:pos="720"/>
        </w:tabs>
        <w:spacing w:before="0" w:beforeAutospacing="0"/>
        <w:ind w:left="720" w:hanging="360"/>
      </w:pPr>
      <w:r w:rsidRPr="009C5151">
        <w:rPr>
          <w:rStyle w:val="Strong"/>
        </w:rPr>
        <w:t>Technical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₹20 crore to a Chinese company for consulting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Withholding tax applicable under India-China DTAA: 10%.</w:t>
      </w:r>
    </w:p>
    <w:p w:rsidR="00A056B6" w:rsidRPr="009C5151" w:rsidRDefault="00A056B6" w:rsidP="00743A5F">
      <w:pPr>
        <w:pStyle w:val="NormalWeb"/>
        <w:tabs>
          <w:tab w:val="num" w:pos="720"/>
        </w:tabs>
        <w:spacing w:before="0" w:beforeAutospacing="0"/>
        <w:ind w:left="720" w:hanging="360"/>
      </w:pPr>
      <w:r w:rsidRPr="009C5151">
        <w:rPr>
          <w:rStyle w:val="Strong"/>
        </w:rPr>
        <w:t>Sale of Goods and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Exported ₹200 crore worth of IT services to the USA, UK, and Singapore.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Transfer pricing compliance under Section 92E.</w:t>
      </w:r>
    </w:p>
    <w:p w:rsidR="00A056B6" w:rsidRPr="009C5151" w:rsidRDefault="00A056B6" w:rsidP="00743A5F">
      <w:pPr>
        <w:pStyle w:val="NormalWeb"/>
        <w:tabs>
          <w:tab w:val="num" w:pos="720"/>
        </w:tabs>
        <w:spacing w:before="0" w:beforeAutospacing="0"/>
        <w:ind w:left="720" w:hanging="360"/>
      </w:pPr>
      <w:r w:rsidRPr="009C5151">
        <w:rPr>
          <w:rStyle w:val="Strong"/>
        </w:rPr>
        <w:t>Capital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Received ₹100 crore in equity from a Mauritius subsidiary.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Potential treaty benefits under India-Mauritius DTAA for tax exemption.</w:t>
      </w:r>
    </w:p>
    <w:p w:rsidR="00A056B6" w:rsidRPr="009C5151" w:rsidRDefault="00A056B6" w:rsidP="00743A5F">
      <w:pPr>
        <w:pStyle w:val="Heading4"/>
        <w:spacing w:before="0" w:beforeAutospacing="0"/>
      </w:pPr>
      <w:r w:rsidRPr="009C5151">
        <w:rPr>
          <w:rStyle w:val="Strong"/>
          <w:b/>
          <w:bCs/>
        </w:rPr>
        <w:t>Domestic Specified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Intra-group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₹10 crore to Indian entities for management consulting services.</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₹5 crore to non-resident advertisers for digital marketing campaigns.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Equalization levy (EL) applicable at 6%.</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2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9" w:name="_Toc187623895"/>
      <w:bookmarkStart w:id="30" w:name="_Toc187630615"/>
      <w:bookmarkStart w:id="31" w:name="_Toc187660794"/>
      <w:bookmarkStart w:id="32" w:name="_Toc187661873"/>
      <w:r w:rsidRPr="009C5151">
        <w:rPr>
          <w:rStyle w:val="Strong"/>
          <w:b/>
          <w:bCs/>
          <w:sz w:val="24"/>
          <w:szCs w:val="24"/>
        </w:rPr>
        <w:t>Key Issues</w:t>
      </w:r>
      <w:bookmarkEnd w:id="29"/>
      <w:bookmarkEnd w:id="30"/>
      <w:bookmarkEnd w:id="31"/>
      <w:bookmarkEnd w:id="32"/>
    </w:p>
    <w:p w:rsidR="00A056B6" w:rsidRPr="009C5151" w:rsidRDefault="00A056B6" w:rsidP="00743A5F">
      <w:pPr>
        <w:pStyle w:val="Heading4"/>
        <w:spacing w:before="0" w:beforeAutospacing="0"/>
      </w:pPr>
      <w:r w:rsidRPr="009C5151">
        <w:t xml:space="preserve">1. </w:t>
      </w:r>
      <w:r w:rsidRPr="009C5151">
        <w:rPr>
          <w:rStyle w:val="Strong"/>
          <w:b/>
          <w:bCs/>
        </w:rPr>
        <w:t>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Errors in applying DTAA rates for payments to Russian and Chinese entities.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Risk of penalties for under-deduction of WHT.</w:t>
      </w:r>
    </w:p>
    <w:p w:rsidR="00A056B6" w:rsidRPr="009C5151" w:rsidRDefault="00A056B6" w:rsidP="00743A5F">
      <w:pPr>
        <w:pStyle w:val="Heading4"/>
        <w:spacing w:before="0" w:beforeAutospacing="0"/>
      </w:pPr>
      <w:r w:rsidRPr="009C5151">
        <w:t xml:space="preserve">2. </w:t>
      </w:r>
      <w:r w:rsidRPr="009C5151">
        <w:rPr>
          <w:rStyle w:val="Strong"/>
          <w:b/>
          <w:bCs/>
        </w:rPr>
        <w:t>Transfer Pricing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Need to benchmark ₹200 crore exports and ₹30 crore payments for ALP.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Potential risk of adjustments if documentation is inadequate.</w:t>
      </w:r>
    </w:p>
    <w:p w:rsidR="00A056B6" w:rsidRPr="009C5151" w:rsidRDefault="00A056B6" w:rsidP="00743A5F">
      <w:pPr>
        <w:pStyle w:val="Heading4"/>
        <w:spacing w:before="0" w:beforeAutospacing="0"/>
      </w:pPr>
      <w:r w:rsidRPr="009C5151">
        <w:t xml:space="preserve">3. </w:t>
      </w:r>
      <w:r w:rsidRPr="009C5151">
        <w:rPr>
          <w:rStyle w:val="Strong"/>
          <w:b/>
          <w:bCs/>
        </w:rPr>
        <w:t>CbC Reporting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Ensuring accurate financial disclosures for all group entities.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Meeting compliance timelines for master and local files.</w:t>
      </w:r>
    </w:p>
    <w:p w:rsidR="00A056B6" w:rsidRPr="009C5151" w:rsidRDefault="00A056B6" w:rsidP="00743A5F">
      <w:pPr>
        <w:pStyle w:val="Heading4"/>
        <w:spacing w:before="0" w:beforeAutospacing="0"/>
      </w:pPr>
      <w:r w:rsidRPr="009C5151">
        <w:t xml:space="preserve">4. </w:t>
      </w:r>
      <w:r w:rsidRPr="009C5151">
        <w:rPr>
          <w:rStyle w:val="Strong"/>
          <w:b/>
          <w:bCs/>
        </w:rPr>
        <w:t>Double Taxation Avoidance Agreements (DTAAs)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Claiming benefits under DTAAs with USA, Germany, and Mauritius while avoiding anti-abuse provisions like the </w:t>
      </w:r>
      <w:r w:rsidRPr="009C5151">
        <w:rPr>
          <w:rStyle w:val="Strong"/>
          <w:rFonts w:ascii="Times New Roman" w:hAnsi="Times New Roman" w:cs="Times New Roman"/>
          <w:sz w:val="24"/>
          <w:szCs w:val="24"/>
        </w:rPr>
        <w:t>Principal Purpose Test (PPT)</w:t>
      </w:r>
      <w:r w:rsidRPr="009C5151">
        <w:rPr>
          <w:rFonts w:ascii="Times New Roman" w:hAnsi="Times New Roman" w:cs="Times New Roman"/>
          <w:sz w:val="24"/>
          <w:szCs w:val="24"/>
        </w:rPr>
        <w:t>.</w:t>
      </w:r>
    </w:p>
    <w:p w:rsidR="00A056B6" w:rsidRPr="009C5151" w:rsidRDefault="00A056B6" w:rsidP="00743A5F">
      <w:pPr>
        <w:pStyle w:val="Heading4"/>
        <w:spacing w:before="0" w:beforeAutospacing="0"/>
      </w:pPr>
      <w:r w:rsidRPr="009C5151">
        <w:t xml:space="preserve">5. </w:t>
      </w:r>
      <w:r w:rsidRPr="009C5151">
        <w:rPr>
          <w:rStyle w:val="Strong"/>
          <w:b/>
          <w:bCs/>
        </w:rPr>
        <w:t>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₹5 crore payments for digital advertising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Filing and payment delays leading to interest liability.</w:t>
      </w:r>
    </w:p>
    <w:p w:rsidR="00A056B6" w:rsidRPr="009C5151" w:rsidRDefault="00A056B6" w:rsidP="00743A5F">
      <w:pPr>
        <w:pStyle w:val="Heading4"/>
        <w:spacing w:before="0" w:beforeAutospacing="0"/>
      </w:pPr>
      <w:r w:rsidRPr="009C5151">
        <w:t xml:space="preserve">6. </w:t>
      </w:r>
      <w:r w:rsidRPr="009C5151">
        <w:rPr>
          <w:rStyle w:val="Strong"/>
          <w:b/>
          <w:bCs/>
        </w:rPr>
        <w:t>BEPS and MLI</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Aligning transactions with MLI provisions for treaty benefits.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misclassification of income for royalties and services.</w:t>
      </w:r>
    </w:p>
    <w:p w:rsidR="00A056B6" w:rsidRPr="009C5151" w:rsidRDefault="00A056B6" w:rsidP="00743A5F">
      <w:pPr>
        <w:pStyle w:val="Heading4"/>
        <w:spacing w:before="0" w:beforeAutospacing="0"/>
      </w:pPr>
      <w:r w:rsidRPr="009C5151">
        <w:t xml:space="preserve">7. </w:t>
      </w:r>
      <w:r w:rsidRPr="009C5151">
        <w:rPr>
          <w:rStyle w:val="Strong"/>
          <w:b/>
          <w:bCs/>
        </w:rPr>
        <w:t>Mutual Agreement Procedure (MAP)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Disputes with USA regarding tax credit on royalties taxed in both countries.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3" w:name="_Toc187623896"/>
      <w:bookmarkStart w:id="34" w:name="_Toc187630616"/>
      <w:bookmarkStart w:id="35" w:name="_Toc187660795"/>
      <w:bookmarkStart w:id="36" w:name="_Toc187661874"/>
      <w:r w:rsidRPr="009C5151">
        <w:rPr>
          <w:rStyle w:val="Strong"/>
          <w:b/>
          <w:bCs/>
          <w:sz w:val="24"/>
          <w:szCs w:val="24"/>
        </w:rPr>
        <w:t>Proposed Solutions</w:t>
      </w:r>
      <w:bookmarkEnd w:id="33"/>
      <w:bookmarkEnd w:id="34"/>
      <w:bookmarkEnd w:id="35"/>
      <w:bookmarkEnd w:id="36"/>
    </w:p>
    <w:p w:rsidR="00A056B6" w:rsidRPr="009C5151" w:rsidRDefault="00A056B6" w:rsidP="00743A5F">
      <w:pPr>
        <w:pStyle w:val="Heading4"/>
        <w:spacing w:before="0" w:beforeAutospacing="0"/>
      </w:pPr>
      <w:r w:rsidRPr="009C5151">
        <w:rPr>
          <w:rStyle w:val="Strong"/>
          <w:b/>
          <w:bCs/>
        </w:rPr>
        <w:t>1. Withholding Tax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Royalties</w:t>
      </w:r>
      <w:r w:rsidRPr="009C5151">
        <w:rPr>
          <w:rFonts w:ascii="Times New Roman" w:hAnsi="Times New Roman" w:cs="Times New Roman"/>
          <w:sz w:val="24"/>
          <w:szCs w:val="24"/>
        </w:rPr>
        <w:t>: Apply DTAA rates (10% for USA, 15% for Russia) and remit taxes timely.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Technical Services</w:t>
      </w:r>
      <w:r w:rsidRPr="009C5151">
        <w:rPr>
          <w:rFonts w:ascii="Times New Roman" w:hAnsi="Times New Roman" w:cs="Times New Roman"/>
          <w:sz w:val="24"/>
          <w:szCs w:val="24"/>
        </w:rPr>
        <w:t>: Deduct 10% WHT under India-China DTAA. Maintain TRCs and documentation for tax authority review.</w:t>
      </w:r>
    </w:p>
    <w:p w:rsidR="00A056B6" w:rsidRPr="009C5151" w:rsidRDefault="00A056B6" w:rsidP="00743A5F">
      <w:pPr>
        <w:pStyle w:val="Heading4"/>
        <w:spacing w:before="0" w:beforeAutospacing="0"/>
      </w:pPr>
      <w:r w:rsidRPr="009C5151">
        <w:rPr>
          <w:rStyle w:val="Strong"/>
          <w:b/>
          <w:bCs/>
        </w:rPr>
        <w:t>2. Transfer Pricing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Benchmark exports of ₹200 crore using the </w:t>
      </w:r>
      <w:r w:rsidRPr="009C5151">
        <w:rPr>
          <w:rStyle w:val="Strong"/>
          <w:rFonts w:ascii="Times New Roman" w:hAnsi="Times New Roman" w:cs="Times New Roman"/>
          <w:sz w:val="24"/>
          <w:szCs w:val="24"/>
        </w:rPr>
        <w:t>Transaction Net Margin Method (TNMM)</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 xml:space="preserve">Justify ₹30 crore payment for technology services using </w:t>
      </w:r>
      <w:r w:rsidRPr="009C5151">
        <w:rPr>
          <w:rStyle w:val="Strong"/>
          <w:rFonts w:ascii="Times New Roman" w:hAnsi="Times New Roman" w:cs="Times New Roman"/>
          <w:sz w:val="24"/>
          <w:szCs w:val="24"/>
        </w:rPr>
        <w:t>Comparable Uncontrolled Price (CUP) Method</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File </w:t>
      </w:r>
      <w:r w:rsidRPr="009C5151">
        <w:rPr>
          <w:rStyle w:val="Strong"/>
          <w:rFonts w:ascii="Times New Roman" w:hAnsi="Times New Roman" w:cs="Times New Roman"/>
          <w:sz w:val="24"/>
          <w:szCs w:val="24"/>
        </w:rPr>
        <w:t>Form 3CEB</w:t>
      </w:r>
      <w:r w:rsidRPr="009C5151">
        <w:rPr>
          <w:rFonts w:ascii="Times New Roman" w:hAnsi="Times New Roman" w:cs="Times New Roman"/>
          <w:sz w:val="24"/>
          <w:szCs w:val="24"/>
        </w:rPr>
        <w:t xml:space="preserve"> with detailed ALP documentation.</w:t>
      </w:r>
    </w:p>
    <w:p w:rsidR="00A056B6" w:rsidRPr="009C5151" w:rsidRDefault="00A056B6" w:rsidP="00743A5F">
      <w:pPr>
        <w:pStyle w:val="Heading4"/>
        <w:spacing w:before="0" w:beforeAutospacing="0"/>
      </w:pPr>
      <w:r w:rsidRPr="009C5151">
        <w:rPr>
          <w:rStyle w:val="Strong"/>
          <w:b/>
          <w:bCs/>
        </w:rPr>
        <w:t>3. CbC Reporting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master and local files detailing financial and operational data for all group entities.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Ensure timely submission of the </w:t>
      </w:r>
      <w:r w:rsidRPr="009C5151">
        <w:rPr>
          <w:rStyle w:val="Strong"/>
          <w:rFonts w:ascii="Times New Roman" w:hAnsi="Times New Roman" w:cs="Times New Roman"/>
          <w:sz w:val="24"/>
          <w:szCs w:val="24"/>
        </w:rPr>
        <w:t>CbC report</w:t>
      </w:r>
      <w:r w:rsidRPr="009C5151">
        <w:rPr>
          <w:rFonts w:ascii="Times New Roman" w:hAnsi="Times New Roman" w:cs="Times New Roman"/>
          <w:sz w:val="24"/>
          <w:szCs w:val="24"/>
        </w:rPr>
        <w:t xml:space="preserve"> to Indian tax authorities and align with OECD guidelines.</w:t>
      </w:r>
    </w:p>
    <w:p w:rsidR="00A056B6" w:rsidRPr="009C5151" w:rsidRDefault="00A056B6" w:rsidP="00743A5F">
      <w:pPr>
        <w:pStyle w:val="Heading4"/>
        <w:spacing w:before="0" w:beforeAutospacing="0"/>
      </w:pPr>
      <w:r w:rsidRPr="009C5151">
        <w:rPr>
          <w:rStyle w:val="Strong"/>
          <w:b/>
          <w:bCs/>
        </w:rPr>
        <w:t>4. DTAA and Treaty Benefits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Verify </w:t>
      </w:r>
      <w:r w:rsidRPr="009C5151">
        <w:rPr>
          <w:rStyle w:val="Strong"/>
          <w:rFonts w:ascii="Times New Roman" w:hAnsi="Times New Roman" w:cs="Times New Roman"/>
          <w:sz w:val="24"/>
          <w:szCs w:val="24"/>
        </w:rPr>
        <w:t>PPT compliance</w:t>
      </w:r>
      <w:r w:rsidRPr="009C5151">
        <w:rPr>
          <w:rFonts w:ascii="Times New Roman" w:hAnsi="Times New Roman" w:cs="Times New Roman"/>
          <w:sz w:val="24"/>
          <w:szCs w:val="24"/>
        </w:rPr>
        <w:t xml:space="preserve"> to claim Mauritius treaty benefits on ₹100 crore capital inflow.</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Claim foreign tax credit for royalties received from the USA taxed at 10%.</w:t>
      </w:r>
    </w:p>
    <w:p w:rsidR="00A056B6" w:rsidRPr="009C5151" w:rsidRDefault="00A056B6" w:rsidP="00743A5F">
      <w:pPr>
        <w:pStyle w:val="Heading4"/>
        <w:spacing w:before="0" w:beforeAutospacing="0"/>
      </w:pPr>
      <w:r w:rsidRPr="009C5151">
        <w:rPr>
          <w:rStyle w:val="Strong"/>
          <w:b/>
          <w:bCs/>
        </w:rPr>
        <w:t>5. Equalization Levy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Pay ₹30 lakh (6% of ₹5 crore) as EL for digital advertising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Submit compliance forms within prescribed timelines to avoid penalties.</w:t>
      </w:r>
    </w:p>
    <w:p w:rsidR="00A056B6" w:rsidRPr="009C5151" w:rsidRDefault="00A056B6" w:rsidP="00743A5F">
      <w:pPr>
        <w:pStyle w:val="Heading4"/>
        <w:spacing w:before="0" w:beforeAutospacing="0"/>
      </w:pPr>
      <w:r w:rsidRPr="009C5151">
        <w:rPr>
          <w:rStyle w:val="Strong"/>
          <w:b/>
          <w:bCs/>
        </w:rPr>
        <w:t>6. BEPS and MLI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Conduct a detailed review of MLI provisions impacting USA, UK, Germany, and Singapore treaties.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Reassess royalty and service transactions for substance and economic alignment under BEPS Action Plans.</w:t>
      </w:r>
    </w:p>
    <w:p w:rsidR="00A056B6" w:rsidRPr="009C5151" w:rsidRDefault="00A056B6" w:rsidP="00743A5F">
      <w:pPr>
        <w:pStyle w:val="Heading4"/>
        <w:spacing w:before="0" w:beforeAutospacing="0"/>
      </w:pPr>
      <w:r w:rsidRPr="009C5151">
        <w:rPr>
          <w:rStyle w:val="Strong"/>
          <w:b/>
          <w:bCs/>
        </w:rPr>
        <w:t>7. MAP for Double Taxation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File a </w:t>
      </w:r>
      <w:r w:rsidRPr="009C5151">
        <w:rPr>
          <w:rStyle w:val="Strong"/>
          <w:rFonts w:ascii="Times New Roman" w:hAnsi="Times New Roman" w:cs="Times New Roman"/>
          <w:sz w:val="24"/>
          <w:szCs w:val="24"/>
        </w:rPr>
        <w:t>MAP application</w:t>
      </w:r>
      <w:r w:rsidRPr="009C5151">
        <w:rPr>
          <w:rFonts w:ascii="Times New Roman" w:hAnsi="Times New Roman" w:cs="Times New Roman"/>
          <w:sz w:val="24"/>
          <w:szCs w:val="24"/>
        </w:rPr>
        <w:t xml:space="preserve"> to resolve USA taxation disputes on royalties.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Negotiate tax credit relief with Indian authorities to avoid double taxation.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7" w:name="_Toc187623897"/>
      <w:bookmarkStart w:id="38" w:name="_Toc187630617"/>
      <w:bookmarkStart w:id="39" w:name="_Toc187660796"/>
      <w:bookmarkStart w:id="40" w:name="_Toc187661875"/>
      <w:r w:rsidRPr="009C5151">
        <w:rPr>
          <w:rStyle w:val="Strong"/>
          <w:b/>
          <w:bCs/>
          <w:sz w:val="24"/>
          <w:szCs w:val="24"/>
        </w:rPr>
        <w:t>Financial Summary</w:t>
      </w:r>
      <w:bookmarkEnd w:id="37"/>
      <w:bookmarkEnd w:id="38"/>
      <w:bookmarkEnd w:id="39"/>
      <w:bookmarkEnd w:id="4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17"/>
        <w:gridCol w:w="1583"/>
        <w:gridCol w:w="4126"/>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Value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Royalties (received)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 WHT (₹5 crore); claim credit in USA</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Royalties (paid to Russia)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 WHT (₹4.5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Technical services (paid to China)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 WHT (₹2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Exports to USA, UK, 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ALP compliance; TNMM benchmarking</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Equity inflow from Mauritius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Verify treaty benefits under DTAA</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Digital advertising (EL)</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 EL (₹30 lakh)</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3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1" w:name="_Toc187623898"/>
      <w:bookmarkStart w:id="42" w:name="_Toc187630618"/>
      <w:bookmarkStart w:id="43" w:name="_Toc187660797"/>
      <w:bookmarkStart w:id="44" w:name="_Toc187661876"/>
      <w:r w:rsidRPr="009C5151">
        <w:rPr>
          <w:rStyle w:val="Strong"/>
          <w:b/>
          <w:bCs/>
          <w:sz w:val="24"/>
          <w:szCs w:val="24"/>
        </w:rPr>
        <w:t>Conclusion</w:t>
      </w:r>
      <w:bookmarkEnd w:id="41"/>
      <w:bookmarkEnd w:id="42"/>
      <w:bookmarkEnd w:id="43"/>
      <w:bookmarkEnd w:id="44"/>
    </w:p>
    <w:p w:rsidR="00A056B6" w:rsidRPr="009C5151" w:rsidRDefault="00A056B6" w:rsidP="00743A5F">
      <w:pPr>
        <w:pStyle w:val="NormalWeb"/>
        <w:spacing w:before="0" w:beforeAutospacing="0"/>
      </w:pPr>
      <w:r w:rsidRPr="009C5151">
        <w:t xml:space="preserve">To address these issues, </w:t>
      </w:r>
      <w:r w:rsidRPr="009C5151">
        <w:rPr>
          <w:rStyle w:val="Strong"/>
        </w:rPr>
        <w:t>GlobalTech Ltd.</w:t>
      </w:r>
      <w:r w:rsidRPr="009C5151">
        <w:t xml:space="preserve"> should: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Conduct a comprehensive compliance review of all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Maintain robust documentation for transfer pricing and DTAA claims.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MAP to resolve disputes and minimize double taxation risks.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timely filing of EL and CbC reports.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Stay updated on BEPS and MLI amendments to maintain treaty benefits.</w:t>
      </w:r>
    </w:p>
    <w:p w:rsidR="00A056B6" w:rsidRPr="009C5151" w:rsidRDefault="00A056B6" w:rsidP="00743A5F">
      <w:pPr>
        <w:pStyle w:val="NormalWeb"/>
        <w:spacing w:before="0" w:beforeAutospacing="0"/>
      </w:pPr>
      <w:r w:rsidRPr="009C5151">
        <w:t>Would you like assistance in drafting specific compliance documents or clarifications on any transaction?</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various topics under Conclusion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892D097" wp14:editId="635918EE">
            <wp:extent cx="763905" cy="763905"/>
            <wp:effectExtent l="0" t="0" r="0" b="0"/>
            <wp:docPr id="327" name="Picture 32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7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45" w:name="_Toc187623899"/>
      <w:bookmarkStart w:id="46" w:name="_Toc187630619"/>
      <w:bookmarkStart w:id="47" w:name="_Toc187660798"/>
      <w:bookmarkStart w:id="48" w:name="_Toc187661877"/>
      <w:r w:rsidRPr="009C5151">
        <w:rPr>
          <w:sz w:val="24"/>
          <w:szCs w:val="24"/>
        </w:rPr>
        <w:t>Detailed Discussion on Topics Under the Conclusion</w:t>
      </w:r>
      <w:bookmarkEnd w:id="45"/>
      <w:bookmarkEnd w:id="46"/>
      <w:bookmarkEnd w:id="47"/>
      <w:bookmarkEnd w:id="48"/>
    </w:p>
    <w:p w:rsidR="00A056B6" w:rsidRPr="009C5151" w:rsidRDefault="00A056B6" w:rsidP="00743A5F">
      <w:pPr>
        <w:pStyle w:val="Heading4"/>
        <w:spacing w:before="0" w:beforeAutospacing="0"/>
      </w:pPr>
      <w:r w:rsidRPr="009C5151">
        <w:rPr>
          <w:rStyle w:val="Strong"/>
          <w:b/>
          <w:bCs/>
        </w:rPr>
        <w:t>1. Comprehensive Compliance Review of All Transactions</w:t>
      </w:r>
    </w:p>
    <w:p w:rsidR="00A056B6" w:rsidRPr="009C5151" w:rsidRDefault="00A056B6" w:rsidP="00743A5F">
      <w:pPr>
        <w:pStyle w:val="NormalWeb"/>
        <w:spacing w:before="0" w:beforeAutospacing="0"/>
      </w:pPr>
      <w:r w:rsidRPr="009C5151">
        <w:t>GlobalTech Ltd. must undertake a thorough review of its international and domestic transactions to ensure compliance with tax laws and minimize risks.</w:t>
      </w:r>
    </w:p>
    <w:p w:rsidR="00A056B6" w:rsidRPr="009C5151" w:rsidRDefault="00A056B6" w:rsidP="00743A5F">
      <w:pPr>
        <w:pStyle w:val="NormalWeb"/>
        <w:tabs>
          <w:tab w:val="num" w:pos="720"/>
        </w:tabs>
        <w:spacing w:before="0" w:beforeAutospacing="0"/>
        <w:ind w:left="720" w:hanging="360"/>
      </w:pPr>
      <w:r w:rsidRPr="009C5151">
        <w:rPr>
          <w:rStyle w:val="Strong"/>
        </w:rPr>
        <w:t>Withholding Tax (WHT):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Cross-verify DTAA rates and ensure correct WHT deduction on royalties, technical fees, and dividends.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Maintain </w:t>
      </w:r>
      <w:r w:rsidRPr="009C5151">
        <w:rPr>
          <w:rStyle w:val="Strong"/>
          <w:rFonts w:ascii="Times New Roman" w:hAnsi="Times New Roman" w:cs="Times New Roman"/>
          <w:sz w:val="24"/>
          <w:szCs w:val="24"/>
        </w:rPr>
        <w:t>Tax Residency Certificates (TRCs)</w:t>
      </w:r>
      <w:r w:rsidRPr="009C5151">
        <w:rPr>
          <w:rFonts w:ascii="Times New Roman" w:hAnsi="Times New Roman" w:cs="Times New Roman"/>
          <w:sz w:val="24"/>
          <w:szCs w:val="24"/>
        </w:rPr>
        <w:t xml:space="preserve"> and Form 15CB for all foreign payments.</w:t>
      </w:r>
    </w:p>
    <w:p w:rsidR="00A056B6" w:rsidRPr="009C5151" w:rsidRDefault="00A056B6" w:rsidP="00743A5F">
      <w:pPr>
        <w:pStyle w:val="NormalWeb"/>
        <w:tabs>
          <w:tab w:val="num" w:pos="720"/>
        </w:tabs>
        <w:spacing w:before="0" w:beforeAutospacing="0"/>
        <w:ind w:left="720" w:hanging="360"/>
      </w:pPr>
      <w:r w:rsidRPr="009C5151">
        <w:rPr>
          <w:rStyle w:val="Strong"/>
        </w:rPr>
        <w:t>Transfer Pricing (TP):</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Conduct benchmarking studies for ₹200 crore exports and ₹30 crore technology fees.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Reassess associated agreements for ALP compliance and maintain documentation under Section 92E.</w:t>
      </w:r>
    </w:p>
    <w:p w:rsidR="00A056B6" w:rsidRPr="009C5151" w:rsidRDefault="00A056B6" w:rsidP="00743A5F">
      <w:pPr>
        <w:pStyle w:val="NormalWeb"/>
        <w:tabs>
          <w:tab w:val="num" w:pos="720"/>
        </w:tabs>
        <w:spacing w:before="0" w:beforeAutospacing="0"/>
        <w:ind w:left="720" w:hanging="360"/>
      </w:pPr>
      <w:r w:rsidRPr="009C5151">
        <w:rPr>
          <w:rStyle w:val="Strong"/>
        </w:rPr>
        <w:t>Equalization Levy (EL):</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Monitor thresholds for applicability and file necessary compliance forms for digital payments.</w:t>
      </w:r>
    </w:p>
    <w:p w:rsidR="00A056B6" w:rsidRPr="009C5151" w:rsidRDefault="00A056B6" w:rsidP="00743A5F">
      <w:pPr>
        <w:pStyle w:val="NormalWeb"/>
        <w:tabs>
          <w:tab w:val="num" w:pos="720"/>
        </w:tabs>
        <w:spacing w:before="0" w:beforeAutospacing="0"/>
        <w:ind w:left="720" w:hanging="360"/>
      </w:pPr>
      <w:r w:rsidRPr="009C5151">
        <w:rPr>
          <w:rStyle w:val="Strong"/>
        </w:rPr>
        <w:t>Double Taxation Avoidance Agreements (DTAAs):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alignment with anti-abuse provisions like the Principal Purpose Test (PPT).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Robust Documentation for Transfer Pricing and DTAA Claims</w:t>
      </w:r>
    </w:p>
    <w:p w:rsidR="00A056B6" w:rsidRPr="009C5151" w:rsidRDefault="00A056B6" w:rsidP="00743A5F">
      <w:pPr>
        <w:pStyle w:val="NormalWeb"/>
        <w:spacing w:before="0" w:beforeAutospacing="0"/>
      </w:pPr>
      <w:r w:rsidRPr="009C5151">
        <w:t>Documentation is critical to support GlobalTech’s compliance efforts during audits or disputes.</w:t>
      </w:r>
    </w:p>
    <w:p w:rsidR="00A056B6" w:rsidRPr="009C5151" w:rsidRDefault="00A056B6" w:rsidP="00743A5F">
      <w:pPr>
        <w:pStyle w:val="NormalWeb"/>
        <w:tabs>
          <w:tab w:val="num" w:pos="720"/>
        </w:tabs>
        <w:spacing w:before="0" w:beforeAutospacing="0"/>
        <w:ind w:left="720" w:hanging="360"/>
      </w:pPr>
      <w:r w:rsidRPr="009C5151">
        <w:rPr>
          <w:rStyle w:val="Strong"/>
        </w:rPr>
        <w:t>Transfer Pricing Documentation: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Prepare a detailed master file with information on group operations, inter-company transactions, and financial metrics.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a local file for Indian operations with ALP justifications, transaction methods (e.g., CUP, TNMM), and benchmarking analyses.</w:t>
      </w:r>
    </w:p>
    <w:p w:rsidR="00A056B6" w:rsidRPr="009C5151" w:rsidRDefault="00A056B6" w:rsidP="00743A5F">
      <w:pPr>
        <w:pStyle w:val="NormalWeb"/>
        <w:tabs>
          <w:tab w:val="num" w:pos="720"/>
        </w:tabs>
        <w:spacing w:before="0" w:beforeAutospacing="0"/>
        <w:ind w:left="720" w:hanging="360"/>
      </w:pPr>
      <w:r w:rsidRPr="009C5151">
        <w:rPr>
          <w:rStyle w:val="Strong"/>
        </w:rPr>
        <w:t>DTAA Documentation: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Secure TRCs for treaty claims.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agreements for royalty, service, and IP transactions with clear definitions and fee structures to avoid recharacterization issues.</w:t>
      </w:r>
    </w:p>
    <w:p w:rsidR="00A056B6" w:rsidRPr="009C5151" w:rsidRDefault="00A056B6" w:rsidP="00743A5F">
      <w:pPr>
        <w:pStyle w:val="NormalWeb"/>
        <w:tabs>
          <w:tab w:val="num" w:pos="720"/>
        </w:tabs>
        <w:spacing w:before="0" w:beforeAutospacing="0"/>
        <w:ind w:left="720" w:hanging="360"/>
      </w:pPr>
      <w:r w:rsidRPr="009C5151">
        <w:rPr>
          <w:rStyle w:val="Strong"/>
        </w:rPr>
        <w:t>Equalization Levy Compliance: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a tracker for all payments subject to EL and file compliance forms within deadlines.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03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Use of Mutual Agreement Procedure (MAP)</w:t>
      </w:r>
    </w:p>
    <w:p w:rsidR="00A056B6" w:rsidRPr="009C5151" w:rsidRDefault="00A056B6" w:rsidP="00743A5F">
      <w:pPr>
        <w:pStyle w:val="NormalWeb"/>
        <w:spacing w:before="0" w:beforeAutospacing="0"/>
      </w:pPr>
      <w:r w:rsidRPr="009C5151">
        <w:t>MAP can help resolve double taxation disputes arising from differing interpretations of treaties.</w:t>
      </w:r>
    </w:p>
    <w:p w:rsidR="00A056B6" w:rsidRPr="009C5151" w:rsidRDefault="00A056B6" w:rsidP="00743A5F">
      <w:pPr>
        <w:pStyle w:val="NormalWeb"/>
        <w:tabs>
          <w:tab w:val="num" w:pos="720"/>
        </w:tabs>
        <w:spacing w:before="0" w:beforeAutospacing="0"/>
        <w:ind w:left="720" w:hanging="360"/>
      </w:pPr>
      <w:r w:rsidRPr="009C5151">
        <w:rPr>
          <w:rStyle w:val="Strong"/>
        </w:rPr>
        <w:t>Royalties Taxation in USA and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If the USA taxes ₹50 crore of royalties at a higher rate, file for MAP to seek relief in India under the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Engage tax advisors to negotiate tax credit availability with Indian and US tax authorities.</w:t>
      </w:r>
    </w:p>
    <w:p w:rsidR="00A056B6" w:rsidRPr="009C5151" w:rsidRDefault="00A056B6" w:rsidP="00743A5F">
      <w:pPr>
        <w:pStyle w:val="NormalWeb"/>
        <w:tabs>
          <w:tab w:val="num" w:pos="720"/>
        </w:tabs>
        <w:spacing w:before="0" w:beforeAutospacing="0"/>
        <w:ind w:left="720" w:hanging="360"/>
      </w:pPr>
      <w:r w:rsidRPr="009C5151">
        <w:rPr>
          <w:rStyle w:val="Strong"/>
        </w:rPr>
        <w:t>Technical Services and IP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Address disputes over classification of payments to Russia or China, ensuring they are not subjected to double taxation.</w:t>
      </w:r>
    </w:p>
    <w:p w:rsidR="00A056B6" w:rsidRPr="009C5151" w:rsidRDefault="00A056B6" w:rsidP="00743A5F">
      <w:pPr>
        <w:pStyle w:val="NormalWeb"/>
        <w:tabs>
          <w:tab w:val="num" w:pos="720"/>
        </w:tabs>
        <w:spacing w:before="0" w:beforeAutospacing="0"/>
        <w:ind w:left="720" w:hanging="360"/>
      </w:pPr>
      <w:r w:rsidRPr="009C5151">
        <w:rPr>
          <w:rStyle w:val="Strong"/>
        </w:rPr>
        <w:t>MAP Timelines and Coordination: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Submit MAP applications promptly within the timelines specified by tax treaties.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Coordinate closely with competent authorities in both countries to expedite resolution.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Filing and Timely Compliance of EL and CbC Reports</w:t>
      </w:r>
    </w:p>
    <w:p w:rsidR="00A056B6" w:rsidRPr="009C5151" w:rsidRDefault="00A056B6" w:rsidP="00743A5F">
      <w:pPr>
        <w:pStyle w:val="NormalWeb"/>
        <w:spacing w:before="0" w:beforeAutospacing="0"/>
      </w:pPr>
      <w:r w:rsidRPr="009C5151">
        <w:t>Late compliance can lead to penalties; hence, timely filings are essential.</w:t>
      </w:r>
    </w:p>
    <w:p w:rsidR="00A056B6" w:rsidRPr="009C5151" w:rsidRDefault="00A056B6" w:rsidP="00743A5F">
      <w:pPr>
        <w:pStyle w:val="NormalWeb"/>
        <w:tabs>
          <w:tab w:val="num" w:pos="720"/>
        </w:tabs>
        <w:spacing w:before="0" w:beforeAutospacing="0"/>
        <w:ind w:left="720" w:hanging="360"/>
      </w:pPr>
      <w:r w:rsidRPr="009C5151">
        <w:rPr>
          <w:rStyle w:val="Strong"/>
        </w:rPr>
        <w:t>Equalization Levy (EL):</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Calculate 6% levy on digital advertising payments of ₹5 crore and deposit ₹30 lakh within the prescribed timeline.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annual EL returns and ensure no duplication with income-tax obligations.</w:t>
      </w:r>
    </w:p>
    <w:p w:rsidR="00A056B6" w:rsidRPr="009C5151" w:rsidRDefault="00A056B6" w:rsidP="00743A5F">
      <w:pPr>
        <w:pStyle w:val="NormalWeb"/>
        <w:tabs>
          <w:tab w:val="num" w:pos="720"/>
        </w:tabs>
        <w:spacing w:before="0" w:beforeAutospacing="0"/>
        <w:ind w:left="720" w:hanging="360"/>
      </w:pPr>
      <w:r w:rsidRPr="009C5151">
        <w:rPr>
          <w:rStyle w:val="Strong"/>
        </w:rPr>
        <w:t>Country-by-Country (CbC) Reporting: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File the </w:t>
      </w:r>
      <w:r w:rsidRPr="009C5151">
        <w:rPr>
          <w:rStyle w:val="Strong"/>
          <w:rFonts w:ascii="Times New Roman" w:hAnsi="Times New Roman" w:cs="Times New Roman"/>
          <w:sz w:val="24"/>
          <w:szCs w:val="24"/>
        </w:rPr>
        <w:t>master file</w:t>
      </w:r>
      <w:r w:rsidRPr="009C5151">
        <w:rPr>
          <w:rFonts w:ascii="Times New Roman" w:hAnsi="Times New Roman" w:cs="Times New Roman"/>
          <w:sz w:val="24"/>
          <w:szCs w:val="24"/>
        </w:rPr>
        <w:t xml:space="preserve"> containing group-wide operations and financials.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Submit the </w:t>
      </w:r>
      <w:r w:rsidRPr="009C5151">
        <w:rPr>
          <w:rStyle w:val="Strong"/>
          <w:rFonts w:ascii="Times New Roman" w:hAnsi="Times New Roman" w:cs="Times New Roman"/>
          <w:sz w:val="24"/>
          <w:szCs w:val="24"/>
        </w:rPr>
        <w:t>local file</w:t>
      </w:r>
      <w:r w:rsidRPr="009C5151">
        <w:rPr>
          <w:rFonts w:ascii="Times New Roman" w:hAnsi="Times New Roman" w:cs="Times New Roman"/>
          <w:sz w:val="24"/>
          <w:szCs w:val="24"/>
        </w:rPr>
        <w:t xml:space="preserve"> highlighting transactions specific to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CbC reporting aligns with OECD BEPS Action 13 and Indian tax laws.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Staying Updated on BEPS and MLI Amendments</w:t>
      </w:r>
    </w:p>
    <w:p w:rsidR="00A056B6" w:rsidRPr="009C5151" w:rsidRDefault="00A056B6" w:rsidP="00743A5F">
      <w:pPr>
        <w:pStyle w:val="NormalWeb"/>
        <w:spacing w:before="0" w:beforeAutospacing="0"/>
      </w:pPr>
      <w:r w:rsidRPr="009C5151">
        <w:lastRenderedPageBreak/>
        <w:t>The Multilateral Instrument (MLI) modifies existing treaties to incorporate anti-abuse provisions, impacting how treaties are applied.</w:t>
      </w:r>
    </w:p>
    <w:p w:rsidR="00A056B6" w:rsidRPr="009C5151" w:rsidRDefault="00A056B6" w:rsidP="00743A5F">
      <w:pPr>
        <w:pStyle w:val="NormalWeb"/>
        <w:tabs>
          <w:tab w:val="num" w:pos="720"/>
        </w:tabs>
        <w:spacing w:before="0" w:beforeAutospacing="0"/>
        <w:ind w:left="720" w:hanging="360"/>
      </w:pPr>
      <w:r w:rsidRPr="009C5151">
        <w:rPr>
          <w:rStyle w:val="Strong"/>
        </w:rPr>
        <w:t>Principal Purpose Test (PPT):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Verify that transactions with Mauritius and Singapore subsidiaries have substantial economic substance.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Avoid treaty benefits if the primary purpose of transactions is found to be tax avoidance.</w:t>
      </w:r>
    </w:p>
    <w:p w:rsidR="00A056B6" w:rsidRPr="009C5151" w:rsidRDefault="00A056B6" w:rsidP="00743A5F">
      <w:pPr>
        <w:pStyle w:val="NormalWeb"/>
        <w:tabs>
          <w:tab w:val="num" w:pos="720"/>
        </w:tabs>
        <w:spacing w:before="0" w:beforeAutospacing="0"/>
        <w:ind w:left="720" w:hanging="360"/>
      </w:pPr>
      <w:r w:rsidRPr="009C5151">
        <w:rPr>
          <w:rStyle w:val="Strong"/>
        </w:rPr>
        <w:t>MLI Notifications and Reservations: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Review how India and its treaty partners have adopted MLI provisions, including </w:t>
      </w:r>
      <w:r w:rsidRPr="009C5151">
        <w:rPr>
          <w:rStyle w:val="Strong"/>
          <w:rFonts w:ascii="Times New Roman" w:hAnsi="Times New Roman" w:cs="Times New Roman"/>
          <w:sz w:val="24"/>
          <w:szCs w:val="24"/>
        </w:rPr>
        <w:t>hybrid mismatch arrangements</w:t>
      </w:r>
      <w:r w:rsidRPr="009C5151">
        <w:rPr>
          <w:rFonts w:ascii="Times New Roman" w:hAnsi="Times New Roman" w:cs="Times New Roman"/>
          <w:sz w:val="24"/>
          <w:szCs w:val="24"/>
        </w:rPr>
        <w:t xml:space="preserve"> and </w:t>
      </w:r>
      <w:r w:rsidRPr="009C5151">
        <w:rPr>
          <w:rStyle w:val="Strong"/>
          <w:rFonts w:ascii="Times New Roman" w:hAnsi="Times New Roman" w:cs="Times New Roman"/>
          <w:sz w:val="24"/>
          <w:szCs w:val="24"/>
        </w:rPr>
        <w:t>treaty benefits denial clauses</w:t>
      </w:r>
      <w:r w:rsidRPr="009C5151">
        <w:rPr>
          <w:rFonts w:ascii="Times New Roman" w:hAnsi="Times New Roman" w:cs="Times New Roman"/>
          <w:sz w:val="24"/>
          <w:szCs w:val="24"/>
        </w:rPr>
        <w:t>.</w:t>
      </w:r>
    </w:p>
    <w:p w:rsidR="00A056B6" w:rsidRPr="009C5151" w:rsidRDefault="00A056B6" w:rsidP="00743A5F">
      <w:pPr>
        <w:pStyle w:val="NormalWeb"/>
        <w:tabs>
          <w:tab w:val="num" w:pos="720"/>
        </w:tabs>
        <w:spacing w:before="0" w:beforeAutospacing="0"/>
        <w:ind w:left="720" w:hanging="360"/>
      </w:pPr>
      <w:r w:rsidRPr="009C5151">
        <w:rPr>
          <w:rStyle w:val="Strong"/>
        </w:rPr>
        <w:t>BEPS Action Plans: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 GlobalTech’s operations with OECD’s BEPS recommendations, particularly for:</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Style w:val="Strong"/>
          <w:rFonts w:ascii="Times New Roman" w:hAnsi="Times New Roman" w:cs="Times New Roman"/>
          <w:sz w:val="24"/>
          <w:szCs w:val="24"/>
        </w:rPr>
        <w:t>Action 7 (PE Risk):</w:t>
      </w:r>
      <w:r w:rsidRPr="009C5151">
        <w:rPr>
          <w:rFonts w:ascii="Times New Roman" w:hAnsi="Times New Roman" w:cs="Times New Roman"/>
          <w:sz w:val="24"/>
          <w:szCs w:val="24"/>
        </w:rPr>
        <w:t xml:space="preserve"> Ensure no permanent establishment risk in countries like Germany and UK.</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Style w:val="Strong"/>
          <w:rFonts w:ascii="Times New Roman" w:hAnsi="Times New Roman" w:cs="Times New Roman"/>
          <w:sz w:val="24"/>
          <w:szCs w:val="24"/>
        </w:rPr>
        <w:t>Actions 8-10 (Transfer Pricing):</w:t>
      </w:r>
      <w:r w:rsidRPr="009C5151">
        <w:rPr>
          <w:rFonts w:ascii="Times New Roman" w:hAnsi="Times New Roman" w:cs="Times New Roman"/>
          <w:sz w:val="24"/>
          <w:szCs w:val="24"/>
        </w:rPr>
        <w:t xml:space="preserve"> Reflect economic substance in inter-company IP and risk-sharing transactions.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Style w:val="Strong"/>
          <w:rFonts w:ascii="Times New Roman" w:hAnsi="Times New Roman" w:cs="Times New Roman"/>
          <w:sz w:val="24"/>
          <w:szCs w:val="24"/>
        </w:rPr>
        <w:t>Action 13 (Reporting):</w:t>
      </w:r>
      <w:r w:rsidRPr="009C5151">
        <w:rPr>
          <w:rFonts w:ascii="Times New Roman" w:hAnsi="Times New Roman" w:cs="Times New Roman"/>
          <w:sz w:val="24"/>
          <w:szCs w:val="24"/>
        </w:rPr>
        <w:t xml:space="preserve"> Provide transparent disclosures through CbC reports.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Monitoring Changes in Tax Laws</w:t>
      </w:r>
    </w:p>
    <w:p w:rsidR="00A056B6" w:rsidRPr="009C5151" w:rsidRDefault="00A056B6" w:rsidP="00743A5F">
      <w:pPr>
        <w:pStyle w:val="NormalWeb"/>
        <w:spacing w:before="0" w:beforeAutospacing="0"/>
      </w:pPr>
      <w:r w:rsidRPr="009C5151">
        <w:t>Tax regulations evolve frequently, and GlobalTech must adapt proactively to minimize compliance risks.</w:t>
      </w:r>
    </w:p>
    <w:p w:rsidR="00A056B6" w:rsidRPr="009C5151" w:rsidRDefault="00A056B6" w:rsidP="00743A5F">
      <w:pPr>
        <w:pStyle w:val="NormalWeb"/>
        <w:tabs>
          <w:tab w:val="num" w:pos="720"/>
        </w:tabs>
        <w:spacing w:before="0" w:beforeAutospacing="0"/>
        <w:ind w:left="720" w:hanging="360"/>
      </w:pPr>
      <w:r w:rsidRPr="009C5151">
        <w:rPr>
          <w:rStyle w:val="Strong"/>
        </w:rPr>
        <w:t>Digital Transactions: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Stay updated on rules for EL and India’s Digital Tax to ensure compliance with obligations on digital advertising services.</w:t>
      </w:r>
    </w:p>
    <w:p w:rsidR="00A056B6" w:rsidRPr="009C5151" w:rsidRDefault="00A056B6" w:rsidP="00743A5F">
      <w:pPr>
        <w:pStyle w:val="NormalWeb"/>
        <w:tabs>
          <w:tab w:val="num" w:pos="720"/>
        </w:tabs>
        <w:spacing w:before="0" w:beforeAutospacing="0"/>
        <w:ind w:left="720" w:hanging="360"/>
      </w:pPr>
      <w:r w:rsidRPr="009C5151">
        <w:rPr>
          <w:rStyle w:val="Strong"/>
        </w:rPr>
        <w:t>DTAA Revisions: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Monitor treaty amendments with USA, Germany, and Mauritius, particularly for clauses addressing tax avoidance and information sharing.</w:t>
      </w:r>
    </w:p>
    <w:p w:rsidR="00A056B6" w:rsidRPr="009C5151" w:rsidRDefault="00A056B6" w:rsidP="00743A5F">
      <w:pPr>
        <w:pStyle w:val="NormalWeb"/>
        <w:tabs>
          <w:tab w:val="num" w:pos="720"/>
        </w:tabs>
        <w:spacing w:before="0" w:beforeAutospacing="0"/>
        <w:ind w:left="720" w:hanging="360"/>
      </w:pPr>
      <w:r w:rsidRPr="009C5151">
        <w:rPr>
          <w:rStyle w:val="Strong"/>
        </w:rPr>
        <w:t>Tax Authority Guidance: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Track circulars and notifications from the Central Board of Direct Taxes (CBDT) for clarifications on complex issues like transfer pricing and EL.</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03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7. Regular Internal Audits for Risk Mitigation</w:t>
      </w:r>
    </w:p>
    <w:p w:rsidR="00A056B6" w:rsidRPr="009C5151" w:rsidRDefault="00A056B6" w:rsidP="00743A5F">
      <w:pPr>
        <w:pStyle w:val="NormalWeb"/>
        <w:spacing w:before="0" w:beforeAutospacing="0"/>
      </w:pPr>
      <w:r w:rsidRPr="009C5151">
        <w:t>Periodic tax audits can help identify gaps in compliance and reduce exposure to penalties.</w:t>
      </w:r>
    </w:p>
    <w:p w:rsidR="00A056B6" w:rsidRPr="009C5151" w:rsidRDefault="00A056B6" w:rsidP="00743A5F">
      <w:pPr>
        <w:pStyle w:val="NormalWeb"/>
        <w:tabs>
          <w:tab w:val="num" w:pos="720"/>
        </w:tabs>
        <w:spacing w:before="0" w:beforeAutospacing="0"/>
        <w:ind w:left="720" w:hanging="360"/>
      </w:pPr>
      <w:r w:rsidRPr="009C5151">
        <w:rPr>
          <w:rStyle w:val="Strong"/>
        </w:rPr>
        <w:t>Audit Scope: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Verify WHT, EL, TP compliance, and treaty benefits claimed for all transactions.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Review internal processes for documentation and record-keeping.</w:t>
      </w:r>
    </w:p>
    <w:p w:rsidR="00A056B6" w:rsidRPr="009C5151" w:rsidRDefault="00A056B6" w:rsidP="00743A5F">
      <w:pPr>
        <w:pStyle w:val="NormalWeb"/>
        <w:tabs>
          <w:tab w:val="num" w:pos="720"/>
        </w:tabs>
        <w:spacing w:before="0" w:beforeAutospacing="0"/>
        <w:ind w:left="720" w:hanging="360"/>
      </w:pPr>
      <w:r w:rsidRPr="009C5151">
        <w:rPr>
          <w:rStyle w:val="Strong"/>
        </w:rPr>
        <w:t>Risk Analysis: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Identify potential audit triggers such as related-party transactions, high-value payments, or treaty reliance.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Mitigate risks proactively by strengthening compliance measures.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9" w:name="_Toc187623900"/>
      <w:bookmarkStart w:id="50" w:name="_Toc187630620"/>
      <w:bookmarkStart w:id="51" w:name="_Toc187660799"/>
      <w:bookmarkStart w:id="52" w:name="_Toc187661878"/>
      <w:r w:rsidRPr="009C5151">
        <w:rPr>
          <w:rStyle w:val="Strong"/>
          <w:b/>
          <w:bCs/>
          <w:sz w:val="24"/>
          <w:szCs w:val="24"/>
        </w:rPr>
        <w:t>Conclusion</w:t>
      </w:r>
      <w:bookmarkEnd w:id="49"/>
      <w:bookmarkEnd w:id="50"/>
      <w:bookmarkEnd w:id="51"/>
      <w:bookmarkEnd w:id="52"/>
    </w:p>
    <w:p w:rsidR="00A056B6" w:rsidRPr="009C5151" w:rsidRDefault="00A056B6" w:rsidP="00743A5F">
      <w:pPr>
        <w:pStyle w:val="NormalWeb"/>
        <w:spacing w:before="0" w:beforeAutospacing="0"/>
      </w:pPr>
      <w:r w:rsidRPr="009C5151">
        <w:t xml:space="preserve">By addressing these areas, </w:t>
      </w:r>
      <w:r w:rsidRPr="009C5151">
        <w:rPr>
          <w:rStyle w:val="Strong"/>
        </w:rPr>
        <w:t>GlobalTech Ltd.</w:t>
      </w:r>
      <w:r w:rsidRPr="009C5151">
        <w:t xml:space="preserve"> can ensure robust compliance with international and domestic tax laws. It will minimize risks of audits, disputes, and penalties while maintaining its global operations effectively.</w:t>
      </w:r>
    </w:p>
    <w:p w:rsidR="00A056B6" w:rsidRPr="009C5151" w:rsidRDefault="00A056B6" w:rsidP="00743A5F">
      <w:pPr>
        <w:pStyle w:val="NormalWeb"/>
        <w:spacing w:before="0" w:beforeAutospacing="0"/>
      </w:pPr>
      <w:r w:rsidRPr="009C5151">
        <w:t>Would you like further guidance on drafting specific compliance documents or training internal teams for these processes?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second example of problem and suggested solutions by a CA to a Company</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C1E47C3" wp14:editId="60B3F3DB">
            <wp:extent cx="763905" cy="763905"/>
            <wp:effectExtent l="0" t="0" r="0" b="0"/>
            <wp:docPr id="326" name="Picture 32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8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53" w:name="_Toc187623901"/>
      <w:bookmarkStart w:id="54" w:name="_Toc187630621"/>
      <w:bookmarkStart w:id="55" w:name="_Toc187660800"/>
      <w:bookmarkStart w:id="56" w:name="_Toc187661879"/>
      <w:r w:rsidRPr="009C5151">
        <w:rPr>
          <w:rStyle w:val="Strong"/>
          <w:b/>
          <w:bCs/>
          <w:sz w:val="24"/>
          <w:szCs w:val="24"/>
        </w:rPr>
        <w:t>Case Study: International Taxation for FinGlobal Pvt. Ltd.</w:t>
      </w:r>
      <w:bookmarkEnd w:id="53"/>
      <w:bookmarkEnd w:id="54"/>
      <w:bookmarkEnd w:id="55"/>
      <w:bookmarkEnd w:id="56"/>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FinGlobal Pvt. Ltd., an Indian financial technology company, operates in multiple jurisdictions and provides digital payment solutions, financial analytics, and software licensing services. It has substantial international and domestic operations with associated enterprises (AEs) in </w:t>
      </w:r>
      <w:r w:rsidRPr="009C5151">
        <w:rPr>
          <w:rStyle w:val="Strong"/>
        </w:rPr>
        <w:t>USA, UK, Germany, Singapore, and China</w:t>
      </w:r>
      <w:r w:rsidRPr="009C5151">
        <w:t>. The company faces various tax-related challenges due to its expanding global footprint and the rise of digital transactions.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04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7" w:name="_Toc187623902"/>
      <w:bookmarkStart w:id="58" w:name="_Toc187630622"/>
      <w:bookmarkStart w:id="59" w:name="_Toc187660801"/>
      <w:bookmarkStart w:id="60" w:name="_Toc187661880"/>
      <w:r w:rsidRPr="009C5151">
        <w:rPr>
          <w:rStyle w:val="Strong"/>
          <w:b/>
          <w:bCs/>
          <w:sz w:val="24"/>
          <w:szCs w:val="24"/>
        </w:rPr>
        <w:t>Transactions</w:t>
      </w:r>
      <w:bookmarkEnd w:id="57"/>
      <w:bookmarkEnd w:id="58"/>
      <w:bookmarkEnd w:id="59"/>
      <w:bookmarkEnd w:id="60"/>
    </w:p>
    <w:p w:rsidR="00A056B6" w:rsidRPr="009C5151" w:rsidRDefault="00A056B6" w:rsidP="00743A5F">
      <w:pPr>
        <w:pStyle w:val="Heading4"/>
        <w:spacing w:before="0" w:beforeAutospacing="0"/>
      </w:pPr>
      <w:r w:rsidRPr="009C5151">
        <w:rPr>
          <w:rStyle w:val="Strong"/>
          <w:b/>
          <w:bCs/>
        </w:rPr>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Software Licensing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Received ₹80 crore from AEs in </w:t>
      </w:r>
      <w:r w:rsidRPr="009C5151">
        <w:rPr>
          <w:rStyle w:val="Strong"/>
          <w:rFonts w:ascii="Times New Roman" w:hAnsi="Times New Roman" w:cs="Times New Roman"/>
          <w:sz w:val="24"/>
          <w:szCs w:val="24"/>
        </w:rPr>
        <w:t>USA and Germany</w:t>
      </w:r>
      <w:r w:rsidRPr="009C5151">
        <w:rPr>
          <w:rFonts w:ascii="Times New Roman" w:hAnsi="Times New Roman" w:cs="Times New Roman"/>
          <w:sz w:val="24"/>
          <w:szCs w:val="24"/>
        </w:rPr>
        <w:t xml:space="preserve"> for software licenses.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Withholding tax (WHT) under DTAAs: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India-USA: 10%.</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India-Germany: 10%.</w:t>
      </w:r>
    </w:p>
    <w:p w:rsidR="00A056B6" w:rsidRPr="009C5151" w:rsidRDefault="00A056B6" w:rsidP="00743A5F">
      <w:pPr>
        <w:pStyle w:val="NormalWeb"/>
        <w:tabs>
          <w:tab w:val="num" w:pos="720"/>
        </w:tabs>
        <w:spacing w:before="0" w:beforeAutospacing="0"/>
        <w:ind w:left="720" w:hanging="360"/>
      </w:pPr>
      <w:r w:rsidRPr="009C5151">
        <w:rPr>
          <w:rStyle w:val="Strong"/>
        </w:rPr>
        <w:t>Technical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₹40 crore to a Singapore-based AE for technical support and software development.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under India-Singapore DTAA: 10%.</w:t>
      </w:r>
    </w:p>
    <w:p w:rsidR="00A056B6" w:rsidRPr="009C5151" w:rsidRDefault="00A056B6" w:rsidP="00743A5F">
      <w:pPr>
        <w:pStyle w:val="NormalWeb"/>
        <w:tabs>
          <w:tab w:val="num" w:pos="720"/>
        </w:tabs>
        <w:spacing w:before="0" w:beforeAutospacing="0"/>
        <w:ind w:left="720" w:hanging="360"/>
      </w:pPr>
      <w:r w:rsidRPr="009C5151">
        <w:rPr>
          <w:rStyle w:val="Strong"/>
        </w:rPr>
        <w:t>Digital Marketing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₹15 crore to a USA entity for online advertising.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Equalization Levy (EL) applicable: 6%.</w:t>
      </w:r>
    </w:p>
    <w:p w:rsidR="00A056B6" w:rsidRPr="009C5151" w:rsidRDefault="00A056B6" w:rsidP="00743A5F">
      <w:pPr>
        <w:pStyle w:val="NormalWeb"/>
        <w:tabs>
          <w:tab w:val="num" w:pos="720"/>
        </w:tabs>
        <w:spacing w:before="0" w:beforeAutospacing="0"/>
        <w:ind w:left="720" w:hanging="360"/>
      </w:pPr>
      <w:r w:rsidRPr="009C5151">
        <w:rPr>
          <w:rStyle w:val="Strong"/>
        </w:rPr>
        <w:t>IP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Transferred IP rights to a UK AE for ₹25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No tax deducted as the transaction was structured as a capital gain.</w:t>
      </w:r>
    </w:p>
    <w:p w:rsidR="00A056B6" w:rsidRPr="009C5151" w:rsidRDefault="00A056B6" w:rsidP="00743A5F">
      <w:pPr>
        <w:pStyle w:val="Heading4"/>
        <w:spacing w:before="0" w:beforeAutospacing="0"/>
      </w:pPr>
      <w:r w:rsidRPr="009C5151">
        <w:rPr>
          <w:rStyle w:val="Strong"/>
          <w:b/>
          <w:bCs/>
        </w:rPr>
        <w:t>Domestic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Inter-Group Loan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Advanced a ₹10 crore loan to an Indian AE at 6% interest.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Potential transfer pricing issue due to prevailing market rates at 8%.</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₹5 crore as royalties to an Indian group company for patented technology use.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4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1" w:name="_Toc187623903"/>
      <w:bookmarkStart w:id="62" w:name="_Toc187630623"/>
      <w:bookmarkStart w:id="63" w:name="_Toc187660802"/>
      <w:bookmarkStart w:id="64" w:name="_Toc187661881"/>
      <w:r w:rsidRPr="009C5151">
        <w:rPr>
          <w:rStyle w:val="Strong"/>
          <w:b/>
          <w:bCs/>
          <w:sz w:val="24"/>
          <w:szCs w:val="24"/>
        </w:rPr>
        <w:t>Key Issues</w:t>
      </w:r>
      <w:bookmarkEnd w:id="61"/>
      <w:bookmarkEnd w:id="62"/>
      <w:bookmarkEnd w:id="63"/>
      <w:bookmarkEnd w:id="64"/>
    </w:p>
    <w:p w:rsidR="00A056B6" w:rsidRPr="009C5151" w:rsidRDefault="00A056B6" w:rsidP="00743A5F">
      <w:pPr>
        <w:pStyle w:val="Heading4"/>
        <w:spacing w:before="0" w:beforeAutospacing="0"/>
      </w:pPr>
      <w:r w:rsidRPr="009C5151">
        <w:lastRenderedPageBreak/>
        <w:t xml:space="preserve">1. </w:t>
      </w:r>
      <w:r w:rsidRPr="009C5151">
        <w:rPr>
          <w:rStyle w:val="Strong"/>
          <w:b/>
          <w:bCs/>
        </w:rPr>
        <w:t>Withholding Tax (WHT) Non-Compliance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Errors in applying treaty rates for payments to Singapore and USA.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Non-deduction of tax on IP transfer to the UK AE.</w:t>
      </w:r>
    </w:p>
    <w:p w:rsidR="00A056B6" w:rsidRPr="009C5151" w:rsidRDefault="00A056B6" w:rsidP="00743A5F">
      <w:pPr>
        <w:pStyle w:val="Heading4"/>
        <w:spacing w:before="0" w:beforeAutospacing="0"/>
      </w:pPr>
      <w:r w:rsidRPr="009C5151">
        <w:t xml:space="preserve">2. </w:t>
      </w:r>
      <w:r w:rsidRPr="009C5151">
        <w:rPr>
          <w:rStyle w:val="Strong"/>
          <w:b/>
          <w:bCs/>
        </w:rPr>
        <w:t>Transfer Pricing (TP) Non-Adherence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Interest rate on inter-group loan below market rates, risking TP adjustments.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Lack of proper benchmarking for software licensing revenues.</w:t>
      </w:r>
    </w:p>
    <w:p w:rsidR="00A056B6" w:rsidRPr="009C5151" w:rsidRDefault="00A056B6" w:rsidP="00743A5F">
      <w:pPr>
        <w:pStyle w:val="Heading4"/>
        <w:spacing w:before="0" w:beforeAutospacing="0"/>
      </w:pPr>
      <w:r w:rsidRPr="009C5151">
        <w:t xml:space="preserve">3. </w:t>
      </w:r>
      <w:r w:rsidRPr="009C5151">
        <w:rPr>
          <w:rStyle w:val="Strong"/>
          <w:b/>
          <w:bCs/>
        </w:rPr>
        <w:t>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applicability on ₹15 crore digital advertising payments to the USA.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Incorrect classification of certain payments as exempt services.</w:t>
      </w:r>
    </w:p>
    <w:p w:rsidR="00A056B6" w:rsidRPr="009C5151" w:rsidRDefault="00A056B6" w:rsidP="00743A5F">
      <w:pPr>
        <w:pStyle w:val="Heading4"/>
        <w:spacing w:before="0" w:beforeAutospacing="0"/>
      </w:pPr>
      <w:r w:rsidRPr="009C5151">
        <w:t xml:space="preserve">4. </w:t>
      </w:r>
      <w:r w:rsidRPr="009C5151">
        <w:rPr>
          <w:rStyle w:val="Strong"/>
          <w:b/>
          <w:bCs/>
        </w:rPr>
        <w:t>IP Transactions and Capital Gains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Incorrect treatment of IP transfer to the UK as a capital transaction.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Potential classification as business income under UK tax laws.</w:t>
      </w:r>
    </w:p>
    <w:p w:rsidR="00A056B6" w:rsidRPr="009C5151" w:rsidRDefault="00A056B6" w:rsidP="00743A5F">
      <w:pPr>
        <w:pStyle w:val="Heading4"/>
        <w:spacing w:before="0" w:beforeAutospacing="0"/>
      </w:pPr>
      <w:r w:rsidRPr="009C5151">
        <w:t xml:space="preserve">5. </w:t>
      </w:r>
      <w:r w:rsidRPr="009C5151">
        <w:rPr>
          <w:rStyle w:val="Strong"/>
          <w:b/>
          <w:bCs/>
        </w:rPr>
        <w:t>CbC Reporting and BEPS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Incomplete CbC report disclosures for transactions exceeding ₹100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Risks of non-alignment with OECD BEPS Action 13 requirements.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4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5" w:name="_Toc187623904"/>
      <w:bookmarkStart w:id="66" w:name="_Toc187630624"/>
      <w:bookmarkStart w:id="67" w:name="_Toc187660803"/>
      <w:bookmarkStart w:id="68" w:name="_Toc187661882"/>
      <w:r w:rsidRPr="009C5151">
        <w:rPr>
          <w:rStyle w:val="Strong"/>
          <w:b/>
          <w:bCs/>
          <w:sz w:val="24"/>
          <w:szCs w:val="24"/>
        </w:rPr>
        <w:t>Proposed Solutions</w:t>
      </w:r>
      <w:bookmarkEnd w:id="65"/>
      <w:bookmarkEnd w:id="66"/>
      <w:bookmarkEnd w:id="67"/>
      <w:bookmarkEnd w:id="68"/>
    </w:p>
    <w:p w:rsidR="00A056B6" w:rsidRPr="009C5151" w:rsidRDefault="00A056B6" w:rsidP="00743A5F">
      <w:pPr>
        <w:pStyle w:val="Heading4"/>
        <w:spacing w:before="0" w:beforeAutospacing="0"/>
      </w:pPr>
      <w:r w:rsidRPr="009C5151">
        <w:rPr>
          <w:rStyle w:val="Strong"/>
          <w:b/>
          <w:bCs/>
        </w:rPr>
        <w:t>1.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Software Licensing</w:t>
      </w:r>
      <w:r w:rsidRPr="009C5151">
        <w:rPr>
          <w:rFonts w:ascii="Times New Roman" w:hAnsi="Times New Roman" w:cs="Times New Roman"/>
          <w:sz w:val="24"/>
          <w:szCs w:val="24"/>
        </w:rPr>
        <w:t>: Apply correct WHT rates (10%) under DTAAs with USA and Germany for ₹80 crore revenues. File TRCs to justify reduced rates.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Technical Services</w:t>
      </w:r>
      <w:r w:rsidRPr="009C5151">
        <w:rPr>
          <w:rFonts w:ascii="Times New Roman" w:hAnsi="Times New Roman" w:cs="Times New Roman"/>
          <w:sz w:val="24"/>
          <w:szCs w:val="24"/>
        </w:rPr>
        <w:t>: Deduct 10% WHT on ₹40 crore payments to Singapore under DTAA provisions.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IP Transfer</w:t>
      </w:r>
      <w:r w:rsidRPr="009C5151">
        <w:rPr>
          <w:rFonts w:ascii="Times New Roman" w:hAnsi="Times New Roman" w:cs="Times New Roman"/>
          <w:sz w:val="24"/>
          <w:szCs w:val="24"/>
        </w:rPr>
        <w:t>: Reassess the IP transfer structure to determine capital gains applicability. If deemed royalty or business income, deduct WHT as per the India-UK DTAA.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4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Transfer Pricing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Inter-Group Loan</w:t>
      </w:r>
      <w:r w:rsidRPr="009C5151">
        <w:rPr>
          <w:rFonts w:ascii="Times New Roman" w:hAnsi="Times New Roman" w:cs="Times New Roman"/>
          <w:sz w:val="24"/>
          <w:szCs w:val="24"/>
        </w:rPr>
        <w:t>: Adjust interest rate on the ₹10 crore loan to match market rates (8%) to avoid TP adjustments. Update agreements to reflect new rates.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Software Licensing</w:t>
      </w:r>
      <w:r w:rsidRPr="009C5151">
        <w:rPr>
          <w:rFonts w:ascii="Times New Roman" w:hAnsi="Times New Roman" w:cs="Times New Roman"/>
          <w:sz w:val="24"/>
          <w:szCs w:val="24"/>
        </w:rPr>
        <w:t xml:space="preserve">: Conduct benchmarking using </w:t>
      </w:r>
      <w:r w:rsidRPr="009C5151">
        <w:rPr>
          <w:rStyle w:val="Strong"/>
          <w:rFonts w:ascii="Times New Roman" w:hAnsi="Times New Roman" w:cs="Times New Roman"/>
          <w:sz w:val="24"/>
          <w:szCs w:val="24"/>
        </w:rPr>
        <w:t>Comparable Uncontrolled Price (CUP) Method</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TNMM</w:t>
      </w:r>
      <w:r w:rsidRPr="009C5151">
        <w:rPr>
          <w:rFonts w:ascii="Times New Roman" w:hAnsi="Times New Roman" w:cs="Times New Roman"/>
          <w:sz w:val="24"/>
          <w:szCs w:val="24"/>
        </w:rPr>
        <w:t xml:space="preserve"> to justify ₹80 crore revenue from AEs.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Documentation</w:t>
      </w:r>
      <w:r w:rsidRPr="009C5151">
        <w:rPr>
          <w:rFonts w:ascii="Times New Roman" w:hAnsi="Times New Roman" w:cs="Times New Roman"/>
          <w:sz w:val="24"/>
          <w:szCs w:val="24"/>
        </w:rPr>
        <w:t>: File Form 3CEB with detailed TP analysis, justifying all specified domestic and international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4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Digital Advertising</w:t>
      </w:r>
      <w:r w:rsidRPr="009C5151">
        <w:rPr>
          <w:rFonts w:ascii="Times New Roman" w:hAnsi="Times New Roman" w:cs="Times New Roman"/>
          <w:sz w:val="24"/>
          <w:szCs w:val="24"/>
        </w:rPr>
        <w:t>: Calculate and remit EL of ₹90 lakh (6% of ₹15 crore) for payments to the USA.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the EL compliance forms timely to avoid interest or penalties. Reassess contracts for EL applicability to ensure accurate classification of services.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4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IP Transactions and Capital Gains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Conduct a thorough review of the ₹25 crore IP transfer to the UK. Classify the transaction correctly: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Capital Gains</w:t>
      </w:r>
      <w:r w:rsidRPr="009C5151">
        <w:rPr>
          <w:rFonts w:ascii="Times New Roman" w:hAnsi="Times New Roman" w:cs="Times New Roman"/>
          <w:sz w:val="24"/>
          <w:szCs w:val="24"/>
        </w:rPr>
        <w:t>: If the IP was transferred as a standalone asset.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Royalty</w:t>
      </w:r>
      <w:r w:rsidRPr="009C5151">
        <w:rPr>
          <w:rFonts w:ascii="Times New Roman" w:hAnsi="Times New Roman" w:cs="Times New Roman"/>
          <w:sz w:val="24"/>
          <w:szCs w:val="24"/>
        </w:rPr>
        <w:t>: If recurring payments are involved under IP licensing terms.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if the transaction qualifies as royalty under the India-UK DTAA.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4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CbC Reporting and BEPS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comprehensive disclosures in the master file and local file for all group entities. Align reporting with OECD BEPS Action 13 guidelines.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Highlight key transactions, including software licensing, IP transfers, and technical services, with a focus on economic substance.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4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Internal Audit and Policy Adjustments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Implement periodic tax health checks to identify risks in WHT, EL compliance, and TP documentation.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Establish an automated compliance tracker for tax filings, payments, and documentation deadlines.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4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9" w:name="_Toc187623905"/>
      <w:bookmarkStart w:id="70" w:name="_Toc187630625"/>
      <w:bookmarkStart w:id="71" w:name="_Toc187660804"/>
      <w:bookmarkStart w:id="72" w:name="_Toc187661883"/>
      <w:r w:rsidRPr="009C5151">
        <w:rPr>
          <w:rStyle w:val="Strong"/>
          <w:b/>
          <w:bCs/>
          <w:sz w:val="24"/>
          <w:szCs w:val="24"/>
        </w:rPr>
        <w:t>Financial Summary</w:t>
      </w:r>
      <w:bookmarkEnd w:id="69"/>
      <w:bookmarkEnd w:id="70"/>
      <w:bookmarkEnd w:id="71"/>
      <w:bookmarkEnd w:id="7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8"/>
        <w:gridCol w:w="1477"/>
        <w:gridCol w:w="4801"/>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lastRenderedPageBreak/>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Value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Software Licensing (received)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 WHT; DTAA claims with USA, Germany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Technical Services (paid)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 WHT to Singapore; DTAA 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Digital Advertising (EL)</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 EL (₹90 lakh)</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IP Transfer (to UK)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Reassess WHT applicability (royalty vs. capital gains)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Inter-Group Loan (domestic)</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Adjust interest rate to 8%; revise agreements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Royalties (domestic)</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Verify correct deduction and reporting</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4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3" w:name="_Toc187623906"/>
      <w:bookmarkStart w:id="74" w:name="_Toc187630626"/>
      <w:bookmarkStart w:id="75" w:name="_Toc187660805"/>
      <w:bookmarkStart w:id="76" w:name="_Toc187661884"/>
      <w:r w:rsidRPr="009C5151">
        <w:rPr>
          <w:rStyle w:val="Strong"/>
          <w:b/>
          <w:bCs/>
          <w:sz w:val="24"/>
          <w:szCs w:val="24"/>
        </w:rPr>
        <w:t>Conclusion</w:t>
      </w:r>
      <w:bookmarkEnd w:id="73"/>
      <w:bookmarkEnd w:id="74"/>
      <w:bookmarkEnd w:id="75"/>
      <w:bookmarkEnd w:id="76"/>
    </w:p>
    <w:p w:rsidR="00A056B6" w:rsidRPr="009C5151" w:rsidRDefault="00A056B6" w:rsidP="00743A5F">
      <w:pPr>
        <w:pStyle w:val="NormalWeb"/>
        <w:spacing w:before="0" w:beforeAutospacing="0"/>
      </w:pPr>
      <w:r w:rsidRPr="009C5151">
        <w:t xml:space="preserve">To address these challenges, </w:t>
      </w:r>
      <w:r w:rsidRPr="009C5151">
        <w:rPr>
          <w:rStyle w:val="Strong"/>
        </w:rPr>
        <w:t>FinGlobal Pvt. Ltd.</w:t>
      </w:r>
      <w:r w:rsidRPr="009C5151">
        <w:t xml:space="preserve"> should:</w:t>
      </w:r>
    </w:p>
    <w:p w:rsidR="00A056B6" w:rsidRPr="009C5151" w:rsidRDefault="00A056B6" w:rsidP="00743A5F">
      <w:pPr>
        <w:pStyle w:val="NormalWeb"/>
        <w:tabs>
          <w:tab w:val="num" w:pos="720"/>
        </w:tabs>
        <w:spacing w:before="0" w:beforeAutospacing="0"/>
        <w:ind w:left="720" w:hanging="360"/>
      </w:pPr>
      <w:r w:rsidRPr="009C5151">
        <w:rPr>
          <w:rStyle w:val="Strong"/>
        </w:rPr>
        <w:t>Enhance WHT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Regularly update TRCs and ensure treaty rates are correctly applied.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Review agreements for proper tax characterization of payments.</w:t>
      </w:r>
    </w:p>
    <w:p w:rsidR="00A056B6" w:rsidRPr="009C5151" w:rsidRDefault="00A056B6" w:rsidP="00743A5F">
      <w:pPr>
        <w:pStyle w:val="NormalWeb"/>
        <w:tabs>
          <w:tab w:val="num" w:pos="720"/>
        </w:tabs>
        <w:spacing w:before="0" w:beforeAutospacing="0"/>
        <w:ind w:left="720" w:hanging="360"/>
      </w:pPr>
      <w:r w:rsidRPr="009C5151">
        <w:rPr>
          <w:rStyle w:val="Strong"/>
        </w:rPr>
        <w:t>Strengthen Transfer Pricing Policies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Conduct periodic benchmarking for inter-company transactions and maintain detailed documentation.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Adjust financial terms of loans and licenses to align with market standards.</w:t>
      </w:r>
    </w:p>
    <w:p w:rsidR="00A056B6" w:rsidRPr="009C5151" w:rsidRDefault="00A056B6" w:rsidP="00743A5F">
      <w:pPr>
        <w:pStyle w:val="NormalWeb"/>
        <w:tabs>
          <w:tab w:val="num" w:pos="720"/>
        </w:tabs>
        <w:spacing w:before="0" w:beforeAutospacing="0"/>
        <w:ind w:left="720" w:hanging="360"/>
      </w:pPr>
      <w:r w:rsidRPr="009C5151">
        <w:rPr>
          <w:rStyle w:val="Strong"/>
        </w:rPr>
        <w:t>Focus on EL and Digital Tax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accurate EL payment records and reassess contracts for digital services.</w:t>
      </w:r>
    </w:p>
    <w:p w:rsidR="00A056B6" w:rsidRPr="009C5151" w:rsidRDefault="00A056B6" w:rsidP="00743A5F">
      <w:pPr>
        <w:pStyle w:val="NormalWeb"/>
        <w:tabs>
          <w:tab w:val="num" w:pos="720"/>
        </w:tabs>
        <w:spacing w:before="0" w:beforeAutospacing="0"/>
        <w:ind w:left="720" w:hanging="360"/>
      </w:pPr>
      <w:r w:rsidRPr="009C5151">
        <w:rPr>
          <w:rStyle w:val="Strong"/>
        </w:rPr>
        <w:t>Resolve IP Classification Issues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Seek professional advice to classify the IP transaction correctly and apply relevant WHT provisions.</w:t>
      </w:r>
    </w:p>
    <w:p w:rsidR="00A056B6" w:rsidRPr="009C5151" w:rsidRDefault="00A056B6" w:rsidP="00743A5F">
      <w:pPr>
        <w:pStyle w:val="NormalWeb"/>
        <w:tabs>
          <w:tab w:val="num" w:pos="720"/>
        </w:tabs>
        <w:spacing w:before="0" w:beforeAutospacing="0"/>
        <w:ind w:left="720" w:hanging="360"/>
      </w:pPr>
      <w:r w:rsidRPr="009C5151">
        <w:rPr>
          <w:rStyle w:val="Strong"/>
        </w:rPr>
        <w:t>Prioritize BEPS Action 13 Alignment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Submit CbC and master file reports within statutory deadlines, ensuring full transparency in reporting.</w:t>
      </w:r>
    </w:p>
    <w:p w:rsidR="00A056B6" w:rsidRPr="009C5151" w:rsidRDefault="00A056B6" w:rsidP="00743A5F">
      <w:pPr>
        <w:pStyle w:val="NormalWeb"/>
        <w:spacing w:before="0" w:beforeAutospacing="0"/>
      </w:pPr>
      <w:r w:rsidRPr="009C5151">
        <w:lastRenderedPageBreak/>
        <w:t>By implementing these measures, FinGlobal Pvt. Ltd. can ensure compliance, mitigate risks, and optimize its tax structure effectively.</w:t>
      </w:r>
    </w:p>
    <w:p w:rsidR="00A056B6" w:rsidRPr="009C5151" w:rsidRDefault="00A056B6" w:rsidP="00743A5F">
      <w:pPr>
        <w:pStyle w:val="NormalWeb"/>
        <w:spacing w:before="0" w:beforeAutospacing="0"/>
      </w:pPr>
      <w:r w:rsidRPr="009C5151">
        <w:t>Would you like to explore templates for compliance filings or a detailed TP benchmarking example?</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again provide detailed discussion on the topics covered under Conclusion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729F07AD" wp14:editId="59F65FFF">
            <wp:extent cx="763905" cy="763905"/>
            <wp:effectExtent l="0" t="0" r="0" b="0"/>
            <wp:docPr id="325" name="Picture 32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9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77" w:name="_Toc187623907"/>
      <w:bookmarkStart w:id="78" w:name="_Toc187630627"/>
      <w:bookmarkStart w:id="79" w:name="_Toc187660806"/>
      <w:bookmarkStart w:id="80" w:name="_Toc187661885"/>
      <w:r w:rsidRPr="009C5151">
        <w:rPr>
          <w:sz w:val="24"/>
          <w:szCs w:val="24"/>
        </w:rPr>
        <w:t>Detailed Discussion on Topics Covered Under Conclusion</w:t>
      </w:r>
      <w:bookmarkEnd w:id="77"/>
      <w:bookmarkEnd w:id="78"/>
      <w:bookmarkEnd w:id="79"/>
      <w:bookmarkEnd w:id="80"/>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5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Enhancing WHT Compliance</w:t>
      </w:r>
    </w:p>
    <w:p w:rsidR="00A056B6" w:rsidRPr="009C5151" w:rsidRDefault="00A056B6" w:rsidP="00743A5F">
      <w:pPr>
        <w:pStyle w:val="NormalWeb"/>
        <w:spacing w:before="0" w:beforeAutospacing="0"/>
      </w:pPr>
      <w:r w:rsidRPr="009C5151">
        <w:t>Ensuring withholding tax (WHT) compliance is vital to avoid penalties and disputes.</w:t>
      </w:r>
    </w:p>
    <w:p w:rsidR="00A056B6" w:rsidRPr="009C5151" w:rsidRDefault="00A056B6" w:rsidP="00743A5F">
      <w:pPr>
        <w:pStyle w:val="NormalWeb"/>
        <w:spacing w:before="0" w:beforeAutospacing="0"/>
      </w:pPr>
      <w:r w:rsidRPr="009C5151">
        <w:t xml:space="preserve">1.1 </w:t>
      </w:r>
      <w:r w:rsidRPr="009C5151">
        <w:rPr>
          <w:rStyle w:val="Strong"/>
        </w:rPr>
        <w:t>Application of Correct Rates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Software Licensing Income</w:t>
      </w:r>
      <w:r w:rsidRPr="009C5151">
        <w:rPr>
          <w:rFonts w:ascii="Times New Roman" w:hAnsi="Times New Roman" w:cs="Times New Roman"/>
          <w:sz w:val="24"/>
          <w:szCs w:val="24"/>
        </w:rPr>
        <w:t>: The 10% WHT rate under the India-USA and India-Germany DTAA is advantageous compared to the domestic tax rate of 20%. Ensure proper deduction and remittance of WHT to avoid penalties.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Technical Services</w:t>
      </w:r>
      <w:r w:rsidRPr="009C5151">
        <w:rPr>
          <w:rFonts w:ascii="Times New Roman" w:hAnsi="Times New Roman" w:cs="Times New Roman"/>
          <w:sz w:val="24"/>
          <w:szCs w:val="24"/>
        </w:rPr>
        <w:t>: Payments to Singapore for technical support attract a 10% WHT rate under the India-Singapore DTAA. Verify the tax residency certificate (TRC) and Permanent Account Number (PAN) details of the recipient to apply treaty benefits.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IP Transfer</w:t>
      </w:r>
      <w:r w:rsidRPr="009C5151">
        <w:rPr>
          <w:rFonts w:ascii="Times New Roman" w:hAnsi="Times New Roman" w:cs="Times New Roman"/>
          <w:sz w:val="24"/>
          <w:szCs w:val="24"/>
        </w:rPr>
        <w:t>: Analyze whether the ₹25 crore IP transfer to the UK constitutes royalty or capital gains. If it qualifies as royalty under the India-UK DTAA, deduct WHT at the applicable treaty rate (10%).</w:t>
      </w:r>
    </w:p>
    <w:p w:rsidR="00A056B6" w:rsidRPr="009C5151" w:rsidRDefault="00A056B6" w:rsidP="00743A5F">
      <w:pPr>
        <w:pStyle w:val="NormalWeb"/>
        <w:spacing w:before="0" w:beforeAutospacing="0"/>
      </w:pPr>
      <w:r w:rsidRPr="009C5151">
        <w:t xml:space="preserve">1.2 </w:t>
      </w:r>
      <w:r w:rsidRPr="009C5151">
        <w:rPr>
          <w:rStyle w:val="Strong"/>
        </w:rPr>
        <w:t>Documentation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Collect TRCs, Form 10F, and other supporting documents to substantiate the application of reduced WHT rates.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Maintain payment records and ensure timely remittance to avoid interest and penalties.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5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Strengthening Transfer Pricing Policies</w:t>
      </w:r>
    </w:p>
    <w:p w:rsidR="00A056B6" w:rsidRPr="009C5151" w:rsidRDefault="00A056B6" w:rsidP="00743A5F">
      <w:pPr>
        <w:pStyle w:val="NormalWeb"/>
        <w:spacing w:before="0" w:beforeAutospacing="0"/>
      </w:pPr>
      <w:r w:rsidRPr="009C5151">
        <w:t>Transfer pricing (TP) compliance is crucial for managing inter-company transactions effectively.</w:t>
      </w:r>
    </w:p>
    <w:p w:rsidR="00A056B6" w:rsidRPr="009C5151" w:rsidRDefault="00A056B6" w:rsidP="00743A5F">
      <w:pPr>
        <w:pStyle w:val="NormalWeb"/>
        <w:spacing w:before="0" w:beforeAutospacing="0"/>
      </w:pPr>
      <w:r w:rsidRPr="009C5151">
        <w:lastRenderedPageBreak/>
        <w:t xml:space="preserve">2.1 </w:t>
      </w:r>
      <w:r w:rsidRPr="009C5151">
        <w:rPr>
          <w:rStyle w:val="Strong"/>
        </w:rPr>
        <w:t>Benchmarking Studies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Software Licensing Revenues</w:t>
      </w:r>
      <w:r w:rsidRPr="009C5151">
        <w:rPr>
          <w:rFonts w:ascii="Times New Roman" w:hAnsi="Times New Roman" w:cs="Times New Roman"/>
          <w:sz w:val="24"/>
          <w:szCs w:val="24"/>
        </w:rPr>
        <w:t xml:space="preserve">: Use the </w:t>
      </w:r>
      <w:r w:rsidRPr="009C5151">
        <w:rPr>
          <w:rStyle w:val="Strong"/>
          <w:rFonts w:ascii="Times New Roman" w:hAnsi="Times New Roman" w:cs="Times New Roman"/>
          <w:sz w:val="24"/>
          <w:szCs w:val="24"/>
        </w:rPr>
        <w:t>Comparable Uncontrolled Price (CUP) Method</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TNMM</w:t>
      </w:r>
      <w:r w:rsidRPr="009C5151">
        <w:rPr>
          <w:rFonts w:ascii="Times New Roman" w:hAnsi="Times New Roman" w:cs="Times New Roman"/>
          <w:sz w:val="24"/>
          <w:szCs w:val="24"/>
        </w:rPr>
        <w:t xml:space="preserve"> to benchmark ₹80 crore revenues from USA and Germany.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Inter-Group Loan</w:t>
      </w:r>
      <w:r w:rsidRPr="009C5151">
        <w:rPr>
          <w:rFonts w:ascii="Times New Roman" w:hAnsi="Times New Roman" w:cs="Times New Roman"/>
          <w:sz w:val="24"/>
          <w:szCs w:val="24"/>
        </w:rPr>
        <w:t>: Adjust the loan interest rate of 6% to the market rate of 8% to avoid TP adjustments. Use the CUP method for benchmarking financial transactions.</w:t>
      </w:r>
    </w:p>
    <w:p w:rsidR="00A056B6" w:rsidRPr="009C5151" w:rsidRDefault="00A056B6" w:rsidP="00743A5F">
      <w:pPr>
        <w:pStyle w:val="NormalWeb"/>
        <w:spacing w:before="0" w:beforeAutospacing="0"/>
      </w:pPr>
      <w:r w:rsidRPr="009C5151">
        <w:t xml:space="preserve">2.2 </w:t>
      </w:r>
      <w:r w:rsidRPr="009C5151">
        <w:rPr>
          <w:rStyle w:val="Strong"/>
        </w:rPr>
        <w:t>Documentation and Reporting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Prepare and file Form 3CEB with details of all international and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agreements for inter-company transactions clearly specify pricing mechanisms and are supported by benchmarking studies.</w:t>
      </w:r>
    </w:p>
    <w:p w:rsidR="00A056B6" w:rsidRPr="009C5151" w:rsidRDefault="00A056B6" w:rsidP="00743A5F">
      <w:pPr>
        <w:pStyle w:val="NormalWeb"/>
        <w:spacing w:before="0" w:beforeAutospacing="0"/>
      </w:pPr>
      <w:r w:rsidRPr="009C5151">
        <w:t xml:space="preserve">2.3 </w:t>
      </w:r>
      <w:r w:rsidRPr="009C5151">
        <w:rPr>
          <w:rStyle w:val="Strong"/>
        </w:rPr>
        <w:t>Periodic Review</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Conduct annual reviews of inter-company pricing to address any changes in market conditions or regulations.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5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Focus on Equalization Levy (EL) and Digital Tax Compliance</w:t>
      </w:r>
    </w:p>
    <w:p w:rsidR="00A056B6" w:rsidRPr="009C5151" w:rsidRDefault="00A056B6" w:rsidP="00743A5F">
      <w:pPr>
        <w:pStyle w:val="NormalWeb"/>
        <w:spacing w:before="0" w:beforeAutospacing="0"/>
      </w:pPr>
      <w:r w:rsidRPr="009C5151">
        <w:t>With the rise in digital transactions, compliance with the equalization levy (EL) is critical.</w:t>
      </w:r>
    </w:p>
    <w:p w:rsidR="00A056B6" w:rsidRPr="009C5151" w:rsidRDefault="00A056B6" w:rsidP="00743A5F">
      <w:pPr>
        <w:pStyle w:val="NormalWeb"/>
        <w:spacing w:before="0" w:beforeAutospacing="0"/>
      </w:pPr>
      <w:r w:rsidRPr="009C5151">
        <w:t xml:space="preserve">3.1 </w:t>
      </w:r>
      <w:r w:rsidRPr="009C5151">
        <w:rPr>
          <w:rStyle w:val="Strong"/>
        </w:rPr>
        <w:t>Applicability of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The ₹15 crore payment for digital advertising to a USA entity falls under the EL regime at 6%. This results in a liability of ₹90 lakh.</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Verify contracts and payment terms to ensure that services provided do not fall under any exemptions.</w:t>
      </w:r>
    </w:p>
    <w:p w:rsidR="00A056B6" w:rsidRPr="009C5151" w:rsidRDefault="00A056B6" w:rsidP="00743A5F">
      <w:pPr>
        <w:pStyle w:val="NormalWeb"/>
        <w:spacing w:before="0" w:beforeAutospacing="0"/>
      </w:pPr>
      <w:r w:rsidRPr="009C5151">
        <w:t xml:space="preserve">3.2 </w:t>
      </w:r>
      <w:r w:rsidRPr="009C5151">
        <w:rPr>
          <w:rStyle w:val="Strong"/>
        </w:rPr>
        <w:t>Timely Filing and Payment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Deposit EL within the statutory due dates to avoid penalties and interest.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annual EL returns detailing all digital transactions subject to the levy.</w:t>
      </w:r>
    </w:p>
    <w:p w:rsidR="00A056B6" w:rsidRPr="009C5151" w:rsidRDefault="00A056B6" w:rsidP="00743A5F">
      <w:pPr>
        <w:pStyle w:val="NormalWeb"/>
        <w:spacing w:before="0" w:beforeAutospacing="0"/>
      </w:pPr>
      <w:r w:rsidRPr="009C5151">
        <w:t xml:space="preserve">3.3 </w:t>
      </w:r>
      <w:r w:rsidRPr="009C5151">
        <w:rPr>
          <w:rStyle w:val="Strong"/>
        </w:rPr>
        <w:t>Classification Issues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Assess whether all payments to non-residents for digital services qualify under the EL. Misclassification may lead to incorrect compliance or additional liabilities.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5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Resolving IP Classification Issues</w:t>
      </w:r>
    </w:p>
    <w:p w:rsidR="00A056B6" w:rsidRPr="009C5151" w:rsidRDefault="00A056B6" w:rsidP="00743A5F">
      <w:pPr>
        <w:pStyle w:val="NormalWeb"/>
        <w:spacing w:before="0" w:beforeAutospacing="0"/>
      </w:pPr>
      <w:r w:rsidRPr="009C5151">
        <w:t>The IP transaction with the UK requires proper classification to determine the tax implications.</w:t>
      </w:r>
    </w:p>
    <w:p w:rsidR="00A056B6" w:rsidRPr="009C5151" w:rsidRDefault="00A056B6" w:rsidP="00743A5F">
      <w:pPr>
        <w:pStyle w:val="NormalWeb"/>
        <w:spacing w:before="0" w:beforeAutospacing="0"/>
      </w:pPr>
      <w:r w:rsidRPr="009C5151">
        <w:lastRenderedPageBreak/>
        <w:t xml:space="preserve">4.1 </w:t>
      </w:r>
      <w:r w:rsidRPr="009C5151">
        <w:rPr>
          <w:rStyle w:val="Strong"/>
        </w:rPr>
        <w:t>Capital Gains vs. Royalties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If the IP transfer involves recurring payments or rights to use the asset, it may qualify as royalty under the India-UK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If it is a one-time transfer of ownership, it may fall under capital gains. Verify the nature of the transaction to determine its tax treatment.</w:t>
      </w:r>
    </w:p>
    <w:p w:rsidR="00A056B6" w:rsidRPr="009C5151" w:rsidRDefault="00A056B6" w:rsidP="00743A5F">
      <w:pPr>
        <w:pStyle w:val="NormalWeb"/>
        <w:spacing w:before="0" w:beforeAutospacing="0"/>
      </w:pPr>
      <w:r w:rsidRPr="009C5151">
        <w:t xml:space="preserve">4.2 </w:t>
      </w:r>
      <w:r w:rsidRPr="009C5151">
        <w:rPr>
          <w:rStyle w:val="Strong"/>
        </w:rPr>
        <w:t>WHT Implications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For royalty income, deduct WHT at 10% under the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For capital gains, check if exemptions apply under domestic or treaty provisions. If taxable, remit the applicable WHT.</w:t>
      </w:r>
    </w:p>
    <w:p w:rsidR="00A056B6" w:rsidRPr="009C5151" w:rsidRDefault="00A056B6" w:rsidP="00743A5F">
      <w:pPr>
        <w:pStyle w:val="NormalWeb"/>
        <w:spacing w:before="0" w:beforeAutospacing="0"/>
      </w:pPr>
      <w:r w:rsidRPr="009C5151">
        <w:t xml:space="preserve">4.3 </w:t>
      </w:r>
      <w:r w:rsidRPr="009C5151">
        <w:rPr>
          <w:rStyle w:val="Strong"/>
        </w:rPr>
        <w:t>Documentation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Maintain agreements, valuation reports, and payment records to substantiate the nature and pricing of the IP transfer.</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5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Prioritizing BEPS Action 13 Alignment</w:t>
      </w:r>
    </w:p>
    <w:p w:rsidR="00A056B6" w:rsidRPr="009C5151" w:rsidRDefault="00A056B6" w:rsidP="00743A5F">
      <w:pPr>
        <w:pStyle w:val="NormalWeb"/>
        <w:spacing w:before="0" w:beforeAutospacing="0"/>
      </w:pPr>
      <w:r w:rsidRPr="009C5151">
        <w:t>Adherence to BEPS Action 13 is essential for transfer pricing transparency and international tax compliance.</w:t>
      </w:r>
    </w:p>
    <w:p w:rsidR="00A056B6" w:rsidRPr="009C5151" w:rsidRDefault="00A056B6" w:rsidP="00743A5F">
      <w:pPr>
        <w:pStyle w:val="NormalWeb"/>
        <w:spacing w:before="0" w:beforeAutospacing="0"/>
      </w:pPr>
      <w:r w:rsidRPr="009C5151">
        <w:t xml:space="preserve">5.1 </w:t>
      </w:r>
      <w:r w:rsidRPr="009C5151">
        <w:rPr>
          <w:rStyle w:val="Strong"/>
        </w:rPr>
        <w:t>CbC and Master File Reporting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File a </w:t>
      </w:r>
      <w:r w:rsidRPr="009C5151">
        <w:rPr>
          <w:rStyle w:val="Strong"/>
          <w:rFonts w:ascii="Times New Roman" w:hAnsi="Times New Roman" w:cs="Times New Roman"/>
          <w:sz w:val="24"/>
          <w:szCs w:val="24"/>
        </w:rPr>
        <w:t>master file</w:t>
      </w:r>
      <w:r w:rsidRPr="009C5151">
        <w:rPr>
          <w:rFonts w:ascii="Times New Roman" w:hAnsi="Times New Roman" w:cs="Times New Roman"/>
          <w:sz w:val="24"/>
          <w:szCs w:val="24"/>
        </w:rPr>
        <w:t xml:space="preserve"> containing information on the group’s global operations, including organizational structure, financial data, and tax policies.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Submit the </w:t>
      </w:r>
      <w:r w:rsidRPr="009C5151">
        <w:rPr>
          <w:rStyle w:val="Strong"/>
          <w:rFonts w:ascii="Times New Roman" w:hAnsi="Times New Roman" w:cs="Times New Roman"/>
          <w:sz w:val="24"/>
          <w:szCs w:val="24"/>
        </w:rPr>
        <w:t>local file</w:t>
      </w:r>
      <w:r w:rsidRPr="009C5151">
        <w:rPr>
          <w:rFonts w:ascii="Times New Roman" w:hAnsi="Times New Roman" w:cs="Times New Roman"/>
          <w:sz w:val="24"/>
          <w:szCs w:val="24"/>
        </w:rPr>
        <w:t>, focusing on Indian operations and inter-company transactions.</w:t>
      </w:r>
    </w:p>
    <w:p w:rsidR="00A056B6" w:rsidRPr="009C5151" w:rsidRDefault="00A056B6" w:rsidP="00743A5F">
      <w:pPr>
        <w:pStyle w:val="NormalWeb"/>
        <w:spacing w:before="0" w:beforeAutospacing="0"/>
      </w:pPr>
      <w:r w:rsidRPr="009C5151">
        <w:t xml:space="preserve">5.2 </w:t>
      </w:r>
      <w:r w:rsidRPr="009C5151">
        <w:rPr>
          <w:rStyle w:val="Strong"/>
        </w:rPr>
        <w:t>Alignment with Economic Substance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Demonstrate that significant functions, assets, and risks align with value creation within the group.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Avoid artificial profit shifting by ensuring transactions have a valid economic basis.</w:t>
      </w:r>
    </w:p>
    <w:p w:rsidR="00A056B6" w:rsidRPr="009C5151" w:rsidRDefault="00A056B6" w:rsidP="00743A5F">
      <w:pPr>
        <w:pStyle w:val="NormalWeb"/>
        <w:spacing w:before="0" w:beforeAutospacing="0"/>
      </w:pPr>
      <w:r w:rsidRPr="009C5151">
        <w:t xml:space="preserve">5.3 </w:t>
      </w:r>
      <w:r w:rsidRPr="009C5151">
        <w:rPr>
          <w:rStyle w:val="Strong"/>
        </w:rPr>
        <w:t>Timelines and Accuracy</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CbC reports within statutory deadlines to avoid penalties.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data consistency across jurisdictions to prevent discrepancies during audits.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5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Conducting Internal Audits for Risk Mitigation</w:t>
      </w:r>
    </w:p>
    <w:p w:rsidR="00A056B6" w:rsidRPr="009C5151" w:rsidRDefault="00A056B6" w:rsidP="00743A5F">
      <w:pPr>
        <w:pStyle w:val="NormalWeb"/>
        <w:spacing w:before="0" w:beforeAutospacing="0"/>
      </w:pPr>
      <w:r w:rsidRPr="009C5151">
        <w:t>Regular audits help identify and rectify compliance gaps proactively.</w:t>
      </w:r>
    </w:p>
    <w:p w:rsidR="00A056B6" w:rsidRPr="009C5151" w:rsidRDefault="00A056B6" w:rsidP="00743A5F">
      <w:pPr>
        <w:pStyle w:val="NormalWeb"/>
        <w:spacing w:before="0" w:beforeAutospacing="0"/>
      </w:pPr>
      <w:r w:rsidRPr="009C5151">
        <w:lastRenderedPageBreak/>
        <w:t xml:space="preserve">6.1 </w:t>
      </w:r>
      <w:r w:rsidRPr="009C5151">
        <w:rPr>
          <w:rStyle w:val="Strong"/>
        </w:rPr>
        <w:t>Scope of Audits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Verify compliance with WHT, EL, TP, and CbC reporting obligations.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Assess whether payments and receipts align with documented agreements and benchmarking studies.</w:t>
      </w:r>
    </w:p>
    <w:p w:rsidR="00A056B6" w:rsidRPr="009C5151" w:rsidRDefault="00A056B6" w:rsidP="00743A5F">
      <w:pPr>
        <w:pStyle w:val="NormalWeb"/>
        <w:spacing w:before="0" w:beforeAutospacing="0"/>
      </w:pPr>
      <w:r w:rsidRPr="009C5151">
        <w:t xml:space="preserve">6.2 </w:t>
      </w:r>
      <w:r w:rsidRPr="009C5151">
        <w:rPr>
          <w:rStyle w:val="Strong"/>
        </w:rPr>
        <w:t>Identification of Risks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Highlight transactions that may trigger tax authority scrutiny, such as low-interest loans or IP transfers.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Address ambiguities in classifications, such as capital gains versus royalty.</w:t>
      </w:r>
    </w:p>
    <w:p w:rsidR="00A056B6" w:rsidRPr="009C5151" w:rsidRDefault="00A056B6" w:rsidP="00743A5F">
      <w:pPr>
        <w:pStyle w:val="NormalWeb"/>
        <w:spacing w:before="0" w:beforeAutospacing="0"/>
      </w:pPr>
      <w:r w:rsidRPr="009C5151">
        <w:t xml:space="preserve">6.3 </w:t>
      </w:r>
      <w:r w:rsidRPr="009C5151">
        <w:rPr>
          <w:rStyle w:val="Strong"/>
        </w:rPr>
        <w:t>Compliance Tracker</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Implement an automated tracker for monitoring tax filings, payments, and documentation deadlines to minimize lapses.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5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1" w:name="_Toc187623908"/>
      <w:bookmarkStart w:id="82" w:name="_Toc187630628"/>
      <w:bookmarkStart w:id="83" w:name="_Toc187660807"/>
      <w:bookmarkStart w:id="84" w:name="_Toc187661886"/>
      <w:r w:rsidRPr="009C5151">
        <w:rPr>
          <w:rStyle w:val="Strong"/>
          <w:b/>
          <w:bCs/>
          <w:sz w:val="24"/>
          <w:szCs w:val="24"/>
        </w:rPr>
        <w:t>Additional Recommendations</w:t>
      </w:r>
      <w:bookmarkEnd w:id="81"/>
      <w:bookmarkEnd w:id="82"/>
      <w:bookmarkEnd w:id="83"/>
      <w:bookmarkEnd w:id="84"/>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Engage Experts</w:t>
      </w:r>
      <w:r w:rsidRPr="009C5151">
        <w:rPr>
          <w:rFonts w:ascii="Times New Roman" w:hAnsi="Times New Roman" w:cs="Times New Roman"/>
          <w:sz w:val="24"/>
          <w:szCs w:val="24"/>
        </w:rPr>
        <w:t>: Work with transfer pricing consultants and legal advisors to ensure all transactions are structured and documented in compliance with domestic and international regulations.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Training for Internal Teams</w:t>
      </w:r>
      <w:r w:rsidRPr="009C5151">
        <w:rPr>
          <w:rFonts w:ascii="Times New Roman" w:hAnsi="Times New Roman" w:cs="Times New Roman"/>
          <w:sz w:val="24"/>
          <w:szCs w:val="24"/>
        </w:rPr>
        <w:t>: Conduct workshops to train the finance and tax teams on emerging compliance requirements, such as changes in BEPS Action Plans or EL rules.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Adopt Technology</w:t>
      </w:r>
      <w:r w:rsidRPr="009C5151">
        <w:rPr>
          <w:rFonts w:ascii="Times New Roman" w:hAnsi="Times New Roman" w:cs="Times New Roman"/>
          <w:sz w:val="24"/>
          <w:szCs w:val="24"/>
        </w:rPr>
        <w:t>: Use tax compliance software to automate documentation, benchmarking, and reporting processes for greater accuracy and efficiency.</w:t>
      </w:r>
    </w:p>
    <w:p w:rsidR="00A056B6" w:rsidRPr="009C5151" w:rsidRDefault="00A056B6" w:rsidP="00743A5F">
      <w:pPr>
        <w:pStyle w:val="NormalWeb"/>
        <w:spacing w:before="0" w:beforeAutospacing="0"/>
      </w:pPr>
      <w:r w:rsidRPr="009C5151">
        <w:t xml:space="preserve">By addressing these areas in detail, </w:t>
      </w:r>
      <w:r w:rsidRPr="009C5151">
        <w:rPr>
          <w:rStyle w:val="Strong"/>
        </w:rPr>
        <w:t>FinGlobal Pvt. Ltd.</w:t>
      </w:r>
      <w:r w:rsidRPr="009C5151">
        <w:t xml:space="preserve"> can achieve comprehensive tax compliance, mitigate risks of audits and disputes, and optimize its global operations effectively.</w:t>
      </w:r>
    </w:p>
    <w:p w:rsidR="00A056B6" w:rsidRPr="009C5151" w:rsidRDefault="00A056B6" w:rsidP="00743A5F">
      <w:pPr>
        <w:pStyle w:val="NormalWeb"/>
        <w:spacing w:before="0" w:beforeAutospacing="0"/>
      </w:pPr>
      <w:r w:rsidRPr="009C5151">
        <w:t>Would you like detailed templates or processes for any of these recommendations?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3rd example of different set of issues and problem and suggested solutions by a CA to a Company including a detailed discussion on the various topics covered under suggestions and Conclusion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5BCDA60E" wp14:editId="7B6860EB">
            <wp:extent cx="763905" cy="763905"/>
            <wp:effectExtent l="0" t="0" r="0" b="0"/>
            <wp:docPr id="324" name="Picture 32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0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85" w:name="_Toc187623909"/>
      <w:bookmarkStart w:id="86" w:name="_Toc187630629"/>
      <w:bookmarkStart w:id="87" w:name="_Toc187660808"/>
      <w:bookmarkStart w:id="88" w:name="_Toc187661887"/>
      <w:r w:rsidRPr="009C5151">
        <w:rPr>
          <w:rStyle w:val="Strong"/>
          <w:b/>
          <w:bCs/>
          <w:sz w:val="24"/>
          <w:szCs w:val="24"/>
        </w:rPr>
        <w:t>Case Study: Tax Compliance Challenges for EcomTech Solutions Ltd.</w:t>
      </w:r>
      <w:bookmarkEnd w:id="85"/>
      <w:bookmarkEnd w:id="86"/>
      <w:bookmarkEnd w:id="87"/>
      <w:bookmarkEnd w:id="88"/>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EcomTech Solutions Ltd., an Indian company specializing in e-commerce and cloud-based solutions, operates across </w:t>
      </w:r>
      <w:r w:rsidRPr="009C5151">
        <w:rPr>
          <w:rStyle w:val="Strong"/>
        </w:rPr>
        <w:t>India, USA, Germany, Singapore, and Australia</w:t>
      </w:r>
      <w:r w:rsidRPr="009C5151">
        <w:t>. The company engages in cross-border service delivery, technology licensing, and digital advertising. With a growing international presence, the company faces complex tax issues, including withholding tax (WHT), equalization levy (EL), transfer pricing, and treaty compliance.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5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9" w:name="_Toc187623910"/>
      <w:bookmarkStart w:id="90" w:name="_Toc187630630"/>
      <w:bookmarkStart w:id="91" w:name="_Toc187660809"/>
      <w:bookmarkStart w:id="92" w:name="_Toc187661888"/>
      <w:r w:rsidRPr="009C5151">
        <w:rPr>
          <w:rStyle w:val="Strong"/>
          <w:b/>
          <w:bCs/>
          <w:sz w:val="24"/>
          <w:szCs w:val="24"/>
        </w:rPr>
        <w:t>Transactions</w:t>
      </w:r>
      <w:bookmarkEnd w:id="89"/>
      <w:bookmarkEnd w:id="90"/>
      <w:bookmarkEnd w:id="91"/>
      <w:bookmarkEnd w:id="92"/>
    </w:p>
    <w:p w:rsidR="00A056B6" w:rsidRPr="009C5151" w:rsidRDefault="00A056B6" w:rsidP="00743A5F">
      <w:pPr>
        <w:pStyle w:val="Heading4"/>
        <w:spacing w:before="0" w:beforeAutospacing="0"/>
      </w:pPr>
      <w:r w:rsidRPr="009C5151">
        <w:rPr>
          <w:rStyle w:val="Strong"/>
          <w:b/>
          <w:bCs/>
        </w:rPr>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Cloud Services Revenue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Earned ₹100 crore from customers in the USA and Germany for hosting cloud platforms.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Risk of mischaracterization as royalties instead of business income.</w:t>
      </w:r>
    </w:p>
    <w:p w:rsidR="00A056B6" w:rsidRPr="009C5151" w:rsidRDefault="00A056B6" w:rsidP="00743A5F">
      <w:pPr>
        <w:pStyle w:val="NormalWeb"/>
        <w:tabs>
          <w:tab w:val="num" w:pos="720"/>
        </w:tabs>
        <w:spacing w:before="0" w:beforeAutospacing="0"/>
        <w:ind w:left="720" w:hanging="360"/>
      </w:pPr>
      <w:r w:rsidRPr="009C5151">
        <w:rPr>
          <w:rStyle w:val="Strong"/>
        </w:rPr>
        <w:t>Payment for R&amp;D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₹20 crore to an AE in Singapore for R&amp;D services supporting new product launches.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Withholding tax under India-Singapore DTAA is 10%.</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₹10 crore to a US-based advertising platform for targeted digital marketing.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Equalization levy (EL) at 6% applies.</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₹15 crore to a Germany AE for patented technology usage.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rate under the India-Germany DTAA: 10%.</w:t>
      </w:r>
    </w:p>
    <w:p w:rsidR="00A056B6" w:rsidRPr="009C5151" w:rsidRDefault="00A056B6" w:rsidP="00743A5F">
      <w:pPr>
        <w:pStyle w:val="Heading4"/>
        <w:spacing w:before="0" w:beforeAutospacing="0"/>
      </w:pPr>
      <w:r w:rsidRPr="009C5151">
        <w:rPr>
          <w:rStyle w:val="Strong"/>
          <w:b/>
          <w:bCs/>
        </w:rPr>
        <w:t>Domestic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Management Fees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Paid ₹5 crore to an Indian AE for management consulting.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Applicability of specified domestic transaction rules.</w:t>
      </w:r>
    </w:p>
    <w:p w:rsidR="00A056B6" w:rsidRPr="009C5151" w:rsidRDefault="00A056B6" w:rsidP="00743A5F">
      <w:pPr>
        <w:pStyle w:val="NormalWeb"/>
        <w:tabs>
          <w:tab w:val="num" w:pos="720"/>
        </w:tabs>
        <w:spacing w:before="0" w:beforeAutospacing="0"/>
        <w:ind w:left="720" w:hanging="360"/>
      </w:pPr>
      <w:r w:rsidRPr="009C5151">
        <w:rPr>
          <w:rStyle w:val="Strong"/>
        </w:rPr>
        <w:t>Sale of Fixed Assets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Sold assets worth ₹8 crore to a related domestic entity at book value. Risk of underpricing.</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5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3" w:name="_Toc187623911"/>
      <w:bookmarkStart w:id="94" w:name="_Toc187630631"/>
      <w:bookmarkStart w:id="95" w:name="_Toc187660810"/>
      <w:bookmarkStart w:id="96" w:name="_Toc187661889"/>
      <w:r w:rsidRPr="009C5151">
        <w:rPr>
          <w:rStyle w:val="Strong"/>
          <w:b/>
          <w:bCs/>
          <w:sz w:val="24"/>
          <w:szCs w:val="24"/>
        </w:rPr>
        <w:t>Key Issues</w:t>
      </w:r>
      <w:bookmarkEnd w:id="93"/>
      <w:bookmarkEnd w:id="94"/>
      <w:bookmarkEnd w:id="95"/>
      <w:bookmarkEnd w:id="96"/>
    </w:p>
    <w:p w:rsidR="00A056B6" w:rsidRPr="009C5151" w:rsidRDefault="00A056B6" w:rsidP="00743A5F">
      <w:pPr>
        <w:pStyle w:val="Heading4"/>
        <w:spacing w:before="0" w:beforeAutospacing="0"/>
      </w:pPr>
      <w:r w:rsidRPr="009C5151">
        <w:t xml:space="preserve">1. </w:t>
      </w:r>
      <w:r w:rsidRPr="009C5151">
        <w:rPr>
          <w:rStyle w:val="Strong"/>
          <w:b/>
          <w:bCs/>
        </w:rPr>
        <w:t>Characterization of Cloud Services Revenue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Revenue from the USA and Germany might be misclassified as royalties under DTAA provisions, leading to higher WHT obligations.</w:t>
      </w:r>
    </w:p>
    <w:p w:rsidR="00A056B6" w:rsidRPr="009C5151" w:rsidRDefault="00A056B6" w:rsidP="00743A5F">
      <w:pPr>
        <w:pStyle w:val="Heading4"/>
        <w:spacing w:before="0" w:beforeAutospacing="0"/>
      </w:pPr>
      <w:r w:rsidRPr="009C5151">
        <w:t xml:space="preserve">2. </w:t>
      </w:r>
      <w:r w:rsidRPr="009C5151">
        <w:rPr>
          <w:rStyle w:val="Strong"/>
          <w:b/>
          <w:bCs/>
        </w:rPr>
        <w:t>Withholding Tax (WHT) Non-Compliance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Failure to deduct the correct WHT on R&amp;D and royalty payments.</w:t>
      </w:r>
    </w:p>
    <w:p w:rsidR="00A056B6" w:rsidRPr="009C5151" w:rsidRDefault="00A056B6" w:rsidP="00743A5F">
      <w:pPr>
        <w:pStyle w:val="Heading4"/>
        <w:spacing w:before="0" w:beforeAutospacing="0"/>
      </w:pPr>
      <w:r w:rsidRPr="009C5151">
        <w:t xml:space="preserve">3. </w:t>
      </w:r>
      <w:r w:rsidRPr="009C5151">
        <w:rPr>
          <w:rStyle w:val="Strong"/>
          <w:b/>
          <w:bCs/>
        </w:rPr>
        <w:t>Equalization Levy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applicability on digital advertising payments to the USA.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Incorrect categorization of services leading to potential EL underreporting.</w:t>
      </w:r>
    </w:p>
    <w:p w:rsidR="00A056B6" w:rsidRPr="009C5151" w:rsidRDefault="00A056B6" w:rsidP="00743A5F">
      <w:pPr>
        <w:pStyle w:val="Heading4"/>
        <w:spacing w:before="0" w:beforeAutospacing="0"/>
      </w:pPr>
      <w:r w:rsidRPr="009C5151">
        <w:t xml:space="preserve">4. </w:t>
      </w:r>
      <w:r w:rsidRPr="009C5151">
        <w:rPr>
          <w:rStyle w:val="Strong"/>
          <w:b/>
          <w:bCs/>
        </w:rPr>
        <w:t>Transfer Pricing (TP)</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Inadequate benchmarking for ₹20 crore R&amp;D services payment and ₹8 crore asset sale to a domestic AE.</w:t>
      </w:r>
    </w:p>
    <w:p w:rsidR="00A056B6" w:rsidRPr="009C5151" w:rsidRDefault="00A056B6" w:rsidP="00743A5F">
      <w:pPr>
        <w:pStyle w:val="Heading4"/>
        <w:spacing w:before="0" w:beforeAutospacing="0"/>
      </w:pPr>
      <w:r w:rsidRPr="009C5151">
        <w:t xml:space="preserve">5. </w:t>
      </w:r>
      <w:r w:rsidRPr="009C5151">
        <w:rPr>
          <w:rStyle w:val="Strong"/>
          <w:b/>
          <w:bCs/>
        </w:rPr>
        <w:t>Double Taxation Avoidance Agreements (DTAAs)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Misinterpretation of treaty benefits for royalties and cloud services income under India-USA and India-Germany DTAAs.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5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7" w:name="_Toc187623912"/>
      <w:bookmarkStart w:id="98" w:name="_Toc187630632"/>
      <w:bookmarkStart w:id="99" w:name="_Toc187660811"/>
      <w:bookmarkStart w:id="100" w:name="_Toc187661890"/>
      <w:r w:rsidRPr="009C5151">
        <w:rPr>
          <w:rStyle w:val="Strong"/>
          <w:b/>
          <w:bCs/>
          <w:sz w:val="24"/>
          <w:szCs w:val="24"/>
        </w:rPr>
        <w:t>Proposed Solutions</w:t>
      </w:r>
      <w:bookmarkEnd w:id="97"/>
      <w:bookmarkEnd w:id="98"/>
      <w:bookmarkEnd w:id="99"/>
      <w:bookmarkEnd w:id="100"/>
    </w:p>
    <w:p w:rsidR="00A056B6" w:rsidRPr="009C5151" w:rsidRDefault="00A056B6" w:rsidP="00743A5F">
      <w:pPr>
        <w:pStyle w:val="Heading4"/>
        <w:spacing w:before="0" w:beforeAutospacing="0"/>
      </w:pPr>
      <w:r w:rsidRPr="009C5151">
        <w:rPr>
          <w:rStyle w:val="Strong"/>
          <w:b/>
          <w:bCs/>
        </w:rPr>
        <w:t>1. Characterization of Cloud Services Revenue</w:t>
      </w:r>
    </w:p>
    <w:p w:rsidR="00A056B6" w:rsidRPr="009C5151" w:rsidRDefault="00A056B6" w:rsidP="00743A5F">
      <w:pPr>
        <w:pStyle w:val="NormalWeb"/>
        <w:tabs>
          <w:tab w:val="num" w:pos="720"/>
        </w:tabs>
        <w:spacing w:before="0" w:beforeAutospacing="0"/>
        <w:ind w:left="720" w:hanging="360"/>
      </w:pPr>
      <w:r w:rsidRPr="009C5151">
        <w:t>Revenue from the USA and Germany should be evaluated for proper classification: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Business Income</w:t>
      </w:r>
      <w:r w:rsidRPr="009C5151">
        <w:rPr>
          <w:rFonts w:ascii="Times New Roman" w:hAnsi="Times New Roman" w:cs="Times New Roman"/>
          <w:sz w:val="24"/>
          <w:szCs w:val="24"/>
        </w:rPr>
        <w:t>: If no permanent establishment (PE) exists in these countries, claim exemption from WHT under the relevant DTAAs.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Royalty</w:t>
      </w:r>
      <w:r w:rsidRPr="009C5151">
        <w:rPr>
          <w:rFonts w:ascii="Times New Roman" w:hAnsi="Times New Roman" w:cs="Times New Roman"/>
          <w:sz w:val="24"/>
          <w:szCs w:val="24"/>
        </w:rPr>
        <w:t>: If cloud services involve licensing of IP or software, WHT at 10% may apply.</w:t>
      </w:r>
    </w:p>
    <w:p w:rsidR="00A056B6" w:rsidRPr="009C5151" w:rsidRDefault="00A056B6" w:rsidP="00743A5F">
      <w:pPr>
        <w:pStyle w:val="NormalWeb"/>
        <w:tabs>
          <w:tab w:val="num" w:pos="720"/>
        </w:tabs>
        <w:spacing w:before="0" w:beforeAutospacing="0"/>
        <w:ind w:left="720" w:hanging="360"/>
      </w:pPr>
      <w:r w:rsidRPr="009C5151">
        <w:lastRenderedPageBreak/>
        <w:t>Maintain documentation such as contracts, invoices, and technical reports to support classification.</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6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Payments</w:t>
      </w:r>
      <w:r w:rsidRPr="009C5151">
        <w:rPr>
          <w:rFonts w:ascii="Times New Roman" w:hAnsi="Times New Roman" w:cs="Times New Roman"/>
          <w:sz w:val="24"/>
          <w:szCs w:val="24"/>
        </w:rPr>
        <w:t>: Deduct 10% WHT under India-Singapore DTAA on ₹20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Royalties</w:t>
      </w:r>
      <w:r w:rsidRPr="009C5151">
        <w:rPr>
          <w:rFonts w:ascii="Times New Roman" w:hAnsi="Times New Roman" w:cs="Times New Roman"/>
          <w:sz w:val="24"/>
          <w:szCs w:val="24"/>
        </w:rPr>
        <w:t>: Apply 10% WHT under India-Germany DTAA for ₹15 crore payment.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 Measures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Obtain TRCs and Form 10F from recipients.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quarterly TDS returns and issue Form 16A certificates.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6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Digital Advertising</w:t>
      </w:r>
      <w:r w:rsidRPr="009C5151">
        <w:rPr>
          <w:rFonts w:ascii="Times New Roman" w:hAnsi="Times New Roman" w:cs="Times New Roman"/>
          <w:sz w:val="24"/>
          <w:szCs w:val="24"/>
        </w:rPr>
        <w:t>: Apply a 6% EL on ₹10 crore paid to the US-based platform, resulting in ₹60 lakh levy.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Regular Monitoring</w:t>
      </w:r>
      <w:r w:rsidRPr="009C5151">
        <w:rPr>
          <w:rFonts w:ascii="Times New Roman" w:hAnsi="Times New Roman" w:cs="Times New Roman"/>
          <w:sz w:val="24"/>
          <w:szCs w:val="24"/>
        </w:rPr>
        <w:t>: Ensure classification of payments to digital service providers is accurate. Maintain EL compliance trackers for timely filings.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6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R&amp;D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the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benchmark ₹20 crore paid to Singapore AE for R&amp;D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Justify markup rates using comparable third-party data.</w:t>
      </w:r>
    </w:p>
    <w:p w:rsidR="00A056B6" w:rsidRPr="009C5151" w:rsidRDefault="00A056B6" w:rsidP="00743A5F">
      <w:pPr>
        <w:pStyle w:val="NormalWeb"/>
        <w:tabs>
          <w:tab w:val="num" w:pos="720"/>
        </w:tabs>
        <w:spacing w:before="0" w:beforeAutospacing="0"/>
        <w:ind w:left="720" w:hanging="360"/>
      </w:pPr>
      <w:r w:rsidRPr="009C5151">
        <w:rPr>
          <w:rStyle w:val="Strong"/>
        </w:rPr>
        <w:t>Asset Sale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the ₹8 crore sale price to ensure it aligns with the market value.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Document valuation reports and agreements for specified 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Prepare and file </w:t>
      </w:r>
      <w:r w:rsidRPr="009C5151">
        <w:rPr>
          <w:rStyle w:val="Strong"/>
          <w:rFonts w:ascii="Times New Roman" w:hAnsi="Times New Roman" w:cs="Times New Roman"/>
          <w:sz w:val="24"/>
          <w:szCs w:val="24"/>
        </w:rPr>
        <w:t>Form 3CEB</w:t>
      </w:r>
      <w:r w:rsidRPr="009C5151">
        <w:rPr>
          <w:rFonts w:ascii="Times New Roman" w:hAnsi="Times New Roman" w:cs="Times New Roman"/>
          <w:sz w:val="24"/>
          <w:szCs w:val="24"/>
        </w:rPr>
        <w:t xml:space="preserve"> with all TP-related disclosures.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6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DTAA Compliance and Treaty Benefits</w:t>
      </w:r>
    </w:p>
    <w:p w:rsidR="00A056B6" w:rsidRPr="009C5151" w:rsidRDefault="00A056B6" w:rsidP="00743A5F">
      <w:pPr>
        <w:pStyle w:val="NormalWeb"/>
        <w:tabs>
          <w:tab w:val="num" w:pos="720"/>
        </w:tabs>
        <w:spacing w:before="0" w:beforeAutospacing="0"/>
        <w:ind w:left="720" w:hanging="360"/>
      </w:pPr>
      <w:r w:rsidRPr="009C5151">
        <w:rPr>
          <w:rStyle w:val="Strong"/>
        </w:rPr>
        <w:t>Royalties and Cloud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Verify treaty provisions to determine whether income qualifies as royalty or business income.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Avoid misclassification by providing technical descriptions and service agreements to support claims.</w:t>
      </w:r>
    </w:p>
    <w:p w:rsidR="00A056B6" w:rsidRPr="009C5151" w:rsidRDefault="00A056B6" w:rsidP="00743A5F">
      <w:pPr>
        <w:pStyle w:val="NormalWeb"/>
        <w:tabs>
          <w:tab w:val="num" w:pos="720"/>
        </w:tabs>
        <w:spacing w:before="0" w:beforeAutospacing="0"/>
        <w:ind w:left="720" w:hanging="360"/>
      </w:pPr>
      <w:r w:rsidRPr="009C5151">
        <w:rPr>
          <w:rStyle w:val="Strong"/>
        </w:rPr>
        <w:t>Double Taxation Relief</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Claim credit for taxes paid overseas on ₹100 crore cloud service revenue under Indian tax laws.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6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1" w:name="_Toc187623913"/>
      <w:bookmarkStart w:id="102" w:name="_Toc187630633"/>
      <w:bookmarkStart w:id="103" w:name="_Toc187660812"/>
      <w:bookmarkStart w:id="104" w:name="_Toc187661891"/>
      <w:r w:rsidRPr="009C5151">
        <w:rPr>
          <w:rStyle w:val="Strong"/>
          <w:b/>
          <w:bCs/>
          <w:sz w:val="24"/>
          <w:szCs w:val="24"/>
        </w:rPr>
        <w:t>Detailed Discussion of Proposed Solutions</w:t>
      </w:r>
      <w:bookmarkEnd w:id="101"/>
      <w:bookmarkEnd w:id="102"/>
      <w:bookmarkEnd w:id="103"/>
      <w:bookmarkEnd w:id="104"/>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6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Characterization of Cloud Services Revenue</w:t>
      </w:r>
    </w:p>
    <w:p w:rsidR="00A056B6" w:rsidRPr="009C5151" w:rsidRDefault="00A056B6" w:rsidP="00743A5F">
      <w:pPr>
        <w:pStyle w:val="NormalWeb"/>
        <w:spacing w:before="0" w:beforeAutospacing="0"/>
      </w:pPr>
      <w:r w:rsidRPr="009C5151">
        <w:t xml:space="preserve">1.1 </w:t>
      </w:r>
      <w:r w:rsidRPr="009C5151">
        <w:rPr>
          <w:rStyle w:val="Strong"/>
        </w:rPr>
        <w:t>Correct Classification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Cloud revenue often falls under </w:t>
      </w:r>
      <w:r w:rsidRPr="009C5151">
        <w:rPr>
          <w:rStyle w:val="Strong"/>
          <w:rFonts w:ascii="Times New Roman" w:hAnsi="Times New Roman" w:cs="Times New Roman"/>
          <w:sz w:val="24"/>
          <w:szCs w:val="24"/>
        </w:rPr>
        <w:t>business income</w:t>
      </w:r>
      <w:r w:rsidRPr="009C5151">
        <w:rPr>
          <w:rFonts w:ascii="Times New Roman" w:hAnsi="Times New Roman" w:cs="Times New Roman"/>
          <w:sz w:val="24"/>
          <w:szCs w:val="24"/>
        </w:rPr>
        <w:t xml:space="preserve"> if services are purely hosting or operational.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For classification as </w:t>
      </w:r>
      <w:r w:rsidRPr="009C5151">
        <w:rPr>
          <w:rStyle w:val="Strong"/>
          <w:rFonts w:ascii="Times New Roman" w:hAnsi="Times New Roman" w:cs="Times New Roman"/>
          <w:sz w:val="24"/>
          <w:szCs w:val="24"/>
        </w:rPr>
        <w:t>royalty</w:t>
      </w:r>
      <w:r w:rsidRPr="009C5151">
        <w:rPr>
          <w:rFonts w:ascii="Times New Roman" w:hAnsi="Times New Roman" w:cs="Times New Roman"/>
          <w:sz w:val="24"/>
          <w:szCs w:val="24"/>
        </w:rPr>
        <w:t>, there must be a transfer of rights in IP or software.</w:t>
      </w:r>
    </w:p>
    <w:p w:rsidR="00A056B6" w:rsidRPr="009C5151" w:rsidRDefault="00A056B6" w:rsidP="00743A5F">
      <w:pPr>
        <w:pStyle w:val="NormalWeb"/>
        <w:spacing w:before="0" w:beforeAutospacing="0"/>
      </w:pPr>
      <w:r w:rsidRPr="009C5151">
        <w:t xml:space="preserve">1.2 </w:t>
      </w:r>
      <w:r w:rsidRPr="009C5151">
        <w:rPr>
          <w:rStyle w:val="Strong"/>
        </w:rPr>
        <w:t>Tax Treatment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USA</w:t>
      </w:r>
      <w:r w:rsidRPr="009C5151">
        <w:rPr>
          <w:rFonts w:ascii="Times New Roman" w:hAnsi="Times New Roman" w:cs="Times New Roman"/>
          <w:sz w:val="24"/>
          <w:szCs w:val="24"/>
        </w:rPr>
        <w:t>: If no PE exists, claim treaty benefits under India-USA DTAA to exempt ₹50 crore from WHT.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Germany</w:t>
      </w:r>
      <w:r w:rsidRPr="009C5151">
        <w:rPr>
          <w:rFonts w:ascii="Times New Roman" w:hAnsi="Times New Roman" w:cs="Times New Roman"/>
          <w:sz w:val="24"/>
          <w:szCs w:val="24"/>
        </w:rPr>
        <w:t>: Justify business income treatment under the India-Germany DTAA.</w:t>
      </w:r>
    </w:p>
    <w:p w:rsidR="00A056B6" w:rsidRPr="009C5151" w:rsidRDefault="00A056B6" w:rsidP="00743A5F">
      <w:pPr>
        <w:pStyle w:val="NormalWeb"/>
        <w:spacing w:before="0" w:beforeAutospacing="0"/>
      </w:pPr>
      <w:r w:rsidRPr="009C5151">
        <w:t xml:space="preserve">1.3 </w:t>
      </w:r>
      <w:r w:rsidRPr="009C5151">
        <w:rPr>
          <w:rStyle w:val="Strong"/>
        </w:rPr>
        <w:t>Documentation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Maintain contracts defining the nature of services and tax clauses.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Retain technical reports to substantiate non-royalty classification.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6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Compliance</w:t>
      </w:r>
    </w:p>
    <w:p w:rsidR="00A056B6" w:rsidRPr="009C5151" w:rsidRDefault="00A056B6" w:rsidP="00743A5F">
      <w:pPr>
        <w:pStyle w:val="NormalWeb"/>
        <w:spacing w:before="0" w:beforeAutospacing="0"/>
      </w:pPr>
      <w:r w:rsidRPr="009C5151">
        <w:t xml:space="preserve">2.1 </w:t>
      </w:r>
      <w:r w:rsidRPr="009C5151">
        <w:rPr>
          <w:rStyle w:val="Strong"/>
        </w:rPr>
        <w:t>Ensuring Correct Deductions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as per DTAA rates (10% for R&amp;D and royalty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Avoid non-compliance penalties by timely remittance and filing.</w:t>
      </w:r>
    </w:p>
    <w:p w:rsidR="00A056B6" w:rsidRPr="009C5151" w:rsidRDefault="00A056B6" w:rsidP="00743A5F">
      <w:pPr>
        <w:pStyle w:val="NormalWeb"/>
        <w:spacing w:before="0" w:beforeAutospacing="0"/>
      </w:pPr>
      <w:r w:rsidRPr="009C5151">
        <w:t xml:space="preserve">2.2 </w:t>
      </w:r>
      <w:r w:rsidRPr="009C5151">
        <w:rPr>
          <w:rStyle w:val="Strong"/>
        </w:rPr>
        <w:t>Supporting Documents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Collect TRCs and Form 10F from Singapore and Germany AEs.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Ensure WHT certificates are issued to recipients for tax credit claims.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6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Compliance</w:t>
      </w:r>
    </w:p>
    <w:p w:rsidR="00A056B6" w:rsidRPr="009C5151" w:rsidRDefault="00A056B6" w:rsidP="00743A5F">
      <w:pPr>
        <w:pStyle w:val="NormalWeb"/>
        <w:spacing w:before="0" w:beforeAutospacing="0"/>
      </w:pPr>
      <w:r w:rsidRPr="009C5151">
        <w:t xml:space="preserve">3.1 </w:t>
      </w:r>
      <w:r w:rsidRPr="009C5151">
        <w:rPr>
          <w:rStyle w:val="Strong"/>
        </w:rPr>
        <w:t>EL Applicability</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applies to payments for digital advertising to non-residents, such as the ₹10 crore to the US platform.</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Deposit ₹60 lakh levy and file returns on time.</w:t>
      </w:r>
    </w:p>
    <w:p w:rsidR="00A056B6" w:rsidRPr="009C5151" w:rsidRDefault="00A056B6" w:rsidP="00743A5F">
      <w:pPr>
        <w:pStyle w:val="NormalWeb"/>
        <w:spacing w:before="0" w:beforeAutospacing="0"/>
      </w:pPr>
      <w:r w:rsidRPr="009C5151">
        <w:t xml:space="preserve">3.2 </w:t>
      </w:r>
      <w:r w:rsidRPr="009C5151">
        <w:rPr>
          <w:rStyle w:val="Strong"/>
        </w:rPr>
        <w:t>Categorization Issues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Review contracts to ensure no services fall under EL exemptions, reducing risks of underreporting.</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6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Transfer Pricing Compliance</w:t>
      </w:r>
    </w:p>
    <w:p w:rsidR="00A056B6" w:rsidRPr="009C5151" w:rsidRDefault="00A056B6" w:rsidP="00743A5F">
      <w:pPr>
        <w:pStyle w:val="NormalWeb"/>
        <w:spacing w:before="0" w:beforeAutospacing="0"/>
      </w:pPr>
      <w:r w:rsidRPr="009C5151">
        <w:t xml:space="preserve">4.1 </w:t>
      </w:r>
      <w:r w:rsidRPr="009C5151">
        <w:rPr>
          <w:rStyle w:val="Strong"/>
        </w:rPr>
        <w:t>R&amp;D Services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justify payment to Singapore AE.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markup is consistent with industry norms by benchmarking against similar transactions.</w:t>
      </w:r>
    </w:p>
    <w:p w:rsidR="00A056B6" w:rsidRPr="009C5151" w:rsidRDefault="00A056B6" w:rsidP="00743A5F">
      <w:pPr>
        <w:pStyle w:val="NormalWeb"/>
        <w:spacing w:before="0" w:beforeAutospacing="0"/>
      </w:pPr>
      <w:r w:rsidRPr="009C5151">
        <w:t xml:space="preserve">4.2 </w:t>
      </w:r>
      <w:r w:rsidRPr="009C5151">
        <w:rPr>
          <w:rStyle w:val="Strong"/>
        </w:rPr>
        <w:t>Asset Sale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Conduct valuation of ₹8 crore fixed assets to ensure fair market value aligns with the arm’s length principle.</w:t>
      </w:r>
    </w:p>
    <w:p w:rsidR="00A056B6" w:rsidRPr="009C5151" w:rsidRDefault="00A056B6" w:rsidP="00743A5F">
      <w:pPr>
        <w:pStyle w:val="NormalWeb"/>
        <w:spacing w:before="0" w:beforeAutospacing="0"/>
      </w:pPr>
      <w:r w:rsidRPr="009C5151">
        <w:t xml:space="preserve">4.3 </w:t>
      </w:r>
      <w:r w:rsidRPr="009C5151">
        <w:rPr>
          <w:rStyle w:val="Strong"/>
        </w:rPr>
        <w:t>Documentation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File </w:t>
      </w:r>
      <w:r w:rsidRPr="009C5151">
        <w:rPr>
          <w:rStyle w:val="Strong"/>
          <w:rFonts w:ascii="Times New Roman" w:hAnsi="Times New Roman" w:cs="Times New Roman"/>
          <w:sz w:val="24"/>
          <w:szCs w:val="24"/>
        </w:rPr>
        <w:t>Form 3CEB</w:t>
      </w:r>
      <w:r w:rsidRPr="009C5151">
        <w:rPr>
          <w:rFonts w:ascii="Times New Roman" w:hAnsi="Times New Roman" w:cs="Times New Roman"/>
          <w:sz w:val="24"/>
          <w:szCs w:val="24"/>
        </w:rPr>
        <w:t xml:space="preserve"> with complete disclosures for domestic and international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Maintain agreements and benchmarking studies for audit purposes.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6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DTAA Compliance and Treaty Benefits</w:t>
      </w:r>
    </w:p>
    <w:p w:rsidR="00A056B6" w:rsidRPr="009C5151" w:rsidRDefault="00A056B6" w:rsidP="00743A5F">
      <w:pPr>
        <w:pStyle w:val="NormalWeb"/>
        <w:spacing w:before="0" w:beforeAutospacing="0"/>
      </w:pPr>
      <w:r w:rsidRPr="009C5151">
        <w:t xml:space="preserve">5.1 </w:t>
      </w:r>
      <w:r w:rsidRPr="009C5151">
        <w:rPr>
          <w:rStyle w:val="Strong"/>
        </w:rPr>
        <w:t>Tax Treaty Relief</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For royalties, apply the 10% WHT rate under India-Germany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For cloud services, claim exemption from WHT if no PE exists in the USA and Germany.</w:t>
      </w:r>
    </w:p>
    <w:p w:rsidR="00A056B6" w:rsidRPr="009C5151" w:rsidRDefault="00A056B6" w:rsidP="00743A5F">
      <w:pPr>
        <w:pStyle w:val="NormalWeb"/>
        <w:spacing w:before="0" w:beforeAutospacing="0"/>
      </w:pPr>
      <w:r w:rsidRPr="009C5151">
        <w:t xml:space="preserve">5.2 </w:t>
      </w:r>
      <w:r w:rsidRPr="009C5151">
        <w:rPr>
          <w:rStyle w:val="Strong"/>
        </w:rPr>
        <w:t>Double Taxation Relief</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Claim tax credit for taxes withheld on cloud services revenue abroad while filing Indian tax returns.</w:t>
      </w:r>
    </w:p>
    <w:p w:rsidR="00A056B6" w:rsidRPr="009C5151" w:rsidRDefault="00A056B6" w:rsidP="00743A5F">
      <w:pPr>
        <w:pStyle w:val="NormalWeb"/>
        <w:spacing w:before="0" w:beforeAutospacing="0"/>
      </w:pPr>
      <w:r w:rsidRPr="009C5151">
        <w:t xml:space="preserve">5.3 </w:t>
      </w:r>
      <w:r w:rsidRPr="009C5151">
        <w:rPr>
          <w:rStyle w:val="Strong"/>
        </w:rPr>
        <w:t>Compliance Measures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Conduct annual treaty reviews for updates or changes to anti-abuse clauses, like the </w:t>
      </w:r>
      <w:r w:rsidRPr="009C5151">
        <w:rPr>
          <w:rStyle w:val="Strong"/>
          <w:rFonts w:ascii="Times New Roman" w:hAnsi="Times New Roman" w:cs="Times New Roman"/>
          <w:sz w:val="24"/>
          <w:szCs w:val="24"/>
        </w:rPr>
        <w:t>Principal Purpose Test (PPT)</w:t>
      </w:r>
      <w:r w:rsidRPr="009C5151">
        <w:rPr>
          <w:rFonts w:ascii="Times New Roman" w:hAnsi="Times New Roman" w:cs="Times New Roman"/>
          <w:sz w:val="24"/>
          <w:szCs w:val="24"/>
        </w:rPr>
        <w:t xml:space="preserve"> under MLI.</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7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5" w:name="_Toc187623914"/>
      <w:bookmarkStart w:id="106" w:name="_Toc187630634"/>
      <w:bookmarkStart w:id="107" w:name="_Toc187660813"/>
      <w:bookmarkStart w:id="108" w:name="_Toc187661892"/>
      <w:r w:rsidRPr="009C5151">
        <w:rPr>
          <w:rStyle w:val="Strong"/>
          <w:b/>
          <w:bCs/>
          <w:sz w:val="24"/>
          <w:szCs w:val="24"/>
        </w:rPr>
        <w:t>Conclusion</w:t>
      </w:r>
      <w:bookmarkEnd w:id="105"/>
      <w:bookmarkEnd w:id="106"/>
      <w:bookmarkEnd w:id="107"/>
      <w:bookmarkEnd w:id="108"/>
    </w:p>
    <w:p w:rsidR="00A056B6" w:rsidRPr="009C5151" w:rsidRDefault="00A056B6" w:rsidP="00743A5F">
      <w:pPr>
        <w:pStyle w:val="NormalWeb"/>
        <w:spacing w:before="0" w:beforeAutospacing="0"/>
      </w:pPr>
      <w:r w:rsidRPr="009C5151">
        <w:t>To address these challenges, EcomTech Solutions Ltd. should:</w:t>
      </w:r>
    </w:p>
    <w:p w:rsidR="00A056B6" w:rsidRPr="009C5151" w:rsidRDefault="00A056B6" w:rsidP="00743A5F">
      <w:pPr>
        <w:pStyle w:val="NormalWeb"/>
        <w:tabs>
          <w:tab w:val="num" w:pos="720"/>
        </w:tabs>
        <w:spacing w:before="0" w:beforeAutospacing="0"/>
        <w:ind w:left="720" w:hanging="360"/>
      </w:pPr>
      <w:r w:rsidRPr="009C5151">
        <w:rPr>
          <w:rStyle w:val="Strong"/>
        </w:rPr>
        <w:t>Conduct Regular Audits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Periodically review WHT, EL, and TP compliance.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Identify potential risks in classification and treaty benefits.</w:t>
      </w:r>
    </w:p>
    <w:p w:rsidR="00A056B6" w:rsidRPr="009C5151" w:rsidRDefault="00A056B6" w:rsidP="00743A5F">
      <w:pPr>
        <w:pStyle w:val="NormalWeb"/>
        <w:tabs>
          <w:tab w:val="num" w:pos="720"/>
        </w:tabs>
        <w:spacing w:before="0" w:beforeAutospacing="0"/>
        <w:ind w:left="720" w:hanging="360"/>
      </w:pPr>
      <w:r w:rsidRPr="009C5151">
        <w:rPr>
          <w:rStyle w:val="Strong"/>
        </w:rPr>
        <w:t>Improve Documentation Standards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comprehensive documentation, including TRCs, contracts, and benchmarking studies.</w:t>
      </w:r>
    </w:p>
    <w:p w:rsidR="00A056B6" w:rsidRPr="009C5151" w:rsidRDefault="00A056B6" w:rsidP="00743A5F">
      <w:pPr>
        <w:pStyle w:val="NormalWeb"/>
        <w:tabs>
          <w:tab w:val="num" w:pos="720"/>
        </w:tabs>
        <w:spacing w:before="0" w:beforeAutospacing="0"/>
        <w:ind w:left="720" w:hanging="360"/>
      </w:pPr>
      <w:r w:rsidRPr="009C5151">
        <w:rPr>
          <w:rStyle w:val="Strong"/>
        </w:rPr>
        <w:t>Strengthen Internal Processes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Automate compliance trackers for WHT, EL, and TP filings to avoid delays and penalties.</w:t>
      </w:r>
    </w:p>
    <w:p w:rsidR="00A056B6" w:rsidRPr="009C5151" w:rsidRDefault="00A056B6" w:rsidP="00743A5F">
      <w:pPr>
        <w:pStyle w:val="NormalWeb"/>
        <w:tabs>
          <w:tab w:val="num" w:pos="720"/>
        </w:tabs>
        <w:spacing w:before="0" w:beforeAutospacing="0"/>
        <w:ind w:left="720" w:hanging="360"/>
      </w:pPr>
      <w:r w:rsidRPr="009C5151">
        <w:rPr>
          <w:rStyle w:val="Strong"/>
        </w:rPr>
        <w:t>Engage Professionals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Work with CAs and tax consultants to address complexities in international taxation and TP compliance.</w:t>
      </w:r>
    </w:p>
    <w:p w:rsidR="00A056B6" w:rsidRPr="009C5151" w:rsidRDefault="00A056B6" w:rsidP="00743A5F">
      <w:pPr>
        <w:pStyle w:val="NormalWeb"/>
        <w:spacing w:before="0" w:beforeAutospacing="0"/>
      </w:pPr>
      <w:r w:rsidRPr="009C5151">
        <w:t>By implementing these solutions, EcomTech Solutions Ltd. can ensure robust tax compliance, minimize risks, and optimize tax efficiency across its operations.</w:t>
      </w:r>
    </w:p>
    <w:p w:rsidR="00A056B6" w:rsidRPr="009C5151" w:rsidRDefault="00A056B6" w:rsidP="00743A5F">
      <w:pPr>
        <w:pStyle w:val="NormalWeb"/>
        <w:spacing w:before="0" w:beforeAutospacing="0"/>
      </w:pPr>
      <w:r w:rsidRPr="009C5151">
        <w:t>Would you like templates or examples for compliance filings or benchmarking studies?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4th example of different set of issues and problem and suggested solutions by a CA to a Company including a detailed discussion on the various topics covered under suggestions and Conclusion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6E5AFE8B" wp14:editId="33E41F58">
            <wp:extent cx="763905" cy="763905"/>
            <wp:effectExtent l="0" t="0" r="0" b="0"/>
            <wp:docPr id="323" name="Picture 32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1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09" w:name="_Toc187623915"/>
      <w:bookmarkStart w:id="110" w:name="_Toc187630635"/>
      <w:bookmarkStart w:id="111" w:name="_Toc187660814"/>
      <w:bookmarkStart w:id="112" w:name="_Toc187661893"/>
      <w:r w:rsidRPr="009C5151">
        <w:rPr>
          <w:rStyle w:val="Strong"/>
          <w:b/>
          <w:bCs/>
          <w:sz w:val="24"/>
          <w:szCs w:val="24"/>
        </w:rPr>
        <w:t>Case Study: Tax Challenges for GreenPower Pvt. Ltd.</w:t>
      </w:r>
      <w:bookmarkEnd w:id="109"/>
      <w:bookmarkEnd w:id="110"/>
      <w:bookmarkEnd w:id="111"/>
      <w:bookmarkEnd w:id="112"/>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GreenPower Pvt. Ltd., an Indian renewable energy company, operates globally, supplying solar panels, wind turbines, and providing technical consulting services. Its key markets include </w:t>
      </w:r>
      <w:r w:rsidRPr="009C5151">
        <w:rPr>
          <w:rStyle w:val="Strong"/>
        </w:rPr>
        <w:t>USA, UK, China, Australia, Germany, and South Africa</w:t>
      </w:r>
      <w:r w:rsidRPr="009C5151">
        <w:t>. The company has faced taxation challenges related to cross-border transactions, withholding tax (WHT), transfer pricing (TP), equalization levy (EL), and treaty benefits.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7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3" w:name="_Toc187623916"/>
      <w:bookmarkStart w:id="114" w:name="_Toc187630636"/>
      <w:bookmarkStart w:id="115" w:name="_Toc187660815"/>
      <w:bookmarkStart w:id="116" w:name="_Toc187661894"/>
      <w:r w:rsidRPr="009C5151">
        <w:rPr>
          <w:rStyle w:val="Strong"/>
          <w:b/>
          <w:bCs/>
          <w:sz w:val="24"/>
          <w:szCs w:val="24"/>
        </w:rPr>
        <w:t>Transactions</w:t>
      </w:r>
      <w:bookmarkEnd w:id="113"/>
      <w:bookmarkEnd w:id="114"/>
      <w:bookmarkEnd w:id="115"/>
      <w:bookmarkEnd w:id="116"/>
    </w:p>
    <w:p w:rsidR="00A056B6" w:rsidRPr="009C5151" w:rsidRDefault="00A056B6" w:rsidP="00743A5F">
      <w:pPr>
        <w:pStyle w:val="Heading4"/>
        <w:spacing w:before="0" w:beforeAutospacing="0"/>
      </w:pPr>
      <w:r w:rsidRPr="009C5151">
        <w:rPr>
          <w:rStyle w:val="Strong"/>
          <w:b/>
          <w:bCs/>
        </w:rPr>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Export of Solar Panels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Exported ₹150 crore worth of solar panels to the USA, Germany, and Australia.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Payments are made under long-term contracts with group companies.</w:t>
      </w:r>
    </w:p>
    <w:p w:rsidR="00A056B6" w:rsidRPr="009C5151" w:rsidRDefault="00A056B6" w:rsidP="00743A5F">
      <w:pPr>
        <w:pStyle w:val="NormalWeb"/>
        <w:tabs>
          <w:tab w:val="num" w:pos="720"/>
        </w:tabs>
        <w:spacing w:before="0" w:beforeAutospacing="0"/>
        <w:ind w:left="720" w:hanging="360"/>
      </w:pPr>
      <w:r w:rsidRPr="009C5151">
        <w:rPr>
          <w:rStyle w:val="Strong"/>
        </w:rPr>
        <w:t>Technical Consulting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Earned ₹30 crore by providing consulting services to group companies in the UK and South Africa.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Risk of being classified as fees for technical services (FTS) under DTAAs.</w:t>
      </w:r>
    </w:p>
    <w:p w:rsidR="00A056B6" w:rsidRPr="009C5151" w:rsidRDefault="00A056B6" w:rsidP="00743A5F">
      <w:pPr>
        <w:pStyle w:val="NormalWeb"/>
        <w:tabs>
          <w:tab w:val="num" w:pos="720"/>
        </w:tabs>
        <w:spacing w:before="0" w:beforeAutospacing="0"/>
        <w:ind w:left="720" w:hanging="360"/>
      </w:pPr>
      <w:r w:rsidRPr="009C5151">
        <w:rPr>
          <w:rStyle w:val="Strong"/>
        </w:rPr>
        <w:t>Import of Components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Imported ₹50 crore worth of solar panel components from a group company in China.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Questionable pricing practices requiring arm’s length validation.</w:t>
      </w:r>
    </w:p>
    <w:p w:rsidR="00A056B6" w:rsidRPr="009C5151" w:rsidRDefault="00A056B6" w:rsidP="00743A5F">
      <w:pPr>
        <w:pStyle w:val="NormalWeb"/>
        <w:tabs>
          <w:tab w:val="num" w:pos="720"/>
        </w:tabs>
        <w:spacing w:before="0" w:beforeAutospacing="0"/>
        <w:ind w:left="720" w:hanging="360"/>
      </w:pPr>
      <w:r w:rsidRPr="009C5151">
        <w:rPr>
          <w:rStyle w:val="Strong"/>
        </w:rPr>
        <w:t>Loan to Group Entity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Advanced a ₹10 crore loan to a subsidiary in South Africa at 5% interest.</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₹8 crore to a US-based company for targeted digital advertising.</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7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lastRenderedPageBreak/>
        <w:t>Domestic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Intra-Group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₹5 crore to an Indian group company for marketing support.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Subject to specified domestic transactions compliance.</w:t>
      </w:r>
    </w:p>
    <w:p w:rsidR="00A056B6" w:rsidRPr="009C5151" w:rsidRDefault="00A056B6" w:rsidP="00743A5F">
      <w:pPr>
        <w:pStyle w:val="NormalWeb"/>
        <w:tabs>
          <w:tab w:val="num" w:pos="720"/>
        </w:tabs>
        <w:spacing w:before="0" w:beforeAutospacing="0"/>
        <w:ind w:left="720" w:hanging="360"/>
      </w:pPr>
      <w:r w:rsidRPr="009C5151">
        <w:rPr>
          <w:rStyle w:val="Strong"/>
        </w:rPr>
        <w:t>Asset Lease Agreement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₹20 crore worth of wind turbines to another domestic group company.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7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7" w:name="_Toc187623917"/>
      <w:bookmarkStart w:id="118" w:name="_Toc187630637"/>
      <w:bookmarkStart w:id="119" w:name="_Toc187660816"/>
      <w:bookmarkStart w:id="120" w:name="_Toc187661895"/>
      <w:r w:rsidRPr="009C5151">
        <w:rPr>
          <w:rStyle w:val="Strong"/>
          <w:b/>
          <w:bCs/>
          <w:sz w:val="24"/>
          <w:szCs w:val="24"/>
        </w:rPr>
        <w:t>Key Issues</w:t>
      </w:r>
      <w:bookmarkEnd w:id="117"/>
      <w:bookmarkEnd w:id="118"/>
      <w:bookmarkEnd w:id="119"/>
      <w:bookmarkEnd w:id="120"/>
    </w:p>
    <w:p w:rsidR="00A056B6" w:rsidRPr="009C5151" w:rsidRDefault="00A056B6" w:rsidP="00743A5F">
      <w:pPr>
        <w:pStyle w:val="Heading4"/>
        <w:spacing w:before="0" w:beforeAutospacing="0"/>
      </w:pPr>
      <w:r w:rsidRPr="009C5151">
        <w:t xml:space="preserve">1. </w:t>
      </w:r>
      <w:r w:rsidRPr="009C5151">
        <w:rPr>
          <w:rStyle w:val="Strong"/>
          <w:b/>
          <w:bCs/>
        </w:rPr>
        <w:t>Withholding Tax (WHT)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misclassification of consulting income as FTS, leading to higher WHT rates under DTAAs with the UK and South Africa.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Failure to deduct WHT on payments to China for solar panel components.</w:t>
      </w:r>
    </w:p>
    <w:p w:rsidR="00A056B6" w:rsidRPr="009C5151" w:rsidRDefault="00A056B6" w:rsidP="00743A5F">
      <w:pPr>
        <w:pStyle w:val="Heading4"/>
        <w:spacing w:before="0" w:beforeAutospacing="0"/>
      </w:pPr>
      <w:r w:rsidRPr="009C5151">
        <w:t xml:space="preserve">2. </w:t>
      </w:r>
      <w:r w:rsidRPr="009C5151">
        <w:rPr>
          <w:rStyle w:val="Strong"/>
          <w:b/>
          <w:bCs/>
        </w:rPr>
        <w:t>Transfer Pricing (TP)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Lack of robust benchmarking for ₹150 crore solar panel exports and ₹50 crore imports from China.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Questionable pricing of the ₹10 crore loan to South Africa at 5% interest (below market rate).</w:t>
      </w:r>
    </w:p>
    <w:p w:rsidR="00A056B6" w:rsidRPr="009C5151" w:rsidRDefault="00A056B6" w:rsidP="00743A5F">
      <w:pPr>
        <w:pStyle w:val="Heading4"/>
        <w:spacing w:before="0" w:beforeAutospacing="0"/>
      </w:pPr>
      <w:r w:rsidRPr="009C5151">
        <w:t xml:space="preserve">3. </w:t>
      </w:r>
      <w:r w:rsidRPr="009C5151">
        <w:rPr>
          <w:rStyle w:val="Strong"/>
          <w:b/>
          <w:bCs/>
        </w:rPr>
        <w:t>Equalization Levy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Non-compliance with EL obligations on ₹8 crore paid for digital advertising to the US.</w:t>
      </w:r>
    </w:p>
    <w:p w:rsidR="00A056B6" w:rsidRPr="009C5151" w:rsidRDefault="00A056B6" w:rsidP="00743A5F">
      <w:pPr>
        <w:pStyle w:val="Heading4"/>
        <w:spacing w:before="0" w:beforeAutospacing="0"/>
      </w:pPr>
      <w:r w:rsidRPr="009C5151">
        <w:t xml:space="preserve">4. </w:t>
      </w:r>
      <w:r w:rsidRPr="009C5151">
        <w:rPr>
          <w:rStyle w:val="Strong"/>
          <w:b/>
          <w:bCs/>
        </w:rPr>
        <w:t>DTAA Benefits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denial of treaty benefits for consulting income under anti-abuse provisions like the Principal Purpose Test (PPT).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7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1" w:name="_Toc187623918"/>
      <w:bookmarkStart w:id="122" w:name="_Toc187630638"/>
      <w:bookmarkStart w:id="123" w:name="_Toc187660817"/>
      <w:bookmarkStart w:id="124" w:name="_Toc187661896"/>
      <w:r w:rsidRPr="009C5151">
        <w:rPr>
          <w:rStyle w:val="Strong"/>
          <w:b/>
          <w:bCs/>
          <w:sz w:val="24"/>
          <w:szCs w:val="24"/>
        </w:rPr>
        <w:t>Proposed Solutions</w:t>
      </w:r>
      <w:bookmarkEnd w:id="121"/>
      <w:bookmarkEnd w:id="122"/>
      <w:bookmarkEnd w:id="123"/>
      <w:bookmarkEnd w:id="124"/>
    </w:p>
    <w:p w:rsidR="00A056B6" w:rsidRPr="009C5151" w:rsidRDefault="00A056B6" w:rsidP="00743A5F">
      <w:pPr>
        <w:pStyle w:val="Heading4"/>
        <w:spacing w:before="0" w:beforeAutospacing="0"/>
      </w:pPr>
      <w:r w:rsidRPr="009C5151">
        <w:rPr>
          <w:rStyle w:val="Strong"/>
          <w:b/>
          <w:bCs/>
        </w:rPr>
        <w:t>1. Withholding Tax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Consulting Services</w:t>
      </w:r>
      <w:r w:rsidRPr="009C5151">
        <w:rPr>
          <w:rFonts w:ascii="Times New Roman" w:hAnsi="Times New Roman" w:cs="Times New Roman"/>
          <w:sz w:val="24"/>
          <w:szCs w:val="24"/>
        </w:rPr>
        <w:t>: Classify the ₹30 crore consulting income based on the substance of services provided. Under the DTAAs: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UK</w:t>
      </w:r>
      <w:r w:rsidRPr="009C5151">
        <w:rPr>
          <w:rFonts w:ascii="Times New Roman" w:hAnsi="Times New Roman" w:cs="Times New Roman"/>
          <w:sz w:val="24"/>
          <w:szCs w:val="24"/>
        </w:rPr>
        <w:t>: If classified as business income, WHT exemption applies unless there is a permanent establishment (PE) in the UK.</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South Africa</w:t>
      </w:r>
      <w:r w:rsidRPr="009C5151">
        <w:rPr>
          <w:rFonts w:ascii="Times New Roman" w:hAnsi="Times New Roman" w:cs="Times New Roman"/>
          <w:sz w:val="24"/>
          <w:szCs w:val="24"/>
        </w:rPr>
        <w:t>: Deduct WHT at 10% for FTS under the India-South Africa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Imports from China</w:t>
      </w:r>
      <w:r w:rsidRPr="009C5151">
        <w:rPr>
          <w:rFonts w:ascii="Times New Roman" w:hAnsi="Times New Roman" w:cs="Times New Roman"/>
          <w:sz w:val="24"/>
          <w:szCs w:val="24"/>
        </w:rPr>
        <w:t>: No WHT on imports unless payments involve royalties or FTS. Ensure import pricing aligns with market rates.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7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Transfer Pricing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Solar Panel Exports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₹150 crore exports using the </w:t>
      </w:r>
      <w:r w:rsidRPr="009C5151">
        <w:rPr>
          <w:rStyle w:val="Strong"/>
          <w:rFonts w:ascii="Times New Roman" w:hAnsi="Times New Roman" w:cs="Times New Roman"/>
          <w:sz w:val="24"/>
          <w:szCs w:val="24"/>
        </w:rPr>
        <w:t>Transaction Net Margin Method (TNMM)</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Justify pricing through third-party comparable sales data.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Imports from China</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the </w:t>
      </w:r>
      <w:r w:rsidRPr="009C5151">
        <w:rPr>
          <w:rStyle w:val="Strong"/>
          <w:rFonts w:ascii="Times New Roman" w:hAnsi="Times New Roman" w:cs="Times New Roman"/>
          <w:sz w:val="24"/>
          <w:szCs w:val="24"/>
        </w:rPr>
        <w:t>Comparable Uncontrolled Price (CUP) Method</w:t>
      </w:r>
      <w:r w:rsidRPr="009C5151">
        <w:rPr>
          <w:rFonts w:ascii="Times New Roman" w:hAnsi="Times New Roman" w:cs="Times New Roman"/>
          <w:sz w:val="24"/>
          <w:szCs w:val="24"/>
        </w:rPr>
        <w:t xml:space="preserve"> to validate ₹50 crore imports.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Loan to South Africa</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Adjust the loan interest rate from 5% to market rates (~8%) to avoid TP adjustments.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publicly available lending rates as benchmarks.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7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Digital Advertising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6% EL on ₹8 crore paid to the US-based advertising company, resulting in ₹48 lakh levy.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and remit payment within prescribed timelines.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7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DTAA Benefits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Anti-Abuse Provisions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compliance with PPT and anti-abuse clauses in DTAAs with the UK and South Africa.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Provide supporting documentation to demonstrate economic substance and genuine business purpose.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PE Risk</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For consulting income in the UK, prove no fixed base or PE exists to claim WHT exemption under the treaty.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7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Internal Audit and Policy Adjustments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Conduct a </w:t>
      </w:r>
      <w:r w:rsidRPr="009C5151">
        <w:rPr>
          <w:rStyle w:val="Strong"/>
          <w:rFonts w:ascii="Times New Roman" w:hAnsi="Times New Roman" w:cs="Times New Roman"/>
          <w:sz w:val="24"/>
          <w:szCs w:val="24"/>
        </w:rPr>
        <w:t>tax health check</w:t>
      </w:r>
      <w:r w:rsidRPr="009C5151">
        <w:rPr>
          <w:rFonts w:ascii="Times New Roman" w:hAnsi="Times New Roman" w:cs="Times New Roman"/>
          <w:sz w:val="24"/>
          <w:szCs w:val="24"/>
        </w:rPr>
        <w:t xml:space="preserve"> to identify compliance gaps in WHT, TP, and EL filings.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Implement a compliance tracker for monitoring deadlines and documentation.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7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5" w:name="_Toc187623919"/>
      <w:bookmarkStart w:id="126" w:name="_Toc187630639"/>
      <w:bookmarkStart w:id="127" w:name="_Toc187660818"/>
      <w:bookmarkStart w:id="128" w:name="_Toc187661897"/>
      <w:r w:rsidRPr="009C5151">
        <w:rPr>
          <w:rStyle w:val="Strong"/>
          <w:b/>
          <w:bCs/>
          <w:sz w:val="24"/>
          <w:szCs w:val="24"/>
        </w:rPr>
        <w:t>Detailed Discussion of Proposed Solutions</w:t>
      </w:r>
      <w:bookmarkEnd w:id="125"/>
      <w:bookmarkEnd w:id="126"/>
      <w:bookmarkEnd w:id="127"/>
      <w:bookmarkEnd w:id="128"/>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8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Withholding Tax Compliance</w:t>
      </w:r>
    </w:p>
    <w:p w:rsidR="00A056B6" w:rsidRPr="009C5151" w:rsidRDefault="00A056B6" w:rsidP="00743A5F">
      <w:pPr>
        <w:pStyle w:val="NormalWeb"/>
        <w:spacing w:before="0" w:beforeAutospacing="0"/>
      </w:pPr>
      <w:r w:rsidRPr="009C5151">
        <w:t xml:space="preserve">1.1 </w:t>
      </w:r>
      <w:r w:rsidRPr="009C5151">
        <w:rPr>
          <w:rStyle w:val="Strong"/>
        </w:rPr>
        <w:t>Consulting Services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Evaluate whether consulting services are routine advisory services (business income) or specialized technical services (FTS).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If services are FTS, apply treaty rates: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UK</w:t>
      </w:r>
      <w:r w:rsidRPr="009C5151">
        <w:rPr>
          <w:rFonts w:ascii="Times New Roman" w:hAnsi="Times New Roman" w:cs="Times New Roman"/>
          <w:sz w:val="24"/>
          <w:szCs w:val="24"/>
        </w:rPr>
        <w:t>: 10% under India-UK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South Africa</w:t>
      </w:r>
      <w:r w:rsidRPr="009C5151">
        <w:rPr>
          <w:rFonts w:ascii="Times New Roman" w:hAnsi="Times New Roman" w:cs="Times New Roman"/>
          <w:sz w:val="24"/>
          <w:szCs w:val="24"/>
        </w:rPr>
        <w:t>: 10% under India-South Africa DTAA.</w:t>
      </w:r>
    </w:p>
    <w:p w:rsidR="00A056B6" w:rsidRPr="009C5151" w:rsidRDefault="00A056B6" w:rsidP="00743A5F">
      <w:pPr>
        <w:pStyle w:val="NormalWeb"/>
        <w:spacing w:before="0" w:beforeAutospacing="0"/>
      </w:pPr>
      <w:r w:rsidRPr="009C5151">
        <w:t xml:space="preserve">1.2 </w:t>
      </w:r>
      <w:r w:rsidRPr="009C5151">
        <w:rPr>
          <w:rStyle w:val="Strong"/>
        </w:rPr>
        <w:t>Documentation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Retain agreements, TRCs, and Form 10F for each country to support treaty claims.</w:t>
      </w:r>
    </w:p>
    <w:p w:rsidR="00A056B6" w:rsidRPr="009C5151" w:rsidRDefault="00A056B6" w:rsidP="00743A5F">
      <w:pPr>
        <w:pStyle w:val="NormalWeb"/>
        <w:spacing w:before="0" w:beforeAutospacing="0"/>
      </w:pPr>
      <w:r w:rsidRPr="009C5151">
        <w:t xml:space="preserve">1.3 </w:t>
      </w:r>
      <w:r w:rsidRPr="009C5151">
        <w:rPr>
          <w:rStyle w:val="Strong"/>
        </w:rPr>
        <w:t>Imports from China</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Verify if any part of the payment involves royalties (e.g., for embedded IP) and deduct WHT accordingly.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8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Transfer Pricing Compliance</w:t>
      </w:r>
    </w:p>
    <w:p w:rsidR="00A056B6" w:rsidRPr="009C5151" w:rsidRDefault="00A056B6" w:rsidP="00743A5F">
      <w:pPr>
        <w:pStyle w:val="NormalWeb"/>
        <w:spacing w:before="0" w:beforeAutospacing="0"/>
      </w:pPr>
      <w:r w:rsidRPr="009C5151">
        <w:t xml:space="preserve">2.1 </w:t>
      </w:r>
      <w:r w:rsidRPr="009C5151">
        <w:rPr>
          <w:rStyle w:val="Strong"/>
        </w:rPr>
        <w:t>Solar Panel Exports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TNMM to benchmark pricing of ₹150 crore exports. Collect third-party sales data to justify margins.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Maintain robust documentation, including contracts and pricing policies.</w:t>
      </w:r>
    </w:p>
    <w:p w:rsidR="00A056B6" w:rsidRPr="009C5151" w:rsidRDefault="00A056B6" w:rsidP="00743A5F">
      <w:pPr>
        <w:pStyle w:val="NormalWeb"/>
        <w:spacing w:before="0" w:beforeAutospacing="0"/>
      </w:pPr>
      <w:r w:rsidRPr="009C5151">
        <w:t xml:space="preserve">2.2 </w:t>
      </w:r>
      <w:r w:rsidRPr="009C5151">
        <w:rPr>
          <w:rStyle w:val="Strong"/>
        </w:rPr>
        <w:t>Loan to South Africa</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Benchmark the interest rate at 8% using publicly available rates (e.g., LIBOR or prime lending rates).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Update the loan agreement to reflect the adjusted interest rate.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8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Compliance</w:t>
      </w:r>
    </w:p>
    <w:p w:rsidR="00A056B6" w:rsidRPr="009C5151" w:rsidRDefault="00A056B6" w:rsidP="00743A5F">
      <w:pPr>
        <w:pStyle w:val="NormalWeb"/>
        <w:spacing w:before="0" w:beforeAutospacing="0"/>
      </w:pPr>
      <w:r w:rsidRPr="009C5151">
        <w:t xml:space="preserve">3.1 </w:t>
      </w:r>
      <w:r w:rsidRPr="009C5151">
        <w:rPr>
          <w:rStyle w:val="Strong"/>
        </w:rPr>
        <w:t>Applicability</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applies to digital advertising payments to non-residents. Calculate 6% levy on ₹8 crore digital advertising payments.</w:t>
      </w:r>
    </w:p>
    <w:p w:rsidR="00A056B6" w:rsidRPr="009C5151" w:rsidRDefault="00A056B6" w:rsidP="00743A5F">
      <w:pPr>
        <w:pStyle w:val="NormalWeb"/>
        <w:spacing w:before="0" w:beforeAutospacing="0"/>
      </w:pPr>
      <w:r w:rsidRPr="009C5151">
        <w:t xml:space="preserve">3.2 </w:t>
      </w:r>
      <w:r w:rsidRPr="009C5151">
        <w:rPr>
          <w:rStyle w:val="Strong"/>
        </w:rPr>
        <w:t>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Deposit ₹48 lakh EL and file annual returns to avoid interest or penalties.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8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DTAA Benefits</w:t>
      </w:r>
    </w:p>
    <w:p w:rsidR="00A056B6" w:rsidRPr="009C5151" w:rsidRDefault="00A056B6" w:rsidP="00743A5F">
      <w:pPr>
        <w:pStyle w:val="NormalWeb"/>
        <w:spacing w:before="0" w:beforeAutospacing="0"/>
      </w:pPr>
      <w:r w:rsidRPr="009C5151">
        <w:t xml:space="preserve">4.1 </w:t>
      </w:r>
      <w:r w:rsidRPr="009C5151">
        <w:rPr>
          <w:rStyle w:val="Strong"/>
        </w:rPr>
        <w:t>Anti-Abuse Provisions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transactions with the UK and South Africa have commercial substance and genuine business purposes.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Document the need for consulting services and their direct contribution to business operations.</w:t>
      </w:r>
    </w:p>
    <w:p w:rsidR="00A056B6" w:rsidRPr="009C5151" w:rsidRDefault="00A056B6" w:rsidP="00743A5F">
      <w:pPr>
        <w:pStyle w:val="NormalWeb"/>
        <w:spacing w:before="0" w:beforeAutospacing="0"/>
      </w:pPr>
      <w:r w:rsidRPr="009C5151">
        <w:t xml:space="preserve">4.2 </w:t>
      </w:r>
      <w:r w:rsidRPr="009C5151">
        <w:rPr>
          <w:rStyle w:val="Strong"/>
        </w:rPr>
        <w:t>PE Risk</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For consulting services in the UK, demonstrate no fixed base or habitual agent exists.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8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Internal Audit and Policy Adjustments</w:t>
      </w:r>
    </w:p>
    <w:p w:rsidR="00A056B6" w:rsidRPr="009C5151" w:rsidRDefault="00A056B6" w:rsidP="00743A5F">
      <w:pPr>
        <w:pStyle w:val="NormalWeb"/>
        <w:spacing w:before="0" w:beforeAutospacing="0"/>
      </w:pPr>
      <w:r w:rsidRPr="009C5151">
        <w:t xml:space="preserve">5.1 </w:t>
      </w:r>
      <w:r w:rsidRPr="009C5151">
        <w:rPr>
          <w:rStyle w:val="Strong"/>
        </w:rPr>
        <w:t>Scope of Audit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Verify all WHT deductions, TP benchmarking, and EL filings for accuracy.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Identify risks related to treaty benefits and anti-abuse provisions.</w:t>
      </w:r>
    </w:p>
    <w:p w:rsidR="00A056B6" w:rsidRPr="009C5151" w:rsidRDefault="00A056B6" w:rsidP="00743A5F">
      <w:pPr>
        <w:pStyle w:val="NormalWeb"/>
        <w:spacing w:before="0" w:beforeAutospacing="0"/>
      </w:pPr>
      <w:r w:rsidRPr="009C5151">
        <w:t xml:space="preserve">5.2 </w:t>
      </w:r>
      <w:r w:rsidRPr="009C5151">
        <w:rPr>
          <w:rStyle w:val="Strong"/>
        </w:rPr>
        <w:t>Compliance Tracker</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Implement an automated system to monitor filing deadlines and documentation requirements.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8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9" w:name="_Toc187623920"/>
      <w:bookmarkStart w:id="130" w:name="_Toc187630640"/>
      <w:bookmarkStart w:id="131" w:name="_Toc187660819"/>
      <w:bookmarkStart w:id="132" w:name="_Toc187661898"/>
      <w:r w:rsidRPr="009C5151">
        <w:rPr>
          <w:rStyle w:val="Strong"/>
          <w:b/>
          <w:bCs/>
          <w:sz w:val="24"/>
          <w:szCs w:val="24"/>
        </w:rPr>
        <w:t>Conclusion</w:t>
      </w:r>
      <w:bookmarkEnd w:id="129"/>
      <w:bookmarkEnd w:id="130"/>
      <w:bookmarkEnd w:id="131"/>
      <w:bookmarkEnd w:id="132"/>
    </w:p>
    <w:p w:rsidR="00A056B6" w:rsidRPr="009C5151" w:rsidRDefault="00A056B6" w:rsidP="00743A5F">
      <w:pPr>
        <w:pStyle w:val="NormalWeb"/>
        <w:spacing w:before="0" w:beforeAutospacing="0"/>
      </w:pPr>
      <w:r w:rsidRPr="009C5151">
        <w:t>To address these challenges, GreenPower Pvt. Ltd. should:</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Strengthen WHT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and remit taxes accurately based on DTAA provisions.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TRCs and related documentation.</w:t>
      </w:r>
    </w:p>
    <w:p w:rsidR="00A056B6" w:rsidRPr="009C5151" w:rsidRDefault="00A056B6" w:rsidP="00743A5F">
      <w:pPr>
        <w:pStyle w:val="NormalWeb"/>
        <w:tabs>
          <w:tab w:val="num" w:pos="720"/>
        </w:tabs>
        <w:spacing w:before="0" w:beforeAutospacing="0"/>
        <w:ind w:left="720" w:hanging="360"/>
      </w:pPr>
      <w:r w:rsidRPr="009C5151">
        <w:rPr>
          <w:rStyle w:val="Strong"/>
        </w:rPr>
        <w:t>Enhance Transfer Pricing Policies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Conduct regular benchmarking studies for exports, imports, and loans.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inter-company transactions comply with the arm’s length principle.</w:t>
      </w:r>
    </w:p>
    <w:p w:rsidR="00A056B6" w:rsidRPr="009C5151" w:rsidRDefault="00A056B6" w:rsidP="00743A5F">
      <w:pPr>
        <w:pStyle w:val="NormalWeb"/>
        <w:tabs>
          <w:tab w:val="num" w:pos="720"/>
        </w:tabs>
        <w:spacing w:before="0" w:beforeAutospacing="0"/>
        <w:ind w:left="720" w:hanging="360"/>
      </w:pPr>
      <w:r w:rsidRPr="009C5151">
        <w:rPr>
          <w:rStyle w:val="Strong"/>
        </w:rPr>
        <w:t>Focus on EL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for digital advertising payments and monitor recurring obligations.</w:t>
      </w:r>
    </w:p>
    <w:p w:rsidR="00A056B6" w:rsidRPr="009C5151" w:rsidRDefault="00A056B6" w:rsidP="00743A5F">
      <w:pPr>
        <w:pStyle w:val="NormalWeb"/>
        <w:tabs>
          <w:tab w:val="num" w:pos="720"/>
        </w:tabs>
        <w:spacing w:before="0" w:beforeAutospacing="0"/>
        <w:ind w:left="720" w:hanging="360"/>
      </w:pPr>
      <w:r w:rsidRPr="009C5151">
        <w:rPr>
          <w:rStyle w:val="Strong"/>
        </w:rPr>
        <w:t>Ensure Treaty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Adhere to anti-abuse provisions and demonstrate the economic substance of transactions.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Mitigate PE risks in foreign jurisdictions.</w:t>
      </w:r>
    </w:p>
    <w:p w:rsidR="00A056B6" w:rsidRPr="009C5151" w:rsidRDefault="00A056B6" w:rsidP="00743A5F">
      <w:pPr>
        <w:pStyle w:val="NormalWeb"/>
        <w:tabs>
          <w:tab w:val="num" w:pos="720"/>
        </w:tabs>
        <w:spacing w:before="0" w:beforeAutospacing="0"/>
        <w:ind w:left="720" w:hanging="360"/>
      </w:pPr>
      <w:r w:rsidRPr="009C5151">
        <w:rPr>
          <w:rStyle w:val="Strong"/>
        </w:rPr>
        <w:t>Conduct Periodic Audits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Regular audits can identify gaps in compliance and strengthen internal controls.</w:t>
      </w:r>
    </w:p>
    <w:p w:rsidR="00A056B6" w:rsidRPr="009C5151" w:rsidRDefault="00A056B6" w:rsidP="00743A5F">
      <w:pPr>
        <w:pStyle w:val="NormalWeb"/>
        <w:spacing w:before="0" w:beforeAutospacing="0"/>
      </w:pPr>
      <w:r w:rsidRPr="009C5151">
        <w:t>GreenPower Pvt. Ltd. can mitigate tax risks, optimize compliance, and enhance its global operations by implementing these measures effectively.</w:t>
      </w:r>
    </w:p>
    <w:p w:rsidR="00A056B6" w:rsidRPr="009C5151" w:rsidRDefault="00A056B6" w:rsidP="00743A5F">
      <w:pPr>
        <w:pStyle w:val="NormalWeb"/>
        <w:spacing w:before="0" w:beforeAutospacing="0"/>
      </w:pPr>
      <w:r w:rsidRPr="009C5151">
        <w:t>Would you like templates for TP benchmarking or guidance on automating compliance processes?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5th example of different set of issues and problem and suggested solutions by a CA to a Company including a detailed discussion on the various topics covered under suggestions and Conclusion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51934EC1" wp14:editId="1B412F83">
            <wp:extent cx="763905" cy="763905"/>
            <wp:effectExtent l="0" t="0" r="0" b="0"/>
            <wp:docPr id="322" name="Picture 32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3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33" w:name="_Toc187623921"/>
      <w:bookmarkStart w:id="134" w:name="_Toc187630641"/>
      <w:bookmarkStart w:id="135" w:name="_Toc187660820"/>
      <w:bookmarkStart w:id="136" w:name="_Toc187661899"/>
      <w:r w:rsidRPr="009C5151">
        <w:rPr>
          <w:rStyle w:val="Strong"/>
          <w:b/>
          <w:bCs/>
          <w:sz w:val="24"/>
          <w:szCs w:val="24"/>
        </w:rPr>
        <w:t>Case Study: Tax Challenges for TechInnovate Pvt. Ltd.</w:t>
      </w:r>
      <w:bookmarkEnd w:id="133"/>
      <w:bookmarkEnd w:id="134"/>
      <w:bookmarkEnd w:id="135"/>
      <w:bookmarkEnd w:id="136"/>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lastRenderedPageBreak/>
        <w:t xml:space="preserve">TechInnovate Pvt. Ltd., an Indian technology company, specializes in software development, IT consulting, and digital infrastructure solutions. It has subsidiaries and clients across </w:t>
      </w:r>
      <w:r w:rsidRPr="009C5151">
        <w:rPr>
          <w:rStyle w:val="Strong"/>
        </w:rPr>
        <w:t>USA, UK, Singapore, Australia, China, and UAE</w:t>
      </w:r>
      <w:r w:rsidRPr="009C5151">
        <w:t xml:space="preserve">. The company also engages in domestic transactions with related parties. With its diverse operations, TechInnovate faces unique tax challenges related to </w:t>
      </w:r>
      <w:r w:rsidRPr="009C5151">
        <w:rPr>
          <w:rStyle w:val="Strong"/>
        </w:rPr>
        <w:t>transfer pricing (TP)</w:t>
      </w:r>
      <w:r w:rsidRPr="009C5151">
        <w:t xml:space="preserve">, </w:t>
      </w:r>
      <w:r w:rsidRPr="009C5151">
        <w:rPr>
          <w:rStyle w:val="Strong"/>
        </w:rPr>
        <w:t>withholding tax (WHT)</w:t>
      </w:r>
      <w:r w:rsidRPr="009C5151">
        <w:t xml:space="preserve">, </w:t>
      </w:r>
      <w:r w:rsidRPr="009C5151">
        <w:rPr>
          <w:rStyle w:val="Strong"/>
        </w:rPr>
        <w:t>equalization levy (EL)</w:t>
      </w:r>
      <w:r w:rsidRPr="009C5151">
        <w:t xml:space="preserve">, </w:t>
      </w:r>
      <w:r w:rsidRPr="009C5151">
        <w:rPr>
          <w:rStyle w:val="Strong"/>
        </w:rPr>
        <w:t>royalty payments</w:t>
      </w:r>
      <w:r w:rsidRPr="009C5151">
        <w:t xml:space="preserve">, and </w:t>
      </w:r>
      <w:r w:rsidRPr="009C5151">
        <w:rPr>
          <w:rStyle w:val="Strong"/>
        </w:rPr>
        <w:t>treaty compliance</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8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37" w:name="_Toc187623922"/>
      <w:bookmarkStart w:id="138" w:name="_Toc187630642"/>
      <w:bookmarkStart w:id="139" w:name="_Toc187660821"/>
      <w:bookmarkStart w:id="140" w:name="_Toc187661900"/>
      <w:r w:rsidRPr="009C5151">
        <w:rPr>
          <w:rStyle w:val="Strong"/>
          <w:b/>
          <w:bCs/>
          <w:sz w:val="24"/>
          <w:szCs w:val="24"/>
        </w:rPr>
        <w:t>Transactions</w:t>
      </w:r>
      <w:bookmarkEnd w:id="137"/>
      <w:bookmarkEnd w:id="138"/>
      <w:bookmarkEnd w:id="139"/>
      <w:bookmarkEnd w:id="140"/>
    </w:p>
    <w:p w:rsidR="00A056B6" w:rsidRPr="009C5151" w:rsidRDefault="00A056B6" w:rsidP="00743A5F">
      <w:pPr>
        <w:pStyle w:val="Heading4"/>
        <w:spacing w:before="0" w:beforeAutospacing="0"/>
      </w:pPr>
      <w:r w:rsidRPr="009C5151">
        <w:rPr>
          <w:rStyle w:val="Strong"/>
          <w:b/>
          <w:bCs/>
        </w:rPr>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Software License Exports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Sold software licenses worth ₹80 crore to USA, UK, and Singapore.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Revenue involves potential classification as royalty under certain DTAAs.</w:t>
      </w:r>
    </w:p>
    <w:p w:rsidR="00A056B6" w:rsidRPr="009C5151" w:rsidRDefault="00A056B6" w:rsidP="00743A5F">
      <w:pPr>
        <w:pStyle w:val="NormalWeb"/>
        <w:tabs>
          <w:tab w:val="num" w:pos="720"/>
        </w:tabs>
        <w:spacing w:before="0" w:beforeAutospacing="0"/>
        <w:ind w:left="720" w:hanging="360"/>
      </w:pPr>
      <w:r w:rsidRPr="009C5151">
        <w:rPr>
          <w:rStyle w:val="Strong"/>
        </w:rPr>
        <w:t>Technical Support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Earned ₹30 crore for technical support provided to UAE and Australian clients.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Payments from UAE clients are exempt due to UAE tax rules but are taxable in India.</w:t>
      </w:r>
    </w:p>
    <w:p w:rsidR="00A056B6" w:rsidRPr="009C5151" w:rsidRDefault="00A056B6" w:rsidP="00743A5F">
      <w:pPr>
        <w:pStyle w:val="NormalWeb"/>
        <w:tabs>
          <w:tab w:val="num" w:pos="720"/>
        </w:tabs>
        <w:spacing w:before="0" w:beforeAutospacing="0"/>
        <w:ind w:left="720" w:hanging="360"/>
      </w:pPr>
      <w:r w:rsidRPr="009C5151">
        <w:rPr>
          <w:rStyle w:val="Strong"/>
        </w:rPr>
        <w:t>Import of Hardware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Imported ₹40 crore worth of servers and equipment from China for data centers.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Questionable pricing of imports needs validation under transfer pricing regulations.</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₹12 crore to a UK subsidiary for proprietary algorithms used in software solutions.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rate under India-UK DTAA: 10%.</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₹5 crore to a USA-based platform for online advertisements.</w:t>
      </w:r>
    </w:p>
    <w:p w:rsidR="00A056B6" w:rsidRPr="009C5151" w:rsidRDefault="00A056B6" w:rsidP="00743A5F">
      <w:pPr>
        <w:pStyle w:val="Heading4"/>
        <w:spacing w:before="0" w:beforeAutospacing="0"/>
      </w:pPr>
      <w:r w:rsidRPr="009C5151">
        <w:rPr>
          <w:rStyle w:val="Strong"/>
          <w:b/>
          <w:bCs/>
        </w:rPr>
        <w:t>Domestic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₹6 crore to a domestic group entity for HR and finance shared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Potential applicability of specified domestic transaction compliance.</w:t>
      </w:r>
    </w:p>
    <w:p w:rsidR="00A056B6" w:rsidRPr="009C5151" w:rsidRDefault="00A056B6" w:rsidP="00743A5F">
      <w:pPr>
        <w:pStyle w:val="NormalWeb"/>
        <w:tabs>
          <w:tab w:val="num" w:pos="720"/>
        </w:tabs>
        <w:spacing w:before="0" w:beforeAutospacing="0"/>
        <w:ind w:left="720" w:hanging="360"/>
      </w:pPr>
      <w:r w:rsidRPr="009C5151">
        <w:rPr>
          <w:rStyle w:val="Strong"/>
        </w:rPr>
        <w:t>Asset Leasing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data center equipment worth ₹25 crore to another Indian group company.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8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41" w:name="_Toc187623923"/>
      <w:bookmarkStart w:id="142" w:name="_Toc187630643"/>
      <w:bookmarkStart w:id="143" w:name="_Toc187660822"/>
      <w:bookmarkStart w:id="144" w:name="_Toc187661901"/>
      <w:r w:rsidRPr="009C5151">
        <w:rPr>
          <w:rStyle w:val="Strong"/>
          <w:b/>
          <w:bCs/>
          <w:sz w:val="24"/>
          <w:szCs w:val="24"/>
        </w:rPr>
        <w:t>Key Issues</w:t>
      </w:r>
      <w:bookmarkEnd w:id="141"/>
      <w:bookmarkEnd w:id="142"/>
      <w:bookmarkEnd w:id="143"/>
      <w:bookmarkEnd w:id="144"/>
    </w:p>
    <w:p w:rsidR="00A056B6" w:rsidRPr="009C5151" w:rsidRDefault="00A056B6" w:rsidP="00743A5F">
      <w:pPr>
        <w:pStyle w:val="Heading4"/>
        <w:spacing w:before="0" w:beforeAutospacing="0"/>
      </w:pPr>
      <w:r w:rsidRPr="009C5151">
        <w:t xml:space="preserve">1. </w:t>
      </w:r>
      <w:r w:rsidRPr="009C5151">
        <w:rPr>
          <w:rStyle w:val="Strong"/>
          <w:b/>
          <w:bCs/>
        </w:rPr>
        <w:t>Classification and WHT on Software License Exports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classification as royalty under DTAAs with the USA and UK, leading to WHT obligations.</w:t>
      </w:r>
    </w:p>
    <w:p w:rsidR="00A056B6" w:rsidRPr="009C5151" w:rsidRDefault="00A056B6" w:rsidP="00743A5F">
      <w:pPr>
        <w:pStyle w:val="Heading4"/>
        <w:spacing w:before="0" w:beforeAutospacing="0"/>
      </w:pPr>
      <w:r w:rsidRPr="009C5151">
        <w:t xml:space="preserve">2. </w:t>
      </w:r>
      <w:r w:rsidRPr="009C5151">
        <w:rPr>
          <w:rStyle w:val="Strong"/>
          <w:b/>
          <w:bCs/>
        </w:rPr>
        <w:t>Transfer Pricing (TP)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Inadequate benchmarking for ₹40 crore imports of servers from China and ₹6 crore shared services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Need for justification of arm’s length pricing for royalties paid to the UK subsidiary.</w:t>
      </w:r>
    </w:p>
    <w:p w:rsidR="00A056B6" w:rsidRPr="009C5151" w:rsidRDefault="00A056B6" w:rsidP="00743A5F">
      <w:pPr>
        <w:pStyle w:val="Heading4"/>
        <w:spacing w:before="0" w:beforeAutospacing="0"/>
      </w:pPr>
      <w:r w:rsidRPr="009C5151">
        <w:t xml:space="preserve">3. </w:t>
      </w:r>
      <w:r w:rsidRPr="009C5151">
        <w:rPr>
          <w:rStyle w:val="Strong"/>
          <w:b/>
          <w:bCs/>
        </w:rPr>
        <w:t>Equalization Levy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applicability on ₹5 crore paid to the USA platform for digital advertising.</w:t>
      </w:r>
    </w:p>
    <w:p w:rsidR="00A056B6" w:rsidRPr="009C5151" w:rsidRDefault="00A056B6" w:rsidP="00743A5F">
      <w:pPr>
        <w:pStyle w:val="Heading4"/>
        <w:spacing w:before="0" w:beforeAutospacing="0"/>
      </w:pPr>
      <w:r w:rsidRPr="009C5151">
        <w:t xml:space="preserve">4. </w:t>
      </w:r>
      <w:r w:rsidRPr="009C5151">
        <w:rPr>
          <w:rStyle w:val="Strong"/>
          <w:b/>
          <w:bCs/>
        </w:rPr>
        <w:t>Double Taxation Avoidance Agreements (DTAAs)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Misinterpretation of treaty provisions for royalty payments and technical service income.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Ensuring compliance with anti-abuse provisions under treaties and MLI (Multilateral Instrument).</w:t>
      </w:r>
    </w:p>
    <w:p w:rsidR="00A056B6" w:rsidRPr="009C5151" w:rsidRDefault="00A056B6" w:rsidP="00743A5F">
      <w:pPr>
        <w:pStyle w:val="Heading4"/>
        <w:spacing w:before="0" w:beforeAutospacing="0"/>
      </w:pPr>
      <w:r w:rsidRPr="009C5151">
        <w:t xml:space="preserve">5. </w:t>
      </w:r>
      <w:r w:rsidRPr="009C5151">
        <w:rPr>
          <w:rStyle w:val="Strong"/>
          <w:b/>
          <w:bCs/>
        </w:rPr>
        <w:t>Domestic Specified Transactions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Need for TP compliance on intra-group asset leasing and shared services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8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45" w:name="_Toc187623924"/>
      <w:bookmarkStart w:id="146" w:name="_Toc187630644"/>
      <w:bookmarkStart w:id="147" w:name="_Toc187660823"/>
      <w:bookmarkStart w:id="148" w:name="_Toc187661902"/>
      <w:r w:rsidRPr="009C5151">
        <w:rPr>
          <w:rStyle w:val="Strong"/>
          <w:b/>
          <w:bCs/>
          <w:sz w:val="24"/>
          <w:szCs w:val="24"/>
        </w:rPr>
        <w:t>Proposed Solutions</w:t>
      </w:r>
      <w:bookmarkEnd w:id="145"/>
      <w:bookmarkEnd w:id="146"/>
      <w:bookmarkEnd w:id="147"/>
      <w:bookmarkEnd w:id="148"/>
    </w:p>
    <w:p w:rsidR="00A056B6" w:rsidRPr="009C5151" w:rsidRDefault="00A056B6" w:rsidP="00743A5F">
      <w:pPr>
        <w:pStyle w:val="Heading4"/>
        <w:spacing w:before="0" w:beforeAutospacing="0"/>
      </w:pPr>
      <w:r w:rsidRPr="009C5151">
        <w:rPr>
          <w:rStyle w:val="Strong"/>
          <w:b/>
          <w:bCs/>
        </w:rPr>
        <w:t>1. Classification and WHT on Software License Exports</w:t>
      </w:r>
    </w:p>
    <w:p w:rsidR="00A056B6" w:rsidRPr="009C5151" w:rsidRDefault="00A056B6" w:rsidP="00743A5F">
      <w:pPr>
        <w:pStyle w:val="NormalWeb"/>
        <w:tabs>
          <w:tab w:val="num" w:pos="720"/>
        </w:tabs>
        <w:spacing w:before="0" w:beforeAutospacing="0"/>
        <w:ind w:left="720" w:hanging="360"/>
      </w:pPr>
      <w:r w:rsidRPr="009C5151">
        <w:rPr>
          <w:rStyle w:val="Strong"/>
        </w:rPr>
        <w:t>Royalties vs. Business Income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Analyze whether software license sales involve IP rights transfer, making them royalties under DTAAs.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If classified as royalties, apply WHT: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Style w:val="Strong"/>
          <w:rFonts w:ascii="Times New Roman" w:hAnsi="Times New Roman" w:cs="Times New Roman"/>
          <w:sz w:val="24"/>
          <w:szCs w:val="24"/>
        </w:rPr>
        <w:t>USA</w:t>
      </w:r>
      <w:r w:rsidRPr="009C5151">
        <w:rPr>
          <w:rFonts w:ascii="Times New Roman" w:hAnsi="Times New Roman" w:cs="Times New Roman"/>
          <w:sz w:val="24"/>
          <w:szCs w:val="24"/>
        </w:rPr>
        <w:t>: 10% under India-USA DTAA.</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UK</w:t>
      </w:r>
      <w:r w:rsidRPr="009C5151">
        <w:rPr>
          <w:rFonts w:ascii="Times New Roman" w:hAnsi="Times New Roman" w:cs="Times New Roman"/>
          <w:sz w:val="24"/>
          <w:szCs w:val="24"/>
        </w:rPr>
        <w:t>: 10% under India-UK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For non-royalty classification, ensure no permanent establishment (PE) exists in client jurisdictions to exempt from WHT.</w:t>
      </w:r>
    </w:p>
    <w:p w:rsidR="00A056B6" w:rsidRPr="009C5151" w:rsidRDefault="00A056B6" w:rsidP="00743A5F">
      <w:pPr>
        <w:pStyle w:val="NormalWeb"/>
        <w:tabs>
          <w:tab w:val="num" w:pos="720"/>
        </w:tabs>
        <w:spacing w:before="0" w:beforeAutospacing="0"/>
        <w:ind w:left="720" w:hanging="360"/>
      </w:pPr>
      <w:r w:rsidRPr="009C5151">
        <w:rPr>
          <w:rStyle w:val="Strong"/>
        </w:rPr>
        <w:t>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detailed agreements to substantiate the nature of transactions and avoid misclassification.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8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Imports from China</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the </w:t>
      </w:r>
      <w:r w:rsidRPr="009C5151">
        <w:rPr>
          <w:rStyle w:val="Strong"/>
          <w:rFonts w:ascii="Times New Roman" w:hAnsi="Times New Roman" w:cs="Times New Roman"/>
          <w:sz w:val="24"/>
          <w:szCs w:val="24"/>
        </w:rPr>
        <w:t>Comparable Uncontrolled Price (CUP) Method</w:t>
      </w:r>
      <w:r w:rsidRPr="009C5151">
        <w:rPr>
          <w:rFonts w:ascii="Times New Roman" w:hAnsi="Times New Roman" w:cs="Times New Roman"/>
          <w:sz w:val="24"/>
          <w:szCs w:val="24"/>
        </w:rPr>
        <w:t xml:space="preserve"> to validate ₹40 crore import pricing.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Review invoices, market data, and supplier agreements to ensure arm’s length pricing.</w:t>
      </w:r>
    </w:p>
    <w:p w:rsidR="00A056B6" w:rsidRPr="009C5151" w:rsidRDefault="00A056B6" w:rsidP="00743A5F">
      <w:pPr>
        <w:pStyle w:val="NormalWeb"/>
        <w:tabs>
          <w:tab w:val="num" w:pos="720"/>
        </w:tabs>
        <w:spacing w:before="0" w:beforeAutospacing="0"/>
        <w:ind w:left="720" w:hanging="360"/>
      </w:pPr>
      <w:r w:rsidRPr="009C5151">
        <w:rPr>
          <w:rStyle w:val="Strong"/>
        </w:rPr>
        <w:t>Royalties to the UK</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₹12 crore royalty payments using the </w:t>
      </w:r>
      <w:r w:rsidRPr="009C5151">
        <w:rPr>
          <w:rStyle w:val="Strong"/>
          <w:rFonts w:ascii="Times New Roman" w:hAnsi="Times New Roman" w:cs="Times New Roman"/>
          <w:sz w:val="24"/>
          <w:szCs w:val="24"/>
        </w:rPr>
        <w:t>Profit Split Method (PSM)</w:t>
      </w:r>
      <w:r w:rsidRPr="009C5151">
        <w:rPr>
          <w:rFonts w:ascii="Times New Roman" w:hAnsi="Times New Roman" w:cs="Times New Roman"/>
          <w:sz w:val="24"/>
          <w:szCs w:val="24"/>
        </w:rPr>
        <w:t xml:space="preserve"> to align profit-sharing with value contribution.</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Justify ₹6 crore payment for HR and finance support through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including markup analysis.</w:t>
      </w:r>
    </w:p>
    <w:p w:rsidR="00A056B6" w:rsidRPr="009C5151" w:rsidRDefault="00A056B6" w:rsidP="00743A5F">
      <w:pPr>
        <w:pStyle w:val="NormalWeb"/>
        <w:tabs>
          <w:tab w:val="num" w:pos="720"/>
        </w:tabs>
        <w:spacing w:before="0" w:beforeAutospacing="0"/>
        <w:ind w:left="720" w:hanging="360"/>
      </w:pPr>
      <w:r w:rsidRPr="009C5151">
        <w:rPr>
          <w:rStyle w:val="Strong"/>
        </w:rPr>
        <w:t>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Form 3CEB with comprehensive TP documentation.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9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applies to ₹5 crore digital advertising payments to the USA platform at 6%.</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Deposit ₹30 lakh levy and file annual EL returns.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9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Double Taxation Avoidance Agreements (DTAAs)</w:t>
      </w:r>
    </w:p>
    <w:p w:rsidR="00A056B6" w:rsidRPr="009C5151" w:rsidRDefault="00A056B6" w:rsidP="00743A5F">
      <w:pPr>
        <w:pStyle w:val="NormalWeb"/>
        <w:tabs>
          <w:tab w:val="num" w:pos="720"/>
        </w:tabs>
        <w:spacing w:before="0" w:beforeAutospacing="0"/>
        <w:ind w:left="720" w:hanging="360"/>
      </w:pPr>
      <w:r w:rsidRPr="009C5151">
        <w:rPr>
          <w:rStyle w:val="Strong"/>
        </w:rPr>
        <w:t>Royalties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the 10% WHT rate under the India-UK DTAA for ₹12 crore royalty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Retain TRCs and Form 10F to substantiate treaty benefits.</w:t>
      </w:r>
    </w:p>
    <w:p w:rsidR="00A056B6" w:rsidRPr="009C5151" w:rsidRDefault="00A056B6" w:rsidP="00743A5F">
      <w:pPr>
        <w:pStyle w:val="NormalWeb"/>
        <w:tabs>
          <w:tab w:val="num" w:pos="720"/>
        </w:tabs>
        <w:spacing w:before="0" w:beforeAutospacing="0"/>
        <w:ind w:left="720" w:hanging="360"/>
      </w:pPr>
      <w:r w:rsidRPr="009C5151">
        <w:rPr>
          <w:rStyle w:val="Strong"/>
        </w:rPr>
        <w:t>Technical Services Income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For ₹30 crore received from UAE, demonstrate economic substance and align with treaty provisions. As UAE exempts payments, tax it under Indian rules.</w:t>
      </w:r>
    </w:p>
    <w:p w:rsidR="00A056B6" w:rsidRPr="009C5151" w:rsidRDefault="00A056B6" w:rsidP="00743A5F">
      <w:pPr>
        <w:pStyle w:val="NormalWeb"/>
        <w:tabs>
          <w:tab w:val="num" w:pos="720"/>
        </w:tabs>
        <w:spacing w:before="0" w:beforeAutospacing="0"/>
        <w:ind w:left="720" w:hanging="360"/>
      </w:pPr>
      <w:r w:rsidRPr="009C5151">
        <w:rPr>
          <w:rStyle w:val="Strong"/>
        </w:rPr>
        <w:t>Anti-Abuse Measures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compliance with the Principal Purpose Test (PPT) and other anti-abuse rules under DTAAs and MLI.</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9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Domestic Specified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Shared Services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₹6 crore payment for shared services using third-party cost-plus agreements as comparables.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Asset Leasing</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₹25 crore leasing price against market rates using CUP Method.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Form 3CEB to disclose specified domestic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9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49" w:name="_Toc187623925"/>
      <w:bookmarkStart w:id="150" w:name="_Toc187630645"/>
      <w:bookmarkStart w:id="151" w:name="_Toc187660824"/>
      <w:bookmarkStart w:id="152" w:name="_Toc187661903"/>
      <w:r w:rsidRPr="009C5151">
        <w:rPr>
          <w:rStyle w:val="Strong"/>
          <w:b/>
          <w:bCs/>
          <w:sz w:val="24"/>
          <w:szCs w:val="24"/>
        </w:rPr>
        <w:t>Detailed Discussion of Proposed Solutions</w:t>
      </w:r>
      <w:bookmarkEnd w:id="149"/>
      <w:bookmarkEnd w:id="150"/>
      <w:bookmarkEnd w:id="151"/>
      <w:bookmarkEnd w:id="152"/>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09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Classification and WHT on Software License Exports</w:t>
      </w:r>
    </w:p>
    <w:p w:rsidR="00A056B6" w:rsidRPr="009C5151" w:rsidRDefault="00A056B6" w:rsidP="00743A5F">
      <w:pPr>
        <w:pStyle w:val="NormalWeb"/>
        <w:spacing w:before="0" w:beforeAutospacing="0"/>
      </w:pPr>
      <w:r w:rsidRPr="009C5151">
        <w:t xml:space="preserve">1.1 </w:t>
      </w:r>
      <w:r w:rsidRPr="009C5151">
        <w:rPr>
          <w:rStyle w:val="Strong"/>
        </w:rPr>
        <w:t>Correct Classification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Software licenses may be classified as: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Royalties</w:t>
      </w:r>
      <w:r w:rsidRPr="009C5151">
        <w:rPr>
          <w:rFonts w:ascii="Times New Roman" w:hAnsi="Times New Roman" w:cs="Times New Roman"/>
          <w:sz w:val="24"/>
          <w:szCs w:val="24"/>
        </w:rPr>
        <w:t>: If IP rights are transferred.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Business Income</w:t>
      </w:r>
      <w:r w:rsidRPr="009C5151">
        <w:rPr>
          <w:rFonts w:ascii="Times New Roman" w:hAnsi="Times New Roman" w:cs="Times New Roman"/>
          <w:sz w:val="24"/>
          <w:szCs w:val="24"/>
        </w:rPr>
        <w:t>: If licenses are purely operational.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Apply DTAA provisions for reduced WHT rates or exemption where applicable.</w:t>
      </w:r>
    </w:p>
    <w:p w:rsidR="00A056B6" w:rsidRPr="009C5151" w:rsidRDefault="00A056B6" w:rsidP="00743A5F">
      <w:pPr>
        <w:pStyle w:val="NormalWeb"/>
        <w:spacing w:before="0" w:beforeAutospacing="0"/>
      </w:pPr>
      <w:r w:rsidRPr="009C5151">
        <w:t xml:space="preserve">1.2 </w:t>
      </w:r>
      <w:r w:rsidRPr="009C5151">
        <w:rPr>
          <w:rStyle w:val="Strong"/>
        </w:rPr>
        <w:t>Documentation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Agreements must clearly define the nature of the transaction, including IP rights and usage restrictions.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9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Transfer Pricing Compliance</w:t>
      </w:r>
    </w:p>
    <w:p w:rsidR="00A056B6" w:rsidRPr="009C5151" w:rsidRDefault="00A056B6" w:rsidP="00743A5F">
      <w:pPr>
        <w:pStyle w:val="NormalWeb"/>
        <w:spacing w:before="0" w:beforeAutospacing="0"/>
      </w:pPr>
      <w:r w:rsidRPr="009C5151">
        <w:lastRenderedPageBreak/>
        <w:t xml:space="preserve">2.1 </w:t>
      </w:r>
      <w:r w:rsidRPr="009C5151">
        <w:rPr>
          <w:rStyle w:val="Strong"/>
        </w:rPr>
        <w:t>Imports from China</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CUP Method to validate import pricing. Compare invoices with market rates for similar servers to ensure compliance.</w:t>
      </w:r>
    </w:p>
    <w:p w:rsidR="00A056B6" w:rsidRPr="009C5151" w:rsidRDefault="00A056B6" w:rsidP="00743A5F">
      <w:pPr>
        <w:pStyle w:val="NormalWeb"/>
        <w:spacing w:before="0" w:beforeAutospacing="0"/>
      </w:pPr>
      <w:r w:rsidRPr="009C5151">
        <w:t xml:space="preserve">2.2 </w:t>
      </w:r>
      <w:r w:rsidRPr="009C5151">
        <w:rPr>
          <w:rStyle w:val="Strong"/>
        </w:rPr>
        <w:t>Royalties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royalty payments using PSM, allocating profits proportionate to value creation within the group.</w:t>
      </w:r>
    </w:p>
    <w:p w:rsidR="00A056B6" w:rsidRPr="009C5151" w:rsidRDefault="00A056B6" w:rsidP="00743A5F">
      <w:pPr>
        <w:pStyle w:val="NormalWeb"/>
        <w:spacing w:before="0" w:beforeAutospacing="0"/>
      </w:pPr>
      <w:r w:rsidRPr="009C5151">
        <w:t xml:space="preserve">2.3 </w:t>
      </w:r>
      <w:r w:rsidRPr="009C5151">
        <w:rPr>
          <w:rStyle w:val="Strong"/>
        </w:rPr>
        <w:t>Shared Services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Analyze third-party HR and finance service agreements to determine appropriate markup percentages.</w:t>
      </w:r>
    </w:p>
    <w:p w:rsidR="00A056B6" w:rsidRPr="009C5151" w:rsidRDefault="00A056B6" w:rsidP="00743A5F">
      <w:pPr>
        <w:pStyle w:val="NormalWeb"/>
        <w:spacing w:before="0" w:beforeAutospacing="0"/>
      </w:pPr>
      <w:r w:rsidRPr="009C5151">
        <w:t xml:space="preserve">2.4 </w:t>
      </w:r>
      <w:r w:rsidRPr="009C5151">
        <w:rPr>
          <w:rStyle w:val="Strong"/>
        </w:rPr>
        <w:t>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TP reports in Form 3CEB, ensuring all international and domestic specified transactions are covered.</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9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pStyle w:val="NormalWeb"/>
        <w:spacing w:before="0" w:beforeAutospacing="0"/>
      </w:pPr>
      <w:r w:rsidRPr="009C5151">
        <w:t xml:space="preserve">3.1 </w:t>
      </w:r>
      <w:r w:rsidRPr="009C5151">
        <w:rPr>
          <w:rStyle w:val="Strong"/>
        </w:rPr>
        <w:t>EL Calculation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at 6% on ₹5 crore digital advertising payments amounts to ₹30 lakh.</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Deposit EL within the statutory deadline and file returns annually.</w:t>
      </w:r>
    </w:p>
    <w:p w:rsidR="00A056B6" w:rsidRPr="009C5151" w:rsidRDefault="00A056B6" w:rsidP="00743A5F">
      <w:pPr>
        <w:pStyle w:val="NormalWeb"/>
        <w:spacing w:before="0" w:beforeAutospacing="0"/>
      </w:pPr>
      <w:r w:rsidRPr="009C5151">
        <w:t xml:space="preserve">3.2 </w:t>
      </w:r>
      <w:r w:rsidRPr="009C5151">
        <w:rPr>
          <w:rStyle w:val="Strong"/>
        </w:rPr>
        <w:t>Classification Review</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all digital services fall within the EL scope to avoid misreporting or underpayment.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9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Double Taxation Avoidance Agreements (DTAAs)</w:t>
      </w:r>
    </w:p>
    <w:p w:rsidR="00A056B6" w:rsidRPr="009C5151" w:rsidRDefault="00A056B6" w:rsidP="00743A5F">
      <w:pPr>
        <w:pStyle w:val="NormalWeb"/>
        <w:spacing w:before="0" w:beforeAutospacing="0"/>
      </w:pPr>
      <w:r w:rsidRPr="009C5151">
        <w:t xml:space="preserve">4.1 </w:t>
      </w:r>
      <w:r w:rsidRPr="009C5151">
        <w:rPr>
          <w:rStyle w:val="Strong"/>
        </w:rPr>
        <w:t>WHT on Royalties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10% on ₹12 crore royalty payments to the UK subsidiary under the DTAA.</w:t>
      </w:r>
    </w:p>
    <w:p w:rsidR="00A056B6" w:rsidRPr="009C5151" w:rsidRDefault="00A056B6" w:rsidP="00743A5F">
      <w:pPr>
        <w:pStyle w:val="NormalWeb"/>
        <w:spacing w:before="0" w:beforeAutospacing="0"/>
      </w:pPr>
      <w:r w:rsidRPr="009C5151">
        <w:t xml:space="preserve">4.2 </w:t>
      </w:r>
      <w:r w:rsidRPr="009C5151">
        <w:rPr>
          <w:rStyle w:val="Strong"/>
        </w:rPr>
        <w:t>Technical Services Income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Demonstrate no PE in the UAE for ₹30 crore technical services income to claim UAE exemptions.</w:t>
      </w:r>
    </w:p>
    <w:p w:rsidR="00A056B6" w:rsidRPr="009C5151" w:rsidRDefault="00A056B6" w:rsidP="00743A5F">
      <w:pPr>
        <w:pStyle w:val="NormalWeb"/>
        <w:spacing w:before="0" w:beforeAutospacing="0"/>
      </w:pPr>
      <w:r w:rsidRPr="009C5151">
        <w:t xml:space="preserve">4.3 </w:t>
      </w:r>
      <w:r w:rsidRPr="009C5151">
        <w:rPr>
          <w:rStyle w:val="Strong"/>
        </w:rPr>
        <w:t>Anti-Abuse Provisions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Address PPT and MLI requirements by documenting the business purpose and economic substance of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09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Domestic Specified Transactions</w:t>
      </w:r>
    </w:p>
    <w:p w:rsidR="00A056B6" w:rsidRPr="009C5151" w:rsidRDefault="00A056B6" w:rsidP="00743A5F">
      <w:pPr>
        <w:pStyle w:val="NormalWeb"/>
        <w:spacing w:before="0" w:beforeAutospacing="0"/>
      </w:pPr>
      <w:r w:rsidRPr="009C5151">
        <w:t xml:space="preserve">5.1 </w:t>
      </w:r>
      <w:r w:rsidRPr="009C5151">
        <w:rPr>
          <w:rStyle w:val="Strong"/>
        </w:rPr>
        <w:t>Shared Services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the CPM to justify ₹6 crore payment for HR and finance support.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Retain agreements and invoices for scrutiny.</w:t>
      </w:r>
    </w:p>
    <w:p w:rsidR="00A056B6" w:rsidRPr="009C5151" w:rsidRDefault="00A056B6" w:rsidP="00743A5F">
      <w:pPr>
        <w:pStyle w:val="NormalWeb"/>
        <w:spacing w:before="0" w:beforeAutospacing="0"/>
      </w:pPr>
      <w:r w:rsidRPr="009C5151">
        <w:t xml:space="preserve">5.2 </w:t>
      </w:r>
      <w:r w:rsidRPr="009C5151">
        <w:rPr>
          <w:rStyle w:val="Strong"/>
        </w:rPr>
        <w:t>Asset Leasing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leasing prices for ₹25 crore data center equipment using market comparables.</w:t>
      </w:r>
    </w:p>
    <w:p w:rsidR="00A056B6" w:rsidRPr="009C5151" w:rsidRDefault="00A056B6" w:rsidP="00743A5F">
      <w:pPr>
        <w:pStyle w:val="NormalWeb"/>
        <w:spacing w:before="0" w:beforeAutospacing="0"/>
      </w:pPr>
      <w:r w:rsidRPr="009C5151">
        <w:t xml:space="preserve">5.3 </w:t>
      </w:r>
      <w:r w:rsidRPr="009C5151">
        <w:rPr>
          <w:rStyle w:val="Strong"/>
        </w:rPr>
        <w:t>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Disclose all specified domestic transactions in Form 3CEB to avoid penalties.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9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53" w:name="_Toc187623926"/>
      <w:bookmarkStart w:id="154" w:name="_Toc187630646"/>
      <w:bookmarkStart w:id="155" w:name="_Toc187660825"/>
      <w:bookmarkStart w:id="156" w:name="_Toc187661904"/>
      <w:r w:rsidRPr="009C5151">
        <w:rPr>
          <w:rStyle w:val="Strong"/>
          <w:b/>
          <w:bCs/>
          <w:sz w:val="24"/>
          <w:szCs w:val="24"/>
        </w:rPr>
        <w:t>Conclusion</w:t>
      </w:r>
      <w:bookmarkEnd w:id="153"/>
      <w:bookmarkEnd w:id="154"/>
      <w:bookmarkEnd w:id="155"/>
      <w:bookmarkEnd w:id="156"/>
    </w:p>
    <w:p w:rsidR="00A056B6" w:rsidRPr="009C5151" w:rsidRDefault="00A056B6" w:rsidP="00743A5F">
      <w:pPr>
        <w:pStyle w:val="NormalWeb"/>
        <w:spacing w:before="0" w:beforeAutospacing="0"/>
      </w:pPr>
      <w:r w:rsidRPr="009C5151">
        <w:t>To resolve these issues, TechInnovate Pvt. Ltd. should:</w:t>
      </w:r>
    </w:p>
    <w:p w:rsidR="00A056B6" w:rsidRPr="009C5151" w:rsidRDefault="00A056B6" w:rsidP="00743A5F">
      <w:pPr>
        <w:pStyle w:val="NormalWeb"/>
        <w:tabs>
          <w:tab w:val="num" w:pos="720"/>
        </w:tabs>
        <w:spacing w:before="0" w:beforeAutospacing="0"/>
        <w:ind w:left="720" w:hanging="360"/>
      </w:pPr>
      <w:r w:rsidRPr="009C5151">
        <w:rPr>
          <w:rStyle w:val="Strong"/>
        </w:rPr>
        <w:t>Strengthen WHT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based on treaty rates and maintain TRCs to substantiate treaty claims.</w:t>
      </w:r>
    </w:p>
    <w:p w:rsidR="00A056B6" w:rsidRPr="009C5151" w:rsidRDefault="00A056B6" w:rsidP="00743A5F">
      <w:pPr>
        <w:pStyle w:val="NormalWeb"/>
        <w:tabs>
          <w:tab w:val="num" w:pos="720"/>
        </w:tabs>
        <w:spacing w:before="0" w:beforeAutospacing="0"/>
        <w:ind w:left="720" w:hanging="360"/>
      </w:pPr>
      <w:r w:rsidRPr="009C5151">
        <w:rPr>
          <w:rStyle w:val="Strong"/>
        </w:rPr>
        <w:t>Enhance Transfer Pricing Policies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Conduct detailed benchmarking studies for imports, royalties, and shared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accurate TP documentation covering all specified and 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Focus on Equalization Levy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and deposit the levy promptly to avoid interest and penalties.</w:t>
      </w:r>
    </w:p>
    <w:p w:rsidR="00A056B6" w:rsidRPr="009C5151" w:rsidRDefault="00A056B6" w:rsidP="00743A5F">
      <w:pPr>
        <w:pStyle w:val="NormalWeb"/>
        <w:tabs>
          <w:tab w:val="num" w:pos="720"/>
        </w:tabs>
        <w:spacing w:before="0" w:beforeAutospacing="0"/>
        <w:ind w:left="720" w:hanging="360"/>
      </w:pPr>
      <w:r w:rsidRPr="009C5151">
        <w:rPr>
          <w:rStyle w:val="Strong"/>
        </w:rPr>
        <w:t>Ensure Treaty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 transactions with DTAA provisions and MLI anti-abuse rules.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Mitigate risks of misclassification and double taxation.</w:t>
      </w:r>
    </w:p>
    <w:p w:rsidR="00A056B6" w:rsidRPr="009C5151" w:rsidRDefault="00A056B6" w:rsidP="00743A5F">
      <w:pPr>
        <w:pStyle w:val="NormalWeb"/>
        <w:tabs>
          <w:tab w:val="num" w:pos="720"/>
        </w:tabs>
        <w:spacing w:before="0" w:beforeAutospacing="0"/>
        <w:ind w:left="720" w:hanging="360"/>
      </w:pPr>
      <w:r w:rsidRPr="009C5151">
        <w:rPr>
          <w:rStyle w:val="Strong"/>
        </w:rPr>
        <w:t>Conduct Internal Audits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Regularly review tax compliance processes for WHT, TP, and EL filings.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Implement compliance trackers to monitor key deadlines.</w:t>
      </w:r>
    </w:p>
    <w:p w:rsidR="00A056B6" w:rsidRPr="009C5151" w:rsidRDefault="00A056B6" w:rsidP="00743A5F">
      <w:pPr>
        <w:pStyle w:val="NormalWeb"/>
        <w:spacing w:before="0" w:beforeAutospacing="0"/>
      </w:pPr>
      <w:r w:rsidRPr="009C5151">
        <w:lastRenderedPageBreak/>
        <w:t>By addressing these issues systematically, TechInnovate Pvt. Ltd. can ensure tax compliance, reduce risks, and maintain operational efficiency across jurisdictions.</w:t>
      </w:r>
    </w:p>
    <w:p w:rsidR="00A056B6" w:rsidRPr="009C5151" w:rsidRDefault="00A056B6" w:rsidP="00743A5F">
      <w:pPr>
        <w:pStyle w:val="NormalWeb"/>
        <w:spacing w:before="0" w:beforeAutospacing="0"/>
      </w:pPr>
      <w:r w:rsidRPr="009C5151">
        <w:t>Would you like assistance in developing templates for compliance filings or internal policies?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6th example of different set of issues and problem and suggested solutions by a CA to a Company including a detailed discussion on the various topics covered under suggestions and Conclusion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EC86F8F" wp14:editId="5A6C98EA">
            <wp:extent cx="763905" cy="763905"/>
            <wp:effectExtent l="0" t="0" r="0" b="0"/>
            <wp:docPr id="321" name="Picture 32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4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57" w:name="_Toc187623927"/>
      <w:bookmarkStart w:id="158" w:name="_Toc187630647"/>
      <w:bookmarkStart w:id="159" w:name="_Toc187660826"/>
      <w:bookmarkStart w:id="160" w:name="_Toc187661905"/>
      <w:r w:rsidRPr="009C5151">
        <w:rPr>
          <w:rStyle w:val="Strong"/>
          <w:b/>
          <w:bCs/>
          <w:sz w:val="24"/>
          <w:szCs w:val="24"/>
        </w:rPr>
        <w:t>Case Study: Tax and Compliance Challenges for PharmaCare Pvt. Ltd.</w:t>
      </w:r>
      <w:bookmarkEnd w:id="157"/>
      <w:bookmarkEnd w:id="158"/>
      <w:bookmarkEnd w:id="159"/>
      <w:bookmarkEnd w:id="160"/>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PharmaCare Pvt. Ltd., an Indian pharmaceutical company, operates across </w:t>
      </w:r>
      <w:r w:rsidRPr="009C5151">
        <w:rPr>
          <w:rStyle w:val="Strong"/>
        </w:rPr>
        <w:t>USA, UK, Singapore, Germany, UAE, and China</w:t>
      </w:r>
      <w:r w:rsidRPr="009C5151">
        <w:t xml:space="preserve">. It engages in research and development (R&amp;D), manufacturing, and export of pharmaceutical products. PharmaCare has licensing agreements, R&amp;D arrangements, and royalty transactions with group entities and third parties. These activities have resulted in complex taxation and compliance issues involving </w:t>
      </w:r>
      <w:r w:rsidRPr="009C5151">
        <w:rPr>
          <w:rStyle w:val="Strong"/>
        </w:rPr>
        <w:t>withholding tax (WHT)</w:t>
      </w:r>
      <w:r w:rsidRPr="009C5151">
        <w:t xml:space="preserve">, </w:t>
      </w:r>
      <w:r w:rsidRPr="009C5151">
        <w:rPr>
          <w:rStyle w:val="Strong"/>
        </w:rPr>
        <w:t>transfer pricing (TP)</w:t>
      </w:r>
      <w:r w:rsidRPr="009C5151">
        <w:t xml:space="preserve">, </w:t>
      </w:r>
      <w:r w:rsidRPr="009C5151">
        <w:rPr>
          <w:rStyle w:val="Strong"/>
        </w:rPr>
        <w:t>equalization levy (EL)</w:t>
      </w:r>
      <w:r w:rsidRPr="009C5151">
        <w:t xml:space="preserve">, and </w:t>
      </w:r>
      <w:r w:rsidRPr="009C5151">
        <w:rPr>
          <w:rStyle w:val="Strong"/>
        </w:rPr>
        <w:t>treaty benefits</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0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61" w:name="_Toc187623928"/>
      <w:bookmarkStart w:id="162" w:name="_Toc187630648"/>
      <w:bookmarkStart w:id="163" w:name="_Toc187660827"/>
      <w:bookmarkStart w:id="164" w:name="_Toc187661906"/>
      <w:r w:rsidRPr="009C5151">
        <w:rPr>
          <w:rStyle w:val="Strong"/>
          <w:b/>
          <w:bCs/>
          <w:sz w:val="24"/>
          <w:szCs w:val="24"/>
        </w:rPr>
        <w:t>Transactions</w:t>
      </w:r>
      <w:bookmarkEnd w:id="161"/>
      <w:bookmarkEnd w:id="162"/>
      <w:bookmarkEnd w:id="163"/>
      <w:bookmarkEnd w:id="164"/>
    </w:p>
    <w:p w:rsidR="00A056B6" w:rsidRPr="009C5151" w:rsidRDefault="00A056B6" w:rsidP="00743A5F">
      <w:pPr>
        <w:pStyle w:val="Heading4"/>
        <w:spacing w:before="0" w:beforeAutospacing="0"/>
      </w:pPr>
      <w:r w:rsidRPr="009C5151">
        <w:rPr>
          <w:rStyle w:val="Strong"/>
          <w:b/>
          <w:bCs/>
        </w:rPr>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Export of Pharmaceutical Products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Exported ₹200 crore of drugs and formulations to the USA, UK, and Singapore.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Payments involve transfer pricing compliance.</w:t>
      </w:r>
    </w:p>
    <w:p w:rsidR="00A056B6" w:rsidRPr="009C5151" w:rsidRDefault="00A056B6" w:rsidP="00743A5F">
      <w:pPr>
        <w:pStyle w:val="NormalWeb"/>
        <w:tabs>
          <w:tab w:val="num" w:pos="720"/>
        </w:tabs>
        <w:spacing w:before="0" w:beforeAutospacing="0"/>
        <w:ind w:left="720" w:hanging="360"/>
      </w:pPr>
      <w:r w:rsidRPr="009C5151">
        <w:rPr>
          <w:rStyle w:val="Strong"/>
        </w:rPr>
        <w:t>R&amp;D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₹30 crore to a Singapore AE for contract R&amp;D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rate under the India-Singapore DTAA is 10%.</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₹25 crore to a UAE-based entity for using patented formulations.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Risk of misclassification as FTS or business income under the India-UAE DTAA.</w:t>
      </w:r>
    </w:p>
    <w:p w:rsidR="00A056B6" w:rsidRPr="009C5151" w:rsidRDefault="00A056B6" w:rsidP="00743A5F">
      <w:pPr>
        <w:pStyle w:val="NormalWeb"/>
        <w:tabs>
          <w:tab w:val="num" w:pos="720"/>
        </w:tabs>
        <w:spacing w:before="0" w:beforeAutospacing="0"/>
        <w:ind w:left="720" w:hanging="360"/>
      </w:pPr>
      <w:r w:rsidRPr="009C5151">
        <w:rPr>
          <w:rStyle w:val="Strong"/>
        </w:rPr>
        <w:t>Loan to Group Entity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Advanced a ₹15 crore loan to a UK subsidiary at 4% interest.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Benchmarking required as the prevailing market rate is 6%.</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₹6 crore to a USA-based digital marketing company for online promotions.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0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Shared Services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₹7 crore to a domestic AE for legal, compliance, and marketing support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for specified domestic transaction compliance.</w:t>
      </w:r>
    </w:p>
    <w:p w:rsidR="00A056B6" w:rsidRPr="009C5151" w:rsidRDefault="00A056B6" w:rsidP="00743A5F">
      <w:pPr>
        <w:pStyle w:val="NormalWeb"/>
        <w:tabs>
          <w:tab w:val="num" w:pos="720"/>
        </w:tabs>
        <w:spacing w:before="0" w:beforeAutospacing="0"/>
        <w:ind w:left="720" w:hanging="360"/>
      </w:pPr>
      <w:r w:rsidRPr="009C5151">
        <w:rPr>
          <w:rStyle w:val="Strong"/>
        </w:rPr>
        <w:t>Asset Sale to AE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Sold lab equipment worth ₹5 crore to another Indian AE at book value.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0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65" w:name="_Toc187623929"/>
      <w:bookmarkStart w:id="166" w:name="_Toc187630649"/>
      <w:bookmarkStart w:id="167" w:name="_Toc187660828"/>
      <w:bookmarkStart w:id="168" w:name="_Toc187661907"/>
      <w:r w:rsidRPr="009C5151">
        <w:rPr>
          <w:rStyle w:val="Strong"/>
          <w:b/>
          <w:bCs/>
          <w:sz w:val="24"/>
          <w:szCs w:val="24"/>
        </w:rPr>
        <w:t>Key Issues</w:t>
      </w:r>
      <w:bookmarkEnd w:id="165"/>
      <w:bookmarkEnd w:id="166"/>
      <w:bookmarkEnd w:id="167"/>
      <w:bookmarkEnd w:id="168"/>
    </w:p>
    <w:p w:rsidR="00A056B6" w:rsidRPr="009C5151" w:rsidRDefault="00A056B6" w:rsidP="00743A5F">
      <w:pPr>
        <w:pStyle w:val="Heading4"/>
        <w:spacing w:before="0" w:beforeAutospacing="0"/>
      </w:pPr>
      <w:r w:rsidRPr="009C5151">
        <w:t xml:space="preserve">1. </w:t>
      </w:r>
      <w:r w:rsidRPr="009C5151">
        <w:rPr>
          <w:rStyle w:val="Strong"/>
          <w:b/>
          <w:bCs/>
        </w:rPr>
        <w:t>Transfer Pricing (TP) Challenges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Lack of robust benchmarking for ₹200 crore exports, ₹30 crore R&amp;D payments, and ₹25 crore royalties.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Questionable pricing for the ₹15 crore loan to the UK AE at 4% interest.</w:t>
      </w:r>
    </w:p>
    <w:p w:rsidR="00A056B6" w:rsidRPr="009C5151" w:rsidRDefault="00A056B6" w:rsidP="00743A5F">
      <w:pPr>
        <w:pStyle w:val="Heading4"/>
        <w:spacing w:before="0" w:beforeAutospacing="0"/>
      </w:pPr>
      <w:r w:rsidRPr="009C5151">
        <w:t xml:space="preserve">2. </w:t>
      </w:r>
      <w:r w:rsidRPr="009C5151">
        <w:rPr>
          <w:rStyle w:val="Strong"/>
          <w:b/>
          <w:bCs/>
        </w:rPr>
        <w:t>Withholding Tax (WHT)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incorrect WHT on royalties paid to the UAE (₹25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Misclassification of royalties as business income or FTS under the India-UAE DTAA.</w:t>
      </w:r>
    </w:p>
    <w:p w:rsidR="00A056B6" w:rsidRPr="009C5151" w:rsidRDefault="00A056B6" w:rsidP="00743A5F">
      <w:pPr>
        <w:pStyle w:val="Heading4"/>
        <w:spacing w:before="0" w:beforeAutospacing="0"/>
      </w:pPr>
      <w:r w:rsidRPr="009C5151">
        <w:t xml:space="preserve">3. </w:t>
      </w:r>
      <w:r w:rsidRPr="009C5151">
        <w:rPr>
          <w:rStyle w:val="Strong"/>
          <w:b/>
          <w:bCs/>
        </w:rPr>
        <w:t>Equalization Levy (EL)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₹6 crore paid for digital advertising services to the USA platform.</w:t>
      </w:r>
    </w:p>
    <w:p w:rsidR="00A056B6" w:rsidRPr="009C5151" w:rsidRDefault="00A056B6" w:rsidP="00743A5F">
      <w:pPr>
        <w:pStyle w:val="Heading4"/>
        <w:spacing w:before="0" w:beforeAutospacing="0"/>
      </w:pPr>
      <w:r w:rsidRPr="009C5151">
        <w:t xml:space="preserve">4. </w:t>
      </w:r>
      <w:r w:rsidRPr="009C5151">
        <w:rPr>
          <w:rStyle w:val="Strong"/>
          <w:b/>
          <w:bCs/>
        </w:rPr>
        <w:t>Specified Domestic Transactions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Potential issues in justifying the ₹7 crore shared services payment and the ₹5 crore lab equipment sale.</w:t>
      </w:r>
    </w:p>
    <w:p w:rsidR="00A056B6" w:rsidRPr="009C5151" w:rsidRDefault="00A056B6" w:rsidP="00743A5F">
      <w:pPr>
        <w:pStyle w:val="Heading4"/>
        <w:spacing w:before="0" w:beforeAutospacing="0"/>
      </w:pPr>
      <w:r w:rsidRPr="009C5151">
        <w:lastRenderedPageBreak/>
        <w:t xml:space="preserve">5. </w:t>
      </w:r>
      <w:r w:rsidRPr="009C5151">
        <w:rPr>
          <w:rStyle w:val="Strong"/>
          <w:b/>
          <w:bCs/>
        </w:rPr>
        <w:t>DTAA Benefits and Anti-Abuse Provisions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denial of treaty benefits for royalty payments under Principal Purpose Test (PPT) in the India-UAE DTAA.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0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69" w:name="_Toc187623930"/>
      <w:bookmarkStart w:id="170" w:name="_Toc187630650"/>
      <w:bookmarkStart w:id="171" w:name="_Toc187660829"/>
      <w:bookmarkStart w:id="172" w:name="_Toc187661908"/>
      <w:r w:rsidRPr="009C5151">
        <w:rPr>
          <w:rStyle w:val="Strong"/>
          <w:b/>
          <w:bCs/>
          <w:sz w:val="24"/>
          <w:szCs w:val="24"/>
        </w:rPr>
        <w:t>Proposed Solutions</w:t>
      </w:r>
      <w:bookmarkEnd w:id="169"/>
      <w:bookmarkEnd w:id="170"/>
      <w:bookmarkEnd w:id="171"/>
      <w:bookmarkEnd w:id="172"/>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Exports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₹200 crore exports using the </w:t>
      </w:r>
      <w:r w:rsidRPr="009C5151">
        <w:rPr>
          <w:rStyle w:val="Strong"/>
          <w:rFonts w:ascii="Times New Roman" w:hAnsi="Times New Roman" w:cs="Times New Roman"/>
          <w:sz w:val="24"/>
          <w:szCs w:val="24"/>
        </w:rPr>
        <w:t>Transaction Net Margin Method (TNMM)</w:t>
      </w:r>
      <w:r w:rsidRPr="009C5151">
        <w:rPr>
          <w:rFonts w:ascii="Times New Roman" w:hAnsi="Times New Roman" w:cs="Times New Roman"/>
          <w:sz w:val="24"/>
          <w:szCs w:val="24"/>
        </w:rPr>
        <w:t>. Justify pricing by comparing with margins of similar companies in the pharmaceutical sector.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the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validate ₹30 crore paid to the Singapore AE for contract R&amp;D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Royalties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the </w:t>
      </w:r>
      <w:r w:rsidRPr="009C5151">
        <w:rPr>
          <w:rStyle w:val="Strong"/>
          <w:rFonts w:ascii="Times New Roman" w:hAnsi="Times New Roman" w:cs="Times New Roman"/>
          <w:sz w:val="24"/>
          <w:szCs w:val="24"/>
        </w:rPr>
        <w:t>Profit Split Method (PSM)</w:t>
      </w:r>
      <w:r w:rsidRPr="009C5151">
        <w:rPr>
          <w:rFonts w:ascii="Times New Roman" w:hAnsi="Times New Roman" w:cs="Times New Roman"/>
          <w:sz w:val="24"/>
          <w:szCs w:val="24"/>
        </w:rPr>
        <w:t xml:space="preserve"> to allocate profits proportionally for ₹25 crore royalties paid to the UAE.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Loan to UK Subsidiary</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Adjust the loan interest rate to 6% to match the market rate. Update loan agreements accordingly.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Prepare and file Form 3CEB with detailed benchmarking analyses for all international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0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Royalties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a 10% WHT rate under the India-UAE DTAA for ₹25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Obtain a TRC and Form 10F from the UAE entity to substantiate treaty benefits.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10% WHT under the India-Singapore DTAA for ₹30 crore paid to the Singapore AE.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quarterly TDS returns are filed, and Form 16A certificates are issued to recipients.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0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Digital Advertising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EL at 6% on ₹6 crore paid to the USA-based advertising company, amounting to ₹36 lakh.</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annual EL returns and remit the levy within statutory deadlines.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0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Shared Services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the ₹7 crore payment using CPM, validating the markup for legal, compliance, and marketing support.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Asset Sale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Reassess the ₹5 crore lab equipment sale against fair market value using the Comparable Uncontrolled Price (CUP) Method.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Disclose all specified domestic transactions in Form 3CEB.</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0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DTAA Benefits and Anti-Abuse Provisions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Principal Purpose Test (PPT)</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Document the economic substance of royalty transactions with the UAE entity to meet PPT requirements.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Royalties vs. FTS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Demonstrate that royalty payments are genuine and do not qualify as FTS or business income.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Documentation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Retain agreements, invoices, and TRCs to substantiate treaty benefits.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0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73" w:name="_Toc187623931"/>
      <w:bookmarkStart w:id="174" w:name="_Toc187630651"/>
      <w:bookmarkStart w:id="175" w:name="_Toc187660830"/>
      <w:bookmarkStart w:id="176" w:name="_Toc187661909"/>
      <w:r w:rsidRPr="009C5151">
        <w:rPr>
          <w:rStyle w:val="Strong"/>
          <w:b/>
          <w:bCs/>
          <w:sz w:val="24"/>
          <w:szCs w:val="24"/>
        </w:rPr>
        <w:lastRenderedPageBreak/>
        <w:t>Detailed Discussion of Proposed Solutions</w:t>
      </w:r>
      <w:bookmarkEnd w:id="173"/>
      <w:bookmarkEnd w:id="174"/>
      <w:bookmarkEnd w:id="175"/>
      <w:bookmarkEnd w:id="176"/>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0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spacing w:before="0" w:beforeAutospacing="0"/>
      </w:pPr>
      <w:r w:rsidRPr="009C5151">
        <w:t xml:space="preserve">1.1 </w:t>
      </w:r>
      <w:r w:rsidRPr="009C5151">
        <w:rPr>
          <w:rStyle w:val="Strong"/>
        </w:rPr>
        <w:t>Exports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TNMM to benchmark margins for ₹200 crore exports. Compare with independent pharmaceutical companies to ensure arm’s length pricing.</w:t>
      </w:r>
    </w:p>
    <w:p w:rsidR="00A056B6" w:rsidRPr="009C5151" w:rsidRDefault="00A056B6" w:rsidP="00743A5F">
      <w:pPr>
        <w:pStyle w:val="NormalWeb"/>
        <w:spacing w:before="0" w:beforeAutospacing="0"/>
      </w:pPr>
      <w:r w:rsidRPr="009C5151">
        <w:t xml:space="preserve">1.2 </w:t>
      </w:r>
      <w:r w:rsidRPr="009C5151">
        <w:rPr>
          <w:rStyle w:val="Strong"/>
        </w:rPr>
        <w:t>R&amp;D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CPM is ideal for validating R&amp;D transactions. Ensure cost allocation includes a reasonable markup based on industry practices.</w:t>
      </w:r>
    </w:p>
    <w:p w:rsidR="00A056B6" w:rsidRPr="009C5151" w:rsidRDefault="00A056B6" w:rsidP="00743A5F">
      <w:pPr>
        <w:pStyle w:val="NormalWeb"/>
        <w:spacing w:before="0" w:beforeAutospacing="0"/>
      </w:pPr>
      <w:r w:rsidRPr="009C5151">
        <w:t xml:space="preserve">1.3 </w:t>
      </w:r>
      <w:r w:rsidRPr="009C5151">
        <w:rPr>
          <w:rStyle w:val="Strong"/>
        </w:rPr>
        <w:t>Loan to UK</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the loan interest rate at 6% using market rates (e.g., LIBOR plus a spread). Update loan terms accordingly.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1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pStyle w:val="NormalWeb"/>
        <w:spacing w:before="0" w:beforeAutospacing="0"/>
      </w:pPr>
      <w:r w:rsidRPr="009C5151">
        <w:t xml:space="preserve">2.1 </w:t>
      </w:r>
      <w:r w:rsidRPr="009C5151">
        <w:rPr>
          <w:rStyle w:val="Strong"/>
        </w:rPr>
        <w:t>Royalties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10% WHT under the India-UAE DTAA for ₹25 crore royalty payments. Avoid penalties by filing timely TDS returns.</w:t>
      </w:r>
    </w:p>
    <w:p w:rsidR="00A056B6" w:rsidRPr="009C5151" w:rsidRDefault="00A056B6" w:rsidP="00743A5F">
      <w:pPr>
        <w:pStyle w:val="NormalWeb"/>
        <w:spacing w:before="0" w:beforeAutospacing="0"/>
      </w:pPr>
      <w:r w:rsidRPr="009C5151">
        <w:t xml:space="preserve">2.2 </w:t>
      </w:r>
      <w:r w:rsidRPr="009C5151">
        <w:rPr>
          <w:rStyle w:val="Strong"/>
        </w:rPr>
        <w:t>R&amp;D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compliance with the India-Singapore DTAA by deducting WHT on ₹30 crore payments.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1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pStyle w:val="NormalWeb"/>
        <w:spacing w:before="0" w:beforeAutospacing="0"/>
      </w:pPr>
      <w:r w:rsidRPr="009C5151">
        <w:t xml:space="preserve">3.1 </w:t>
      </w:r>
      <w:r w:rsidRPr="009C5151">
        <w:rPr>
          <w:rStyle w:val="Strong"/>
        </w:rPr>
        <w:t>Applicability</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applies to digital advertising payments to non-resident platforms. Calculate and remit ₹36 lakh for ₹6 crore payments.</w:t>
      </w:r>
    </w:p>
    <w:p w:rsidR="00A056B6" w:rsidRPr="009C5151" w:rsidRDefault="00A056B6" w:rsidP="00743A5F">
      <w:pPr>
        <w:pStyle w:val="NormalWeb"/>
        <w:spacing w:before="0" w:beforeAutospacing="0"/>
      </w:pPr>
      <w:r w:rsidRPr="009C5151">
        <w:t xml:space="preserve">3.2 </w:t>
      </w:r>
      <w:r w:rsidRPr="009C5151">
        <w:rPr>
          <w:rStyle w:val="Strong"/>
        </w:rPr>
        <w:t>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Maintain an EL tracker to ensure timely filings and payment of levies.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1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pStyle w:val="NormalWeb"/>
        <w:spacing w:before="0" w:beforeAutospacing="0"/>
      </w:pPr>
      <w:r w:rsidRPr="009C5151">
        <w:t xml:space="preserve">4.1 </w:t>
      </w:r>
      <w:r w:rsidRPr="009C5151">
        <w:rPr>
          <w:rStyle w:val="Strong"/>
        </w:rPr>
        <w:t>Shared Services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Benchmark payments using third-party service agreements for legal and marketing support. Validate markup percentages.</w:t>
      </w:r>
    </w:p>
    <w:p w:rsidR="00A056B6" w:rsidRPr="009C5151" w:rsidRDefault="00A056B6" w:rsidP="00743A5F">
      <w:pPr>
        <w:pStyle w:val="NormalWeb"/>
        <w:spacing w:before="0" w:beforeAutospacing="0"/>
      </w:pPr>
      <w:r w:rsidRPr="009C5151">
        <w:t xml:space="preserve">4.2 </w:t>
      </w:r>
      <w:r w:rsidRPr="009C5151">
        <w:rPr>
          <w:rStyle w:val="Strong"/>
        </w:rPr>
        <w:t>Asset Sale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Reassess the lab equipment sale price using CUP Method. Adjust pricing to align with market value if required.</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1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DTAA Benefits and Anti-Abuse Provisions</w:t>
      </w:r>
    </w:p>
    <w:p w:rsidR="00A056B6" w:rsidRPr="009C5151" w:rsidRDefault="00A056B6" w:rsidP="00743A5F">
      <w:pPr>
        <w:pStyle w:val="NormalWeb"/>
        <w:spacing w:before="0" w:beforeAutospacing="0"/>
      </w:pPr>
      <w:r w:rsidRPr="009C5151">
        <w:t xml:space="preserve">5.1 </w:t>
      </w:r>
      <w:r w:rsidRPr="009C5151">
        <w:rPr>
          <w:rStyle w:val="Strong"/>
        </w:rPr>
        <w:t>Economic Substance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Demonstrate the commercial necessity of royalty payments under agreements with the UAE entity.</w:t>
      </w:r>
    </w:p>
    <w:p w:rsidR="00A056B6" w:rsidRPr="009C5151" w:rsidRDefault="00A056B6" w:rsidP="00743A5F">
      <w:pPr>
        <w:pStyle w:val="NormalWeb"/>
        <w:spacing w:before="0" w:beforeAutospacing="0"/>
      </w:pPr>
      <w:r w:rsidRPr="009C5151">
        <w:t xml:space="preserve">5.2 </w:t>
      </w:r>
      <w:r w:rsidRPr="009C5151">
        <w:rPr>
          <w:rStyle w:val="Strong"/>
        </w:rPr>
        <w:t>Anti-Abuse Rules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royalty payments pass the PPT under the MLI by substantiating genuine business purposes.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1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77" w:name="_Toc187623932"/>
      <w:bookmarkStart w:id="178" w:name="_Toc187630652"/>
      <w:bookmarkStart w:id="179" w:name="_Toc187660831"/>
      <w:bookmarkStart w:id="180" w:name="_Toc187661910"/>
      <w:r w:rsidRPr="009C5151">
        <w:rPr>
          <w:rStyle w:val="Strong"/>
          <w:b/>
          <w:bCs/>
          <w:sz w:val="24"/>
          <w:szCs w:val="24"/>
        </w:rPr>
        <w:t>Conclusion</w:t>
      </w:r>
      <w:bookmarkEnd w:id="177"/>
      <w:bookmarkEnd w:id="178"/>
      <w:bookmarkEnd w:id="179"/>
      <w:bookmarkEnd w:id="180"/>
    </w:p>
    <w:p w:rsidR="00A056B6" w:rsidRPr="009C5151" w:rsidRDefault="00A056B6" w:rsidP="00743A5F">
      <w:pPr>
        <w:pStyle w:val="NormalWeb"/>
        <w:spacing w:before="0" w:beforeAutospacing="0"/>
      </w:pPr>
      <w:r w:rsidRPr="009C5151">
        <w:t>To address its challenges, PharmaCare Pvt. Ltd. should:</w:t>
      </w:r>
    </w:p>
    <w:p w:rsidR="00A056B6" w:rsidRPr="009C5151" w:rsidRDefault="00A056B6" w:rsidP="00743A5F">
      <w:pPr>
        <w:pStyle w:val="NormalWeb"/>
        <w:tabs>
          <w:tab w:val="num" w:pos="720"/>
        </w:tabs>
        <w:spacing w:before="0" w:beforeAutospacing="0"/>
        <w:ind w:left="720" w:hanging="360"/>
      </w:pPr>
      <w:r w:rsidRPr="009C5151">
        <w:rPr>
          <w:rStyle w:val="Strong"/>
        </w:rPr>
        <w:t>Strengthen TP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exports, royalties, R&amp;D payments, and loans accurately to avoid TP adjustments.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Form 3CEB with comprehensive disclosures.</w:t>
      </w:r>
    </w:p>
    <w:p w:rsidR="00A056B6" w:rsidRPr="009C5151" w:rsidRDefault="00A056B6" w:rsidP="00743A5F">
      <w:pPr>
        <w:pStyle w:val="NormalWeb"/>
        <w:tabs>
          <w:tab w:val="num" w:pos="720"/>
        </w:tabs>
        <w:spacing w:before="0" w:beforeAutospacing="0"/>
        <w:ind w:left="720" w:hanging="360"/>
      </w:pPr>
      <w:r w:rsidRPr="009C5151">
        <w:rPr>
          <w:rStyle w:val="Strong"/>
        </w:rPr>
        <w:t>Ensure WHT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correctly based on DTAA provisions. Maintain TRCs and related documents to justify treaty benefits.</w:t>
      </w:r>
    </w:p>
    <w:p w:rsidR="00A056B6" w:rsidRPr="009C5151" w:rsidRDefault="00A056B6" w:rsidP="00743A5F">
      <w:pPr>
        <w:pStyle w:val="NormalWeb"/>
        <w:tabs>
          <w:tab w:val="num" w:pos="720"/>
        </w:tabs>
        <w:spacing w:before="0" w:beforeAutospacing="0"/>
        <w:ind w:left="720" w:hanging="360"/>
      </w:pPr>
      <w:r w:rsidRPr="009C5151">
        <w:rPr>
          <w:rStyle w:val="Strong"/>
        </w:rPr>
        <w:t>Focus on EL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and deposit levies for digital advertising payments within deadlines.</w:t>
      </w:r>
    </w:p>
    <w:p w:rsidR="00A056B6" w:rsidRPr="009C5151" w:rsidRDefault="00A056B6" w:rsidP="00743A5F">
      <w:pPr>
        <w:pStyle w:val="NormalWeb"/>
        <w:tabs>
          <w:tab w:val="num" w:pos="720"/>
        </w:tabs>
        <w:spacing w:before="0" w:beforeAutospacing="0"/>
        <w:ind w:left="720" w:hanging="360"/>
      </w:pPr>
      <w:r w:rsidRPr="009C5151">
        <w:rPr>
          <w:rStyle w:val="Strong"/>
        </w:rPr>
        <w:t>Review Domestic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shared services payments and asset sales to comply with specified domestic transaction rules.</w:t>
      </w:r>
    </w:p>
    <w:p w:rsidR="00A056B6" w:rsidRPr="009C5151" w:rsidRDefault="00A056B6" w:rsidP="00743A5F">
      <w:pPr>
        <w:pStyle w:val="NormalWeb"/>
        <w:tabs>
          <w:tab w:val="num" w:pos="720"/>
        </w:tabs>
        <w:spacing w:before="0" w:beforeAutospacing="0"/>
        <w:ind w:left="720" w:hanging="360"/>
      </w:pPr>
      <w:r w:rsidRPr="009C5151">
        <w:rPr>
          <w:rStyle w:val="Strong"/>
        </w:rPr>
        <w:t>Mitigate Treaty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Align transactions with PPT and anti-abuse rules under DTAAs and the MLI. Document the economic substance of all transactions.</w:t>
      </w:r>
    </w:p>
    <w:p w:rsidR="00A056B6" w:rsidRPr="009C5151" w:rsidRDefault="00A056B6" w:rsidP="00743A5F">
      <w:pPr>
        <w:pStyle w:val="NormalWeb"/>
        <w:spacing w:before="0" w:beforeAutospacing="0"/>
      </w:pPr>
      <w:r w:rsidRPr="009C5151">
        <w:t>By implementing these measures, PharmaCare Pvt. Ltd. can achieve robust compliance, mitigate tax risks, and maintain its global operations effectively.</w:t>
      </w:r>
    </w:p>
    <w:p w:rsidR="00A056B6" w:rsidRPr="009C5151" w:rsidRDefault="00A056B6" w:rsidP="00743A5F">
      <w:pPr>
        <w:pStyle w:val="NormalWeb"/>
        <w:spacing w:before="0" w:beforeAutospacing="0"/>
      </w:pPr>
      <w:r w:rsidRPr="009C5151">
        <w:t>Would you like additional examples of TP benchmarking or templates for treaty compliance documentation?</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7th example of different set of issues and problem and suggested solutions by a CA to a Company including a detailed discussion on the various topics covered under suggestions and Conclusion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3332C4A" wp14:editId="2D36E036">
            <wp:extent cx="763905" cy="763905"/>
            <wp:effectExtent l="0" t="0" r="0" b="0"/>
            <wp:docPr id="320" name="Picture 32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6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81" w:name="_Toc187623933"/>
      <w:bookmarkStart w:id="182" w:name="_Toc187630653"/>
      <w:bookmarkStart w:id="183" w:name="_Toc187660832"/>
      <w:bookmarkStart w:id="184" w:name="_Toc187661911"/>
      <w:r w:rsidRPr="009C5151">
        <w:rPr>
          <w:rStyle w:val="Strong"/>
          <w:b/>
          <w:bCs/>
          <w:sz w:val="24"/>
          <w:szCs w:val="24"/>
        </w:rPr>
        <w:t>Case Study: Tax and Compliance Challenges for AgroGlobal Pvt. Ltd.</w:t>
      </w:r>
      <w:bookmarkEnd w:id="181"/>
      <w:bookmarkEnd w:id="182"/>
      <w:bookmarkEnd w:id="183"/>
      <w:bookmarkEnd w:id="184"/>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AgroGlobal Pvt. Ltd., an Indian company engaged in the manufacturing and export of agrochemicals, operates in </w:t>
      </w:r>
      <w:r w:rsidRPr="009C5151">
        <w:rPr>
          <w:rStyle w:val="Strong"/>
        </w:rPr>
        <w:t>USA, UK, Germany, Australia, Singapore, and South Africa</w:t>
      </w:r>
      <w:r w:rsidRPr="009C5151">
        <w:t xml:space="preserve">. It also imports raw materials and licenses patented agricultural formulations. The company is involved in domestic transactions with related entities and has encountered various tax issues, including </w:t>
      </w:r>
      <w:r w:rsidRPr="009C5151">
        <w:rPr>
          <w:rStyle w:val="Strong"/>
        </w:rPr>
        <w:t>transfer pricing (TP)</w:t>
      </w:r>
      <w:r w:rsidRPr="009C5151">
        <w:t xml:space="preserve">, </w:t>
      </w:r>
      <w:r w:rsidRPr="009C5151">
        <w:rPr>
          <w:rStyle w:val="Strong"/>
        </w:rPr>
        <w:t>withholding tax (WHT)</w:t>
      </w:r>
      <w:r w:rsidRPr="009C5151">
        <w:t xml:space="preserve">, </w:t>
      </w:r>
      <w:r w:rsidRPr="009C5151">
        <w:rPr>
          <w:rStyle w:val="Strong"/>
        </w:rPr>
        <w:t>equalization levy (EL)</w:t>
      </w:r>
      <w:r w:rsidRPr="009C5151">
        <w:t xml:space="preserve">, and </w:t>
      </w:r>
      <w:r w:rsidRPr="009C5151">
        <w:rPr>
          <w:rStyle w:val="Strong"/>
        </w:rPr>
        <w:t>treaty compliance</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1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85" w:name="_Toc187623934"/>
      <w:bookmarkStart w:id="186" w:name="_Toc187630654"/>
      <w:bookmarkStart w:id="187" w:name="_Toc187660833"/>
      <w:bookmarkStart w:id="188" w:name="_Toc187661912"/>
      <w:r w:rsidRPr="009C5151">
        <w:rPr>
          <w:rStyle w:val="Strong"/>
          <w:b/>
          <w:bCs/>
          <w:sz w:val="24"/>
          <w:szCs w:val="24"/>
        </w:rPr>
        <w:t>Transactions</w:t>
      </w:r>
      <w:bookmarkEnd w:id="185"/>
      <w:bookmarkEnd w:id="186"/>
      <w:bookmarkEnd w:id="187"/>
      <w:bookmarkEnd w:id="188"/>
    </w:p>
    <w:p w:rsidR="00A056B6" w:rsidRPr="009C5151" w:rsidRDefault="00A056B6" w:rsidP="00743A5F">
      <w:pPr>
        <w:pStyle w:val="Heading4"/>
        <w:spacing w:before="0" w:beforeAutospacing="0"/>
      </w:pPr>
      <w:r w:rsidRPr="009C5151">
        <w:rPr>
          <w:rStyle w:val="Strong"/>
          <w:b/>
          <w:bCs/>
        </w:rPr>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Export of Agrochemicals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Exported ₹300 crore worth of products to USA, UK, and Germany.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Pricing involves inter-company agreements requiring transfer pricing compliance.</w:t>
      </w:r>
    </w:p>
    <w:p w:rsidR="00A056B6" w:rsidRPr="009C5151" w:rsidRDefault="00A056B6" w:rsidP="00743A5F">
      <w:pPr>
        <w:pStyle w:val="NormalWeb"/>
        <w:tabs>
          <w:tab w:val="num" w:pos="720"/>
        </w:tabs>
        <w:spacing w:before="0" w:beforeAutospacing="0"/>
        <w:ind w:left="720" w:hanging="360"/>
      </w:pPr>
      <w:r w:rsidRPr="009C5151">
        <w:rPr>
          <w:rStyle w:val="Strong"/>
        </w:rPr>
        <w:t>Licensing of Patented Formulations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₹50 crore to a German entity for licensing patented agrochemical formulations.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WHT compliance is required under the India-Germany DTAA.</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Import of Raw Materials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Imported ₹100 crore worth of raw materials from a Singapore-based AE.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Transfer pricing issues related to arm’s length pricing.</w:t>
      </w:r>
    </w:p>
    <w:p w:rsidR="00A056B6" w:rsidRPr="009C5151" w:rsidRDefault="00A056B6" w:rsidP="00743A5F">
      <w:pPr>
        <w:pStyle w:val="NormalWeb"/>
        <w:tabs>
          <w:tab w:val="num" w:pos="720"/>
        </w:tabs>
        <w:spacing w:before="0" w:beforeAutospacing="0"/>
        <w:ind w:left="720" w:hanging="360"/>
      </w:pPr>
      <w:r w:rsidRPr="009C5151">
        <w:rPr>
          <w:rStyle w:val="Strong"/>
        </w:rPr>
        <w:t>Interest-Free Loan to AE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Advanced a ₹20 crore loan to an AE in South Africa with no interest.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TP regulations require benchmarking for interest adjustments.</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₹7 crore to a USA-based platform for digital marketing.</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1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R&amp;D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₹15 crore to a domestic AE for R&amp;D on new agrochemical products.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Subject to specified domestic transaction compliance.</w:t>
      </w:r>
    </w:p>
    <w:p w:rsidR="00A056B6" w:rsidRPr="009C5151" w:rsidRDefault="00A056B6" w:rsidP="00743A5F">
      <w:pPr>
        <w:pStyle w:val="NormalWeb"/>
        <w:tabs>
          <w:tab w:val="num" w:pos="720"/>
        </w:tabs>
        <w:spacing w:before="0" w:beforeAutospacing="0"/>
        <w:ind w:left="720" w:hanging="360"/>
      </w:pPr>
      <w:r w:rsidRPr="009C5151">
        <w:rPr>
          <w:rStyle w:val="Strong"/>
        </w:rPr>
        <w:t>Leasing of Equipment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₹10 crore worth of production equipment to another domestic group entity.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1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89" w:name="_Toc187623935"/>
      <w:bookmarkStart w:id="190" w:name="_Toc187630655"/>
      <w:bookmarkStart w:id="191" w:name="_Toc187660834"/>
      <w:bookmarkStart w:id="192" w:name="_Toc187661913"/>
      <w:r w:rsidRPr="009C5151">
        <w:rPr>
          <w:rStyle w:val="Strong"/>
          <w:b/>
          <w:bCs/>
          <w:sz w:val="24"/>
          <w:szCs w:val="24"/>
        </w:rPr>
        <w:t>Key Issues</w:t>
      </w:r>
      <w:bookmarkEnd w:id="189"/>
      <w:bookmarkEnd w:id="190"/>
      <w:bookmarkEnd w:id="191"/>
      <w:bookmarkEnd w:id="192"/>
    </w:p>
    <w:p w:rsidR="00A056B6" w:rsidRPr="009C5151" w:rsidRDefault="00A056B6" w:rsidP="00743A5F">
      <w:pPr>
        <w:pStyle w:val="Heading4"/>
        <w:spacing w:before="0" w:beforeAutospacing="0"/>
      </w:pPr>
      <w:r w:rsidRPr="009C5151">
        <w:t xml:space="preserve">1. </w:t>
      </w:r>
      <w:r w:rsidRPr="009C5151">
        <w:rPr>
          <w:rStyle w:val="Strong"/>
          <w:b/>
          <w:bCs/>
        </w:rPr>
        <w:t>Transfer Pricing (TP)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Need for robust benchmarking of ₹300 crore exports, ₹50 crore licensing fees, and ₹100 crore raw material imports.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Interest-free loan to South Africa AE violates TP rules, requiring adjustments to reflect arm’s length interest rates.</w:t>
      </w:r>
    </w:p>
    <w:p w:rsidR="00A056B6" w:rsidRPr="009C5151" w:rsidRDefault="00A056B6" w:rsidP="00743A5F">
      <w:pPr>
        <w:pStyle w:val="Heading4"/>
        <w:spacing w:before="0" w:beforeAutospacing="0"/>
      </w:pPr>
      <w:r w:rsidRPr="009C5151">
        <w:t xml:space="preserve">2. </w:t>
      </w:r>
      <w:r w:rsidRPr="009C5151">
        <w:rPr>
          <w:rStyle w:val="Strong"/>
          <w:b/>
          <w:bCs/>
        </w:rPr>
        <w:t>Withholding Tax (WHT)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Inconsistent WHT application on ₹50 crore licensing payments to Germany.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misclassification of licensing payments as royalty or FTS under the India-Germany DTAA.</w:t>
      </w:r>
    </w:p>
    <w:p w:rsidR="00A056B6" w:rsidRPr="009C5151" w:rsidRDefault="00A056B6" w:rsidP="00743A5F">
      <w:pPr>
        <w:pStyle w:val="Heading4"/>
        <w:spacing w:before="0" w:beforeAutospacing="0"/>
      </w:pPr>
      <w:r w:rsidRPr="009C5151">
        <w:t xml:space="preserve">3. </w:t>
      </w:r>
      <w:r w:rsidRPr="009C5151">
        <w:rPr>
          <w:rStyle w:val="Strong"/>
          <w:b/>
          <w:bCs/>
        </w:rPr>
        <w:t>Equalization Levy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₹7 crore paid for digital advertising to the USA platform.</w:t>
      </w:r>
    </w:p>
    <w:p w:rsidR="00A056B6" w:rsidRPr="009C5151" w:rsidRDefault="00A056B6" w:rsidP="00743A5F">
      <w:pPr>
        <w:pStyle w:val="Heading4"/>
        <w:spacing w:before="0" w:beforeAutospacing="0"/>
      </w:pPr>
      <w:r w:rsidRPr="009C5151">
        <w:lastRenderedPageBreak/>
        <w:t xml:space="preserve">4. </w:t>
      </w:r>
      <w:r w:rsidRPr="009C5151">
        <w:rPr>
          <w:rStyle w:val="Strong"/>
          <w:b/>
          <w:bCs/>
        </w:rPr>
        <w:t>Specified Domestic Transactions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Pricing of ₹15 crore R&amp;D services and ₹10 crore equipment lease lacks proper benchmarking.</w:t>
      </w:r>
    </w:p>
    <w:p w:rsidR="00A056B6" w:rsidRPr="009C5151" w:rsidRDefault="00A056B6" w:rsidP="00743A5F">
      <w:pPr>
        <w:pStyle w:val="Heading4"/>
        <w:spacing w:before="0" w:beforeAutospacing="0"/>
      </w:pPr>
      <w:r w:rsidRPr="009C5151">
        <w:t xml:space="preserve">5. </w:t>
      </w:r>
      <w:r w:rsidRPr="009C5151">
        <w:rPr>
          <w:rStyle w:val="Strong"/>
          <w:b/>
          <w:bCs/>
        </w:rPr>
        <w:t>Double Taxation Avoidance Agreements (DTAAs)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Treaty benefits for licensing payments and royalties under PPT requirements.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1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93" w:name="_Toc187623936"/>
      <w:bookmarkStart w:id="194" w:name="_Toc187630656"/>
      <w:bookmarkStart w:id="195" w:name="_Toc187660835"/>
      <w:bookmarkStart w:id="196" w:name="_Toc187661914"/>
      <w:r w:rsidRPr="009C5151">
        <w:rPr>
          <w:rStyle w:val="Strong"/>
          <w:b/>
          <w:bCs/>
          <w:sz w:val="24"/>
          <w:szCs w:val="24"/>
        </w:rPr>
        <w:t>Proposed Solutions</w:t>
      </w:r>
      <w:bookmarkEnd w:id="193"/>
      <w:bookmarkEnd w:id="194"/>
      <w:bookmarkEnd w:id="195"/>
      <w:bookmarkEnd w:id="196"/>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Exports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the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 xml:space="preserve"> to benchmark ₹300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margins with similar companies in the agrochemical industry to validate arm’s length pricing.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Licensing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₹50 crore licensing fees using the </w:t>
      </w:r>
      <w:r w:rsidRPr="009C5151">
        <w:rPr>
          <w:rStyle w:val="Strong"/>
          <w:rFonts w:ascii="Times New Roman" w:hAnsi="Times New Roman" w:cs="Times New Roman"/>
          <w:sz w:val="24"/>
          <w:szCs w:val="24"/>
        </w:rPr>
        <w:t>Comparable Uncontrolled Price (CUP) Method</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Raw Material Imports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Validate ₹100 crore raw material imports using CUP or </w:t>
      </w:r>
      <w:r w:rsidRPr="009C5151">
        <w:rPr>
          <w:rStyle w:val="Strong"/>
          <w:rFonts w:ascii="Times New Roman" w:hAnsi="Times New Roman" w:cs="Times New Roman"/>
          <w:sz w:val="24"/>
          <w:szCs w:val="24"/>
        </w:rPr>
        <w:t>Resale Price Method (RPM)</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Interest-Free Loan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Adjust the loan to reflect a market interest rate (~6%). Update agreements to document the revised terms.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1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Licensing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a 10% WHT rate under the India-Germany DTAA for ₹50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Avoid penalties by ensuring timely remittance and filing of WHT returns.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Documentation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Obtain a TRC and Form 10F from the German entity to substantiate the reduced WHT rate under the treaty.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12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Digital Advertising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a 6% EL on ₹7 crore payments to the USA platform, amounting to ₹42 lakh.</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annual EL returns and deposit the levy within statutory deadlines.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2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Services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the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benchmark the ₹15 crore payment for R&amp;D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Equipment Lease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the ₹10 crore leasing price using CUP and third-party agreements for similar equipment.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2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Double Taxation Avoidance Agreements (DTAAs)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Licensing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Classify ₹50 crore payments as royalty under the India-Germany DTAA and apply a 10% WHT rate.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Avoid classification as FTS by clearly defining the scope of licensing agreements.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Anti-Abuse Provisions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Document the economic substance of the licensing arrangement to comply with PPT requirements under the MLI.</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2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97" w:name="_Toc187623937"/>
      <w:bookmarkStart w:id="198" w:name="_Toc187630657"/>
      <w:bookmarkStart w:id="199" w:name="_Toc187660836"/>
      <w:bookmarkStart w:id="200" w:name="_Toc187661915"/>
      <w:r w:rsidRPr="009C5151">
        <w:rPr>
          <w:rStyle w:val="Strong"/>
          <w:b/>
          <w:bCs/>
          <w:sz w:val="24"/>
          <w:szCs w:val="24"/>
        </w:rPr>
        <w:t>Detailed Discussion of Proposed Solutions</w:t>
      </w:r>
      <w:bookmarkEnd w:id="197"/>
      <w:bookmarkEnd w:id="198"/>
      <w:bookmarkEnd w:id="199"/>
      <w:bookmarkEnd w:id="200"/>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2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spacing w:before="0" w:beforeAutospacing="0"/>
      </w:pPr>
      <w:r w:rsidRPr="009C5151">
        <w:t xml:space="preserve">1.1 </w:t>
      </w:r>
      <w:r w:rsidRPr="009C5151">
        <w:rPr>
          <w:rStyle w:val="Strong"/>
        </w:rPr>
        <w:t>Exports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TNMM to benchmark pricing for ₹300 crore exports to AEs. Identify comparable margins from independent manufacturers of agrochemicals.</w:t>
      </w:r>
    </w:p>
    <w:p w:rsidR="00A056B6" w:rsidRPr="009C5151" w:rsidRDefault="00A056B6" w:rsidP="00743A5F">
      <w:pPr>
        <w:pStyle w:val="NormalWeb"/>
        <w:spacing w:before="0" w:beforeAutospacing="0"/>
      </w:pPr>
      <w:r w:rsidRPr="009C5151">
        <w:lastRenderedPageBreak/>
        <w:t xml:space="preserve">1.2 </w:t>
      </w:r>
      <w:r w:rsidRPr="009C5151">
        <w:rPr>
          <w:rStyle w:val="Strong"/>
        </w:rPr>
        <w:t>Licensing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CUP to benchmark ₹50 crore licensing payments by comparing royalty rates charged by similar entities.</w:t>
      </w:r>
    </w:p>
    <w:p w:rsidR="00A056B6" w:rsidRPr="009C5151" w:rsidRDefault="00A056B6" w:rsidP="00743A5F">
      <w:pPr>
        <w:pStyle w:val="NormalWeb"/>
        <w:spacing w:before="0" w:beforeAutospacing="0"/>
      </w:pPr>
      <w:r w:rsidRPr="009C5151">
        <w:t xml:space="preserve">1.3 </w:t>
      </w:r>
      <w:r w:rsidRPr="009C5151">
        <w:rPr>
          <w:rStyle w:val="Strong"/>
        </w:rPr>
        <w:t>Interest-Free Loan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the loan interest rate at 6% using market rates like LIBOR plus a spread. Adjust loan terms and agreements to comply with TP rules.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2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pStyle w:val="NormalWeb"/>
        <w:spacing w:before="0" w:beforeAutospacing="0"/>
      </w:pPr>
      <w:r w:rsidRPr="009C5151">
        <w:t xml:space="preserve">2.1 </w:t>
      </w:r>
      <w:r w:rsidRPr="009C5151">
        <w:rPr>
          <w:rStyle w:val="Strong"/>
        </w:rPr>
        <w:t>Licensing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Apply 10% WHT under the India-Germany DTAA. Ensure payments are not misclassified as FTS.</w:t>
      </w:r>
    </w:p>
    <w:p w:rsidR="00A056B6" w:rsidRPr="009C5151" w:rsidRDefault="00A056B6" w:rsidP="00743A5F">
      <w:pPr>
        <w:pStyle w:val="NormalWeb"/>
        <w:spacing w:before="0" w:beforeAutospacing="0"/>
      </w:pPr>
      <w:r w:rsidRPr="009C5151">
        <w:t xml:space="preserve">2.2 </w:t>
      </w:r>
      <w:r w:rsidRPr="009C5151">
        <w:rPr>
          <w:rStyle w:val="Strong"/>
        </w:rPr>
        <w:t>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TDS returns and issue Form 16A certificates to the German entity. Maintain TRCs and related documents for audits.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2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pStyle w:val="NormalWeb"/>
        <w:spacing w:before="0" w:beforeAutospacing="0"/>
      </w:pPr>
      <w:r w:rsidRPr="009C5151">
        <w:t xml:space="preserve">3.1 </w:t>
      </w:r>
      <w:r w:rsidRPr="009C5151">
        <w:rPr>
          <w:rStyle w:val="Strong"/>
        </w:rPr>
        <w:t>Applicability</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applies to ₹7 crore digital advertising payments to the USA platform. Calculate and remit ₹42 lakh levy on time.</w:t>
      </w:r>
    </w:p>
    <w:p w:rsidR="00A056B6" w:rsidRPr="009C5151" w:rsidRDefault="00A056B6" w:rsidP="00743A5F">
      <w:pPr>
        <w:pStyle w:val="NormalWeb"/>
        <w:spacing w:before="0" w:beforeAutospacing="0"/>
      </w:pPr>
      <w:r w:rsidRPr="009C5151">
        <w:t xml:space="preserve">3.2 </w:t>
      </w:r>
      <w:r w:rsidRPr="009C5151">
        <w:rPr>
          <w:rStyle w:val="Strong"/>
        </w:rPr>
        <w:t>Classification Review</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no misclassification of services that may lead to EL underpayment.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2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pStyle w:val="NormalWeb"/>
        <w:spacing w:before="0" w:beforeAutospacing="0"/>
      </w:pPr>
      <w:r w:rsidRPr="009C5151">
        <w:t xml:space="preserve">4.1 </w:t>
      </w:r>
      <w:r w:rsidRPr="009C5151">
        <w:rPr>
          <w:rStyle w:val="Strong"/>
        </w:rPr>
        <w:t>R&amp;D Services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R&amp;D services using CPM. Justify a markup for costs incurred by the domestic AE.</w:t>
      </w:r>
    </w:p>
    <w:p w:rsidR="00A056B6" w:rsidRPr="009C5151" w:rsidRDefault="00A056B6" w:rsidP="00743A5F">
      <w:pPr>
        <w:pStyle w:val="NormalWeb"/>
        <w:spacing w:before="0" w:beforeAutospacing="0"/>
      </w:pPr>
      <w:r w:rsidRPr="009C5151">
        <w:t xml:space="preserve">4.2 </w:t>
      </w:r>
      <w:r w:rsidRPr="009C5151">
        <w:rPr>
          <w:rStyle w:val="Strong"/>
        </w:rPr>
        <w:t>Equipment Lease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Validate leasing prices using CUP. Align agreements with market rates to avoid TP adjustments.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2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Double Taxation Avoidance Agreements (DTAAs)</w:t>
      </w:r>
    </w:p>
    <w:p w:rsidR="00A056B6" w:rsidRPr="009C5151" w:rsidRDefault="00A056B6" w:rsidP="00743A5F">
      <w:pPr>
        <w:pStyle w:val="NormalWeb"/>
        <w:spacing w:before="0" w:beforeAutospacing="0"/>
      </w:pPr>
      <w:r w:rsidRPr="009C5151">
        <w:lastRenderedPageBreak/>
        <w:t xml:space="preserve">5.1 </w:t>
      </w:r>
      <w:r w:rsidRPr="009C5151">
        <w:rPr>
          <w:rStyle w:val="Strong"/>
        </w:rPr>
        <w:t>Licensing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Demonstrate royalty classification for ₹50 crore licensing payments with agreements and technical descriptions.</w:t>
      </w:r>
    </w:p>
    <w:p w:rsidR="00A056B6" w:rsidRPr="009C5151" w:rsidRDefault="00A056B6" w:rsidP="00743A5F">
      <w:pPr>
        <w:pStyle w:val="NormalWeb"/>
        <w:spacing w:before="0" w:beforeAutospacing="0"/>
      </w:pPr>
      <w:r w:rsidRPr="009C5151">
        <w:t xml:space="preserve">5.2 </w:t>
      </w:r>
      <w:r w:rsidRPr="009C5151">
        <w:rPr>
          <w:rStyle w:val="Strong"/>
        </w:rPr>
        <w:t>Anti-Abuse Provisions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Meet PPT requirements by documenting the commercial rationale for licensing payments. Avoid treaty benefits denial by ensuring economic substance.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2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01" w:name="_Toc187623938"/>
      <w:bookmarkStart w:id="202" w:name="_Toc187630658"/>
      <w:bookmarkStart w:id="203" w:name="_Toc187660837"/>
      <w:bookmarkStart w:id="204" w:name="_Toc187661916"/>
      <w:r w:rsidRPr="009C5151">
        <w:rPr>
          <w:rStyle w:val="Strong"/>
          <w:b/>
          <w:bCs/>
          <w:sz w:val="24"/>
          <w:szCs w:val="24"/>
        </w:rPr>
        <w:t>Conclusion</w:t>
      </w:r>
      <w:bookmarkEnd w:id="201"/>
      <w:bookmarkEnd w:id="202"/>
      <w:bookmarkEnd w:id="203"/>
      <w:bookmarkEnd w:id="204"/>
    </w:p>
    <w:p w:rsidR="00A056B6" w:rsidRPr="009C5151" w:rsidRDefault="00A056B6" w:rsidP="00743A5F">
      <w:pPr>
        <w:pStyle w:val="NormalWeb"/>
        <w:spacing w:before="0" w:beforeAutospacing="0"/>
      </w:pPr>
      <w:r w:rsidRPr="009C5151">
        <w:t>To address its challenges, AgroGlobal Pvt. Ltd. should:</w:t>
      </w:r>
    </w:p>
    <w:p w:rsidR="00A056B6" w:rsidRPr="009C5151" w:rsidRDefault="00A056B6" w:rsidP="00743A5F">
      <w:pPr>
        <w:pStyle w:val="NormalWeb"/>
        <w:tabs>
          <w:tab w:val="num" w:pos="720"/>
        </w:tabs>
        <w:spacing w:before="0" w:beforeAutospacing="0"/>
        <w:ind w:left="720" w:hanging="360"/>
      </w:pPr>
      <w:r w:rsidRPr="009C5151">
        <w:rPr>
          <w:rStyle w:val="Strong"/>
        </w:rPr>
        <w:t>Strengthen TP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international and specified domestic transactions. File Form 3CEB to ensure compliance.</w:t>
      </w:r>
    </w:p>
    <w:p w:rsidR="00A056B6" w:rsidRPr="009C5151" w:rsidRDefault="00A056B6" w:rsidP="00743A5F">
      <w:pPr>
        <w:pStyle w:val="NormalWeb"/>
        <w:tabs>
          <w:tab w:val="num" w:pos="720"/>
        </w:tabs>
        <w:spacing w:before="0" w:beforeAutospacing="0"/>
        <w:ind w:left="720" w:hanging="360"/>
      </w:pPr>
      <w:r w:rsidRPr="009C5151">
        <w:rPr>
          <w:rStyle w:val="Strong"/>
        </w:rPr>
        <w:t>Ensure WHT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treaty rates for licensing payments. Maintain TRCs and related documents to substantiate treaty claims.</w:t>
      </w:r>
    </w:p>
    <w:p w:rsidR="00A056B6" w:rsidRPr="009C5151" w:rsidRDefault="00A056B6" w:rsidP="00743A5F">
      <w:pPr>
        <w:pStyle w:val="NormalWeb"/>
        <w:tabs>
          <w:tab w:val="num" w:pos="720"/>
        </w:tabs>
        <w:spacing w:before="0" w:beforeAutospacing="0"/>
        <w:ind w:left="720" w:hanging="360"/>
      </w:pPr>
      <w:r w:rsidRPr="009C5151">
        <w:rPr>
          <w:rStyle w:val="Strong"/>
        </w:rPr>
        <w:t>Focus on EL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for digital advertising payments and remit the levy on time.</w:t>
      </w:r>
    </w:p>
    <w:p w:rsidR="00A056B6" w:rsidRPr="009C5151" w:rsidRDefault="00A056B6" w:rsidP="00743A5F">
      <w:pPr>
        <w:pStyle w:val="NormalWeb"/>
        <w:tabs>
          <w:tab w:val="num" w:pos="720"/>
        </w:tabs>
        <w:spacing w:before="0" w:beforeAutospacing="0"/>
        <w:ind w:left="720" w:hanging="360"/>
      </w:pPr>
      <w:r w:rsidRPr="009C5151">
        <w:rPr>
          <w:rStyle w:val="Strong"/>
        </w:rPr>
        <w:t>Review Domestic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R&amp;D services and equipment leasing transactions. Ensure alignment with arm’s length pricing principles.</w:t>
      </w:r>
    </w:p>
    <w:p w:rsidR="00A056B6" w:rsidRPr="009C5151" w:rsidRDefault="00A056B6" w:rsidP="00743A5F">
      <w:pPr>
        <w:pStyle w:val="NormalWeb"/>
        <w:tabs>
          <w:tab w:val="num" w:pos="720"/>
        </w:tabs>
        <w:spacing w:before="0" w:beforeAutospacing="0"/>
        <w:ind w:left="720" w:hanging="360"/>
      </w:pPr>
      <w:r w:rsidRPr="009C5151">
        <w:rPr>
          <w:rStyle w:val="Strong"/>
        </w:rPr>
        <w:t>Mitigate Treaty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 licensing arrangements with PPT and anti-abuse rules under the MLI. Document all transactions to demonstrate economic substance.</w:t>
      </w:r>
    </w:p>
    <w:p w:rsidR="00A056B6" w:rsidRPr="009C5151" w:rsidRDefault="00A056B6" w:rsidP="00743A5F">
      <w:pPr>
        <w:pStyle w:val="NormalWeb"/>
        <w:spacing w:before="0" w:beforeAutospacing="0"/>
      </w:pPr>
      <w:r w:rsidRPr="009C5151">
        <w:t>By implementing these measures, AgroGlobal Pvt. Ltd. can ensure tax compliance, mitigate risks, and optimize its operations across jurisdictions.</w:t>
      </w:r>
    </w:p>
    <w:p w:rsidR="00A056B6" w:rsidRPr="009C5151" w:rsidRDefault="00A056B6" w:rsidP="00743A5F">
      <w:pPr>
        <w:pStyle w:val="NormalWeb"/>
        <w:spacing w:before="0" w:beforeAutospacing="0"/>
      </w:pPr>
      <w:r w:rsidRPr="009C5151">
        <w:t>Would you like assistance with templates for compliance documentation or examples of TP benchmarking?</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8th example of different set of issues and problem and suggested solutions by a CA to a Company including a detailed discussion on the various topics covered under suggestions and Conclusion</w:t>
      </w:r>
    </w:p>
    <w:p w:rsidR="00A056B6" w:rsidRPr="009C5151" w:rsidRDefault="00A056B6" w:rsidP="00743A5F">
      <w:pPr>
        <w:pStyle w:val="Heading6"/>
        <w:spacing w:before="0" w:beforeAutospacing="0"/>
        <w:rPr>
          <w:sz w:val="24"/>
          <w:szCs w:val="24"/>
        </w:rPr>
      </w:pPr>
      <w:r w:rsidRPr="009C5151">
        <w:rPr>
          <w:sz w:val="24"/>
          <w:szCs w:val="24"/>
        </w:rPr>
        <w:lastRenderedPageBreak/>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D443C7A" wp14:editId="2DD0EB63">
            <wp:extent cx="763905" cy="763905"/>
            <wp:effectExtent l="0" t="0" r="0" b="0"/>
            <wp:docPr id="319" name="Picture 31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7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205" w:name="_Toc187623939"/>
      <w:bookmarkStart w:id="206" w:name="_Toc187630659"/>
      <w:bookmarkStart w:id="207" w:name="_Toc187660838"/>
      <w:bookmarkStart w:id="208" w:name="_Toc187661917"/>
      <w:r w:rsidRPr="009C5151">
        <w:rPr>
          <w:rStyle w:val="Strong"/>
          <w:b/>
          <w:bCs/>
          <w:sz w:val="24"/>
          <w:szCs w:val="24"/>
        </w:rPr>
        <w:t>Case Study: Tax and Compliance Challenges for MedEquip Pvt. Ltd.</w:t>
      </w:r>
      <w:bookmarkEnd w:id="205"/>
      <w:bookmarkEnd w:id="206"/>
      <w:bookmarkEnd w:id="207"/>
      <w:bookmarkEnd w:id="208"/>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MedEquip Pvt. Ltd., an Indian company engaged in manufacturing and exporting medical devices, operates in </w:t>
      </w:r>
      <w:r w:rsidRPr="009C5151">
        <w:rPr>
          <w:rStyle w:val="Strong"/>
        </w:rPr>
        <w:t>USA, UK, Germany, Singapore, UAE, and China</w:t>
      </w:r>
      <w:r w:rsidRPr="009C5151">
        <w:t xml:space="preserve">. The company is involved in international licensing, R&amp;D collaborations, and intra-group transactions. It faces challenges in </w:t>
      </w:r>
      <w:r w:rsidRPr="009C5151">
        <w:rPr>
          <w:rStyle w:val="Strong"/>
        </w:rPr>
        <w:t>withholding tax (WHT)</w:t>
      </w:r>
      <w:r w:rsidRPr="009C5151">
        <w:t xml:space="preserve">, </w:t>
      </w:r>
      <w:r w:rsidRPr="009C5151">
        <w:rPr>
          <w:rStyle w:val="Strong"/>
        </w:rPr>
        <w:t>transfer pricing (TP)</w:t>
      </w:r>
      <w:r w:rsidRPr="009C5151">
        <w:t xml:space="preserve">, </w:t>
      </w:r>
      <w:r w:rsidRPr="009C5151">
        <w:rPr>
          <w:rStyle w:val="Strong"/>
        </w:rPr>
        <w:t>equalization levy (EL)</w:t>
      </w:r>
      <w:r w:rsidRPr="009C5151">
        <w:t xml:space="preserve">, and </w:t>
      </w:r>
      <w:r w:rsidRPr="009C5151">
        <w:rPr>
          <w:rStyle w:val="Strong"/>
        </w:rPr>
        <w:t>treaty compliance</w:t>
      </w:r>
      <w:r w:rsidRPr="009C5151">
        <w:t xml:space="preserve"> due to its complex global operations.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3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09" w:name="_Toc187623940"/>
      <w:bookmarkStart w:id="210" w:name="_Toc187630660"/>
      <w:bookmarkStart w:id="211" w:name="_Toc187660839"/>
      <w:bookmarkStart w:id="212" w:name="_Toc187661918"/>
      <w:r w:rsidRPr="009C5151">
        <w:rPr>
          <w:rStyle w:val="Strong"/>
          <w:b/>
          <w:bCs/>
          <w:sz w:val="24"/>
          <w:szCs w:val="24"/>
        </w:rPr>
        <w:t>Transactions</w:t>
      </w:r>
      <w:bookmarkEnd w:id="209"/>
      <w:bookmarkEnd w:id="210"/>
      <w:bookmarkEnd w:id="211"/>
      <w:bookmarkEnd w:id="212"/>
    </w:p>
    <w:p w:rsidR="00A056B6" w:rsidRPr="009C5151" w:rsidRDefault="00A056B6" w:rsidP="00743A5F">
      <w:pPr>
        <w:pStyle w:val="Heading4"/>
        <w:spacing w:before="0" w:beforeAutospacing="0"/>
      </w:pPr>
      <w:r w:rsidRPr="009C5151">
        <w:rPr>
          <w:rStyle w:val="Strong"/>
          <w:b/>
          <w:bCs/>
        </w:rPr>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Export of Medical Devices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Exported ₹250 crore worth of medical devices to the USA, UK, and Germany.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Pricing is governed by inter-company agreements requiring TP compliance.</w:t>
      </w:r>
    </w:p>
    <w:p w:rsidR="00A056B6" w:rsidRPr="009C5151" w:rsidRDefault="00A056B6" w:rsidP="00743A5F">
      <w:pPr>
        <w:pStyle w:val="NormalWeb"/>
        <w:tabs>
          <w:tab w:val="num" w:pos="720"/>
        </w:tabs>
        <w:spacing w:before="0" w:beforeAutospacing="0"/>
        <w:ind w:left="720" w:hanging="360"/>
      </w:pPr>
      <w:r w:rsidRPr="009C5151">
        <w:rPr>
          <w:rStyle w:val="Strong"/>
        </w:rPr>
        <w:t>Licensing Fees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Earned ₹40 crore as licensing fees from a UAE subsidiary for patented medical technology.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Risk of UAE WHT compliance and classification as royalty or business income.</w:t>
      </w:r>
    </w:p>
    <w:p w:rsidR="00A056B6" w:rsidRPr="009C5151" w:rsidRDefault="00A056B6" w:rsidP="00743A5F">
      <w:pPr>
        <w:pStyle w:val="NormalWeb"/>
        <w:tabs>
          <w:tab w:val="num" w:pos="720"/>
        </w:tabs>
        <w:spacing w:before="0" w:beforeAutospacing="0"/>
        <w:ind w:left="720" w:hanging="360"/>
      </w:pPr>
      <w:r w:rsidRPr="009C5151">
        <w:rPr>
          <w:rStyle w:val="Strong"/>
        </w:rPr>
        <w:t>R&amp;D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₹35 crore to a Singapore AE for R&amp;D services related to new device development.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rate under India-Singapore DTAA: 10%.</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₹15 crore to a German entity for using proprietary designs.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rate under India-Germany DTAA: 10%.</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Paid ₹8 crore to a USA-based company for digital marketing services.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3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₹10 crore to an Indian group company for administrative and logistical support.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Subject to specified domestic transaction compliance.</w:t>
      </w:r>
    </w:p>
    <w:p w:rsidR="00A056B6" w:rsidRPr="009C5151" w:rsidRDefault="00A056B6" w:rsidP="00743A5F">
      <w:pPr>
        <w:pStyle w:val="NormalWeb"/>
        <w:tabs>
          <w:tab w:val="num" w:pos="720"/>
        </w:tabs>
        <w:spacing w:before="0" w:beforeAutospacing="0"/>
        <w:ind w:left="720" w:hanging="360"/>
      </w:pPr>
      <w:r w:rsidRPr="009C5151">
        <w:rPr>
          <w:rStyle w:val="Strong"/>
        </w:rPr>
        <w:t>Lease of Manufacturing Equipment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₹20 crore worth of equipment to a domestic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3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13" w:name="_Toc187623941"/>
      <w:bookmarkStart w:id="214" w:name="_Toc187630661"/>
      <w:bookmarkStart w:id="215" w:name="_Toc187660840"/>
      <w:bookmarkStart w:id="216" w:name="_Toc187661919"/>
      <w:r w:rsidRPr="009C5151">
        <w:rPr>
          <w:rStyle w:val="Strong"/>
          <w:b/>
          <w:bCs/>
          <w:sz w:val="24"/>
          <w:szCs w:val="24"/>
        </w:rPr>
        <w:t>Key Issues</w:t>
      </w:r>
      <w:bookmarkEnd w:id="213"/>
      <w:bookmarkEnd w:id="214"/>
      <w:bookmarkEnd w:id="215"/>
      <w:bookmarkEnd w:id="216"/>
    </w:p>
    <w:p w:rsidR="00A056B6" w:rsidRPr="009C5151" w:rsidRDefault="00A056B6" w:rsidP="00743A5F">
      <w:pPr>
        <w:pStyle w:val="Heading4"/>
        <w:spacing w:before="0" w:beforeAutospacing="0"/>
      </w:pPr>
      <w:r w:rsidRPr="009C5151">
        <w:t xml:space="preserve">1. </w:t>
      </w:r>
      <w:r w:rsidRPr="009C5151">
        <w:rPr>
          <w:rStyle w:val="Strong"/>
          <w:b/>
          <w:bCs/>
        </w:rPr>
        <w:t>Transfer Pricing (TP) Challenges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Lack of robust benchmarking for ₹250 crore exports, ₹35 crore R&amp;D payments, and ₹15 crore royalty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Licensing fees from UAE subsidiary require analysis for arm’s length pricing.</w:t>
      </w:r>
    </w:p>
    <w:p w:rsidR="00A056B6" w:rsidRPr="009C5151" w:rsidRDefault="00A056B6" w:rsidP="00743A5F">
      <w:pPr>
        <w:pStyle w:val="Heading4"/>
        <w:spacing w:before="0" w:beforeAutospacing="0"/>
      </w:pPr>
      <w:r w:rsidRPr="009C5151">
        <w:t xml:space="preserve">2. </w:t>
      </w:r>
      <w:r w:rsidRPr="009C5151">
        <w:rPr>
          <w:rStyle w:val="Strong"/>
          <w:b/>
          <w:bCs/>
        </w:rPr>
        <w:t>Withholding Tax (WHT)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Incorrect WHT application on royalties to Germany (₹15 crore) and R&amp;D payments to Singapore (₹35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Misclassification of licensing fees from UAE as business income or royalties.</w:t>
      </w:r>
    </w:p>
    <w:p w:rsidR="00A056B6" w:rsidRPr="009C5151" w:rsidRDefault="00A056B6" w:rsidP="00743A5F">
      <w:pPr>
        <w:pStyle w:val="Heading4"/>
        <w:spacing w:before="0" w:beforeAutospacing="0"/>
      </w:pPr>
      <w:r w:rsidRPr="009C5151">
        <w:t xml:space="preserve">3. </w:t>
      </w:r>
      <w:r w:rsidRPr="009C5151">
        <w:rPr>
          <w:rStyle w:val="Strong"/>
          <w:b/>
          <w:bCs/>
        </w:rPr>
        <w:t>Equalization Levy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₹8 crore digital advertising payments to a USA platform.</w:t>
      </w:r>
    </w:p>
    <w:p w:rsidR="00A056B6" w:rsidRPr="009C5151" w:rsidRDefault="00A056B6" w:rsidP="00743A5F">
      <w:pPr>
        <w:pStyle w:val="Heading4"/>
        <w:spacing w:before="0" w:beforeAutospacing="0"/>
      </w:pPr>
      <w:r w:rsidRPr="009C5151">
        <w:t xml:space="preserve">4. </w:t>
      </w:r>
      <w:r w:rsidRPr="009C5151">
        <w:rPr>
          <w:rStyle w:val="Strong"/>
          <w:b/>
          <w:bCs/>
        </w:rPr>
        <w:t>Specified Domestic Transactions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Lack of proper benchmarking for ₹10 crore shared services and ₹20 crore equipment lease transactions.</w:t>
      </w:r>
    </w:p>
    <w:p w:rsidR="00A056B6" w:rsidRPr="009C5151" w:rsidRDefault="00A056B6" w:rsidP="00743A5F">
      <w:pPr>
        <w:pStyle w:val="Heading4"/>
        <w:spacing w:before="0" w:beforeAutospacing="0"/>
      </w:pPr>
      <w:r w:rsidRPr="009C5151">
        <w:t xml:space="preserve">5. </w:t>
      </w:r>
      <w:r w:rsidRPr="009C5151">
        <w:rPr>
          <w:rStyle w:val="Strong"/>
          <w:b/>
          <w:bCs/>
        </w:rPr>
        <w:t>Double Taxation Avoidance Agreements (DTAAs)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denial of treaty benefits for licensing fees under Principal Purpose Test (PPT) and anti-abuse provisions.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3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17" w:name="_Toc187623942"/>
      <w:bookmarkStart w:id="218" w:name="_Toc187630662"/>
      <w:bookmarkStart w:id="219" w:name="_Toc187660841"/>
      <w:bookmarkStart w:id="220" w:name="_Toc187661920"/>
      <w:r w:rsidRPr="009C5151">
        <w:rPr>
          <w:rStyle w:val="Strong"/>
          <w:b/>
          <w:bCs/>
          <w:sz w:val="24"/>
          <w:szCs w:val="24"/>
        </w:rPr>
        <w:t>Proposed Solutions</w:t>
      </w:r>
      <w:bookmarkEnd w:id="217"/>
      <w:bookmarkEnd w:id="218"/>
      <w:bookmarkEnd w:id="219"/>
      <w:bookmarkEnd w:id="220"/>
    </w:p>
    <w:p w:rsidR="00A056B6" w:rsidRPr="009C5151" w:rsidRDefault="00A056B6" w:rsidP="00743A5F">
      <w:pPr>
        <w:pStyle w:val="Heading4"/>
        <w:spacing w:before="0" w:beforeAutospacing="0"/>
      </w:pPr>
      <w:r w:rsidRPr="009C5151">
        <w:rPr>
          <w:rStyle w:val="Strong"/>
          <w:b/>
          <w:bCs/>
        </w:rPr>
        <w:lastRenderedPageBreak/>
        <w:t>1. Transfer Pricing (TP)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Exports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 xml:space="preserve"> to benchmark ₹250 crore exports. Compare margins with similar medical device companies.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validate ₹35 crore paid to the Singapore AE. Ensure the markup aligns with industry standards.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₹15 crore royalty payments using the </w:t>
      </w:r>
      <w:r w:rsidRPr="009C5151">
        <w:rPr>
          <w:rStyle w:val="Strong"/>
          <w:rFonts w:ascii="Times New Roman" w:hAnsi="Times New Roman" w:cs="Times New Roman"/>
          <w:sz w:val="24"/>
          <w:szCs w:val="24"/>
        </w:rPr>
        <w:t>Comparable Uncontrolled Price (CUP) Method</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Licensing Fees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CUP or </w:t>
      </w:r>
      <w:r w:rsidRPr="009C5151">
        <w:rPr>
          <w:rStyle w:val="Strong"/>
          <w:rFonts w:ascii="Times New Roman" w:hAnsi="Times New Roman" w:cs="Times New Roman"/>
          <w:sz w:val="24"/>
          <w:szCs w:val="24"/>
        </w:rPr>
        <w:t>Profit Split Method (PSM)</w:t>
      </w:r>
      <w:r w:rsidRPr="009C5151">
        <w:rPr>
          <w:rFonts w:ascii="Times New Roman" w:hAnsi="Times New Roman" w:cs="Times New Roman"/>
          <w:sz w:val="24"/>
          <w:szCs w:val="24"/>
        </w:rPr>
        <w:t xml:space="preserve"> to validate ₹40 crore licensing fees from the UAE subsidiary.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Form 3CEB with comprehensive benchmarking documentation.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3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10% for ₹35 crore paid to the Singapore AE under the India-Singapore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10% for ₹15 crore paid to the German AE under the India-Germany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Licensing Fees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Classify ₹40 crore received from UAE as royalty and ensure UAE’s tax exemption applies. Maintain documentation to justify the classification.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3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Digital Advertising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Apply EL at 6% on ₹8 crore payments to the USA platform, amounting to ₹48 lakh.</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annual EL returns and remit the levy within prescribed deadlines.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3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Shared Services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validate ₹10 crore payments for administrative and logistical support.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Equipment Lease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₹20 crore lease pricing using CUP or third-party leasing rates.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Disclose all specified domestic transactions in Form 3CEB.</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3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Double Taxation Avoidance Agreements (DTAAs)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Licensing Fees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Meet the PPT requirement under the UAE DTAA by documenting the economic substance of licensing arrangements.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Royalties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Justify royalty classification for ₹15 crore payments with detailed agreements and technical descriptions.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Anti-Abuse Provisions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 transactions with anti-abuse rules under MLI. Document all arrangements to demonstrate business purpose and substance.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3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21" w:name="_Toc187623943"/>
      <w:bookmarkStart w:id="222" w:name="_Toc187630663"/>
      <w:bookmarkStart w:id="223" w:name="_Toc187660842"/>
      <w:bookmarkStart w:id="224" w:name="_Toc187661921"/>
      <w:r w:rsidRPr="009C5151">
        <w:rPr>
          <w:rStyle w:val="Strong"/>
          <w:b/>
          <w:bCs/>
          <w:sz w:val="24"/>
          <w:szCs w:val="24"/>
        </w:rPr>
        <w:t>Detailed Discussion of Proposed Solutions</w:t>
      </w:r>
      <w:bookmarkEnd w:id="221"/>
      <w:bookmarkEnd w:id="222"/>
      <w:bookmarkEnd w:id="223"/>
      <w:bookmarkEnd w:id="224"/>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3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spacing w:before="0" w:beforeAutospacing="0"/>
      </w:pPr>
      <w:r w:rsidRPr="009C5151">
        <w:t xml:space="preserve">1.1 </w:t>
      </w:r>
      <w:r w:rsidRPr="009C5151">
        <w:rPr>
          <w:rStyle w:val="Strong"/>
        </w:rPr>
        <w:t>Exports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TNMM to benchmark ₹250 crore exports. Compare the company’s operating margin with industry averages.</w:t>
      </w:r>
    </w:p>
    <w:p w:rsidR="00A056B6" w:rsidRPr="009C5151" w:rsidRDefault="00A056B6" w:rsidP="00743A5F">
      <w:pPr>
        <w:pStyle w:val="NormalWeb"/>
        <w:spacing w:before="0" w:beforeAutospacing="0"/>
      </w:pPr>
      <w:r w:rsidRPr="009C5151">
        <w:lastRenderedPageBreak/>
        <w:t xml:space="preserve">1.2 </w:t>
      </w:r>
      <w:r w:rsidRPr="009C5151">
        <w:rPr>
          <w:rStyle w:val="Strong"/>
        </w:rPr>
        <w:t>R&amp;D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CPM is suitable for benchmarking payments to the Singapore AE. Ensure markup includes appropriate cost allocation.</w:t>
      </w:r>
    </w:p>
    <w:p w:rsidR="00A056B6" w:rsidRPr="009C5151" w:rsidRDefault="00A056B6" w:rsidP="00743A5F">
      <w:pPr>
        <w:pStyle w:val="NormalWeb"/>
        <w:spacing w:before="0" w:beforeAutospacing="0"/>
      </w:pPr>
      <w:r w:rsidRPr="009C5151">
        <w:t xml:space="preserve">1.3 </w:t>
      </w:r>
      <w:r w:rsidRPr="009C5151">
        <w:rPr>
          <w:rStyle w:val="Strong"/>
        </w:rPr>
        <w:t>Licensing Fees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Validate ₹40 crore licensing fees using CUP. Justify the pricing through comparable licensing agreements in the medical device sector.</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4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pStyle w:val="NormalWeb"/>
        <w:spacing w:before="0" w:beforeAutospacing="0"/>
      </w:pPr>
      <w:r w:rsidRPr="009C5151">
        <w:t xml:space="preserve">2.1 </w:t>
      </w:r>
      <w:r w:rsidRPr="009C5151">
        <w:rPr>
          <w:rStyle w:val="Strong"/>
        </w:rPr>
        <w:t>R&amp;D Payments and Royalties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under DTAA rates for payments to Singapore and Germany. File TDS returns on time and issue Form 16A certificates.</w:t>
      </w:r>
    </w:p>
    <w:p w:rsidR="00A056B6" w:rsidRPr="009C5151" w:rsidRDefault="00A056B6" w:rsidP="00743A5F">
      <w:pPr>
        <w:pStyle w:val="NormalWeb"/>
        <w:spacing w:before="0" w:beforeAutospacing="0"/>
      </w:pPr>
      <w:r w:rsidRPr="009C5151">
        <w:t xml:space="preserve">2.2 </w:t>
      </w:r>
      <w:r w:rsidRPr="009C5151">
        <w:rPr>
          <w:rStyle w:val="Strong"/>
        </w:rPr>
        <w:t>Licensing Fees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Classify ₹40 crore UAE licensing fees correctly as royalty income. Maintain TRCs to support treaty benefits.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4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pStyle w:val="NormalWeb"/>
        <w:spacing w:before="0" w:beforeAutospacing="0"/>
      </w:pPr>
      <w:r w:rsidRPr="009C5151">
        <w:t xml:space="preserve">3.1 </w:t>
      </w:r>
      <w:r w:rsidRPr="009C5151">
        <w:rPr>
          <w:rStyle w:val="Strong"/>
        </w:rPr>
        <w:t>Digital Advertising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at 6% applies to ₹8 crore digital advertising payments. Calculate and remit ₹48 lakh levy.</w:t>
      </w:r>
    </w:p>
    <w:p w:rsidR="00A056B6" w:rsidRPr="009C5151" w:rsidRDefault="00A056B6" w:rsidP="00743A5F">
      <w:pPr>
        <w:pStyle w:val="NormalWeb"/>
        <w:spacing w:before="0" w:beforeAutospacing="0"/>
      </w:pPr>
      <w:r w:rsidRPr="009C5151">
        <w:t xml:space="preserve">3.2 </w:t>
      </w:r>
      <w:r w:rsidRPr="009C5151">
        <w:rPr>
          <w:rStyle w:val="Strong"/>
        </w:rPr>
        <w:t>Filing and Classification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EL returns and verify all digital service payments for proper classification under EL provisions.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4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pStyle w:val="NormalWeb"/>
        <w:spacing w:before="0" w:beforeAutospacing="0"/>
      </w:pPr>
      <w:r w:rsidRPr="009C5151">
        <w:t xml:space="preserve">4.1 </w:t>
      </w:r>
      <w:r w:rsidRPr="009C5151">
        <w:rPr>
          <w:rStyle w:val="Strong"/>
        </w:rPr>
        <w:t>Shared Services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Validate payments for shared services using third-party benchmarks. Ensure cost allocation aligns with the value provided.</w:t>
      </w:r>
    </w:p>
    <w:p w:rsidR="00A056B6" w:rsidRPr="009C5151" w:rsidRDefault="00A056B6" w:rsidP="00743A5F">
      <w:pPr>
        <w:pStyle w:val="NormalWeb"/>
        <w:spacing w:before="0" w:beforeAutospacing="0"/>
      </w:pPr>
      <w:r w:rsidRPr="009C5151">
        <w:t xml:space="preserve">4.2 </w:t>
      </w:r>
      <w:r w:rsidRPr="009C5151">
        <w:rPr>
          <w:rStyle w:val="Strong"/>
        </w:rPr>
        <w:t>Equipment Lease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leasing rates using CUP or publicly available data. Update agreements to reflect market terms.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4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lastRenderedPageBreak/>
        <w:t>5. Double Taxation Avoidance Agreements (DTAAs)</w:t>
      </w:r>
    </w:p>
    <w:p w:rsidR="00A056B6" w:rsidRPr="009C5151" w:rsidRDefault="00A056B6" w:rsidP="00743A5F">
      <w:pPr>
        <w:pStyle w:val="NormalWeb"/>
        <w:spacing w:before="0" w:beforeAutospacing="0"/>
      </w:pPr>
      <w:r w:rsidRPr="009C5151">
        <w:t xml:space="preserve">5.1 </w:t>
      </w:r>
      <w:r w:rsidRPr="009C5151">
        <w:rPr>
          <w:rStyle w:val="Strong"/>
        </w:rPr>
        <w:t>Licensing Fees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Meet PPT requirements by documenting the commercial necessity of licensing arrangements with the UAE AE.</w:t>
      </w:r>
    </w:p>
    <w:p w:rsidR="00A056B6" w:rsidRPr="009C5151" w:rsidRDefault="00A056B6" w:rsidP="00743A5F">
      <w:pPr>
        <w:pStyle w:val="NormalWeb"/>
        <w:spacing w:before="0" w:beforeAutospacing="0"/>
      </w:pPr>
      <w:r w:rsidRPr="009C5151">
        <w:t xml:space="preserve">5.2 </w:t>
      </w:r>
      <w:r w:rsidRPr="009C5151">
        <w:rPr>
          <w:rStyle w:val="Strong"/>
        </w:rPr>
        <w:t>Anti-Abuse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Align transactions with MLI anti-abuse rules. Avoid treaty denial by maintaining economic substance.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4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25" w:name="_Toc187623944"/>
      <w:bookmarkStart w:id="226" w:name="_Toc187630664"/>
      <w:bookmarkStart w:id="227" w:name="_Toc187660843"/>
      <w:bookmarkStart w:id="228" w:name="_Toc187661922"/>
      <w:r w:rsidRPr="009C5151">
        <w:rPr>
          <w:rStyle w:val="Strong"/>
          <w:b/>
          <w:bCs/>
          <w:sz w:val="24"/>
          <w:szCs w:val="24"/>
        </w:rPr>
        <w:t>Conclusion</w:t>
      </w:r>
      <w:bookmarkEnd w:id="225"/>
      <w:bookmarkEnd w:id="226"/>
      <w:bookmarkEnd w:id="227"/>
      <w:bookmarkEnd w:id="228"/>
    </w:p>
    <w:p w:rsidR="00A056B6" w:rsidRPr="009C5151" w:rsidRDefault="00A056B6" w:rsidP="00743A5F">
      <w:pPr>
        <w:pStyle w:val="NormalWeb"/>
        <w:spacing w:before="0" w:beforeAutospacing="0"/>
      </w:pPr>
      <w:r w:rsidRPr="009C5151">
        <w:t>To address its challenges, MedEquip Pvt. Ltd. should:</w:t>
      </w:r>
    </w:p>
    <w:p w:rsidR="00A056B6" w:rsidRPr="009C5151" w:rsidRDefault="00A056B6" w:rsidP="00743A5F">
      <w:pPr>
        <w:pStyle w:val="NormalWeb"/>
        <w:tabs>
          <w:tab w:val="num" w:pos="720"/>
        </w:tabs>
        <w:spacing w:before="0" w:beforeAutospacing="0"/>
        <w:ind w:left="720" w:hanging="360"/>
      </w:pPr>
      <w:r w:rsidRPr="009C5151">
        <w:rPr>
          <w:rStyle w:val="Strong"/>
        </w:rPr>
        <w:t>Strengthen TP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international and specified domestic transactions to comply with TP rules. File Form 3CEB accurately.</w:t>
      </w:r>
    </w:p>
    <w:p w:rsidR="00A056B6" w:rsidRPr="009C5151" w:rsidRDefault="00A056B6" w:rsidP="00743A5F">
      <w:pPr>
        <w:pStyle w:val="NormalWeb"/>
        <w:tabs>
          <w:tab w:val="num" w:pos="720"/>
        </w:tabs>
        <w:spacing w:before="0" w:beforeAutospacing="0"/>
        <w:ind w:left="720" w:hanging="360"/>
      </w:pPr>
      <w:r w:rsidRPr="009C5151">
        <w:rPr>
          <w:rStyle w:val="Strong"/>
        </w:rPr>
        <w:t>Enhance WHT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DTAA rates for R&amp;D payments and royalties. Maintain TRCs and supporting documents.</w:t>
      </w:r>
    </w:p>
    <w:p w:rsidR="00A056B6" w:rsidRPr="009C5151" w:rsidRDefault="00A056B6" w:rsidP="00743A5F">
      <w:pPr>
        <w:pStyle w:val="NormalWeb"/>
        <w:tabs>
          <w:tab w:val="num" w:pos="720"/>
        </w:tabs>
        <w:spacing w:before="0" w:beforeAutospacing="0"/>
        <w:ind w:left="720" w:hanging="360"/>
      </w:pPr>
      <w:r w:rsidRPr="009C5151">
        <w:rPr>
          <w:rStyle w:val="Strong"/>
        </w:rPr>
        <w:t>Focus on EL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for digital advertising payments and remit levies within deadlines.</w:t>
      </w:r>
    </w:p>
    <w:p w:rsidR="00A056B6" w:rsidRPr="009C5151" w:rsidRDefault="00A056B6" w:rsidP="00743A5F">
      <w:pPr>
        <w:pStyle w:val="NormalWeb"/>
        <w:tabs>
          <w:tab w:val="num" w:pos="720"/>
        </w:tabs>
        <w:spacing w:before="0" w:beforeAutospacing="0"/>
        <w:ind w:left="720" w:hanging="360"/>
      </w:pPr>
      <w:r w:rsidRPr="009C5151">
        <w:rPr>
          <w:rStyle w:val="Strong"/>
        </w:rPr>
        <w:t>Review Domestic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pricing for shared services and leasing arrangements. Align them with arm’s length principles.</w:t>
      </w:r>
    </w:p>
    <w:p w:rsidR="00A056B6" w:rsidRPr="009C5151" w:rsidRDefault="00A056B6" w:rsidP="00743A5F">
      <w:pPr>
        <w:pStyle w:val="NormalWeb"/>
        <w:tabs>
          <w:tab w:val="num" w:pos="720"/>
        </w:tabs>
        <w:spacing w:before="0" w:beforeAutospacing="0"/>
        <w:ind w:left="720" w:hanging="360"/>
      </w:pPr>
      <w:r w:rsidRPr="009C5151">
        <w:rPr>
          <w:rStyle w:val="Strong"/>
        </w:rPr>
        <w:t>Mitigate Treaty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Meet PPT and anti-abuse requirements under DTAAs and MLI. Maintain robust documentation for treaty compliance.</w:t>
      </w:r>
    </w:p>
    <w:p w:rsidR="00A056B6" w:rsidRPr="009C5151" w:rsidRDefault="00A056B6" w:rsidP="00743A5F">
      <w:pPr>
        <w:pStyle w:val="NormalWeb"/>
        <w:spacing w:before="0" w:beforeAutospacing="0"/>
      </w:pPr>
      <w:r w:rsidRPr="009C5151">
        <w:t>By implementing these measures, MedEquip Pvt. Ltd. can ensure compliance, reduce tax risks, and optimize its global operations effectively.</w:t>
      </w:r>
    </w:p>
    <w:p w:rsidR="00A056B6" w:rsidRPr="009C5151" w:rsidRDefault="00A056B6" w:rsidP="00743A5F">
      <w:pPr>
        <w:pStyle w:val="NormalWeb"/>
        <w:spacing w:before="0" w:beforeAutospacing="0"/>
      </w:pPr>
      <w:r w:rsidRPr="009C5151">
        <w:t>Would you like assistance with drafting TP documentation or compliance checklists?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Please do the same with a 7th example of different set of issues and problem and suggested solutions by a CA to a Company including a detailed discussion on the various topics covered under suggestions and Conclusion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2E3115A" wp14:editId="1C1D821D">
            <wp:extent cx="763905" cy="763905"/>
            <wp:effectExtent l="0" t="0" r="0" b="0"/>
            <wp:docPr id="318" name="Picture 31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9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229" w:name="_Toc187623945"/>
      <w:bookmarkStart w:id="230" w:name="_Toc187630665"/>
      <w:bookmarkStart w:id="231" w:name="_Toc187660844"/>
      <w:bookmarkStart w:id="232" w:name="_Toc187661923"/>
      <w:r w:rsidRPr="009C5151">
        <w:rPr>
          <w:rStyle w:val="Strong"/>
          <w:b/>
          <w:bCs/>
          <w:sz w:val="24"/>
          <w:szCs w:val="24"/>
        </w:rPr>
        <w:t>Case Study: Tax and Compliance Challenges for EcoTech Solutions Pvt. Ltd.</w:t>
      </w:r>
      <w:bookmarkEnd w:id="229"/>
      <w:bookmarkEnd w:id="230"/>
      <w:bookmarkEnd w:id="231"/>
      <w:bookmarkEnd w:id="232"/>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EcoTech Solutions Pvt. Ltd., an Indian renewable energy company, operates globally in </w:t>
      </w:r>
      <w:r w:rsidRPr="009C5151">
        <w:rPr>
          <w:rStyle w:val="Strong"/>
        </w:rPr>
        <w:t>USA, UK, Singapore, Australia, Germany, and South Africa</w:t>
      </w:r>
      <w:r w:rsidRPr="009C5151">
        <w:t xml:space="preserve">. The company manufactures and exports energy-efficient solutions like solar panels, wind turbines, and energy storage systems. Its operations include </w:t>
      </w:r>
      <w:r w:rsidRPr="009C5151">
        <w:rPr>
          <w:rStyle w:val="Strong"/>
        </w:rPr>
        <w:t>R&amp;D collaborations</w:t>
      </w:r>
      <w:r w:rsidRPr="009C5151">
        <w:t xml:space="preserve">, </w:t>
      </w:r>
      <w:r w:rsidRPr="009C5151">
        <w:rPr>
          <w:rStyle w:val="Strong"/>
        </w:rPr>
        <w:t>licensing agreements</w:t>
      </w:r>
      <w:r w:rsidRPr="009C5151">
        <w:t xml:space="preserve">, and </w:t>
      </w:r>
      <w:r w:rsidRPr="009C5151">
        <w:rPr>
          <w:rStyle w:val="Strong"/>
        </w:rPr>
        <w:t>domestic intra-group transactions</w:t>
      </w:r>
      <w:r w:rsidRPr="009C5151">
        <w:t xml:space="preserve">. EcoTech faces tax challenges related to </w:t>
      </w:r>
      <w:r w:rsidRPr="009C5151">
        <w:rPr>
          <w:rStyle w:val="Strong"/>
        </w:rPr>
        <w:t>withholding tax (WHT)</w:t>
      </w:r>
      <w:r w:rsidRPr="009C5151">
        <w:t xml:space="preserve">, </w:t>
      </w:r>
      <w:r w:rsidRPr="009C5151">
        <w:rPr>
          <w:rStyle w:val="Strong"/>
        </w:rPr>
        <w:t>transfer pricing (TP)</w:t>
      </w:r>
      <w:r w:rsidRPr="009C5151">
        <w:t xml:space="preserve">, </w:t>
      </w:r>
      <w:r w:rsidRPr="009C5151">
        <w:rPr>
          <w:rStyle w:val="Strong"/>
        </w:rPr>
        <w:t>equalization levy (EL)</w:t>
      </w:r>
      <w:r w:rsidRPr="009C5151">
        <w:t xml:space="preserve">, and </w:t>
      </w:r>
      <w:r w:rsidRPr="009C5151">
        <w:rPr>
          <w:rStyle w:val="Strong"/>
        </w:rPr>
        <w:t>treaty compliance</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4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33" w:name="_Toc187623946"/>
      <w:bookmarkStart w:id="234" w:name="_Toc187630666"/>
      <w:bookmarkStart w:id="235" w:name="_Toc187660845"/>
      <w:bookmarkStart w:id="236" w:name="_Toc187661924"/>
      <w:r w:rsidRPr="009C5151">
        <w:rPr>
          <w:rStyle w:val="Strong"/>
          <w:b/>
          <w:bCs/>
          <w:sz w:val="24"/>
          <w:szCs w:val="24"/>
        </w:rPr>
        <w:t>Transactions</w:t>
      </w:r>
      <w:bookmarkEnd w:id="233"/>
      <w:bookmarkEnd w:id="234"/>
      <w:bookmarkEnd w:id="235"/>
      <w:bookmarkEnd w:id="236"/>
    </w:p>
    <w:p w:rsidR="00A056B6" w:rsidRPr="009C5151" w:rsidRDefault="00A056B6" w:rsidP="00743A5F">
      <w:pPr>
        <w:pStyle w:val="Heading4"/>
        <w:spacing w:before="0" w:beforeAutospacing="0"/>
      </w:pPr>
      <w:r w:rsidRPr="009C5151">
        <w:rPr>
          <w:rStyle w:val="Strong"/>
          <w:b/>
          <w:bCs/>
        </w:rPr>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Export of Solar Panels and Turbines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Exported ₹400 crore of products to USA, UK, and Singapore.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Pricing is governed by inter-company agreements, requiring TP compliance.</w:t>
      </w:r>
    </w:p>
    <w:p w:rsidR="00A056B6" w:rsidRPr="009C5151" w:rsidRDefault="00A056B6" w:rsidP="00743A5F">
      <w:pPr>
        <w:pStyle w:val="NormalWeb"/>
        <w:tabs>
          <w:tab w:val="num" w:pos="720"/>
        </w:tabs>
        <w:spacing w:before="0" w:beforeAutospacing="0"/>
        <w:ind w:left="720" w:hanging="360"/>
      </w:pPr>
      <w:r w:rsidRPr="009C5151">
        <w:rPr>
          <w:rStyle w:val="Strong"/>
        </w:rPr>
        <w:t>Licensing 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Earned ₹50 crore as licensing fees from UK and South Africa subsidiaries for patented solar technologies.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Potential WHT compliance under DTAAs with UK and South Africa.</w:t>
      </w:r>
    </w:p>
    <w:p w:rsidR="00A056B6" w:rsidRPr="009C5151" w:rsidRDefault="00A056B6" w:rsidP="00743A5F">
      <w:pPr>
        <w:pStyle w:val="NormalWeb"/>
        <w:tabs>
          <w:tab w:val="num" w:pos="720"/>
        </w:tabs>
        <w:spacing w:before="0" w:beforeAutospacing="0"/>
        <w:ind w:left="720" w:hanging="360"/>
      </w:pPr>
      <w:r w:rsidRPr="009C5151">
        <w:rPr>
          <w:rStyle w:val="Strong"/>
        </w:rPr>
        <w:t>R&amp;D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₹20 crore to a Singapore AE for R&amp;D services to develop new storage systems.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rate under India-Singapore DTAA: 10%.</w:t>
      </w:r>
    </w:p>
    <w:p w:rsidR="00A056B6" w:rsidRPr="009C5151" w:rsidRDefault="00A056B6" w:rsidP="00743A5F">
      <w:pPr>
        <w:pStyle w:val="NormalWeb"/>
        <w:tabs>
          <w:tab w:val="num" w:pos="720"/>
        </w:tabs>
        <w:spacing w:before="0" w:beforeAutospacing="0"/>
        <w:ind w:left="720" w:hanging="360"/>
      </w:pPr>
      <w:r w:rsidRPr="009C5151">
        <w:rPr>
          <w:rStyle w:val="Strong"/>
        </w:rPr>
        <w:t>Interest-Free Loan to AE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Advanced ₹25 crore to a subsidiary in Australia with no interest.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Risk of TP adjustments due to lack of arm’s length interest rate.</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₹9 crore to a USA-based platform for digital marketing.</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4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Intra-Group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₹15 crore to a domestic AE for management consulting and IT support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Subject to specified domestic transaction compliance.</w:t>
      </w:r>
    </w:p>
    <w:p w:rsidR="00A056B6" w:rsidRPr="009C5151" w:rsidRDefault="00A056B6" w:rsidP="00743A5F">
      <w:pPr>
        <w:pStyle w:val="NormalWeb"/>
        <w:tabs>
          <w:tab w:val="num" w:pos="720"/>
        </w:tabs>
        <w:spacing w:before="0" w:beforeAutospacing="0"/>
        <w:ind w:left="720" w:hanging="360"/>
      </w:pPr>
      <w:r w:rsidRPr="009C5151">
        <w:rPr>
          <w:rStyle w:val="Strong"/>
        </w:rPr>
        <w:t>Lease of Equipment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₹30 crore worth of equipment to another Indian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4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37" w:name="_Toc187623947"/>
      <w:bookmarkStart w:id="238" w:name="_Toc187630667"/>
      <w:bookmarkStart w:id="239" w:name="_Toc187660846"/>
      <w:bookmarkStart w:id="240" w:name="_Toc187661925"/>
      <w:r w:rsidRPr="009C5151">
        <w:rPr>
          <w:rStyle w:val="Strong"/>
          <w:b/>
          <w:bCs/>
          <w:sz w:val="24"/>
          <w:szCs w:val="24"/>
        </w:rPr>
        <w:t>Key Issues</w:t>
      </w:r>
      <w:bookmarkEnd w:id="237"/>
      <w:bookmarkEnd w:id="238"/>
      <w:bookmarkEnd w:id="239"/>
      <w:bookmarkEnd w:id="240"/>
    </w:p>
    <w:p w:rsidR="00A056B6" w:rsidRPr="009C5151" w:rsidRDefault="00A056B6" w:rsidP="00743A5F">
      <w:pPr>
        <w:pStyle w:val="Heading4"/>
        <w:spacing w:before="0" w:beforeAutospacing="0"/>
      </w:pPr>
      <w:r w:rsidRPr="009C5151">
        <w:t xml:space="preserve">1. </w:t>
      </w:r>
      <w:r w:rsidRPr="009C5151">
        <w:rPr>
          <w:rStyle w:val="Strong"/>
          <w:b/>
          <w:bCs/>
        </w:rPr>
        <w:t>Transfer Pricing (TP) Challenges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Inadequate benchmarking for ₹400 crore exports, ₹50 crore licensing fees, ₹20 crore R&amp;D payments, and ₹25 crore interest-free loan.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TP adjustments for intra-group domestic transactions.</w:t>
      </w:r>
    </w:p>
    <w:p w:rsidR="00A056B6" w:rsidRPr="009C5151" w:rsidRDefault="00A056B6" w:rsidP="00743A5F">
      <w:pPr>
        <w:pStyle w:val="Heading4"/>
        <w:spacing w:before="0" w:beforeAutospacing="0"/>
      </w:pPr>
      <w:r w:rsidRPr="009C5151">
        <w:t xml:space="preserve">2. </w:t>
      </w:r>
      <w:r w:rsidRPr="009C5151">
        <w:rPr>
          <w:rStyle w:val="Strong"/>
          <w:b/>
          <w:bCs/>
        </w:rPr>
        <w:t>Withholding Tax (WHT)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Potential misclassification of licensing fees as royalties or FTS under DTAAs with UK and South Africa.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WHT errors on ₹20 crore R&amp;D payments to Singapore.</w:t>
      </w:r>
    </w:p>
    <w:p w:rsidR="00A056B6" w:rsidRPr="009C5151" w:rsidRDefault="00A056B6" w:rsidP="00743A5F">
      <w:pPr>
        <w:pStyle w:val="Heading4"/>
        <w:spacing w:before="0" w:beforeAutospacing="0"/>
      </w:pPr>
      <w:r w:rsidRPr="009C5151">
        <w:t xml:space="preserve">3. </w:t>
      </w:r>
      <w:r w:rsidRPr="009C5151">
        <w:rPr>
          <w:rStyle w:val="Strong"/>
          <w:b/>
          <w:bCs/>
        </w:rPr>
        <w:t>Equalization Levy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₹9 crore digital advertising payments to the USA.</w:t>
      </w:r>
    </w:p>
    <w:p w:rsidR="00A056B6" w:rsidRPr="009C5151" w:rsidRDefault="00A056B6" w:rsidP="00743A5F">
      <w:pPr>
        <w:pStyle w:val="Heading4"/>
        <w:spacing w:before="0" w:beforeAutospacing="0"/>
      </w:pPr>
      <w:r w:rsidRPr="009C5151">
        <w:t xml:space="preserve">4. </w:t>
      </w:r>
      <w:r w:rsidRPr="009C5151">
        <w:rPr>
          <w:rStyle w:val="Strong"/>
          <w:b/>
          <w:bCs/>
        </w:rPr>
        <w:t>Specified Domestic Transactions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Lack of robust benchmarking for ₹15 crore intra-group services and ₹30 crore equipment lease.</w:t>
      </w:r>
    </w:p>
    <w:p w:rsidR="00A056B6" w:rsidRPr="009C5151" w:rsidRDefault="00A056B6" w:rsidP="00743A5F">
      <w:pPr>
        <w:pStyle w:val="Heading4"/>
        <w:spacing w:before="0" w:beforeAutospacing="0"/>
      </w:pPr>
      <w:r w:rsidRPr="009C5151">
        <w:t xml:space="preserve">5. </w:t>
      </w:r>
      <w:r w:rsidRPr="009C5151">
        <w:rPr>
          <w:rStyle w:val="Strong"/>
          <w:b/>
          <w:bCs/>
        </w:rPr>
        <w:t>Double Taxation Avoidance Agreements (DTAAs)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denial of treaty benefits for licensing fees under PPT and anti-abuse provisions.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14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41" w:name="_Toc187623948"/>
      <w:bookmarkStart w:id="242" w:name="_Toc187630668"/>
      <w:bookmarkStart w:id="243" w:name="_Toc187660847"/>
      <w:bookmarkStart w:id="244" w:name="_Toc187661926"/>
      <w:r w:rsidRPr="009C5151">
        <w:rPr>
          <w:rStyle w:val="Strong"/>
          <w:b/>
          <w:bCs/>
          <w:sz w:val="24"/>
          <w:szCs w:val="24"/>
        </w:rPr>
        <w:t>Proposed Solutions</w:t>
      </w:r>
      <w:bookmarkEnd w:id="241"/>
      <w:bookmarkEnd w:id="242"/>
      <w:bookmarkEnd w:id="243"/>
      <w:bookmarkEnd w:id="244"/>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Exports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₹400 crore exports using the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the company’s operating margins with similar renewable energy manufacturers.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Licensing Fees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the </w:t>
      </w:r>
      <w:r w:rsidRPr="009C5151">
        <w:rPr>
          <w:rStyle w:val="Strong"/>
          <w:rFonts w:ascii="Times New Roman" w:hAnsi="Times New Roman" w:cs="Times New Roman"/>
          <w:sz w:val="24"/>
          <w:szCs w:val="24"/>
        </w:rPr>
        <w:t>Comparable Uncontrolled Price (CUP) Method</w:t>
      </w:r>
      <w:r w:rsidRPr="009C5151">
        <w:rPr>
          <w:rFonts w:ascii="Times New Roman" w:hAnsi="Times New Roman" w:cs="Times New Roman"/>
          <w:sz w:val="24"/>
          <w:szCs w:val="24"/>
        </w:rPr>
        <w:t xml:space="preserve"> to validate ₹50 crore licensing fees.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the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justify ₹20 crore paid to Singapore AE. Ensure markup is consistent with industry practices.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Interest-Free Loan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Adjust the loan terms to reflect a market interest rate (~7%). Update agreements accordingly.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Form 3CEB with detailed documentation covering all international and domestic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4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Licensing Fees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10% under the India-UK and India-South Africa DTAAs for ₹50 crore licensing fees.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10% WHT on ₹20 crore payments to Singapore AE under the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Documentation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Obtain TRCs, Form 10F, and other supporting documents to substantiate reduced WHT rates.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15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Digital Advertising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a 6% EL on ₹9 crore payments to the USA-based platform, amounting to ₹54 lakh.</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annual EL returns and remit payments within prescribed deadlines.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5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Intra-Group Services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₹15 crore payment for management consulting and IT support using CPM or CUP methods.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Lease of Equipment</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₹30 crore leasing price using CUP, ensuring alignment with market rates.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Disclose all specified domestic transactions in Form 3CEB.</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5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Double Taxation Avoidance Agreements (DTAAs)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Licensing Fees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compliance with PPT and anti-abuse provisions under the DTAAs with UK and South Africa.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Document the economic substance of licensing arrangements.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Anti-Abuse Provisions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Avoid treaty denial by aligning transactions with MLI rules and documenting genuine business purposes.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5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45" w:name="_Toc187623949"/>
      <w:bookmarkStart w:id="246" w:name="_Toc187630669"/>
      <w:bookmarkStart w:id="247" w:name="_Toc187660848"/>
      <w:bookmarkStart w:id="248" w:name="_Toc187661927"/>
      <w:r w:rsidRPr="009C5151">
        <w:rPr>
          <w:rStyle w:val="Strong"/>
          <w:b/>
          <w:bCs/>
          <w:sz w:val="24"/>
          <w:szCs w:val="24"/>
        </w:rPr>
        <w:t>Detailed Discussion of Proposed Solutions</w:t>
      </w:r>
      <w:bookmarkEnd w:id="245"/>
      <w:bookmarkEnd w:id="246"/>
      <w:bookmarkEnd w:id="247"/>
      <w:bookmarkEnd w:id="248"/>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5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spacing w:before="0" w:beforeAutospacing="0"/>
      </w:pPr>
      <w:r w:rsidRPr="009C5151">
        <w:t xml:space="preserve">1.1 </w:t>
      </w:r>
      <w:r w:rsidRPr="009C5151">
        <w:rPr>
          <w:rStyle w:val="Strong"/>
        </w:rPr>
        <w:t>Exports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Use TNMM to benchmark ₹400 crore exports. Compare the company’s operating margins with those of comparable companies in the renewable energy industry.</w:t>
      </w:r>
    </w:p>
    <w:p w:rsidR="00A056B6" w:rsidRPr="009C5151" w:rsidRDefault="00A056B6" w:rsidP="00743A5F">
      <w:pPr>
        <w:pStyle w:val="NormalWeb"/>
        <w:spacing w:before="0" w:beforeAutospacing="0"/>
      </w:pPr>
      <w:r w:rsidRPr="009C5151">
        <w:t xml:space="preserve">1.2 </w:t>
      </w:r>
      <w:r w:rsidRPr="009C5151">
        <w:rPr>
          <w:rStyle w:val="Strong"/>
        </w:rPr>
        <w:t>Licensing Fees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CUP to validate ₹50 crore licensing fees. Compare rates charged for similar patented solar technologies by independent licensors.</w:t>
      </w:r>
    </w:p>
    <w:p w:rsidR="00A056B6" w:rsidRPr="009C5151" w:rsidRDefault="00A056B6" w:rsidP="00743A5F">
      <w:pPr>
        <w:pStyle w:val="NormalWeb"/>
        <w:spacing w:before="0" w:beforeAutospacing="0"/>
      </w:pPr>
      <w:r w:rsidRPr="009C5151">
        <w:t xml:space="preserve">1.3 </w:t>
      </w:r>
      <w:r w:rsidRPr="009C5151">
        <w:rPr>
          <w:rStyle w:val="Strong"/>
        </w:rPr>
        <w:t>Interest-Free Loan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the loan’s interest rate (~7%) using publicly available market rates (e.g., LIBOR plus a spread). Update agreements to include the revised terms.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5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pStyle w:val="NormalWeb"/>
        <w:spacing w:before="0" w:beforeAutospacing="0"/>
      </w:pPr>
      <w:r w:rsidRPr="009C5151">
        <w:t xml:space="preserve">2.1 </w:t>
      </w:r>
      <w:r w:rsidRPr="009C5151">
        <w:rPr>
          <w:rStyle w:val="Strong"/>
        </w:rPr>
        <w:t>Licensing Fees and R&amp;D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10% WHT under applicable DTAAs. File TDS returns and issue Form 16A certificates to recipients.</w:t>
      </w:r>
    </w:p>
    <w:p w:rsidR="00A056B6" w:rsidRPr="009C5151" w:rsidRDefault="00A056B6" w:rsidP="00743A5F">
      <w:pPr>
        <w:pStyle w:val="NormalWeb"/>
        <w:spacing w:before="0" w:beforeAutospacing="0"/>
      </w:pPr>
      <w:r w:rsidRPr="009C5151">
        <w:t xml:space="preserve">2.2 </w:t>
      </w:r>
      <w:r w:rsidRPr="009C5151">
        <w:rPr>
          <w:rStyle w:val="Strong"/>
        </w:rPr>
        <w:t>Documentation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Retain TRCs, agreements, and invoices to substantiate treaty benefits.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5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pStyle w:val="NormalWeb"/>
        <w:spacing w:before="0" w:beforeAutospacing="0"/>
      </w:pPr>
      <w:r w:rsidRPr="009C5151">
        <w:t xml:space="preserve">3.1 </w:t>
      </w:r>
      <w:r w:rsidRPr="009C5151">
        <w:rPr>
          <w:rStyle w:val="Strong"/>
        </w:rPr>
        <w:t>Digital Advertising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Calculate and remit ₹54 lakh EL for ₹9 crore payments. File EL returns on time to avoid penalties.</w:t>
      </w:r>
    </w:p>
    <w:p w:rsidR="00A056B6" w:rsidRPr="009C5151" w:rsidRDefault="00A056B6" w:rsidP="00743A5F">
      <w:pPr>
        <w:pStyle w:val="NormalWeb"/>
        <w:spacing w:before="0" w:beforeAutospacing="0"/>
      </w:pPr>
      <w:r w:rsidRPr="009C5151">
        <w:t xml:space="preserve">3.2 </w:t>
      </w:r>
      <w:r w:rsidRPr="009C5151">
        <w:rPr>
          <w:rStyle w:val="Strong"/>
        </w:rPr>
        <w:t>Classification Review</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Verify all payments to digital platforms for accurate classification under EL.</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5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pStyle w:val="NormalWeb"/>
        <w:spacing w:before="0" w:beforeAutospacing="0"/>
      </w:pPr>
      <w:r w:rsidRPr="009C5151">
        <w:t xml:space="preserve">4.1 </w:t>
      </w:r>
      <w:r w:rsidRPr="009C5151">
        <w:rPr>
          <w:rStyle w:val="Strong"/>
        </w:rPr>
        <w:t>Intra-Group Services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management consulting and IT support payments using third-party cost-plus agreements.</w:t>
      </w:r>
    </w:p>
    <w:p w:rsidR="00A056B6" w:rsidRPr="009C5151" w:rsidRDefault="00A056B6" w:rsidP="00743A5F">
      <w:pPr>
        <w:pStyle w:val="NormalWeb"/>
        <w:spacing w:before="0" w:beforeAutospacing="0"/>
      </w:pPr>
      <w:r w:rsidRPr="009C5151">
        <w:t xml:space="preserve">4.2 </w:t>
      </w:r>
      <w:r w:rsidRPr="009C5151">
        <w:rPr>
          <w:rStyle w:val="Strong"/>
        </w:rPr>
        <w:t>Lease of Equipment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Validate ₹30 crore lease price using CUP. Align agreements with market terms.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5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lastRenderedPageBreak/>
        <w:t>5. Double Taxation Avoidance Agreements (DTAAs)</w:t>
      </w:r>
    </w:p>
    <w:p w:rsidR="00A056B6" w:rsidRPr="009C5151" w:rsidRDefault="00A056B6" w:rsidP="00743A5F">
      <w:pPr>
        <w:pStyle w:val="NormalWeb"/>
        <w:spacing w:before="0" w:beforeAutospacing="0"/>
      </w:pPr>
      <w:r w:rsidRPr="009C5151">
        <w:t xml:space="preserve">5.1 </w:t>
      </w:r>
      <w:r w:rsidRPr="009C5151">
        <w:rPr>
          <w:rStyle w:val="Strong"/>
        </w:rPr>
        <w:t>PPT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Meet PPT requirements by documenting the commercial necessity of licensing transactions.</w:t>
      </w:r>
    </w:p>
    <w:p w:rsidR="00A056B6" w:rsidRPr="009C5151" w:rsidRDefault="00A056B6" w:rsidP="00743A5F">
      <w:pPr>
        <w:pStyle w:val="NormalWeb"/>
        <w:spacing w:before="0" w:beforeAutospacing="0"/>
      </w:pPr>
      <w:r w:rsidRPr="009C5151">
        <w:t xml:space="preserve">5.2 </w:t>
      </w:r>
      <w:r w:rsidRPr="009C5151">
        <w:rPr>
          <w:rStyle w:val="Strong"/>
        </w:rPr>
        <w:t>Anti-Abuse Rules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Maintain documentation to demonstrate economic substance and avoid treaty denial under MLI.</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5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49" w:name="_Toc187623950"/>
      <w:bookmarkStart w:id="250" w:name="_Toc187630670"/>
      <w:bookmarkStart w:id="251" w:name="_Toc187660849"/>
      <w:bookmarkStart w:id="252" w:name="_Toc187661928"/>
      <w:r w:rsidRPr="009C5151">
        <w:rPr>
          <w:rStyle w:val="Strong"/>
          <w:b/>
          <w:bCs/>
          <w:sz w:val="24"/>
          <w:szCs w:val="24"/>
        </w:rPr>
        <w:t>Conclusion</w:t>
      </w:r>
      <w:bookmarkEnd w:id="249"/>
      <w:bookmarkEnd w:id="250"/>
      <w:bookmarkEnd w:id="251"/>
      <w:bookmarkEnd w:id="252"/>
    </w:p>
    <w:p w:rsidR="00A056B6" w:rsidRPr="009C5151" w:rsidRDefault="00A056B6" w:rsidP="00743A5F">
      <w:pPr>
        <w:pStyle w:val="NormalWeb"/>
        <w:spacing w:before="0" w:beforeAutospacing="0"/>
      </w:pPr>
      <w:r w:rsidRPr="009C5151">
        <w:t>To address these challenges, EcoTech Solutions Pvt. Ltd. should:</w:t>
      </w:r>
    </w:p>
    <w:p w:rsidR="00A056B6" w:rsidRPr="009C5151" w:rsidRDefault="00A056B6" w:rsidP="00743A5F">
      <w:pPr>
        <w:pStyle w:val="NormalWeb"/>
        <w:tabs>
          <w:tab w:val="num" w:pos="720"/>
        </w:tabs>
        <w:spacing w:before="0" w:beforeAutospacing="0"/>
        <w:ind w:left="720" w:hanging="360"/>
      </w:pPr>
      <w:r w:rsidRPr="009C5151">
        <w:rPr>
          <w:rStyle w:val="Strong"/>
        </w:rPr>
        <w:t>Strengthen TP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transactions to comply with TP rules. File Form 3CEB with robust documentation.</w:t>
      </w:r>
    </w:p>
    <w:p w:rsidR="00A056B6" w:rsidRPr="009C5151" w:rsidRDefault="00A056B6" w:rsidP="00743A5F">
      <w:pPr>
        <w:pStyle w:val="NormalWeb"/>
        <w:tabs>
          <w:tab w:val="num" w:pos="720"/>
        </w:tabs>
        <w:spacing w:before="0" w:beforeAutospacing="0"/>
        <w:ind w:left="720" w:hanging="360"/>
      </w:pPr>
      <w:r w:rsidRPr="009C5151">
        <w:rPr>
          <w:rStyle w:val="Strong"/>
        </w:rPr>
        <w:t>Ensure WHT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treaty rates for licensing fees and R&amp;D payments. Maintain TRCs to substantiate treaty claims.</w:t>
      </w:r>
    </w:p>
    <w:p w:rsidR="00A056B6" w:rsidRPr="009C5151" w:rsidRDefault="00A056B6" w:rsidP="00743A5F">
      <w:pPr>
        <w:pStyle w:val="NormalWeb"/>
        <w:tabs>
          <w:tab w:val="num" w:pos="720"/>
        </w:tabs>
        <w:spacing w:before="0" w:beforeAutospacing="0"/>
        <w:ind w:left="720" w:hanging="360"/>
      </w:pPr>
      <w:r w:rsidRPr="009C5151">
        <w:rPr>
          <w:rStyle w:val="Strong"/>
        </w:rPr>
        <w:t>Focus on EL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and remit levies for digital advertising payments on time.</w:t>
      </w:r>
    </w:p>
    <w:p w:rsidR="00A056B6" w:rsidRPr="009C5151" w:rsidRDefault="00A056B6" w:rsidP="00743A5F">
      <w:pPr>
        <w:pStyle w:val="NormalWeb"/>
        <w:tabs>
          <w:tab w:val="num" w:pos="720"/>
        </w:tabs>
        <w:spacing w:before="0" w:beforeAutospacing="0"/>
        <w:ind w:left="720" w:hanging="360"/>
      </w:pPr>
      <w:r w:rsidRPr="009C5151">
        <w:rPr>
          <w:rStyle w:val="Strong"/>
        </w:rPr>
        <w:t>Review Domestic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payments for intra-group services and equipment leases. Align pricing with arm’s length principles.</w:t>
      </w:r>
    </w:p>
    <w:p w:rsidR="00A056B6" w:rsidRPr="009C5151" w:rsidRDefault="00A056B6" w:rsidP="00743A5F">
      <w:pPr>
        <w:pStyle w:val="NormalWeb"/>
        <w:tabs>
          <w:tab w:val="num" w:pos="720"/>
        </w:tabs>
        <w:spacing w:before="0" w:beforeAutospacing="0"/>
        <w:ind w:left="720" w:hanging="360"/>
      </w:pPr>
      <w:r w:rsidRPr="009C5151">
        <w:rPr>
          <w:rStyle w:val="Strong"/>
        </w:rPr>
        <w:t>Mitigate Treaty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 licensing arrangements with PPT and anti-abuse rules under DTAAs and MLI.</w:t>
      </w:r>
    </w:p>
    <w:p w:rsidR="00A056B6" w:rsidRPr="009C5151" w:rsidRDefault="00A056B6" w:rsidP="00743A5F">
      <w:pPr>
        <w:pStyle w:val="NormalWeb"/>
        <w:spacing w:before="0" w:beforeAutospacing="0"/>
      </w:pPr>
      <w:r w:rsidRPr="009C5151">
        <w:t>By implementing these measures, EcoTech Solutions Pvt. Ltd. can ensure tax compliance, reduce risks, and maintain its global operations effectively.</w:t>
      </w:r>
    </w:p>
    <w:p w:rsidR="00A056B6" w:rsidRPr="009C5151" w:rsidRDefault="00A056B6" w:rsidP="00743A5F">
      <w:pPr>
        <w:pStyle w:val="NormalWeb"/>
        <w:spacing w:before="0" w:beforeAutospacing="0"/>
      </w:pPr>
      <w:r w:rsidRPr="009C5151">
        <w:t>Would you like assistance with templates for compliance documentation or details on EL calculations?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assistance with drafting TP documentation or compliance checklists?</w:t>
      </w:r>
    </w:p>
    <w:p w:rsidR="00A056B6" w:rsidRPr="009C5151" w:rsidRDefault="00A056B6" w:rsidP="00743A5F">
      <w:pPr>
        <w:pStyle w:val="Heading6"/>
        <w:spacing w:before="0" w:beforeAutospacing="0"/>
        <w:rPr>
          <w:sz w:val="24"/>
          <w:szCs w:val="24"/>
        </w:rPr>
      </w:pPr>
      <w:r w:rsidRPr="009C5151">
        <w:rPr>
          <w:sz w:val="24"/>
          <w:szCs w:val="24"/>
        </w:rPr>
        <w:lastRenderedPageBreak/>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331552E6" wp14:editId="541A1C84">
            <wp:extent cx="763905" cy="763905"/>
            <wp:effectExtent l="0" t="0" r="0" b="0"/>
            <wp:docPr id="317" name="Picture 31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1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253" w:name="_Toc187623951"/>
      <w:bookmarkStart w:id="254" w:name="_Toc187630671"/>
      <w:bookmarkStart w:id="255" w:name="_Toc187660850"/>
      <w:bookmarkStart w:id="256" w:name="_Toc187661929"/>
      <w:r w:rsidRPr="009C5151">
        <w:rPr>
          <w:rStyle w:val="Strong"/>
          <w:b/>
          <w:bCs/>
          <w:sz w:val="24"/>
          <w:szCs w:val="24"/>
        </w:rPr>
        <w:t>Assistance with Drafting Transfer Pricing (TP) Documentation and Compliance Checklists</w:t>
      </w:r>
      <w:bookmarkEnd w:id="253"/>
      <w:bookmarkEnd w:id="254"/>
      <w:bookmarkEnd w:id="255"/>
      <w:bookmarkEnd w:id="256"/>
    </w:p>
    <w:p w:rsidR="00A056B6" w:rsidRPr="009C5151" w:rsidRDefault="00A056B6" w:rsidP="00743A5F">
      <w:pPr>
        <w:pStyle w:val="NormalWeb"/>
        <w:spacing w:before="0" w:beforeAutospacing="0"/>
      </w:pPr>
      <w:r w:rsidRPr="009C5151">
        <w:t xml:space="preserve">Below are detailed steps and templates to guide you in preparing </w:t>
      </w:r>
      <w:r w:rsidRPr="009C5151">
        <w:rPr>
          <w:rStyle w:val="Strong"/>
        </w:rPr>
        <w:t>Transfer Pricing (TP) documentation</w:t>
      </w:r>
      <w:r w:rsidRPr="009C5151">
        <w:t xml:space="preserve"> and ensuring compliance with regulatory requirements: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6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57" w:name="_Toc187623952"/>
      <w:bookmarkStart w:id="258" w:name="_Toc187630672"/>
      <w:bookmarkStart w:id="259" w:name="_Toc187660851"/>
      <w:bookmarkStart w:id="260" w:name="_Toc187661930"/>
      <w:r w:rsidRPr="009C5151">
        <w:rPr>
          <w:rStyle w:val="Strong"/>
          <w:b/>
          <w:bCs/>
          <w:sz w:val="24"/>
          <w:szCs w:val="24"/>
        </w:rPr>
        <w:t>I. Transfer Pricing (TP) Documentation</w:t>
      </w:r>
      <w:bookmarkEnd w:id="257"/>
      <w:bookmarkEnd w:id="258"/>
      <w:bookmarkEnd w:id="259"/>
      <w:bookmarkEnd w:id="260"/>
    </w:p>
    <w:p w:rsidR="00A056B6" w:rsidRPr="009C5151" w:rsidRDefault="00A056B6" w:rsidP="00743A5F">
      <w:pPr>
        <w:pStyle w:val="Heading4"/>
        <w:spacing w:before="0" w:beforeAutospacing="0"/>
      </w:pPr>
      <w:r w:rsidRPr="009C5151">
        <w:rPr>
          <w:rStyle w:val="Strong"/>
          <w:b/>
          <w:bCs/>
        </w:rPr>
        <w:t>1. Master File Preparation</w:t>
      </w:r>
    </w:p>
    <w:p w:rsidR="00A056B6" w:rsidRPr="009C5151" w:rsidRDefault="00A056B6" w:rsidP="00743A5F">
      <w:pPr>
        <w:pStyle w:val="NormalWeb"/>
        <w:spacing w:before="0" w:beforeAutospacing="0"/>
      </w:pPr>
      <w:r w:rsidRPr="009C5151">
        <w:t>The master file provides a comprehensive overview of the multinational group’s business, including the economic, legal, and financial framework. Key components include:</w:t>
      </w:r>
    </w:p>
    <w:p w:rsidR="00A056B6" w:rsidRPr="009C5151" w:rsidRDefault="00A056B6" w:rsidP="00743A5F">
      <w:pPr>
        <w:pStyle w:val="NormalWeb"/>
        <w:tabs>
          <w:tab w:val="num" w:pos="720"/>
        </w:tabs>
        <w:spacing w:before="0" w:beforeAutospacing="0"/>
        <w:ind w:left="720" w:hanging="360"/>
      </w:pPr>
      <w:r w:rsidRPr="009C5151">
        <w:rPr>
          <w:rStyle w:val="Strong"/>
        </w:rPr>
        <w:t>Group Overview</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Organizational structure (group chart with legal entities).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Description of business activities, including principal products and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Key drivers of business profitability.</w:t>
      </w:r>
    </w:p>
    <w:p w:rsidR="00A056B6" w:rsidRPr="009C5151" w:rsidRDefault="00A056B6" w:rsidP="00743A5F">
      <w:pPr>
        <w:pStyle w:val="NormalWeb"/>
        <w:tabs>
          <w:tab w:val="num" w:pos="720"/>
        </w:tabs>
        <w:spacing w:before="0" w:beforeAutospacing="0"/>
        <w:ind w:left="720" w:hanging="360"/>
      </w:pPr>
      <w:r w:rsidRPr="009C5151">
        <w:rPr>
          <w:rStyle w:val="Strong"/>
        </w:rPr>
        <w:t>Intangible Assets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Details of significant intangibles owned or used.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Transfer pricing policies regarding intangible assets.</w:t>
      </w:r>
    </w:p>
    <w:p w:rsidR="00A056B6" w:rsidRPr="009C5151" w:rsidRDefault="00A056B6" w:rsidP="00743A5F">
      <w:pPr>
        <w:pStyle w:val="NormalWeb"/>
        <w:tabs>
          <w:tab w:val="num" w:pos="720"/>
        </w:tabs>
        <w:spacing w:before="0" w:beforeAutospacing="0"/>
        <w:ind w:left="720" w:hanging="360"/>
      </w:pPr>
      <w:r w:rsidRPr="009C5151">
        <w:rPr>
          <w:rStyle w:val="Strong"/>
        </w:rPr>
        <w:t>Financial Arrangements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Group financing structure.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Agreements for inter-company financing.</w:t>
      </w:r>
    </w:p>
    <w:p w:rsidR="00A056B6" w:rsidRPr="009C5151" w:rsidRDefault="00A056B6" w:rsidP="00743A5F">
      <w:pPr>
        <w:pStyle w:val="NormalWeb"/>
        <w:tabs>
          <w:tab w:val="num" w:pos="720"/>
        </w:tabs>
        <w:spacing w:before="0" w:beforeAutospacing="0"/>
        <w:ind w:left="720" w:hanging="360"/>
      </w:pPr>
      <w:r w:rsidRPr="009C5151">
        <w:rPr>
          <w:rStyle w:val="Strong"/>
        </w:rPr>
        <w:t>Global Allocation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Group consolidated financial statements.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Allocation of income and economic activities among jurisdictions.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6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Local File Preparation</w:t>
      </w:r>
    </w:p>
    <w:p w:rsidR="00A056B6" w:rsidRPr="009C5151" w:rsidRDefault="00A056B6" w:rsidP="00743A5F">
      <w:pPr>
        <w:pStyle w:val="NormalWeb"/>
        <w:spacing w:before="0" w:beforeAutospacing="0"/>
      </w:pPr>
      <w:r w:rsidRPr="009C5151">
        <w:lastRenderedPageBreak/>
        <w:t>The local file contains details specific to the taxpayer's Indian operations and transactions. Components include:</w:t>
      </w:r>
    </w:p>
    <w:p w:rsidR="00A056B6" w:rsidRPr="009C5151" w:rsidRDefault="00A056B6" w:rsidP="00743A5F">
      <w:pPr>
        <w:pStyle w:val="NormalWeb"/>
        <w:tabs>
          <w:tab w:val="num" w:pos="720"/>
        </w:tabs>
        <w:spacing w:before="0" w:beforeAutospacing="0"/>
        <w:ind w:left="720" w:hanging="360"/>
      </w:pPr>
      <w:r w:rsidRPr="009C5151">
        <w:rPr>
          <w:rStyle w:val="Strong"/>
        </w:rPr>
        <w:t>Company Overview</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Nature of the Indian entity’s business.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Business restructuring details (if any).</w:t>
      </w:r>
    </w:p>
    <w:p w:rsidR="00A056B6" w:rsidRPr="009C5151" w:rsidRDefault="00A056B6" w:rsidP="00743A5F">
      <w:pPr>
        <w:pStyle w:val="NormalWeb"/>
        <w:tabs>
          <w:tab w:val="num" w:pos="720"/>
        </w:tabs>
        <w:spacing w:before="0" w:beforeAutospacing="0"/>
        <w:ind w:left="720" w:hanging="360"/>
      </w:pPr>
      <w:r w:rsidRPr="009C5151">
        <w:rPr>
          <w:rStyle w:val="Strong"/>
        </w:rPr>
        <w:t>Details of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Description of all international and specified domestic transactions, including:</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Exports and imports of goods and services.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Royalty payments.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Cost-sharing arrangements.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Inter-company financing.</w:t>
      </w:r>
    </w:p>
    <w:p w:rsidR="00A056B6" w:rsidRPr="009C5151" w:rsidRDefault="00A056B6" w:rsidP="00743A5F">
      <w:pPr>
        <w:pStyle w:val="NormalWeb"/>
        <w:tabs>
          <w:tab w:val="num" w:pos="720"/>
        </w:tabs>
        <w:spacing w:before="0" w:beforeAutospacing="0"/>
        <w:ind w:left="720" w:hanging="360"/>
      </w:pPr>
      <w:r w:rsidRPr="009C5151">
        <w:rPr>
          <w:rStyle w:val="Strong"/>
        </w:rPr>
        <w:t>Functional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Roles, assets, and risks of the Indian entity in the group.</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Contribution to value creation.</w:t>
      </w:r>
    </w:p>
    <w:p w:rsidR="00A056B6" w:rsidRPr="009C5151" w:rsidRDefault="00A056B6" w:rsidP="00743A5F">
      <w:pPr>
        <w:pStyle w:val="NormalWeb"/>
        <w:tabs>
          <w:tab w:val="num" w:pos="720"/>
        </w:tabs>
        <w:spacing w:before="0" w:beforeAutospacing="0"/>
        <w:ind w:left="720" w:hanging="360"/>
      </w:pPr>
      <w:r w:rsidRPr="009C5151">
        <w:rPr>
          <w:rStyle w:val="Strong"/>
        </w:rPr>
        <w:t>Economic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Benchmarking studies using appropriate methods (CUP, TNMM, RPM, etc.).</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Justification of the chosen method.</w:t>
      </w:r>
    </w:p>
    <w:p w:rsidR="00A056B6" w:rsidRPr="009C5151" w:rsidRDefault="00A056B6" w:rsidP="00743A5F">
      <w:pPr>
        <w:pStyle w:val="NormalWeb"/>
        <w:tabs>
          <w:tab w:val="num" w:pos="720"/>
        </w:tabs>
        <w:spacing w:before="0" w:beforeAutospacing="0"/>
        <w:ind w:left="720" w:hanging="360"/>
      </w:pPr>
      <w:r w:rsidRPr="009C5151">
        <w:rPr>
          <w:rStyle w:val="Strong"/>
        </w:rPr>
        <w:t>Supporting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Agreements, invoices, emails, and meeting notes relevant to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6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Benchmarking Study</w:t>
      </w:r>
    </w:p>
    <w:p w:rsidR="00A056B6" w:rsidRPr="009C5151" w:rsidRDefault="00A056B6" w:rsidP="00743A5F">
      <w:pPr>
        <w:pStyle w:val="NormalWeb"/>
        <w:tabs>
          <w:tab w:val="num" w:pos="720"/>
        </w:tabs>
        <w:spacing w:before="0" w:beforeAutospacing="0"/>
        <w:ind w:left="720" w:hanging="360"/>
      </w:pPr>
      <w:r w:rsidRPr="009C5151">
        <w:rPr>
          <w:rStyle w:val="Strong"/>
        </w:rPr>
        <w:t>Method Selection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Select the most appropriate method (e.g., TNMM, CUP) for each transaction.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Justify the choice based on transaction type and data availability.</w:t>
      </w:r>
    </w:p>
    <w:p w:rsidR="00A056B6" w:rsidRPr="009C5151" w:rsidRDefault="00A056B6" w:rsidP="00743A5F">
      <w:pPr>
        <w:pStyle w:val="NormalWeb"/>
        <w:tabs>
          <w:tab w:val="num" w:pos="720"/>
        </w:tabs>
        <w:spacing w:before="0" w:beforeAutospacing="0"/>
        <w:ind w:left="720" w:hanging="360"/>
      </w:pPr>
      <w:r w:rsidRPr="009C5151">
        <w:rPr>
          <w:rStyle w:val="Strong"/>
        </w:rPr>
        <w:t>Comparable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Identify comparable companies or transactions using databases (e.g., Prowess, Capitaline, or Bloomberg).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Document the screening process and comparables selection criteria.</w:t>
      </w:r>
    </w:p>
    <w:p w:rsidR="00A056B6" w:rsidRPr="009C5151" w:rsidRDefault="00A056B6" w:rsidP="00743A5F">
      <w:pPr>
        <w:pStyle w:val="NormalWeb"/>
        <w:tabs>
          <w:tab w:val="num" w:pos="720"/>
        </w:tabs>
        <w:spacing w:before="0" w:beforeAutospacing="0"/>
        <w:ind w:left="720" w:hanging="360"/>
      </w:pPr>
      <w:r w:rsidRPr="009C5151">
        <w:rPr>
          <w:rStyle w:val="Strong"/>
        </w:rPr>
        <w:t>Result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Include key financial ratios, margin analyses, and adjustments.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results align with the arm’s length principle.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6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61" w:name="_Toc187623953"/>
      <w:bookmarkStart w:id="262" w:name="_Toc187630673"/>
      <w:bookmarkStart w:id="263" w:name="_Toc187660852"/>
      <w:bookmarkStart w:id="264" w:name="_Toc187661931"/>
      <w:r w:rsidRPr="009C5151">
        <w:rPr>
          <w:rStyle w:val="Strong"/>
          <w:b/>
          <w:bCs/>
          <w:sz w:val="24"/>
          <w:szCs w:val="24"/>
        </w:rPr>
        <w:t>II. Compliance Checklist for Transfer Pricing</w:t>
      </w:r>
      <w:bookmarkEnd w:id="261"/>
      <w:bookmarkEnd w:id="262"/>
      <w:bookmarkEnd w:id="263"/>
      <w:bookmarkEnd w:id="264"/>
    </w:p>
    <w:p w:rsidR="00A056B6" w:rsidRPr="009C5151" w:rsidRDefault="00A056B6" w:rsidP="00743A5F">
      <w:pPr>
        <w:pStyle w:val="Heading4"/>
        <w:spacing w:before="0" w:beforeAutospacing="0"/>
      </w:pPr>
      <w:r w:rsidRPr="009C5151">
        <w:rPr>
          <w:rStyle w:val="Strong"/>
          <w:b/>
          <w:bCs/>
        </w:rPr>
        <w:t>1. Pre-Transaction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Review inter-company agreements for consistency with the arm’s length principle.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Conduct an internal review of pricing policies to align with global TP documentation.</w:t>
      </w:r>
    </w:p>
    <w:p w:rsidR="00A056B6" w:rsidRPr="009C5151" w:rsidRDefault="00A056B6" w:rsidP="00743A5F">
      <w:pPr>
        <w:pStyle w:val="Heading4"/>
        <w:spacing w:before="0" w:beforeAutospacing="0"/>
      </w:pPr>
      <w:r w:rsidRPr="009C5151">
        <w:rPr>
          <w:rStyle w:val="Strong"/>
          <w:b/>
          <w:bCs/>
        </w:rPr>
        <w:t>2. During the Year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Track all international and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Maintain invoices, contracts, and correspondence supporting the economic rationale for transactions.</w:t>
      </w:r>
    </w:p>
    <w:p w:rsidR="00A056B6" w:rsidRPr="009C5151" w:rsidRDefault="00A056B6" w:rsidP="00743A5F">
      <w:pPr>
        <w:pStyle w:val="Heading4"/>
        <w:spacing w:before="0" w:beforeAutospacing="0"/>
      </w:pPr>
      <w:r w:rsidRPr="009C5151">
        <w:rPr>
          <w:rStyle w:val="Strong"/>
          <w:b/>
          <w:bCs/>
        </w:rPr>
        <w:t>3. Post-Year-End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Documentation Filing</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Prepare and file </w:t>
      </w:r>
      <w:r w:rsidRPr="009C5151">
        <w:rPr>
          <w:rStyle w:val="Strong"/>
          <w:rFonts w:ascii="Times New Roman" w:hAnsi="Times New Roman" w:cs="Times New Roman"/>
          <w:sz w:val="24"/>
          <w:szCs w:val="24"/>
        </w:rPr>
        <w:t>Form 3CEB</w:t>
      </w:r>
      <w:r w:rsidRPr="009C5151">
        <w:rPr>
          <w:rFonts w:ascii="Times New Roman" w:hAnsi="Times New Roman" w:cs="Times New Roman"/>
          <w:sz w:val="24"/>
          <w:szCs w:val="24"/>
        </w:rPr>
        <w:t xml:space="preserve"> (Transfer Pricing Report) by the due date.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that TP documentation is finalized within statutory deadlines (e.g., 30th November for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CbC Reporting</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Country-by-Country (CbC) reports if the group meets the consolidated revenue threshold (₹6,400 crore in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Disclosures in Tax Return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Report all transactions in the tax return form (Form ITR-6).</w:t>
      </w:r>
    </w:p>
    <w:p w:rsidR="00A056B6" w:rsidRPr="009C5151" w:rsidRDefault="00A056B6" w:rsidP="00743A5F">
      <w:pPr>
        <w:pStyle w:val="Heading4"/>
        <w:spacing w:before="0" w:beforeAutospacing="0"/>
      </w:pPr>
      <w:r w:rsidRPr="009C5151">
        <w:rPr>
          <w:rStyle w:val="Strong"/>
          <w:b/>
          <w:bCs/>
        </w:rPr>
        <w:t>4. Audit and Risk Management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Conduct periodic internal audits of TP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Prepare responses for potential inquiries from tax authorities, including: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Analysis of deviations in benchmarking results.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Changes in transaction volumes or terms.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6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65" w:name="_Toc187623954"/>
      <w:bookmarkStart w:id="266" w:name="_Toc187630674"/>
      <w:bookmarkStart w:id="267" w:name="_Toc187660853"/>
      <w:bookmarkStart w:id="268" w:name="_Toc187661932"/>
      <w:r w:rsidRPr="009C5151">
        <w:rPr>
          <w:rStyle w:val="Strong"/>
          <w:b/>
          <w:bCs/>
          <w:sz w:val="24"/>
          <w:szCs w:val="24"/>
        </w:rPr>
        <w:t>III. Template for TP Documentation</w:t>
      </w:r>
      <w:bookmarkEnd w:id="265"/>
      <w:bookmarkEnd w:id="266"/>
      <w:bookmarkEnd w:id="267"/>
      <w:bookmarkEnd w:id="268"/>
    </w:p>
    <w:p w:rsidR="00A056B6" w:rsidRPr="009C5151" w:rsidRDefault="00A056B6" w:rsidP="00743A5F">
      <w:pPr>
        <w:pStyle w:val="Heading4"/>
        <w:spacing w:before="0" w:beforeAutospacing="0"/>
      </w:pPr>
      <w:r w:rsidRPr="009C5151">
        <w:rPr>
          <w:rStyle w:val="Strong"/>
          <w:b/>
          <w:bCs/>
        </w:rPr>
        <w:t>1. Table of Contents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Overview of the Multinational Group.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Industry Analysis.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Functional and Risk Analysis.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Study.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Conclusion.</w:t>
      </w:r>
    </w:p>
    <w:p w:rsidR="00A056B6" w:rsidRPr="009C5151" w:rsidRDefault="00A056B6" w:rsidP="00743A5F">
      <w:pPr>
        <w:pStyle w:val="Heading4"/>
        <w:spacing w:before="0" w:beforeAutospacing="0"/>
      </w:pPr>
      <w:r w:rsidRPr="009C5151">
        <w:rPr>
          <w:rStyle w:val="Strong"/>
          <w:b/>
          <w:bCs/>
        </w:rPr>
        <w:t>2. Functional Analysis Example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5"/>
        <w:gridCol w:w="2720"/>
        <w:gridCol w:w="202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EcoTech Solutions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Group Entity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Research &amp; Development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Limited (outsourced to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Extensive (owns IP)</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Full-fledged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Significant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Supportive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Financing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Limited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Centralized</w:t>
            </w:r>
          </w:p>
        </w:tc>
      </w:tr>
    </w:tbl>
    <w:p w:rsidR="00A056B6" w:rsidRPr="009C5151" w:rsidRDefault="00A056B6" w:rsidP="00743A5F">
      <w:pPr>
        <w:pStyle w:val="Heading4"/>
        <w:spacing w:before="0" w:beforeAutospacing="0"/>
      </w:pPr>
      <w:r w:rsidRPr="009C5151">
        <w:rPr>
          <w:rStyle w:val="Strong"/>
          <w:b/>
          <w:bCs/>
        </w:rPr>
        <w:t>3. Benchmarking Study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22"/>
        <w:gridCol w:w="860"/>
        <w:gridCol w:w="2906"/>
        <w:gridCol w:w="1813"/>
        <w:gridCol w:w="1589"/>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Comparables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ALP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Margin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 of goods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 renewable energy firms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8%-12%</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 comparable R&amp;D providers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 markup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6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69" w:name="_Toc187623955"/>
      <w:bookmarkStart w:id="270" w:name="_Toc187630675"/>
      <w:bookmarkStart w:id="271" w:name="_Toc187660854"/>
      <w:bookmarkStart w:id="272" w:name="_Toc187661933"/>
      <w:r w:rsidRPr="009C5151">
        <w:rPr>
          <w:rStyle w:val="Strong"/>
          <w:b/>
          <w:bCs/>
          <w:sz w:val="24"/>
          <w:szCs w:val="24"/>
        </w:rPr>
        <w:t>IV. Benefits of Well-Prepared TP Documentation</w:t>
      </w:r>
      <w:bookmarkEnd w:id="269"/>
      <w:bookmarkEnd w:id="270"/>
      <w:bookmarkEnd w:id="271"/>
      <w:bookmarkEnd w:id="272"/>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Regulatory Compliance</w:t>
      </w:r>
      <w:r w:rsidRPr="009C5151">
        <w:rPr>
          <w:rFonts w:ascii="Times New Roman" w:hAnsi="Times New Roman" w:cs="Times New Roman"/>
          <w:sz w:val="24"/>
          <w:szCs w:val="24"/>
        </w:rPr>
        <w:t>: Avoids penalties for non-compliance.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Audit Readiness</w:t>
      </w:r>
      <w:r w:rsidRPr="009C5151">
        <w:rPr>
          <w:rFonts w:ascii="Times New Roman" w:hAnsi="Times New Roman" w:cs="Times New Roman"/>
          <w:sz w:val="24"/>
          <w:szCs w:val="24"/>
        </w:rPr>
        <w:t>: Comprehensive documentation helps in defending tax positions during audits.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Risk Mitigation</w:t>
      </w:r>
      <w:r w:rsidRPr="009C5151">
        <w:rPr>
          <w:rFonts w:ascii="Times New Roman" w:hAnsi="Times New Roman" w:cs="Times New Roman"/>
          <w:sz w:val="24"/>
          <w:szCs w:val="24"/>
        </w:rPr>
        <w:t>: Minimizes disputes with tax authorities over pricing adjustments.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Enhanced Transparency</w:t>
      </w:r>
      <w:r w:rsidRPr="009C5151">
        <w:rPr>
          <w:rFonts w:ascii="Times New Roman" w:hAnsi="Times New Roman" w:cs="Times New Roman"/>
          <w:sz w:val="24"/>
          <w:szCs w:val="24"/>
        </w:rPr>
        <w:t>: Aligns the company's operations with global best practices.</w:t>
      </w:r>
    </w:p>
    <w:p w:rsidR="00A056B6" w:rsidRPr="009C5151" w:rsidRDefault="00A056B6" w:rsidP="00743A5F">
      <w:pPr>
        <w:pStyle w:val="NormalWeb"/>
        <w:spacing w:before="0" w:beforeAutospacing="0"/>
      </w:pPr>
      <w:r w:rsidRPr="009C5151">
        <w:t>Would you like tailored templates for a specific transaction or guidance on benchmarking databases? Let me know how I can assist further!</w:t>
      </w:r>
    </w:p>
    <w:p w:rsidR="00A056B6" w:rsidRPr="009C5151" w:rsidRDefault="00A056B6" w:rsidP="00743A5F">
      <w:pPr>
        <w:pStyle w:val="Heading5"/>
        <w:spacing w:before="0" w:beforeAutospacing="0"/>
        <w:rPr>
          <w:sz w:val="24"/>
          <w:szCs w:val="24"/>
        </w:rPr>
      </w:pPr>
      <w:r w:rsidRPr="009C5151">
        <w:rPr>
          <w:sz w:val="24"/>
          <w:szCs w:val="24"/>
        </w:rPr>
        <w:lastRenderedPageBreak/>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8th example of different set of issues and problem and suggested solutions by a CA to a Company including a detailed discussion on the various topics covered under suggestions and Conclusion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8C4E16D" wp14:editId="0408D48A">
            <wp:extent cx="763905" cy="763905"/>
            <wp:effectExtent l="0" t="0" r="0" b="0"/>
            <wp:docPr id="316" name="Picture 31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1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273" w:name="_Toc187623956"/>
      <w:bookmarkStart w:id="274" w:name="_Toc187630676"/>
      <w:bookmarkStart w:id="275" w:name="_Toc187660855"/>
      <w:bookmarkStart w:id="276" w:name="_Toc187661934"/>
      <w:r w:rsidRPr="009C5151">
        <w:rPr>
          <w:rStyle w:val="Strong"/>
          <w:b/>
          <w:bCs/>
          <w:sz w:val="24"/>
          <w:szCs w:val="24"/>
        </w:rPr>
        <w:t>Case Study: Tax and Compliance Challenges for SmartLogistics Pvt. Ltd.</w:t>
      </w:r>
      <w:bookmarkEnd w:id="273"/>
      <w:bookmarkEnd w:id="274"/>
      <w:bookmarkEnd w:id="275"/>
      <w:bookmarkEnd w:id="276"/>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SmartLogistics Pvt. Ltd., an Indian logistics and supply chain solutions provider, operates across </w:t>
      </w:r>
      <w:r w:rsidRPr="009C5151">
        <w:rPr>
          <w:rStyle w:val="Strong"/>
        </w:rPr>
        <w:t>USA, UK, Germany, Singapore, Australia, and UAE</w:t>
      </w:r>
      <w:r w:rsidRPr="009C5151">
        <w:t xml:space="preserve">. The company offers cross-border freight forwarding, warehousing, and supply chain technology services. SmartLogistics faces challenges related to </w:t>
      </w:r>
      <w:r w:rsidRPr="009C5151">
        <w:rPr>
          <w:rStyle w:val="Strong"/>
        </w:rPr>
        <w:t>transfer pricing (TP)</w:t>
      </w:r>
      <w:r w:rsidRPr="009C5151">
        <w:t xml:space="preserve">, </w:t>
      </w:r>
      <w:r w:rsidRPr="009C5151">
        <w:rPr>
          <w:rStyle w:val="Strong"/>
        </w:rPr>
        <w:t>withholding tax (WHT)</w:t>
      </w:r>
      <w:r w:rsidRPr="009C5151">
        <w:t xml:space="preserve">, </w:t>
      </w:r>
      <w:r w:rsidRPr="009C5151">
        <w:rPr>
          <w:rStyle w:val="Strong"/>
        </w:rPr>
        <w:t>equalization levy (EL)</w:t>
      </w:r>
      <w:r w:rsidRPr="009C5151">
        <w:t xml:space="preserve">, </w:t>
      </w:r>
      <w:r w:rsidRPr="009C5151">
        <w:rPr>
          <w:rStyle w:val="Strong"/>
        </w:rPr>
        <w:t>domestic specified transactions</w:t>
      </w:r>
      <w:r w:rsidRPr="009C5151">
        <w:t xml:space="preserve">, and </w:t>
      </w:r>
      <w:r w:rsidRPr="009C5151">
        <w:rPr>
          <w:rStyle w:val="Strong"/>
        </w:rPr>
        <w:t>treaty compliance</w:t>
      </w:r>
      <w:r w:rsidRPr="009C5151">
        <w:t xml:space="preserve"> due to its global and domestic operations.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6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77" w:name="_Toc187623957"/>
      <w:bookmarkStart w:id="278" w:name="_Toc187630677"/>
      <w:bookmarkStart w:id="279" w:name="_Toc187660856"/>
      <w:bookmarkStart w:id="280" w:name="_Toc187661935"/>
      <w:r w:rsidRPr="009C5151">
        <w:rPr>
          <w:rStyle w:val="Strong"/>
          <w:b/>
          <w:bCs/>
          <w:sz w:val="24"/>
          <w:szCs w:val="24"/>
        </w:rPr>
        <w:t>Transactions</w:t>
      </w:r>
      <w:bookmarkEnd w:id="277"/>
      <w:bookmarkEnd w:id="278"/>
      <w:bookmarkEnd w:id="279"/>
      <w:bookmarkEnd w:id="280"/>
    </w:p>
    <w:p w:rsidR="00A056B6" w:rsidRPr="009C5151" w:rsidRDefault="00A056B6" w:rsidP="00743A5F">
      <w:pPr>
        <w:pStyle w:val="Heading4"/>
        <w:spacing w:before="0" w:beforeAutospacing="0"/>
      </w:pPr>
      <w:r w:rsidRPr="009C5151">
        <w:rPr>
          <w:rStyle w:val="Strong"/>
          <w:b/>
          <w:bCs/>
        </w:rPr>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Cross-Border Freight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Generated ₹300 crore revenue from freight services provided to group entities in the USA, UK, and Germany.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Pricing determined through inter-company agreements, requiring TP compliance.</w:t>
      </w:r>
    </w:p>
    <w:p w:rsidR="00A056B6" w:rsidRPr="009C5151" w:rsidRDefault="00A056B6" w:rsidP="00743A5F">
      <w:pPr>
        <w:pStyle w:val="NormalWeb"/>
        <w:tabs>
          <w:tab w:val="num" w:pos="720"/>
        </w:tabs>
        <w:spacing w:before="0" w:beforeAutospacing="0"/>
        <w:ind w:left="720" w:hanging="360"/>
      </w:pPr>
      <w:r w:rsidRPr="009C5151">
        <w:rPr>
          <w:rStyle w:val="Strong"/>
        </w:rPr>
        <w:t>Technology License Fees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Earned ₹25 crore as license fees from Singapore and UAE subsidiaries for proprietary logistics software.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Risk of WHT misclassification as royalties under DTAAs with Singapore and UAE.</w:t>
      </w:r>
    </w:p>
    <w:p w:rsidR="00A056B6" w:rsidRPr="009C5151" w:rsidRDefault="00A056B6" w:rsidP="00743A5F">
      <w:pPr>
        <w:pStyle w:val="NormalWeb"/>
        <w:tabs>
          <w:tab w:val="num" w:pos="720"/>
        </w:tabs>
        <w:spacing w:before="0" w:beforeAutospacing="0"/>
        <w:ind w:left="720" w:hanging="360"/>
      </w:pPr>
      <w:r w:rsidRPr="009C5151">
        <w:rPr>
          <w:rStyle w:val="Strong"/>
        </w:rPr>
        <w:t>Warehouse Leasing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₹50 crore to a UAE AE for leasing warehouse facilities.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under India-UAE DTAA.</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Interest-Free Loan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Advanced ₹20 crore to a UK subsidiary with no interest.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Potential TP adjustments for non-arm’s length interest rate.</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₹7 crore to a USA-based platform for online marketing.</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6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₹15 crore to an Indian AE for HR and compliance support.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Subject to specified domestic transaction compliance.</w:t>
      </w:r>
    </w:p>
    <w:p w:rsidR="00A056B6" w:rsidRPr="009C5151" w:rsidRDefault="00A056B6" w:rsidP="00743A5F">
      <w:pPr>
        <w:pStyle w:val="NormalWeb"/>
        <w:tabs>
          <w:tab w:val="num" w:pos="720"/>
        </w:tabs>
        <w:spacing w:before="0" w:beforeAutospacing="0"/>
        <w:ind w:left="720" w:hanging="360"/>
      </w:pPr>
      <w:r w:rsidRPr="009C5151">
        <w:rPr>
          <w:rStyle w:val="Strong"/>
        </w:rPr>
        <w:t>Lease of Vehicles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₹10 crore worth of logistics vehicles to another domestic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6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81" w:name="_Toc187623958"/>
      <w:bookmarkStart w:id="282" w:name="_Toc187630678"/>
      <w:bookmarkStart w:id="283" w:name="_Toc187660857"/>
      <w:bookmarkStart w:id="284" w:name="_Toc187661936"/>
      <w:r w:rsidRPr="009C5151">
        <w:rPr>
          <w:rStyle w:val="Strong"/>
          <w:b/>
          <w:bCs/>
          <w:sz w:val="24"/>
          <w:szCs w:val="24"/>
        </w:rPr>
        <w:t>Key Issues</w:t>
      </w:r>
      <w:bookmarkEnd w:id="281"/>
      <w:bookmarkEnd w:id="282"/>
      <w:bookmarkEnd w:id="283"/>
      <w:bookmarkEnd w:id="284"/>
    </w:p>
    <w:p w:rsidR="00A056B6" w:rsidRPr="009C5151" w:rsidRDefault="00A056B6" w:rsidP="00743A5F">
      <w:pPr>
        <w:pStyle w:val="Heading4"/>
        <w:spacing w:before="0" w:beforeAutospacing="0"/>
      </w:pPr>
      <w:r w:rsidRPr="009C5151">
        <w:t xml:space="preserve">1. </w:t>
      </w:r>
      <w:r w:rsidRPr="009C5151">
        <w:rPr>
          <w:rStyle w:val="Strong"/>
          <w:b/>
          <w:bCs/>
        </w:rPr>
        <w:t>Transfer Pricing (TP) Challenges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Inadequate benchmarking for ₹300 crore freight revenues, ₹25 crore technology license fees, ₹50 crore warehouse lease payments, and ₹20 crore interest-free loan.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TP adjustments for domestic transactions like shared services and vehicle leasing.</w:t>
      </w:r>
    </w:p>
    <w:p w:rsidR="00A056B6" w:rsidRPr="009C5151" w:rsidRDefault="00A056B6" w:rsidP="00743A5F">
      <w:pPr>
        <w:pStyle w:val="Heading4"/>
        <w:spacing w:before="0" w:beforeAutospacing="0"/>
      </w:pPr>
      <w:r w:rsidRPr="009C5151">
        <w:t xml:space="preserve">2. </w:t>
      </w:r>
      <w:r w:rsidRPr="009C5151">
        <w:rPr>
          <w:rStyle w:val="Strong"/>
          <w:b/>
          <w:bCs/>
        </w:rPr>
        <w:t>Withholding Tax (WHT)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Errors in WHT deduction on ₹25 crore license fees under India-Singapore and India-UAE DTAAs.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Non-deduction of WHT on ₹50 crore warehouse lease payments.</w:t>
      </w:r>
    </w:p>
    <w:p w:rsidR="00A056B6" w:rsidRPr="009C5151" w:rsidRDefault="00A056B6" w:rsidP="00743A5F">
      <w:pPr>
        <w:pStyle w:val="Heading4"/>
        <w:spacing w:before="0" w:beforeAutospacing="0"/>
      </w:pPr>
      <w:r w:rsidRPr="009C5151">
        <w:t xml:space="preserve">3. </w:t>
      </w:r>
      <w:r w:rsidRPr="009C5151">
        <w:rPr>
          <w:rStyle w:val="Strong"/>
          <w:b/>
          <w:bCs/>
        </w:rPr>
        <w:t>Equalization Levy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₹7 crore paid for digital advertising services to the USA platform.</w:t>
      </w:r>
    </w:p>
    <w:p w:rsidR="00A056B6" w:rsidRPr="009C5151" w:rsidRDefault="00A056B6" w:rsidP="00743A5F">
      <w:pPr>
        <w:pStyle w:val="Heading4"/>
        <w:spacing w:before="0" w:beforeAutospacing="0"/>
      </w:pPr>
      <w:r w:rsidRPr="009C5151">
        <w:t xml:space="preserve">4. </w:t>
      </w:r>
      <w:r w:rsidRPr="009C5151">
        <w:rPr>
          <w:rStyle w:val="Strong"/>
          <w:b/>
          <w:bCs/>
        </w:rPr>
        <w:t>Specified Domestic Transactions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Lack of benchmarking for ₹15 crore shared services and ₹10 crore vehicle lease.</w:t>
      </w:r>
    </w:p>
    <w:p w:rsidR="00A056B6" w:rsidRPr="009C5151" w:rsidRDefault="00A056B6" w:rsidP="00743A5F">
      <w:pPr>
        <w:pStyle w:val="Heading4"/>
        <w:spacing w:before="0" w:beforeAutospacing="0"/>
      </w:pPr>
      <w:r w:rsidRPr="009C5151">
        <w:t xml:space="preserve">5. </w:t>
      </w:r>
      <w:r w:rsidRPr="009C5151">
        <w:rPr>
          <w:rStyle w:val="Strong"/>
          <w:b/>
          <w:bCs/>
        </w:rPr>
        <w:t>Double Taxation Avoidance Agreements (DTAAs)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Risk of denial of treaty benefits for license fees due to Principal Purpose Test (PPT) under MLI provisions.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6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85" w:name="_Toc187623959"/>
      <w:bookmarkStart w:id="286" w:name="_Toc187630679"/>
      <w:bookmarkStart w:id="287" w:name="_Toc187660858"/>
      <w:bookmarkStart w:id="288" w:name="_Toc187661937"/>
      <w:r w:rsidRPr="009C5151">
        <w:rPr>
          <w:rStyle w:val="Strong"/>
          <w:b/>
          <w:bCs/>
          <w:sz w:val="24"/>
          <w:szCs w:val="24"/>
        </w:rPr>
        <w:t>Proposed Solutions</w:t>
      </w:r>
      <w:bookmarkEnd w:id="285"/>
      <w:bookmarkEnd w:id="286"/>
      <w:bookmarkEnd w:id="287"/>
      <w:bookmarkEnd w:id="288"/>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Freight Revenues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 xml:space="preserve"> to benchmark ₹300 crore freight revenues. Compare operating margins with independent logistics companies.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Technology License Fees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₹25 crore fees using the </w:t>
      </w:r>
      <w:r w:rsidRPr="009C5151">
        <w:rPr>
          <w:rStyle w:val="Strong"/>
          <w:rFonts w:ascii="Times New Roman" w:hAnsi="Times New Roman" w:cs="Times New Roman"/>
          <w:sz w:val="24"/>
          <w:szCs w:val="24"/>
        </w:rPr>
        <w:t>Comparable Uncontrolled Price (CUP) Method</w:t>
      </w:r>
      <w:r w:rsidRPr="009C5151">
        <w:rPr>
          <w:rFonts w:ascii="Times New Roman" w:hAnsi="Times New Roman" w:cs="Times New Roman"/>
          <w:sz w:val="24"/>
          <w:szCs w:val="24"/>
        </w:rPr>
        <w:t>. Compare with similar software licensing agreements.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Warehouse Leasing</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CUP to validate ₹50 crore lease payments by comparing market rates for similar facilities in UAE.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Interest-Free Loan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Adjust loan terms to reflect a market interest rate (~6%). Use LIBOR plus a spread to benchmark interest.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Form 3CEB with comprehensive documentation of all international and domestic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7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License Fees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10% under the India-Singapore and India-UAE DTAAs. Ensure payments are classified as royalties under treaty provisions.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Warehouse Lease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10% under the India-UAE DTAA. File TDS returns to avoid penalties.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Documentation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Obtain TRCs, Form 10F, and agreements to substantiate treaty claims.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17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Digital Advertising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EL at 6% on ₹7 crore paid to the USA-based platform, resulting in ₹42 lakh levy.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and remit payments within statutory deadlines.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7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Shared Services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validate ₹15 crore payments for HR and compliance support.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Vehicle Leasing</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₹10 crore lease price using CUP, comparing rates for similar leasing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Disclose specified domestic transactions in Form 3CEB and ensure arm’s length pricing.</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7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Double Taxation Avoidance Agreements (DTAAs)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License Fees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Demonstrate compliance with PPT under India-Singapore and India-UAE DTAAs.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Document the economic rationale for licensing arrangements to ensure treaty benefits.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Warehouse Lease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agreements and supporting evidence to classify payments correctly under the DTAA.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7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89" w:name="_Toc187623960"/>
      <w:bookmarkStart w:id="290" w:name="_Toc187630680"/>
      <w:bookmarkStart w:id="291" w:name="_Toc187660859"/>
      <w:bookmarkStart w:id="292" w:name="_Toc187661938"/>
      <w:r w:rsidRPr="009C5151">
        <w:rPr>
          <w:rStyle w:val="Strong"/>
          <w:b/>
          <w:bCs/>
          <w:sz w:val="24"/>
          <w:szCs w:val="24"/>
        </w:rPr>
        <w:t>Detailed Discussion of Proposed Solutions</w:t>
      </w:r>
      <w:bookmarkEnd w:id="289"/>
      <w:bookmarkEnd w:id="290"/>
      <w:bookmarkEnd w:id="291"/>
      <w:bookmarkEnd w:id="292"/>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7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spacing w:before="0" w:beforeAutospacing="0"/>
      </w:pPr>
      <w:r w:rsidRPr="009C5151">
        <w:lastRenderedPageBreak/>
        <w:t xml:space="preserve">1.1 </w:t>
      </w:r>
      <w:r w:rsidRPr="009C5151">
        <w:rPr>
          <w:rStyle w:val="Strong"/>
        </w:rPr>
        <w:t>Freight Revenues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TNMM to benchmark ₹300 crore revenue. Compare the company’s operating margin with industry peers in the logistics sector.</w:t>
      </w:r>
    </w:p>
    <w:p w:rsidR="00A056B6" w:rsidRPr="009C5151" w:rsidRDefault="00A056B6" w:rsidP="00743A5F">
      <w:pPr>
        <w:pStyle w:val="NormalWeb"/>
        <w:spacing w:before="0" w:beforeAutospacing="0"/>
      </w:pPr>
      <w:r w:rsidRPr="009C5151">
        <w:t xml:space="preserve">1.2 </w:t>
      </w:r>
      <w:r w:rsidRPr="009C5151">
        <w:rPr>
          <w:rStyle w:val="Strong"/>
        </w:rPr>
        <w:t>License Fees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CUP to benchmark ₹25 crore fees. Identify comparable licensing agreements for logistics software.</w:t>
      </w:r>
    </w:p>
    <w:p w:rsidR="00A056B6" w:rsidRPr="009C5151" w:rsidRDefault="00A056B6" w:rsidP="00743A5F">
      <w:pPr>
        <w:pStyle w:val="NormalWeb"/>
        <w:spacing w:before="0" w:beforeAutospacing="0"/>
      </w:pPr>
      <w:r w:rsidRPr="009C5151">
        <w:t xml:space="preserve">1.3 </w:t>
      </w:r>
      <w:r w:rsidRPr="009C5151">
        <w:rPr>
          <w:rStyle w:val="Strong"/>
        </w:rPr>
        <w:t>Warehouse Leasing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₹50 crore payments against market rates for similar facilities in the UAE.</w:t>
      </w:r>
    </w:p>
    <w:p w:rsidR="00A056B6" w:rsidRPr="009C5151" w:rsidRDefault="00A056B6" w:rsidP="00743A5F">
      <w:pPr>
        <w:pStyle w:val="NormalWeb"/>
        <w:spacing w:before="0" w:beforeAutospacing="0"/>
      </w:pPr>
      <w:r w:rsidRPr="009C5151">
        <w:t xml:space="preserve">1.4 </w:t>
      </w:r>
      <w:r w:rsidRPr="009C5151">
        <w:rPr>
          <w:rStyle w:val="Strong"/>
        </w:rPr>
        <w:t>Interest-Free Loan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Adjust loan terms to reflect a 6% interest rate. Update agreements to align with TP rules.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7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pStyle w:val="NormalWeb"/>
        <w:spacing w:before="0" w:beforeAutospacing="0"/>
      </w:pPr>
      <w:r w:rsidRPr="009C5151">
        <w:t xml:space="preserve">2.1 </w:t>
      </w:r>
      <w:r w:rsidRPr="009C5151">
        <w:rPr>
          <w:rStyle w:val="Strong"/>
        </w:rPr>
        <w:t>License Fees and Lease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10% WHT under DTAAs. File timely TDS returns to avoid penalties.</w:t>
      </w:r>
    </w:p>
    <w:p w:rsidR="00A056B6" w:rsidRPr="009C5151" w:rsidRDefault="00A056B6" w:rsidP="00743A5F">
      <w:pPr>
        <w:pStyle w:val="NormalWeb"/>
        <w:spacing w:before="0" w:beforeAutospacing="0"/>
      </w:pPr>
      <w:r w:rsidRPr="009C5151">
        <w:t xml:space="preserve">2.2 </w:t>
      </w:r>
      <w:r w:rsidRPr="009C5151">
        <w:rPr>
          <w:rStyle w:val="Strong"/>
        </w:rPr>
        <w:t>Documentation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Retain TRCs, invoices, and agreements for audit readiness.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7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pStyle w:val="NormalWeb"/>
        <w:spacing w:before="0" w:beforeAutospacing="0"/>
      </w:pPr>
      <w:r w:rsidRPr="009C5151">
        <w:t xml:space="preserve">3.1 </w:t>
      </w:r>
      <w:r w:rsidRPr="009C5151">
        <w:rPr>
          <w:rStyle w:val="Strong"/>
        </w:rPr>
        <w:t>Applicability</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applies to ₹7 crore digital advertising payments. Calculate and remit ₹42 lakh levy on time.</w:t>
      </w:r>
    </w:p>
    <w:p w:rsidR="00A056B6" w:rsidRPr="009C5151" w:rsidRDefault="00A056B6" w:rsidP="00743A5F">
      <w:pPr>
        <w:pStyle w:val="NormalWeb"/>
        <w:spacing w:before="0" w:beforeAutospacing="0"/>
      </w:pPr>
      <w:r w:rsidRPr="009C5151">
        <w:t xml:space="preserve">3.2 </w:t>
      </w:r>
      <w:r w:rsidRPr="009C5151">
        <w:rPr>
          <w:rStyle w:val="Strong"/>
        </w:rPr>
        <w:t>Classification Review</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Verify all payments to digital platforms to ensure compliance with EL provisions.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7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pStyle w:val="NormalWeb"/>
        <w:spacing w:before="0" w:beforeAutospacing="0"/>
      </w:pPr>
      <w:r w:rsidRPr="009C5151">
        <w:t xml:space="preserve">4.1 </w:t>
      </w:r>
      <w:r w:rsidRPr="009C5151">
        <w:rPr>
          <w:rStyle w:val="Strong"/>
        </w:rPr>
        <w:t>Shared Services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₹15 crore payments using CPM. Validate markup for HR and compliance services.</w:t>
      </w:r>
    </w:p>
    <w:p w:rsidR="00A056B6" w:rsidRPr="009C5151" w:rsidRDefault="00A056B6" w:rsidP="00743A5F">
      <w:pPr>
        <w:pStyle w:val="NormalWeb"/>
        <w:spacing w:before="0" w:beforeAutospacing="0"/>
      </w:pPr>
      <w:r w:rsidRPr="009C5151">
        <w:t xml:space="preserve">4.2 </w:t>
      </w:r>
      <w:r w:rsidRPr="009C5151">
        <w:rPr>
          <w:rStyle w:val="Strong"/>
        </w:rPr>
        <w:t>Vehicle Leasing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Use CUP to benchmark ₹10 crore lease pricing. Align terms with market rates.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7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Double Taxation Avoidance Agreements (DTAAs)</w:t>
      </w:r>
    </w:p>
    <w:p w:rsidR="00A056B6" w:rsidRPr="009C5151" w:rsidRDefault="00A056B6" w:rsidP="00743A5F">
      <w:pPr>
        <w:pStyle w:val="NormalWeb"/>
        <w:spacing w:before="0" w:beforeAutospacing="0"/>
      </w:pPr>
      <w:r w:rsidRPr="009C5151">
        <w:t xml:space="preserve">5.1 </w:t>
      </w:r>
      <w:r w:rsidRPr="009C5151">
        <w:rPr>
          <w:rStyle w:val="Strong"/>
        </w:rPr>
        <w:t>License Fees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Meet PPT requirements by documenting the commercial purpose of licensing arrangements. Ensure compliance with MLI provisions.</w:t>
      </w:r>
    </w:p>
    <w:p w:rsidR="00A056B6" w:rsidRPr="009C5151" w:rsidRDefault="00A056B6" w:rsidP="00743A5F">
      <w:pPr>
        <w:pStyle w:val="NormalWeb"/>
        <w:spacing w:before="0" w:beforeAutospacing="0"/>
      </w:pPr>
      <w:r w:rsidRPr="009C5151">
        <w:t xml:space="preserve">5.2 </w:t>
      </w:r>
      <w:r w:rsidRPr="009C5151">
        <w:rPr>
          <w:rStyle w:val="Strong"/>
        </w:rPr>
        <w:t>Warehouse Lease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Document economic substance to substantiate classification under the DTAA.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8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293" w:name="_Toc187623961"/>
      <w:bookmarkStart w:id="294" w:name="_Toc187630681"/>
      <w:bookmarkStart w:id="295" w:name="_Toc187660860"/>
      <w:bookmarkStart w:id="296" w:name="_Toc187661939"/>
      <w:r w:rsidRPr="009C5151">
        <w:rPr>
          <w:rStyle w:val="Strong"/>
          <w:b/>
          <w:bCs/>
          <w:sz w:val="24"/>
          <w:szCs w:val="24"/>
        </w:rPr>
        <w:t>Conclusion</w:t>
      </w:r>
      <w:bookmarkEnd w:id="293"/>
      <w:bookmarkEnd w:id="294"/>
      <w:bookmarkEnd w:id="295"/>
      <w:bookmarkEnd w:id="296"/>
    </w:p>
    <w:p w:rsidR="00A056B6" w:rsidRPr="009C5151" w:rsidRDefault="00A056B6" w:rsidP="00743A5F">
      <w:pPr>
        <w:pStyle w:val="NormalWeb"/>
        <w:spacing w:before="0" w:beforeAutospacing="0"/>
      </w:pPr>
      <w:r w:rsidRPr="009C5151">
        <w:t>To address these challenges, SmartLogistics Pvt. Ltd. should:</w:t>
      </w:r>
    </w:p>
    <w:p w:rsidR="00A056B6" w:rsidRPr="009C5151" w:rsidRDefault="00A056B6" w:rsidP="00743A5F">
      <w:pPr>
        <w:pStyle w:val="NormalWeb"/>
        <w:tabs>
          <w:tab w:val="num" w:pos="720"/>
        </w:tabs>
        <w:spacing w:before="0" w:beforeAutospacing="0"/>
        <w:ind w:left="720" w:hanging="360"/>
      </w:pPr>
      <w:r w:rsidRPr="009C5151">
        <w:rPr>
          <w:rStyle w:val="Strong"/>
        </w:rPr>
        <w:t>Strengthen TP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transactions, including freight revenues, license fees, and domestic specified transactions. File Form 3CEB.</w:t>
      </w:r>
    </w:p>
    <w:p w:rsidR="00A056B6" w:rsidRPr="009C5151" w:rsidRDefault="00A056B6" w:rsidP="00743A5F">
      <w:pPr>
        <w:pStyle w:val="NormalWeb"/>
        <w:tabs>
          <w:tab w:val="num" w:pos="720"/>
        </w:tabs>
        <w:spacing w:before="0" w:beforeAutospacing="0"/>
        <w:ind w:left="720" w:hanging="360"/>
      </w:pPr>
      <w:r w:rsidRPr="009C5151">
        <w:rPr>
          <w:rStyle w:val="Strong"/>
        </w:rPr>
        <w:t>Ensure WHT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treaty rates for license fees and lease payments. Maintain TRCs and agreements for audit readiness.</w:t>
      </w:r>
    </w:p>
    <w:p w:rsidR="00A056B6" w:rsidRPr="009C5151" w:rsidRDefault="00A056B6" w:rsidP="00743A5F">
      <w:pPr>
        <w:pStyle w:val="NormalWeb"/>
        <w:tabs>
          <w:tab w:val="num" w:pos="720"/>
        </w:tabs>
        <w:spacing w:before="0" w:beforeAutospacing="0"/>
        <w:ind w:left="720" w:hanging="360"/>
      </w:pPr>
      <w:r w:rsidRPr="009C5151">
        <w:rPr>
          <w:rStyle w:val="Strong"/>
        </w:rPr>
        <w:t>Focus on EL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for digital advertising payments and remit the levy on time.</w:t>
      </w:r>
    </w:p>
    <w:p w:rsidR="00A056B6" w:rsidRPr="009C5151" w:rsidRDefault="00A056B6" w:rsidP="00743A5F">
      <w:pPr>
        <w:pStyle w:val="NormalWeb"/>
        <w:tabs>
          <w:tab w:val="num" w:pos="720"/>
        </w:tabs>
        <w:spacing w:before="0" w:beforeAutospacing="0"/>
        <w:ind w:left="720" w:hanging="360"/>
      </w:pPr>
      <w:r w:rsidRPr="009C5151">
        <w:rPr>
          <w:rStyle w:val="Strong"/>
        </w:rPr>
        <w:t>Review Domestic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payments for shared services and vehicle leasing. Align pricing with arm’s length principles.</w:t>
      </w:r>
    </w:p>
    <w:p w:rsidR="00A056B6" w:rsidRPr="009C5151" w:rsidRDefault="00A056B6" w:rsidP="00743A5F">
      <w:pPr>
        <w:pStyle w:val="NormalWeb"/>
        <w:tabs>
          <w:tab w:val="num" w:pos="720"/>
        </w:tabs>
        <w:spacing w:before="0" w:beforeAutospacing="0"/>
        <w:ind w:left="720" w:hanging="360"/>
      </w:pPr>
      <w:r w:rsidRPr="009C5151">
        <w:rPr>
          <w:rStyle w:val="Strong"/>
        </w:rPr>
        <w:t>Mitigate Treaty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 licensing and lease agreements with PPT and anti-abuse rules under DTAAs. Maintain robust documentation.</w:t>
      </w:r>
    </w:p>
    <w:p w:rsidR="00A056B6" w:rsidRPr="009C5151" w:rsidRDefault="00A056B6" w:rsidP="00743A5F">
      <w:pPr>
        <w:pStyle w:val="NormalWeb"/>
        <w:spacing w:before="0" w:beforeAutospacing="0"/>
      </w:pPr>
      <w:r w:rsidRPr="009C5151">
        <w:t>By implementing these solutions, SmartLogistics Pvt. Ltd. can ensure tax compliance, mitigate risks, and streamline its global operations effectively.</w:t>
      </w:r>
    </w:p>
    <w:p w:rsidR="00A056B6" w:rsidRPr="009C5151" w:rsidRDefault="00A056B6" w:rsidP="00743A5F">
      <w:pPr>
        <w:pStyle w:val="NormalWeb"/>
        <w:spacing w:before="0" w:beforeAutospacing="0"/>
      </w:pPr>
      <w:r w:rsidRPr="009C5151">
        <w:t>Would you like templates for TP documentation or further guidance on EL filings?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like templates for TP documentation or further guidance on EL filings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1CE5F9D" wp14:editId="4536EDB1">
            <wp:extent cx="763905" cy="763905"/>
            <wp:effectExtent l="0" t="0" r="0" b="0"/>
            <wp:docPr id="315" name="Picture 31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3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297" w:name="_Toc187623962"/>
      <w:bookmarkStart w:id="298" w:name="_Toc187630682"/>
      <w:bookmarkStart w:id="299" w:name="_Toc187660861"/>
      <w:bookmarkStart w:id="300" w:name="_Toc187661940"/>
      <w:r w:rsidRPr="009C5151">
        <w:rPr>
          <w:rStyle w:val="Strong"/>
          <w:b/>
          <w:bCs/>
          <w:sz w:val="24"/>
          <w:szCs w:val="24"/>
        </w:rPr>
        <w:t>Templates for Transfer Pricing (TP) Documentation and Guidance on Equalization Levy (EL) Filings</w:t>
      </w:r>
      <w:bookmarkEnd w:id="297"/>
      <w:bookmarkEnd w:id="298"/>
      <w:bookmarkEnd w:id="299"/>
      <w:bookmarkEnd w:id="300"/>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8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01" w:name="_Toc187623963"/>
      <w:bookmarkStart w:id="302" w:name="_Toc187630683"/>
      <w:bookmarkStart w:id="303" w:name="_Toc187660862"/>
      <w:bookmarkStart w:id="304" w:name="_Toc187661941"/>
      <w:r w:rsidRPr="009C5151">
        <w:rPr>
          <w:rStyle w:val="Strong"/>
          <w:b/>
          <w:bCs/>
          <w:sz w:val="24"/>
          <w:szCs w:val="24"/>
        </w:rPr>
        <w:t>I. Templates for Transfer Pricing (TP) Documentation</w:t>
      </w:r>
      <w:bookmarkEnd w:id="301"/>
      <w:bookmarkEnd w:id="302"/>
      <w:bookmarkEnd w:id="303"/>
      <w:bookmarkEnd w:id="304"/>
    </w:p>
    <w:p w:rsidR="00A056B6" w:rsidRPr="009C5151" w:rsidRDefault="00A056B6" w:rsidP="00743A5F">
      <w:pPr>
        <w:pStyle w:val="NormalWeb"/>
        <w:spacing w:before="0" w:beforeAutospacing="0"/>
      </w:pPr>
      <w:r w:rsidRPr="009C5151">
        <w:t>Below are key sections and sample templates to help prepare comprehensive TP documentation.</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8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Master File Template</w:t>
      </w:r>
    </w:p>
    <w:p w:rsidR="00A056B6" w:rsidRPr="009C5151" w:rsidRDefault="00A056B6" w:rsidP="00743A5F">
      <w:pPr>
        <w:pStyle w:val="NormalWeb"/>
        <w:spacing w:before="0" w:beforeAutospacing="0"/>
      </w:pPr>
      <w:r w:rsidRPr="009C5151">
        <w:t xml:space="preserve">The </w:t>
      </w:r>
      <w:r w:rsidRPr="009C5151">
        <w:rPr>
          <w:rStyle w:val="Strong"/>
        </w:rPr>
        <w:t>Master File</w:t>
      </w:r>
      <w:r w:rsidRPr="009C5151">
        <w:t xml:space="preserve"> provides an overview of the group’s global operations.</w:t>
      </w:r>
    </w:p>
    <w:p w:rsidR="00A056B6" w:rsidRPr="009C5151" w:rsidRDefault="00A056B6" w:rsidP="00743A5F">
      <w:pPr>
        <w:pStyle w:val="NormalWeb"/>
        <w:spacing w:before="0" w:beforeAutospacing="0"/>
      </w:pPr>
      <w:r w:rsidRPr="009C5151">
        <w:rPr>
          <w:rStyle w:val="Strong"/>
        </w:rPr>
        <w:t>Table of Contents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Organizational Structure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Include a diagram of the group entities with ownership details.</w:t>
      </w:r>
    </w:p>
    <w:p w:rsidR="00A056B6" w:rsidRPr="009C5151" w:rsidRDefault="00A056B6" w:rsidP="00743A5F">
      <w:pPr>
        <w:pStyle w:val="NormalWeb"/>
        <w:spacing w:before="0" w:beforeAutospacing="0"/>
        <w:ind w:left="720"/>
      </w:pPr>
      <w:r w:rsidRPr="009C5151">
        <w:t>Example:</w:t>
      </w:r>
    </w:p>
    <w:p w:rsidR="00A056B6" w:rsidRPr="009C5151" w:rsidRDefault="00A056B6" w:rsidP="00743A5F">
      <w:pPr>
        <w:pStyle w:val="HTMLPreformatted"/>
        <w:ind w:left="720"/>
        <w:rPr>
          <w:rFonts w:ascii="Times New Roman" w:hAnsi="Times New Roman" w:cs="Times New Roman"/>
          <w:sz w:val="24"/>
          <w:szCs w:val="24"/>
        </w:rPr>
      </w:pPr>
      <w:r w:rsidRPr="009C5151">
        <w:rPr>
          <w:rFonts w:ascii="Times New Roman" w:hAnsi="Times New Roman" w:cs="Times New Roman"/>
          <w:sz w:val="24"/>
          <w:szCs w:val="24"/>
        </w:rPr>
        <w:t>markdown</w:t>
      </w:r>
    </w:p>
    <w:p w:rsidR="00A056B6" w:rsidRPr="009C5151" w:rsidRDefault="00A056B6" w:rsidP="00743A5F">
      <w:pPr>
        <w:pStyle w:val="HTMLPreformatted"/>
        <w:ind w:left="720"/>
        <w:rPr>
          <w:rFonts w:ascii="Times New Roman" w:hAnsi="Times New Roman" w:cs="Times New Roman"/>
          <w:sz w:val="24"/>
          <w:szCs w:val="24"/>
        </w:rPr>
      </w:pPr>
      <w:r w:rsidRPr="009C5151">
        <w:rPr>
          <w:rFonts w:ascii="Times New Roman" w:hAnsi="Times New Roman" w:cs="Times New Roman"/>
          <w:sz w:val="24"/>
          <w:szCs w:val="24"/>
        </w:rPr>
        <w:t>Copy code</w:t>
      </w:r>
    </w:p>
    <w:p w:rsidR="00A056B6" w:rsidRPr="009C5151" w:rsidRDefault="00A056B6" w:rsidP="00743A5F">
      <w:pPr>
        <w:pStyle w:val="HTMLPreformatted"/>
        <w:ind w:left="720"/>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Parent Company: Global Logistics Holdings, USA (100%)</w:t>
      </w:r>
    </w:p>
    <w:p w:rsidR="00A056B6" w:rsidRPr="009C5151" w:rsidRDefault="00A056B6" w:rsidP="00743A5F">
      <w:pPr>
        <w:pStyle w:val="HTMLPreformatted"/>
        <w:ind w:left="720"/>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Subsidiaries:</w:t>
      </w:r>
    </w:p>
    <w:p w:rsidR="00A056B6" w:rsidRPr="009C5151" w:rsidRDefault="00A056B6" w:rsidP="00743A5F">
      <w:pPr>
        <w:pStyle w:val="HTMLPreformatted"/>
        <w:ind w:left="720"/>
        <w:rPr>
          <w:rStyle w:val="HTMLCode"/>
          <w:rFonts w:ascii="Times New Roman" w:hAnsi="Times New Roman" w:cs="Times New Roman"/>
          <w:sz w:val="24"/>
          <w:szCs w:val="24"/>
        </w:rPr>
      </w:pPr>
      <w:r w:rsidRPr="009C5151">
        <w:rPr>
          <w:rStyle w:val="hljs-bullet"/>
          <w:rFonts w:ascii="Times New Roman" w:hAnsi="Times New Roman" w:cs="Times New Roman"/>
          <w:sz w:val="24"/>
          <w:szCs w:val="24"/>
        </w:rPr>
        <w:t xml:space="preserve">  -</w:t>
      </w:r>
      <w:r w:rsidRPr="009C5151">
        <w:rPr>
          <w:rStyle w:val="HTMLCode"/>
          <w:rFonts w:ascii="Times New Roman" w:hAnsi="Times New Roman" w:cs="Times New Roman"/>
          <w:sz w:val="24"/>
          <w:szCs w:val="24"/>
        </w:rPr>
        <w:t xml:space="preserve"> SmartLogistics Pvt. Ltd., India (Manufacturing &amp; Operations)</w:t>
      </w:r>
    </w:p>
    <w:p w:rsidR="00A056B6" w:rsidRPr="009C5151" w:rsidRDefault="00A056B6" w:rsidP="00743A5F">
      <w:pPr>
        <w:pStyle w:val="HTMLPreformatted"/>
        <w:ind w:left="720"/>
        <w:rPr>
          <w:rStyle w:val="HTMLCode"/>
          <w:rFonts w:ascii="Times New Roman" w:hAnsi="Times New Roman" w:cs="Times New Roman"/>
          <w:sz w:val="24"/>
          <w:szCs w:val="24"/>
        </w:rPr>
      </w:pPr>
      <w:r w:rsidRPr="009C5151">
        <w:rPr>
          <w:rStyle w:val="hljs-bullet"/>
          <w:rFonts w:ascii="Times New Roman" w:hAnsi="Times New Roman" w:cs="Times New Roman"/>
          <w:sz w:val="24"/>
          <w:szCs w:val="24"/>
        </w:rPr>
        <w:t xml:space="preserve">  -</w:t>
      </w:r>
      <w:r w:rsidRPr="009C5151">
        <w:rPr>
          <w:rStyle w:val="HTMLCode"/>
          <w:rFonts w:ascii="Times New Roman" w:hAnsi="Times New Roman" w:cs="Times New Roman"/>
          <w:sz w:val="24"/>
          <w:szCs w:val="24"/>
        </w:rPr>
        <w:t xml:space="preserve"> SmartLogistics UK Ltd. (Regional Distribution)</w:t>
      </w:r>
    </w:p>
    <w:p w:rsidR="00A056B6" w:rsidRPr="009C5151" w:rsidRDefault="00A056B6" w:rsidP="00743A5F">
      <w:pPr>
        <w:pStyle w:val="HTMLPreformatted"/>
        <w:ind w:left="720"/>
        <w:rPr>
          <w:rStyle w:val="HTMLCode"/>
          <w:rFonts w:ascii="Times New Roman" w:hAnsi="Times New Roman" w:cs="Times New Roman"/>
          <w:sz w:val="24"/>
          <w:szCs w:val="24"/>
        </w:rPr>
      </w:pPr>
      <w:r w:rsidRPr="009C5151">
        <w:rPr>
          <w:rStyle w:val="hljs-bullet"/>
          <w:rFonts w:ascii="Times New Roman" w:hAnsi="Times New Roman" w:cs="Times New Roman"/>
          <w:sz w:val="24"/>
          <w:szCs w:val="24"/>
        </w:rPr>
        <w:t xml:space="preserve">  -</w:t>
      </w:r>
      <w:r w:rsidRPr="009C5151">
        <w:rPr>
          <w:rStyle w:val="HTMLCode"/>
          <w:rFonts w:ascii="Times New Roman" w:hAnsi="Times New Roman" w:cs="Times New Roman"/>
          <w:sz w:val="24"/>
          <w:szCs w:val="24"/>
        </w:rPr>
        <w:t xml:space="preserve"> SmartLogistics Singapore Pte Ltd. (R&amp;D Hub)</w:t>
      </w:r>
    </w:p>
    <w:p w:rsidR="00A056B6" w:rsidRPr="009C5151" w:rsidRDefault="00A056B6" w:rsidP="00743A5F">
      <w:pPr>
        <w:pStyle w:val="NormalWeb"/>
        <w:tabs>
          <w:tab w:val="num" w:pos="720"/>
        </w:tabs>
        <w:spacing w:before="0" w:beforeAutospacing="0"/>
        <w:ind w:left="720" w:hanging="360"/>
      </w:pPr>
      <w:r w:rsidRPr="009C5151">
        <w:rPr>
          <w:rStyle w:val="Strong"/>
        </w:rPr>
        <w:t>Business Activities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Brief description of each entity’s functions.</w:t>
      </w:r>
    </w:p>
    <w:p w:rsidR="00A056B6" w:rsidRPr="009C5151" w:rsidRDefault="00A056B6" w:rsidP="00743A5F">
      <w:pPr>
        <w:pStyle w:val="NormalWeb"/>
        <w:spacing w:before="0" w:beforeAutospacing="0"/>
        <w:ind w:left="720"/>
      </w:pPr>
      <w:r w:rsidRPr="009C5151">
        <w:t>Example:</w:t>
      </w:r>
    </w:p>
    <w:p w:rsidR="00A056B6" w:rsidRPr="009C5151" w:rsidRDefault="00A056B6" w:rsidP="00743A5F">
      <w:pPr>
        <w:pStyle w:val="HTMLPreformatted"/>
        <w:ind w:left="720"/>
        <w:rPr>
          <w:rFonts w:ascii="Times New Roman" w:hAnsi="Times New Roman" w:cs="Times New Roman"/>
          <w:sz w:val="24"/>
          <w:szCs w:val="24"/>
        </w:rPr>
      </w:pPr>
      <w:r w:rsidRPr="009C5151">
        <w:rPr>
          <w:rFonts w:ascii="Times New Roman" w:hAnsi="Times New Roman" w:cs="Times New Roman"/>
          <w:sz w:val="24"/>
          <w:szCs w:val="24"/>
        </w:rPr>
        <w:t>yaml</w:t>
      </w:r>
    </w:p>
    <w:p w:rsidR="00A056B6" w:rsidRPr="009C5151" w:rsidRDefault="00A056B6" w:rsidP="00743A5F">
      <w:pPr>
        <w:pStyle w:val="HTMLPreformatted"/>
        <w:ind w:left="720"/>
        <w:rPr>
          <w:rFonts w:ascii="Times New Roman" w:hAnsi="Times New Roman" w:cs="Times New Roman"/>
          <w:sz w:val="24"/>
          <w:szCs w:val="24"/>
        </w:rPr>
      </w:pPr>
      <w:r w:rsidRPr="009C5151">
        <w:rPr>
          <w:rFonts w:ascii="Times New Roman" w:hAnsi="Times New Roman" w:cs="Times New Roman"/>
          <w:sz w:val="24"/>
          <w:szCs w:val="24"/>
        </w:rPr>
        <w:t>Copy code</w:t>
      </w:r>
    </w:p>
    <w:p w:rsidR="00A056B6" w:rsidRPr="009C5151" w:rsidRDefault="00A056B6" w:rsidP="00743A5F">
      <w:pPr>
        <w:pStyle w:val="HTMLPreformatted"/>
        <w:ind w:left="720"/>
        <w:rPr>
          <w:rStyle w:val="HTMLCode"/>
          <w:rFonts w:ascii="Times New Roman" w:hAnsi="Times New Roman" w:cs="Times New Roman"/>
          <w:sz w:val="24"/>
          <w:szCs w:val="24"/>
        </w:rPr>
      </w:pPr>
      <w:r w:rsidRPr="009C5151">
        <w:rPr>
          <w:rStyle w:val="hljs-string"/>
          <w:rFonts w:ascii="Times New Roman" w:hAnsi="Times New Roman" w:cs="Times New Roman"/>
          <w:sz w:val="24"/>
          <w:szCs w:val="24"/>
        </w:rPr>
        <w:t>SmartLogistics</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Pvt.</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Ltd.,</w:t>
      </w:r>
      <w:r w:rsidRPr="009C5151">
        <w:rPr>
          <w:rStyle w:val="HTMLCode"/>
          <w:rFonts w:ascii="Times New Roman" w:hAnsi="Times New Roman" w:cs="Times New Roman"/>
          <w:sz w:val="24"/>
          <w:szCs w:val="24"/>
        </w:rPr>
        <w:t xml:space="preserve"> </w:t>
      </w:r>
      <w:r w:rsidRPr="009C5151">
        <w:rPr>
          <w:rStyle w:val="hljs-attr"/>
          <w:rFonts w:ascii="Times New Roman" w:hAnsi="Times New Roman" w:cs="Times New Roman"/>
          <w:sz w:val="24"/>
          <w:szCs w:val="24"/>
        </w:rPr>
        <w:t>India:</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Designs,</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manufactures,</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and</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distributes</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logistics</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technology</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products</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globally.</w:t>
      </w:r>
    </w:p>
    <w:p w:rsidR="00A056B6" w:rsidRPr="009C5151" w:rsidRDefault="00A056B6" w:rsidP="00743A5F">
      <w:pPr>
        <w:pStyle w:val="HTMLPreformatted"/>
        <w:ind w:left="720"/>
        <w:rPr>
          <w:rStyle w:val="HTMLCode"/>
          <w:rFonts w:ascii="Times New Roman" w:hAnsi="Times New Roman" w:cs="Times New Roman"/>
          <w:sz w:val="24"/>
          <w:szCs w:val="24"/>
        </w:rPr>
      </w:pPr>
      <w:r w:rsidRPr="009C5151">
        <w:rPr>
          <w:rStyle w:val="hljs-attr"/>
          <w:rFonts w:ascii="Times New Roman" w:hAnsi="Times New Roman" w:cs="Times New Roman"/>
          <w:sz w:val="24"/>
          <w:szCs w:val="24"/>
        </w:rPr>
        <w:t>SmartLogistics Singapore Pte Ltd.:</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Focuses</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on</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R&amp;D</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for</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supply</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chain</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optimization.</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Intangibles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Detail significant intangibles, such as software, patents, or trademarks, and their ownership.</w:t>
      </w:r>
    </w:p>
    <w:p w:rsidR="00A056B6" w:rsidRPr="009C5151" w:rsidRDefault="00A056B6" w:rsidP="00743A5F">
      <w:pPr>
        <w:pStyle w:val="NormalWeb"/>
        <w:tabs>
          <w:tab w:val="num" w:pos="720"/>
        </w:tabs>
        <w:spacing w:before="0" w:beforeAutospacing="0"/>
        <w:ind w:left="720" w:hanging="360"/>
      </w:pPr>
      <w:r w:rsidRPr="009C5151">
        <w:rPr>
          <w:rStyle w:val="Strong"/>
        </w:rPr>
        <w:t>Financial Information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Consolidated group financial statements.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Details of significant revenue-generating entities.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8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Local File Template</w:t>
      </w:r>
    </w:p>
    <w:p w:rsidR="00A056B6" w:rsidRPr="009C5151" w:rsidRDefault="00A056B6" w:rsidP="00743A5F">
      <w:pPr>
        <w:pStyle w:val="NormalWeb"/>
        <w:spacing w:before="0" w:beforeAutospacing="0"/>
      </w:pPr>
      <w:r w:rsidRPr="009C5151">
        <w:t xml:space="preserve">The </w:t>
      </w:r>
      <w:r w:rsidRPr="009C5151">
        <w:rPr>
          <w:rStyle w:val="Strong"/>
        </w:rPr>
        <w:t>Local File</w:t>
      </w:r>
      <w:r w:rsidRPr="009C5151">
        <w:t xml:space="preserve"> focuses on the Indian entity and its transactions.</w:t>
      </w:r>
    </w:p>
    <w:p w:rsidR="00A056B6" w:rsidRPr="009C5151" w:rsidRDefault="00A056B6" w:rsidP="00743A5F">
      <w:pPr>
        <w:pStyle w:val="NormalWeb"/>
        <w:spacing w:before="0" w:beforeAutospacing="0"/>
      </w:pPr>
      <w:r w:rsidRPr="009C5151">
        <w:rPr>
          <w:rStyle w:val="Strong"/>
        </w:rPr>
        <w:t>Table of Contents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Entity Overview</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Description of operations, key business segments, and financial summary.</w:t>
      </w:r>
    </w:p>
    <w:p w:rsidR="00A056B6" w:rsidRPr="009C5151" w:rsidRDefault="00A056B6" w:rsidP="00743A5F">
      <w:pPr>
        <w:pStyle w:val="NormalWeb"/>
        <w:spacing w:before="0" w:beforeAutospacing="0"/>
        <w:ind w:left="720"/>
      </w:pPr>
      <w:r w:rsidRPr="009C5151">
        <w:t>Example:</w:t>
      </w:r>
    </w:p>
    <w:p w:rsidR="00A056B6" w:rsidRPr="009C5151" w:rsidRDefault="00A056B6" w:rsidP="00743A5F">
      <w:pPr>
        <w:pStyle w:val="HTMLPreformatted"/>
        <w:ind w:left="720"/>
        <w:rPr>
          <w:rFonts w:ascii="Times New Roman" w:hAnsi="Times New Roman" w:cs="Times New Roman"/>
          <w:sz w:val="24"/>
          <w:szCs w:val="24"/>
        </w:rPr>
      </w:pPr>
      <w:r w:rsidRPr="009C5151">
        <w:rPr>
          <w:rFonts w:ascii="Times New Roman" w:hAnsi="Times New Roman" w:cs="Times New Roman"/>
          <w:sz w:val="24"/>
          <w:szCs w:val="24"/>
        </w:rPr>
        <w:t>yaml</w:t>
      </w:r>
    </w:p>
    <w:p w:rsidR="00A056B6" w:rsidRPr="009C5151" w:rsidRDefault="00A056B6" w:rsidP="00743A5F">
      <w:pPr>
        <w:pStyle w:val="HTMLPreformatted"/>
        <w:ind w:left="720"/>
        <w:rPr>
          <w:rFonts w:ascii="Times New Roman" w:hAnsi="Times New Roman" w:cs="Times New Roman"/>
          <w:sz w:val="24"/>
          <w:szCs w:val="24"/>
        </w:rPr>
      </w:pPr>
      <w:r w:rsidRPr="009C5151">
        <w:rPr>
          <w:rFonts w:ascii="Times New Roman" w:hAnsi="Times New Roman" w:cs="Times New Roman"/>
          <w:sz w:val="24"/>
          <w:szCs w:val="24"/>
        </w:rPr>
        <w:t>Copy code</w:t>
      </w:r>
    </w:p>
    <w:p w:rsidR="00A056B6" w:rsidRPr="009C5151" w:rsidRDefault="00A056B6" w:rsidP="00743A5F">
      <w:pPr>
        <w:pStyle w:val="HTMLPreformatted"/>
        <w:ind w:left="720"/>
        <w:rPr>
          <w:rStyle w:val="HTMLCode"/>
          <w:rFonts w:ascii="Times New Roman" w:hAnsi="Times New Roman" w:cs="Times New Roman"/>
          <w:sz w:val="24"/>
          <w:szCs w:val="24"/>
        </w:rPr>
      </w:pPr>
      <w:r w:rsidRPr="009C5151">
        <w:rPr>
          <w:rStyle w:val="hljs-attr"/>
          <w:rFonts w:ascii="Times New Roman" w:hAnsi="Times New Roman" w:cs="Times New Roman"/>
          <w:sz w:val="24"/>
          <w:szCs w:val="24"/>
        </w:rPr>
        <w:t>Revenue FY 2023-24:</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₹800</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crore</w:t>
      </w:r>
    </w:p>
    <w:p w:rsidR="00A056B6" w:rsidRPr="009C5151" w:rsidRDefault="00A056B6" w:rsidP="00743A5F">
      <w:pPr>
        <w:pStyle w:val="HTMLPreformatted"/>
        <w:ind w:left="720"/>
        <w:rPr>
          <w:rStyle w:val="HTMLCode"/>
          <w:rFonts w:ascii="Times New Roman" w:hAnsi="Times New Roman" w:cs="Times New Roman"/>
          <w:sz w:val="24"/>
          <w:szCs w:val="24"/>
        </w:rPr>
      </w:pPr>
      <w:r w:rsidRPr="009C5151">
        <w:rPr>
          <w:rStyle w:val="hljs-attr"/>
          <w:rFonts w:ascii="Times New Roman" w:hAnsi="Times New Roman" w:cs="Times New Roman"/>
          <w:sz w:val="24"/>
          <w:szCs w:val="24"/>
        </w:rPr>
        <w:t>Key Segments:</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Freight</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Services</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(₹500</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crore),</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Licensing</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(₹150</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crore),</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Warehousing</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(₹150</w:t>
      </w:r>
      <w:r w:rsidRPr="009C5151">
        <w:rPr>
          <w:rStyle w:val="HTMLCode"/>
          <w:rFonts w:ascii="Times New Roman" w:hAnsi="Times New Roman" w:cs="Times New Roman"/>
          <w:sz w:val="24"/>
          <w:szCs w:val="24"/>
        </w:rPr>
        <w:t xml:space="preserve"> </w:t>
      </w:r>
      <w:r w:rsidRPr="009C5151">
        <w:rPr>
          <w:rStyle w:val="hljs-string"/>
          <w:rFonts w:ascii="Times New Roman" w:hAnsi="Times New Roman" w:cs="Times New Roman"/>
          <w:sz w:val="24"/>
          <w:szCs w:val="24"/>
        </w:rPr>
        <w:t>crore)</w:t>
      </w:r>
    </w:p>
    <w:p w:rsidR="00A056B6" w:rsidRPr="009C5151" w:rsidRDefault="00A056B6" w:rsidP="00743A5F">
      <w:pPr>
        <w:pStyle w:val="NormalWeb"/>
        <w:tabs>
          <w:tab w:val="num" w:pos="720"/>
        </w:tabs>
        <w:spacing w:before="0" w:beforeAutospacing="0"/>
        <w:ind w:left="720" w:hanging="360"/>
      </w:pPr>
      <w:r w:rsidRPr="009C5151">
        <w:rPr>
          <w:rStyle w:val="Strong"/>
        </w:rPr>
        <w:t>Transaction Details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Describe international and specified domestic transactions:</w:t>
      </w:r>
    </w:p>
    <w:p w:rsidR="00A056B6" w:rsidRPr="009C5151" w:rsidRDefault="00A056B6" w:rsidP="00743A5F">
      <w:pPr>
        <w:pStyle w:val="NormalWeb"/>
        <w:spacing w:before="0" w:beforeAutospacing="0"/>
        <w:ind w:left="720"/>
      </w:pPr>
      <w:r w:rsidRPr="009C5151">
        <w:t>Example:</w:t>
      </w:r>
    </w:p>
    <w:p w:rsidR="00A056B6" w:rsidRPr="009C5151" w:rsidRDefault="00A056B6" w:rsidP="00743A5F">
      <w:pPr>
        <w:pStyle w:val="HTMLPreformatted"/>
        <w:ind w:left="720"/>
        <w:rPr>
          <w:rFonts w:ascii="Times New Roman" w:hAnsi="Times New Roman" w:cs="Times New Roman"/>
          <w:sz w:val="24"/>
          <w:szCs w:val="24"/>
        </w:rPr>
      </w:pPr>
      <w:r w:rsidRPr="009C5151">
        <w:rPr>
          <w:rFonts w:ascii="Times New Roman" w:hAnsi="Times New Roman" w:cs="Times New Roman"/>
          <w:sz w:val="24"/>
          <w:szCs w:val="24"/>
        </w:rPr>
        <w:t>diff</w:t>
      </w:r>
    </w:p>
    <w:p w:rsidR="00A056B6" w:rsidRPr="009C5151" w:rsidRDefault="00A056B6" w:rsidP="00743A5F">
      <w:pPr>
        <w:pStyle w:val="HTMLPreformatted"/>
        <w:ind w:left="720"/>
        <w:rPr>
          <w:rFonts w:ascii="Times New Roman" w:hAnsi="Times New Roman" w:cs="Times New Roman"/>
          <w:sz w:val="24"/>
          <w:szCs w:val="24"/>
        </w:rPr>
      </w:pPr>
      <w:r w:rsidRPr="009C5151">
        <w:rPr>
          <w:rFonts w:ascii="Times New Roman" w:hAnsi="Times New Roman" w:cs="Times New Roman"/>
          <w:sz w:val="24"/>
          <w:szCs w:val="24"/>
        </w:rPr>
        <w:t>Copy code</w:t>
      </w:r>
    </w:p>
    <w:p w:rsidR="00A056B6" w:rsidRPr="009C5151" w:rsidRDefault="00A056B6" w:rsidP="00743A5F">
      <w:pPr>
        <w:pStyle w:val="HTMLPreformatted"/>
        <w:ind w:left="720"/>
        <w:rPr>
          <w:rStyle w:val="HTMLCode"/>
          <w:rFonts w:ascii="Times New Roman" w:hAnsi="Times New Roman" w:cs="Times New Roman"/>
          <w:sz w:val="24"/>
          <w:szCs w:val="24"/>
        </w:rPr>
      </w:pPr>
      <w:r w:rsidRPr="009C5151">
        <w:rPr>
          <w:rStyle w:val="hljs-deletion"/>
          <w:rFonts w:ascii="Times New Roman" w:hAnsi="Times New Roman" w:cs="Times New Roman"/>
          <w:sz w:val="24"/>
          <w:szCs w:val="24"/>
        </w:rPr>
        <w:t>- Freight Revenue (Export): ₹300 crore (to AEs in USA, UK, Germany)</w:t>
      </w:r>
    </w:p>
    <w:p w:rsidR="00A056B6" w:rsidRPr="009C5151" w:rsidRDefault="00A056B6" w:rsidP="00743A5F">
      <w:pPr>
        <w:pStyle w:val="HTMLPreformatted"/>
        <w:ind w:left="720"/>
        <w:rPr>
          <w:rStyle w:val="HTMLCode"/>
          <w:rFonts w:ascii="Times New Roman" w:hAnsi="Times New Roman" w:cs="Times New Roman"/>
          <w:sz w:val="24"/>
          <w:szCs w:val="24"/>
        </w:rPr>
      </w:pPr>
      <w:r w:rsidRPr="009C5151">
        <w:rPr>
          <w:rStyle w:val="hljs-deletion"/>
          <w:rFonts w:ascii="Times New Roman" w:hAnsi="Times New Roman" w:cs="Times New Roman"/>
          <w:sz w:val="24"/>
          <w:szCs w:val="24"/>
        </w:rPr>
        <w:t>- Licensing Fees: ₹25 crore (from Singapore and UAE)</w:t>
      </w:r>
    </w:p>
    <w:p w:rsidR="00A056B6" w:rsidRPr="009C5151" w:rsidRDefault="00A056B6" w:rsidP="00743A5F">
      <w:pPr>
        <w:pStyle w:val="HTMLPreformatted"/>
        <w:ind w:left="720"/>
        <w:rPr>
          <w:rStyle w:val="HTMLCode"/>
          <w:rFonts w:ascii="Times New Roman" w:hAnsi="Times New Roman" w:cs="Times New Roman"/>
          <w:sz w:val="24"/>
          <w:szCs w:val="24"/>
        </w:rPr>
      </w:pPr>
      <w:r w:rsidRPr="009C5151">
        <w:rPr>
          <w:rStyle w:val="hljs-deletion"/>
          <w:rFonts w:ascii="Times New Roman" w:hAnsi="Times New Roman" w:cs="Times New Roman"/>
          <w:sz w:val="24"/>
          <w:szCs w:val="24"/>
        </w:rPr>
        <w:t>- Warehouse Lease Payments: ₹50 crore (to UAE AE)</w:t>
      </w:r>
    </w:p>
    <w:p w:rsidR="00A056B6" w:rsidRPr="009C5151" w:rsidRDefault="00A056B6" w:rsidP="00743A5F">
      <w:pPr>
        <w:pStyle w:val="HTMLPreformatted"/>
        <w:ind w:left="720"/>
        <w:rPr>
          <w:rStyle w:val="HTMLCode"/>
          <w:rFonts w:ascii="Times New Roman" w:hAnsi="Times New Roman" w:cs="Times New Roman"/>
          <w:sz w:val="24"/>
          <w:szCs w:val="24"/>
        </w:rPr>
      </w:pPr>
      <w:r w:rsidRPr="009C5151">
        <w:rPr>
          <w:rStyle w:val="hljs-deletion"/>
          <w:rFonts w:ascii="Times New Roman" w:hAnsi="Times New Roman" w:cs="Times New Roman"/>
          <w:sz w:val="24"/>
          <w:szCs w:val="24"/>
        </w:rPr>
        <w:t>- Digital Advertising: ₹7 crore (to USA Platform)</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Highlight roles, assets, and risks borne by the Indian entity.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Example table:</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502"/>
        <w:gridCol w:w="2214"/>
        <w:gridCol w:w="2022"/>
      </w:tblGrid>
      <w:tr w:rsidR="00A056B6" w:rsidRPr="009C5151" w:rsidTr="003B6437">
        <w:trPr>
          <w:tblHeader/>
          <w:tblCellSpacing w:w="15" w:type="dxa"/>
        </w:trPr>
        <w:tc>
          <w:tcPr>
            <w:tcW w:w="0" w:type="auto"/>
            <w:vAlign w:val="center"/>
            <w:hideMark/>
          </w:tcPr>
          <w:p w:rsidR="00A056B6" w:rsidRPr="009C5151" w:rsidRDefault="00A056B6" w:rsidP="00743A5F">
            <w:pPr>
              <w:spacing w:after="0"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lastRenderedPageBreak/>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SmartLogistics India</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AE (Singapore)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Limited involvement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Extensive (owns IP)</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Full-fledged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Extensive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Supportive</w:t>
            </w:r>
          </w:p>
        </w:tc>
      </w:tr>
    </w:tbl>
    <w:p w:rsidR="00A056B6" w:rsidRPr="009C5151" w:rsidRDefault="00A056B6" w:rsidP="00743A5F">
      <w:pPr>
        <w:pStyle w:val="NormalWeb"/>
        <w:tabs>
          <w:tab w:val="num" w:pos="720"/>
        </w:tabs>
        <w:spacing w:before="0" w:beforeAutospacing="0"/>
        <w:ind w:left="720" w:hanging="360"/>
      </w:pPr>
      <w:r w:rsidRPr="009C5151">
        <w:rPr>
          <w:rStyle w:val="Strong"/>
        </w:rPr>
        <w:t>Economic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Benchmarking results for each transaction using selected methods (e.g., TNMM, CUP).</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8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Economic Analysis Template</w:t>
      </w:r>
    </w:p>
    <w:p w:rsidR="00A056B6" w:rsidRPr="009C5151" w:rsidRDefault="00A056B6" w:rsidP="00743A5F">
      <w:pPr>
        <w:pStyle w:val="NormalWeb"/>
        <w:spacing w:before="0" w:beforeAutospacing="0"/>
      </w:pPr>
      <w:r w:rsidRPr="009C5151">
        <w:t>For key transactions, present benchmarking results in a concise table.</w:t>
      </w:r>
    </w:p>
    <w:p w:rsidR="00A056B6" w:rsidRPr="009C5151" w:rsidRDefault="00A056B6" w:rsidP="00743A5F">
      <w:pPr>
        <w:pStyle w:val="NormalWeb"/>
        <w:spacing w:before="0" w:beforeAutospacing="0"/>
      </w:pPr>
      <w:r w:rsidRPr="009C5151">
        <w:rPr>
          <w:rStyle w:val="Strong"/>
        </w:rPr>
        <w:t>Example Table</w:t>
      </w:r>
      <w:r w:rsidRPr="009C5151">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82"/>
        <w:gridCol w:w="860"/>
        <w:gridCol w:w="1968"/>
        <w:gridCol w:w="1372"/>
        <w:gridCol w:w="2144"/>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Comparables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ALP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Margin/Price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Freight Revenue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 logistics firms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Licensing Fees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 software licenses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₹20-₹30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Warehouse Lease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 UAE facilities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₹45-₹55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 crore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8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Benchmarking Report Template</w:t>
      </w:r>
    </w:p>
    <w:p w:rsidR="00A056B6" w:rsidRPr="009C5151" w:rsidRDefault="00A056B6" w:rsidP="00743A5F">
      <w:pPr>
        <w:pStyle w:val="NormalWeb"/>
        <w:spacing w:before="0" w:beforeAutospacing="0"/>
      </w:pPr>
      <w:r w:rsidRPr="009C5151">
        <w:rPr>
          <w:rStyle w:val="Strong"/>
        </w:rPr>
        <w:t>Sections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Search Criteria</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Revenue range, region, industry classification.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Steps for Filtering Comparables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Criteria applied to exclude unrelated companies (e.g., financial instability, unrelated operations).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Final Comparables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List and justify selected comparables.</w:t>
      </w:r>
    </w:p>
    <w:p w:rsidR="00A056B6" w:rsidRPr="009C5151" w:rsidRDefault="00A056B6" w:rsidP="00743A5F">
      <w:pPr>
        <w:pStyle w:val="NormalWeb"/>
        <w:spacing w:before="0" w:beforeAutospacing="0"/>
      </w:pPr>
      <w:r w:rsidRPr="009C5151">
        <w:rPr>
          <w:rStyle w:val="Strong"/>
        </w:rPr>
        <w:t>Example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Comparable 1: Alpha Logistics (Operating margin: 14%)</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Comparable 2: Beta Transport (Operating margin: 13%)</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Comparable 3: Gamma Freight (Operating margin: 12%)</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8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05" w:name="_Toc187623964"/>
      <w:bookmarkStart w:id="306" w:name="_Toc187630684"/>
      <w:bookmarkStart w:id="307" w:name="_Toc187660863"/>
      <w:bookmarkStart w:id="308" w:name="_Toc187661942"/>
      <w:r w:rsidRPr="009C5151">
        <w:rPr>
          <w:rStyle w:val="Strong"/>
          <w:b/>
          <w:bCs/>
          <w:sz w:val="24"/>
          <w:szCs w:val="24"/>
        </w:rPr>
        <w:t>II. Guidance on Equalization Levy (EL) Filings</w:t>
      </w:r>
      <w:bookmarkEnd w:id="305"/>
      <w:bookmarkEnd w:id="306"/>
      <w:bookmarkEnd w:id="307"/>
      <w:bookmarkEnd w:id="308"/>
    </w:p>
    <w:p w:rsidR="00A056B6" w:rsidRPr="009C5151" w:rsidRDefault="00A056B6" w:rsidP="00743A5F">
      <w:pPr>
        <w:pStyle w:val="Heading4"/>
        <w:spacing w:before="0" w:beforeAutospacing="0"/>
      </w:pPr>
      <w:r w:rsidRPr="009C5151">
        <w:rPr>
          <w:rStyle w:val="Strong"/>
          <w:b/>
          <w:bCs/>
        </w:rPr>
        <w:t>1. Applicability of EL</w:t>
      </w:r>
    </w:p>
    <w:p w:rsidR="00A056B6" w:rsidRPr="009C5151" w:rsidRDefault="00A056B6" w:rsidP="00743A5F">
      <w:pPr>
        <w:pStyle w:val="NormalWeb"/>
        <w:spacing w:before="0" w:beforeAutospacing="0"/>
      </w:pPr>
      <w:r w:rsidRPr="009C5151">
        <w:t xml:space="preserve">The </w:t>
      </w:r>
      <w:r w:rsidRPr="009C5151">
        <w:rPr>
          <w:rStyle w:val="Strong"/>
        </w:rPr>
        <w:t>Equalization Levy (EL)</w:t>
      </w:r>
      <w:r w:rsidRPr="009C5151">
        <w:t xml:space="preserve"> applies at </w:t>
      </w:r>
      <w:r w:rsidRPr="009C5151">
        <w:rPr>
          <w:rStyle w:val="Strong"/>
        </w:rPr>
        <w:t>6%</w:t>
      </w:r>
      <w:r w:rsidRPr="009C5151">
        <w:t xml:space="preserve"> on payments to non-residents for digital advertising and related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Examples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Payments to Google Ads or Facebook for advertising.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Payments for hosting promotional campaigns on non-resident platforms.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8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EL Computation</w:t>
      </w:r>
    </w:p>
    <w:p w:rsidR="00A056B6" w:rsidRPr="009C5151" w:rsidRDefault="00A056B6" w:rsidP="00743A5F">
      <w:pPr>
        <w:pStyle w:val="NormalWeb"/>
        <w:spacing w:before="0" w:beforeAutospacing="0"/>
      </w:pPr>
      <w:r w:rsidRPr="009C5151">
        <w:rPr>
          <w:rStyle w:val="Strong"/>
        </w:rPr>
        <w:t>Example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Payment for digital advertising: ₹9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Rate: 6%.</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Amount: ₹9 crore × 6% = ₹54 lakh.</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8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Filing Process</w:t>
      </w:r>
    </w:p>
    <w:p w:rsidR="00A056B6" w:rsidRPr="009C5151" w:rsidRDefault="00A056B6" w:rsidP="00743A5F">
      <w:pPr>
        <w:pStyle w:val="NormalWeb"/>
        <w:tabs>
          <w:tab w:val="num" w:pos="720"/>
        </w:tabs>
        <w:spacing w:before="0" w:beforeAutospacing="0"/>
        <w:ind w:left="720" w:hanging="360"/>
      </w:pPr>
      <w:r w:rsidRPr="009C5151">
        <w:rPr>
          <w:rStyle w:val="Strong"/>
        </w:rPr>
        <w:t>Deposit EL</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Due Date</w:t>
      </w:r>
      <w:r w:rsidRPr="009C5151">
        <w:rPr>
          <w:rFonts w:ascii="Times New Roman" w:hAnsi="Times New Roman" w:cs="Times New Roman"/>
          <w:sz w:val="24"/>
          <w:szCs w:val="24"/>
        </w:rPr>
        <w:t>: 7th of the following month for each payment.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Challan ITNS 285</w:t>
      </w:r>
      <w:r w:rsidRPr="009C5151">
        <w:rPr>
          <w:rFonts w:ascii="Times New Roman" w:hAnsi="Times New Roman" w:cs="Times New Roman"/>
          <w:sz w:val="24"/>
          <w:szCs w:val="24"/>
        </w:rPr>
        <w:t xml:space="preserve"> for remittance.</w:t>
      </w:r>
    </w:p>
    <w:p w:rsidR="00A056B6" w:rsidRPr="009C5151" w:rsidRDefault="00A056B6" w:rsidP="00743A5F">
      <w:pPr>
        <w:pStyle w:val="NormalWeb"/>
        <w:tabs>
          <w:tab w:val="num" w:pos="720"/>
        </w:tabs>
        <w:spacing w:before="0" w:beforeAutospacing="0"/>
        <w:ind w:left="720" w:hanging="360"/>
      </w:pPr>
      <w:r w:rsidRPr="009C5151">
        <w:rPr>
          <w:rStyle w:val="Strong"/>
        </w:rPr>
        <w:t>Annual Return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File </w:t>
      </w:r>
      <w:r w:rsidRPr="009C5151">
        <w:rPr>
          <w:rStyle w:val="Strong"/>
          <w:rFonts w:ascii="Times New Roman" w:hAnsi="Times New Roman" w:cs="Times New Roman"/>
          <w:sz w:val="24"/>
          <w:szCs w:val="24"/>
        </w:rPr>
        <w:t>Form No. 1</w:t>
      </w:r>
      <w:r w:rsidRPr="009C5151">
        <w:rPr>
          <w:rFonts w:ascii="Times New Roman" w:hAnsi="Times New Roman" w:cs="Times New Roman"/>
          <w:sz w:val="24"/>
          <w:szCs w:val="24"/>
        </w:rPr>
        <w:t xml:space="preserve"> for the financial year.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Due Date</w:t>
      </w:r>
      <w:r w:rsidRPr="009C5151">
        <w:rPr>
          <w:rFonts w:ascii="Times New Roman" w:hAnsi="Times New Roman" w:cs="Times New Roman"/>
          <w:sz w:val="24"/>
          <w:szCs w:val="24"/>
        </w:rPr>
        <w:t>: 30th June following the financial year.</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8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Documentation for EL</w:t>
      </w:r>
    </w:p>
    <w:p w:rsidR="00A056B6" w:rsidRPr="009C5151" w:rsidRDefault="00A056B6" w:rsidP="00743A5F">
      <w:pPr>
        <w:pStyle w:val="NormalWeb"/>
        <w:spacing w:before="0" w:beforeAutospacing="0"/>
      </w:pPr>
      <w:r w:rsidRPr="009C5151">
        <w:t>Maintain: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Agreements and invoices for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Payment proofs.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Communication with the service provider regarding services rendered.</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9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09" w:name="_Toc187623965"/>
      <w:bookmarkStart w:id="310" w:name="_Toc187630685"/>
      <w:bookmarkStart w:id="311" w:name="_Toc187660864"/>
      <w:bookmarkStart w:id="312" w:name="_Toc187661943"/>
      <w:r w:rsidRPr="009C5151">
        <w:rPr>
          <w:rStyle w:val="Strong"/>
          <w:b/>
          <w:bCs/>
          <w:sz w:val="24"/>
          <w:szCs w:val="24"/>
        </w:rPr>
        <w:t>III. EL Compliance Checklist</w:t>
      </w:r>
      <w:bookmarkEnd w:id="309"/>
      <w:bookmarkEnd w:id="310"/>
      <w:bookmarkEnd w:id="311"/>
      <w:bookmarkEnd w:id="31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88"/>
        <w:gridCol w:w="3973"/>
        <w:gridCol w:w="186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Step</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Action Required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Status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Identify applicable transactions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Review payments for digital advertising.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Calculate levy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Apply 6% on relevant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Remit EL</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Deposit via Challan ITNS 285.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File Form No. 1</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Annual return filing by 30th June.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Pending/Complete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9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13" w:name="_Toc187623966"/>
      <w:bookmarkStart w:id="314" w:name="_Toc187630686"/>
      <w:bookmarkStart w:id="315" w:name="_Toc187660865"/>
      <w:bookmarkStart w:id="316" w:name="_Toc187661944"/>
      <w:r w:rsidRPr="009C5151">
        <w:rPr>
          <w:rStyle w:val="Strong"/>
          <w:b/>
          <w:bCs/>
          <w:sz w:val="24"/>
          <w:szCs w:val="24"/>
        </w:rPr>
        <w:t>IV. Benefits of Robust TP and EL Compliance</w:t>
      </w:r>
      <w:bookmarkEnd w:id="313"/>
      <w:bookmarkEnd w:id="314"/>
      <w:bookmarkEnd w:id="315"/>
      <w:bookmarkEnd w:id="316"/>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Minimized Risk</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Avoid penalties for non-compliance or tax authority adjustments.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Audit Readiness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Well-documented TP and EL filings streamline audits.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Operational Efficiency</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Clear processes reduce confusion and ensure timely filings.</w:t>
      </w:r>
    </w:p>
    <w:p w:rsidR="00A056B6" w:rsidRPr="009C5151" w:rsidRDefault="00A056B6" w:rsidP="00743A5F">
      <w:pPr>
        <w:pStyle w:val="NormalWeb"/>
        <w:spacing w:before="0" w:beforeAutospacing="0"/>
      </w:pPr>
      <w:r w:rsidRPr="009C5151">
        <w:t>Would you like detailed walkthroughs of specific sections or further assistance with any aspect of these filings?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9th example of different set of issues and problem and suggested solutions by a CA to a Company including a detailed discussion on the various topics covered under suggestions and Conclusion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749691A" wp14:editId="0652076E">
            <wp:extent cx="763905" cy="763905"/>
            <wp:effectExtent l="0" t="0" r="0" b="0"/>
            <wp:docPr id="314" name="Picture 31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4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317" w:name="_Toc187623967"/>
      <w:bookmarkStart w:id="318" w:name="_Toc187630687"/>
      <w:bookmarkStart w:id="319" w:name="_Toc187660866"/>
      <w:bookmarkStart w:id="320" w:name="_Toc187661945"/>
      <w:r w:rsidRPr="009C5151">
        <w:rPr>
          <w:rStyle w:val="Strong"/>
          <w:b/>
          <w:bCs/>
          <w:sz w:val="24"/>
          <w:szCs w:val="24"/>
        </w:rPr>
        <w:lastRenderedPageBreak/>
        <w:t>Case Study: Tax and Compliance Challenges for AgroMach Pvt. Ltd.</w:t>
      </w:r>
      <w:bookmarkEnd w:id="317"/>
      <w:bookmarkEnd w:id="318"/>
      <w:bookmarkEnd w:id="319"/>
      <w:bookmarkEnd w:id="320"/>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AgroMach Pvt. Ltd., an Indian company specializing in agricultural machinery and irrigation systems, operates in </w:t>
      </w:r>
      <w:r w:rsidRPr="009C5151">
        <w:rPr>
          <w:rStyle w:val="Strong"/>
        </w:rPr>
        <w:t>USA, UK, Germany, Australia, Singapore, and Brazil</w:t>
      </w:r>
      <w:r w:rsidRPr="009C5151">
        <w:t xml:space="preserve">. It engages in cross-border sales, R&amp;D collaborations, royalty payments, and domestic intra-group transactions. The company faces challenges in </w:t>
      </w:r>
      <w:r w:rsidRPr="009C5151">
        <w:rPr>
          <w:rStyle w:val="Strong"/>
        </w:rPr>
        <w:t>transfer pricing (TP)</w:t>
      </w:r>
      <w:r w:rsidRPr="009C5151">
        <w:t xml:space="preserve">, </w:t>
      </w:r>
      <w:r w:rsidRPr="009C5151">
        <w:rPr>
          <w:rStyle w:val="Strong"/>
        </w:rPr>
        <w:t>withholding tax (WHT)</w:t>
      </w:r>
      <w:r w:rsidRPr="009C5151">
        <w:t xml:space="preserve">, </w:t>
      </w:r>
      <w:r w:rsidRPr="009C5151">
        <w:rPr>
          <w:rStyle w:val="Strong"/>
        </w:rPr>
        <w:t>equalization levy (EL)</w:t>
      </w:r>
      <w:r w:rsidRPr="009C5151">
        <w:t xml:space="preserve">, and </w:t>
      </w:r>
      <w:r w:rsidRPr="009C5151">
        <w:rPr>
          <w:rStyle w:val="Strong"/>
        </w:rPr>
        <w:t>compliance under DTAAs</w:t>
      </w:r>
      <w:r w:rsidRPr="009C5151">
        <w:t xml:space="preserve"> due to its diversified operations.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19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21" w:name="_Toc187623968"/>
      <w:bookmarkStart w:id="322" w:name="_Toc187630688"/>
      <w:bookmarkStart w:id="323" w:name="_Toc187660867"/>
      <w:bookmarkStart w:id="324" w:name="_Toc187661946"/>
      <w:r w:rsidRPr="009C5151">
        <w:rPr>
          <w:rStyle w:val="Strong"/>
          <w:b/>
          <w:bCs/>
          <w:sz w:val="24"/>
          <w:szCs w:val="24"/>
        </w:rPr>
        <w:t>Transactions</w:t>
      </w:r>
      <w:bookmarkEnd w:id="321"/>
      <w:bookmarkEnd w:id="322"/>
      <w:bookmarkEnd w:id="323"/>
      <w:bookmarkEnd w:id="324"/>
    </w:p>
    <w:p w:rsidR="00A056B6" w:rsidRPr="009C5151" w:rsidRDefault="00A056B6" w:rsidP="00743A5F">
      <w:pPr>
        <w:pStyle w:val="Heading4"/>
        <w:spacing w:before="0" w:beforeAutospacing="0"/>
      </w:pPr>
      <w:r w:rsidRPr="009C5151">
        <w:rPr>
          <w:rStyle w:val="Strong"/>
          <w:b/>
          <w:bCs/>
        </w:rPr>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Export of Agricultural Machinery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Exported ₹500 crore worth of machinery to AEs in USA, UK, and Germany.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Prices set through inter-company agreements requiring TP compliance.</w:t>
      </w:r>
    </w:p>
    <w:p w:rsidR="00A056B6" w:rsidRPr="009C5151" w:rsidRDefault="00A056B6" w:rsidP="00743A5F">
      <w:pPr>
        <w:pStyle w:val="NormalWeb"/>
        <w:tabs>
          <w:tab w:val="num" w:pos="720"/>
        </w:tabs>
        <w:spacing w:before="0" w:beforeAutospacing="0"/>
        <w:ind w:left="720" w:hanging="360"/>
      </w:pPr>
      <w:r w:rsidRPr="009C5151">
        <w:rPr>
          <w:rStyle w:val="Strong"/>
        </w:rPr>
        <w:t>R&amp;D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₹30 crore to a Singapore AE for contract R&amp;D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under India-Singapore DTAA: 10%.</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₹40 crore to a UK entity for using patented designs.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under India-UK DTAA: 10%.</w:t>
      </w:r>
    </w:p>
    <w:p w:rsidR="00A056B6" w:rsidRPr="009C5151" w:rsidRDefault="00A056B6" w:rsidP="00743A5F">
      <w:pPr>
        <w:pStyle w:val="NormalWeb"/>
        <w:tabs>
          <w:tab w:val="num" w:pos="720"/>
        </w:tabs>
        <w:spacing w:before="0" w:beforeAutospacing="0"/>
        <w:ind w:left="720" w:hanging="360"/>
      </w:pPr>
      <w:r w:rsidRPr="009C5151">
        <w:rPr>
          <w:rStyle w:val="Strong"/>
        </w:rPr>
        <w:t>Interest-Free Loan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Advanced ₹10 crore to a Germany AE at no interest.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Risk of TP adjustments due to non-arm’s length pricing.</w:t>
      </w:r>
    </w:p>
    <w:p w:rsidR="00A056B6" w:rsidRPr="009C5151" w:rsidRDefault="00A056B6" w:rsidP="00743A5F">
      <w:pPr>
        <w:pStyle w:val="NormalWeb"/>
        <w:tabs>
          <w:tab w:val="num" w:pos="720"/>
        </w:tabs>
        <w:spacing w:before="0" w:beforeAutospacing="0"/>
        <w:ind w:left="720" w:hanging="360"/>
      </w:pPr>
      <w:r w:rsidRPr="009C5151">
        <w:rPr>
          <w:rStyle w:val="Strong"/>
        </w:rPr>
        <w:t>Digital Marketing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₹5 crore to a USA-based digital marketing company.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9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Intra-Group R&amp;D Contributions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Paid ₹20 crore to an Indian AE for sharing research facilities.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Subject to specified domestic transaction compliance.</w:t>
      </w:r>
    </w:p>
    <w:p w:rsidR="00A056B6" w:rsidRPr="009C5151" w:rsidRDefault="00A056B6" w:rsidP="00743A5F">
      <w:pPr>
        <w:pStyle w:val="NormalWeb"/>
        <w:tabs>
          <w:tab w:val="num" w:pos="720"/>
        </w:tabs>
        <w:spacing w:before="0" w:beforeAutospacing="0"/>
        <w:ind w:left="720" w:hanging="360"/>
      </w:pPr>
      <w:r w:rsidRPr="009C5151">
        <w:rPr>
          <w:rStyle w:val="Strong"/>
        </w:rPr>
        <w:t>Machinery Leasing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₹15 crore worth of irrigation systems to another domestic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9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25" w:name="_Toc187623969"/>
      <w:bookmarkStart w:id="326" w:name="_Toc187630689"/>
      <w:bookmarkStart w:id="327" w:name="_Toc187660868"/>
      <w:bookmarkStart w:id="328" w:name="_Toc187661947"/>
      <w:r w:rsidRPr="009C5151">
        <w:rPr>
          <w:rStyle w:val="Strong"/>
          <w:b/>
          <w:bCs/>
          <w:sz w:val="24"/>
          <w:szCs w:val="24"/>
        </w:rPr>
        <w:t>Key Issues</w:t>
      </w:r>
      <w:bookmarkEnd w:id="325"/>
      <w:bookmarkEnd w:id="326"/>
      <w:bookmarkEnd w:id="327"/>
      <w:bookmarkEnd w:id="328"/>
    </w:p>
    <w:p w:rsidR="00A056B6" w:rsidRPr="009C5151" w:rsidRDefault="00A056B6" w:rsidP="00743A5F">
      <w:pPr>
        <w:pStyle w:val="Heading4"/>
        <w:spacing w:before="0" w:beforeAutospacing="0"/>
      </w:pPr>
      <w:r w:rsidRPr="009C5151">
        <w:t xml:space="preserve">1. </w:t>
      </w:r>
      <w:r w:rsidRPr="009C5151">
        <w:rPr>
          <w:rStyle w:val="Strong"/>
          <w:b/>
          <w:bCs/>
        </w:rPr>
        <w:t>Transfer Pricing (TP) Challenges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 ₹500 crore exports, ₹30 crore R&amp;D payments, ₹40 crore royalties, and ₹10 crore interest-free loan.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Inadequate documentation for ₹20 crore intra-group R&amp;D contributions and ₹15 crore machinery leasing.</w:t>
      </w:r>
    </w:p>
    <w:p w:rsidR="00A056B6" w:rsidRPr="009C5151" w:rsidRDefault="00A056B6" w:rsidP="00743A5F">
      <w:pPr>
        <w:pStyle w:val="Heading4"/>
        <w:spacing w:before="0" w:beforeAutospacing="0"/>
      </w:pPr>
      <w:r w:rsidRPr="009C5151">
        <w:t xml:space="preserve">2. </w:t>
      </w:r>
      <w:r w:rsidRPr="009C5151">
        <w:rPr>
          <w:rStyle w:val="Strong"/>
          <w:b/>
          <w:bCs/>
        </w:rPr>
        <w:t>Withholding Tax (WHT)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Errors in applying the correct WHT rates for ₹40 crore royalty payments to UK and ₹30 crore R&amp;D payments to Singapore.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penalties for non-compliance with treaty provisions.</w:t>
      </w:r>
    </w:p>
    <w:p w:rsidR="00A056B6" w:rsidRPr="009C5151" w:rsidRDefault="00A056B6" w:rsidP="00743A5F">
      <w:pPr>
        <w:pStyle w:val="Heading4"/>
        <w:spacing w:before="0" w:beforeAutospacing="0"/>
      </w:pPr>
      <w:r w:rsidRPr="009C5151">
        <w:t xml:space="preserve">3. </w:t>
      </w:r>
      <w:r w:rsidRPr="009C5151">
        <w:rPr>
          <w:rStyle w:val="Strong"/>
          <w:b/>
          <w:bCs/>
        </w:rPr>
        <w:t>Equalization Levy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₹5 crore digital marketing payments to a USA platform.</w:t>
      </w:r>
    </w:p>
    <w:p w:rsidR="00A056B6" w:rsidRPr="009C5151" w:rsidRDefault="00A056B6" w:rsidP="00743A5F">
      <w:pPr>
        <w:pStyle w:val="Heading4"/>
        <w:spacing w:before="0" w:beforeAutospacing="0"/>
      </w:pPr>
      <w:r w:rsidRPr="009C5151">
        <w:t xml:space="preserve">4. </w:t>
      </w:r>
      <w:r w:rsidRPr="009C5151">
        <w:rPr>
          <w:rStyle w:val="Strong"/>
          <w:b/>
          <w:bCs/>
        </w:rPr>
        <w:t>Specified Domestic Transactions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Lack of arm’s length justification for ₹20 crore intra-group R&amp;D contributions and ₹15 crore machinery leasing.</w:t>
      </w:r>
    </w:p>
    <w:p w:rsidR="00A056B6" w:rsidRPr="009C5151" w:rsidRDefault="00A056B6" w:rsidP="00743A5F">
      <w:pPr>
        <w:pStyle w:val="Heading4"/>
        <w:spacing w:before="0" w:beforeAutospacing="0"/>
      </w:pPr>
      <w:r w:rsidRPr="009C5151">
        <w:t xml:space="preserve">5. </w:t>
      </w:r>
      <w:r w:rsidRPr="009C5151">
        <w:rPr>
          <w:rStyle w:val="Strong"/>
          <w:b/>
          <w:bCs/>
        </w:rPr>
        <w:t>Double Taxation Avoidance Agreements (DTAAs)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denial of treaty benefits under anti-abuse provisions, including the Principal Purpose Test (PPT).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9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29" w:name="_Toc187623970"/>
      <w:bookmarkStart w:id="330" w:name="_Toc187630690"/>
      <w:bookmarkStart w:id="331" w:name="_Toc187660869"/>
      <w:bookmarkStart w:id="332" w:name="_Toc187661948"/>
      <w:r w:rsidRPr="009C5151">
        <w:rPr>
          <w:rStyle w:val="Strong"/>
          <w:b/>
          <w:bCs/>
          <w:sz w:val="24"/>
          <w:szCs w:val="24"/>
        </w:rPr>
        <w:t>Proposed Solutions</w:t>
      </w:r>
      <w:bookmarkEnd w:id="329"/>
      <w:bookmarkEnd w:id="330"/>
      <w:bookmarkEnd w:id="331"/>
      <w:bookmarkEnd w:id="332"/>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Exports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 xml:space="preserve"> to benchmark ₹500 crore exports. Compare margins with global agricultural machinery companies.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R&amp;D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validate ₹30 crore paid to Singapore AE for contract R&amp;D.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Comparable Uncontrolled Price (CUP) Method</w:t>
      </w:r>
      <w:r w:rsidRPr="009C5151">
        <w:rPr>
          <w:rFonts w:ascii="Times New Roman" w:hAnsi="Times New Roman" w:cs="Times New Roman"/>
          <w:sz w:val="24"/>
          <w:szCs w:val="24"/>
        </w:rPr>
        <w:t xml:space="preserve"> to benchmark ₹40 crore royalty payments to the UK entity.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Interest-Free Loan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Adjust the loan terms to reflect a market interest rate (~6%). Update agreements accordingly.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Intra-Group Transactions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₹20 crore R&amp;D contributions and ₹15 crore machinery leasing using CUP or RPM.</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Form 3CEB and maintain a robust TP study to justify pricing for all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9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10% under the India-UK DTAA. Ensure proper classification as royalties and not FTS.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10% WHT under the India-Singapore DTAA. Maintain TRC and Form 10F from the recipient AE.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Documentation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Retain agreements, invoices, and TRCs to substantiate WHT deductions.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9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Digital Marketing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EL at 6% on ₹5 crore paid to the USA platform, amounting to ₹30 lakh.</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and remit the levy by due dates.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19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Contributions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CPM to benchmark the ₹20 crore payment. Justify markups for shared research facilities.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Machinery Leasing</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₹15 crore lease pricing using CUP or third-party market rates.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Disclose all specified domestic transactions in Form 3CEB.</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19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Double Taxation Avoidance Agreements (DTAAs)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compliance with PPT and anti-abuse provisions under the India-UK DTAA. Document economic substance for royalty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Anti-Abuse Measures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Avoid treaty denial by documenting the business purpose and economic substance of all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Documentation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agreements and correspondences demonstrating genuine commercial purpose.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0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33" w:name="_Toc187623971"/>
      <w:bookmarkStart w:id="334" w:name="_Toc187630691"/>
      <w:bookmarkStart w:id="335" w:name="_Toc187660870"/>
      <w:bookmarkStart w:id="336" w:name="_Toc187661949"/>
      <w:r w:rsidRPr="009C5151">
        <w:rPr>
          <w:rStyle w:val="Strong"/>
          <w:b/>
          <w:bCs/>
          <w:sz w:val="24"/>
          <w:szCs w:val="24"/>
        </w:rPr>
        <w:t>Detailed Discussion of Proposed Solutions</w:t>
      </w:r>
      <w:bookmarkEnd w:id="333"/>
      <w:bookmarkEnd w:id="334"/>
      <w:bookmarkEnd w:id="335"/>
      <w:bookmarkEnd w:id="336"/>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0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spacing w:before="0" w:beforeAutospacing="0"/>
      </w:pPr>
      <w:r w:rsidRPr="009C5151">
        <w:t xml:space="preserve">1.1 </w:t>
      </w:r>
      <w:r w:rsidRPr="009C5151">
        <w:rPr>
          <w:rStyle w:val="Strong"/>
        </w:rPr>
        <w:t>Exports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TNMM to benchmark ₹500 crore exports. Compare the company’s profit margins with industry standards.</w:t>
      </w:r>
    </w:p>
    <w:p w:rsidR="00A056B6" w:rsidRPr="009C5151" w:rsidRDefault="00A056B6" w:rsidP="00743A5F">
      <w:pPr>
        <w:pStyle w:val="NormalWeb"/>
        <w:spacing w:before="0" w:beforeAutospacing="0"/>
      </w:pPr>
      <w:r w:rsidRPr="009C5151">
        <w:t xml:space="preserve">1.2 </w:t>
      </w:r>
      <w:r w:rsidRPr="009C5151">
        <w:rPr>
          <w:rStyle w:val="Strong"/>
        </w:rPr>
        <w:t>R&amp;D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CPM for benchmarking R&amp;D payments. Justify cost allocations and markups based on industry norms.</w:t>
      </w:r>
    </w:p>
    <w:p w:rsidR="00A056B6" w:rsidRPr="009C5151" w:rsidRDefault="00A056B6" w:rsidP="00743A5F">
      <w:pPr>
        <w:pStyle w:val="NormalWeb"/>
        <w:spacing w:before="0" w:beforeAutospacing="0"/>
      </w:pPr>
      <w:r w:rsidRPr="009C5151">
        <w:lastRenderedPageBreak/>
        <w:t xml:space="preserve">1.3 </w:t>
      </w:r>
      <w:r w:rsidRPr="009C5151">
        <w:rPr>
          <w:rStyle w:val="Strong"/>
        </w:rPr>
        <w:t>Intra-Group Transactions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₹20 crore R&amp;D contributions and ₹15 crore lease payments using CUP. Align agreements with market standards.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0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pStyle w:val="NormalWeb"/>
        <w:spacing w:before="0" w:beforeAutospacing="0"/>
      </w:pPr>
      <w:r w:rsidRPr="009C5151">
        <w:t xml:space="preserve">2.1 </w:t>
      </w:r>
      <w:r w:rsidRPr="009C5151">
        <w:rPr>
          <w:rStyle w:val="Strong"/>
        </w:rPr>
        <w:t>Royalty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10% WHT for ₹40 crore payments under the India-UK DTAA. Avoid misclassification as FTS.</w:t>
      </w:r>
    </w:p>
    <w:p w:rsidR="00A056B6" w:rsidRPr="009C5151" w:rsidRDefault="00A056B6" w:rsidP="00743A5F">
      <w:pPr>
        <w:pStyle w:val="NormalWeb"/>
        <w:spacing w:before="0" w:beforeAutospacing="0"/>
      </w:pPr>
      <w:r w:rsidRPr="009C5151">
        <w:t xml:space="preserve">2.2 </w:t>
      </w:r>
      <w:r w:rsidRPr="009C5151">
        <w:rPr>
          <w:rStyle w:val="Strong"/>
        </w:rPr>
        <w:t>R&amp;D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at 10% for ₹30 crore under the India-Singapore DTAA. File TDS returns and issue Form 16A certificates.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0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pStyle w:val="NormalWeb"/>
        <w:spacing w:before="0" w:beforeAutospacing="0"/>
      </w:pPr>
      <w:r w:rsidRPr="009C5151">
        <w:t xml:space="preserve">3.1 </w:t>
      </w:r>
      <w:r w:rsidRPr="009C5151">
        <w:rPr>
          <w:rStyle w:val="Strong"/>
        </w:rPr>
        <w:t>Applicability</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applies to ₹5 crore digital advertising payments to the USA. Calculate and remit ₹30 lakh levy.</w:t>
      </w:r>
    </w:p>
    <w:p w:rsidR="00A056B6" w:rsidRPr="009C5151" w:rsidRDefault="00A056B6" w:rsidP="00743A5F">
      <w:pPr>
        <w:pStyle w:val="NormalWeb"/>
        <w:spacing w:before="0" w:beforeAutospacing="0"/>
      </w:pPr>
      <w:r w:rsidRPr="009C5151">
        <w:t xml:space="preserve">3.2 </w:t>
      </w:r>
      <w:r w:rsidRPr="009C5151">
        <w:rPr>
          <w:rStyle w:val="Strong"/>
        </w:rPr>
        <w:t>Filing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annual EL returns and ensure payments are remitted within the statutory deadlines.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0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pStyle w:val="NormalWeb"/>
        <w:spacing w:before="0" w:beforeAutospacing="0"/>
      </w:pPr>
      <w:r w:rsidRPr="009C5151">
        <w:t xml:space="preserve">4.1 </w:t>
      </w:r>
      <w:r w:rsidRPr="009C5151">
        <w:rPr>
          <w:rStyle w:val="Strong"/>
        </w:rPr>
        <w:t>Benchmarking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shared R&amp;D contributions and leasing transactions using CPM or CUP. Justify costs and markups.</w:t>
      </w:r>
    </w:p>
    <w:p w:rsidR="00A056B6" w:rsidRPr="009C5151" w:rsidRDefault="00A056B6" w:rsidP="00743A5F">
      <w:pPr>
        <w:pStyle w:val="NormalWeb"/>
        <w:spacing w:before="0" w:beforeAutospacing="0"/>
      </w:pPr>
      <w:r w:rsidRPr="009C5151">
        <w:t xml:space="preserve">4.2 </w:t>
      </w:r>
      <w:r w:rsidRPr="009C5151">
        <w:rPr>
          <w:rStyle w:val="Strong"/>
        </w:rPr>
        <w:t>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Disclose transactions in Form 3CEB and maintain all supporting documents.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0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Double Taxation Avoidance Agreements (DTAAs)</w:t>
      </w:r>
    </w:p>
    <w:p w:rsidR="00A056B6" w:rsidRPr="009C5151" w:rsidRDefault="00A056B6" w:rsidP="00743A5F">
      <w:pPr>
        <w:pStyle w:val="NormalWeb"/>
        <w:spacing w:before="0" w:beforeAutospacing="0"/>
      </w:pPr>
      <w:r w:rsidRPr="009C5151">
        <w:t xml:space="preserve">5.1 </w:t>
      </w:r>
      <w:r w:rsidRPr="009C5151">
        <w:rPr>
          <w:rStyle w:val="Strong"/>
        </w:rPr>
        <w:t>Treaty Benefits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Demonstrate compliance with PPT by documenting the necessity of royalties and other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Substantiate economic substance for treaty benefits with proper documentation.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0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37" w:name="_Toc187623972"/>
      <w:bookmarkStart w:id="338" w:name="_Toc187630692"/>
      <w:bookmarkStart w:id="339" w:name="_Toc187660871"/>
      <w:bookmarkStart w:id="340" w:name="_Toc187661950"/>
      <w:r w:rsidRPr="009C5151">
        <w:rPr>
          <w:rStyle w:val="Strong"/>
          <w:b/>
          <w:bCs/>
          <w:sz w:val="24"/>
          <w:szCs w:val="24"/>
        </w:rPr>
        <w:t>Conclusion</w:t>
      </w:r>
      <w:bookmarkEnd w:id="337"/>
      <w:bookmarkEnd w:id="338"/>
      <w:bookmarkEnd w:id="339"/>
      <w:bookmarkEnd w:id="340"/>
    </w:p>
    <w:p w:rsidR="00A056B6" w:rsidRPr="009C5151" w:rsidRDefault="00A056B6" w:rsidP="00743A5F">
      <w:pPr>
        <w:pStyle w:val="NormalWeb"/>
        <w:spacing w:before="0" w:beforeAutospacing="0"/>
      </w:pPr>
      <w:r w:rsidRPr="009C5151">
        <w:t>To address its challenges, AgroMach Pvt. Ltd. should:</w:t>
      </w:r>
    </w:p>
    <w:p w:rsidR="00A056B6" w:rsidRPr="009C5151" w:rsidRDefault="00A056B6" w:rsidP="00743A5F">
      <w:pPr>
        <w:pStyle w:val="NormalWeb"/>
        <w:tabs>
          <w:tab w:val="num" w:pos="720"/>
        </w:tabs>
        <w:spacing w:before="0" w:beforeAutospacing="0"/>
        <w:ind w:left="720" w:hanging="360"/>
      </w:pPr>
      <w:r w:rsidRPr="009C5151">
        <w:rPr>
          <w:rStyle w:val="Strong"/>
        </w:rPr>
        <w:t>Strengthen TP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transactions, including exports, royalties, and domestic specified transactions. File Form 3CEB.</w:t>
      </w:r>
    </w:p>
    <w:p w:rsidR="00A056B6" w:rsidRPr="009C5151" w:rsidRDefault="00A056B6" w:rsidP="00743A5F">
      <w:pPr>
        <w:pStyle w:val="NormalWeb"/>
        <w:tabs>
          <w:tab w:val="num" w:pos="720"/>
        </w:tabs>
        <w:spacing w:before="0" w:beforeAutospacing="0"/>
        <w:ind w:left="720" w:hanging="360"/>
      </w:pPr>
      <w:r w:rsidRPr="009C5151">
        <w:rPr>
          <w:rStyle w:val="Strong"/>
        </w:rPr>
        <w:t>Ensure WHT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treaty rates for royalty and R&amp;D payments. Retain TRCs and related documents.</w:t>
      </w:r>
    </w:p>
    <w:p w:rsidR="00A056B6" w:rsidRPr="009C5151" w:rsidRDefault="00A056B6" w:rsidP="00743A5F">
      <w:pPr>
        <w:pStyle w:val="NormalWeb"/>
        <w:tabs>
          <w:tab w:val="num" w:pos="720"/>
        </w:tabs>
        <w:spacing w:before="0" w:beforeAutospacing="0"/>
        <w:ind w:left="720" w:hanging="360"/>
      </w:pPr>
      <w:r w:rsidRPr="009C5151">
        <w:rPr>
          <w:rStyle w:val="Strong"/>
        </w:rPr>
        <w:t>Focus on EL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for digital advertising payments and remit the levy on time.</w:t>
      </w:r>
    </w:p>
    <w:p w:rsidR="00A056B6" w:rsidRPr="009C5151" w:rsidRDefault="00A056B6" w:rsidP="00743A5F">
      <w:pPr>
        <w:pStyle w:val="NormalWeb"/>
        <w:tabs>
          <w:tab w:val="num" w:pos="720"/>
        </w:tabs>
        <w:spacing w:before="0" w:beforeAutospacing="0"/>
        <w:ind w:left="720" w:hanging="360"/>
      </w:pPr>
      <w:r w:rsidRPr="009C5151">
        <w:rPr>
          <w:rStyle w:val="Strong"/>
        </w:rPr>
        <w:t>Align Domestic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R&amp;D contributions and machinery leasing. Disclose in Form 3CEB.</w:t>
      </w:r>
    </w:p>
    <w:p w:rsidR="00A056B6" w:rsidRPr="009C5151" w:rsidRDefault="00A056B6" w:rsidP="00743A5F">
      <w:pPr>
        <w:pStyle w:val="NormalWeb"/>
        <w:tabs>
          <w:tab w:val="num" w:pos="720"/>
        </w:tabs>
        <w:spacing w:before="0" w:beforeAutospacing="0"/>
        <w:ind w:left="720" w:hanging="360"/>
      </w:pPr>
      <w:r w:rsidRPr="009C5151">
        <w:rPr>
          <w:rStyle w:val="Strong"/>
        </w:rPr>
        <w:t>Mitigate Treaty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 transactions with PPT and anti-abuse provisions under the DTAAs. Document business purposes comprehensively.</w:t>
      </w:r>
    </w:p>
    <w:p w:rsidR="00A056B6" w:rsidRPr="009C5151" w:rsidRDefault="00A056B6" w:rsidP="00743A5F">
      <w:pPr>
        <w:pStyle w:val="NormalWeb"/>
        <w:spacing w:before="0" w:beforeAutospacing="0"/>
      </w:pPr>
      <w:r w:rsidRPr="009C5151">
        <w:t>By implementing these solutions, AgroMach Pvt. Ltd. can ensure compliance, minimize tax risks, and optimize its global and domestic operations.</w:t>
      </w:r>
    </w:p>
    <w:p w:rsidR="00A056B6" w:rsidRPr="009C5151" w:rsidRDefault="00A056B6" w:rsidP="00743A5F">
      <w:pPr>
        <w:pStyle w:val="NormalWeb"/>
        <w:spacing w:before="0" w:beforeAutospacing="0"/>
      </w:pPr>
      <w:r w:rsidRPr="009C5151">
        <w:t>Would you like templates for compliance filings or guidance on any specific area?</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10th example of different set of issues and problem and suggested solutions by a CA to a Company including a detailed discussion on the various topics covered under suggestions and Conclusion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3F3B98A" wp14:editId="0821ADEA">
            <wp:extent cx="763905" cy="763905"/>
            <wp:effectExtent l="0" t="0" r="0" b="0"/>
            <wp:docPr id="313" name="Picture 31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6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341" w:name="_Toc187623973"/>
      <w:bookmarkStart w:id="342" w:name="_Toc187630693"/>
      <w:bookmarkStart w:id="343" w:name="_Toc187660872"/>
      <w:bookmarkStart w:id="344" w:name="_Toc187661951"/>
      <w:r w:rsidRPr="009C5151">
        <w:rPr>
          <w:rStyle w:val="Strong"/>
          <w:b/>
          <w:bCs/>
          <w:sz w:val="24"/>
          <w:szCs w:val="24"/>
        </w:rPr>
        <w:t>Case Study: Tax and Compliance Challenges for TechMedia Pvt. Ltd.</w:t>
      </w:r>
      <w:bookmarkEnd w:id="341"/>
      <w:bookmarkEnd w:id="342"/>
      <w:bookmarkEnd w:id="343"/>
      <w:bookmarkEnd w:id="344"/>
    </w:p>
    <w:p w:rsidR="00A056B6" w:rsidRPr="009C5151" w:rsidRDefault="00A056B6" w:rsidP="00743A5F">
      <w:pPr>
        <w:pStyle w:val="Heading4"/>
        <w:spacing w:before="0" w:beforeAutospacing="0"/>
      </w:pPr>
      <w:r w:rsidRPr="009C5151">
        <w:rPr>
          <w:rStyle w:val="Strong"/>
          <w:b/>
          <w:bCs/>
        </w:rPr>
        <w:lastRenderedPageBreak/>
        <w:t>Background</w:t>
      </w:r>
    </w:p>
    <w:p w:rsidR="00A056B6" w:rsidRPr="009C5151" w:rsidRDefault="00A056B6" w:rsidP="00743A5F">
      <w:pPr>
        <w:pStyle w:val="NormalWeb"/>
        <w:spacing w:before="0" w:beforeAutospacing="0"/>
      </w:pPr>
      <w:r w:rsidRPr="009C5151">
        <w:t xml:space="preserve">TechMedia Pvt. Ltd., an Indian media and technology company, operates in </w:t>
      </w:r>
      <w:r w:rsidRPr="009C5151">
        <w:rPr>
          <w:rStyle w:val="Strong"/>
        </w:rPr>
        <w:t>USA, UK, Australia, Singapore, UAE, and South Africa</w:t>
      </w:r>
      <w:r w:rsidRPr="009C5151">
        <w:t xml:space="preserve">. It develops digital content platforms, provides subscription-based services, licenses content, and engages in cross-border transactions with group entities and third parties. TechMedia faces challenges related to </w:t>
      </w:r>
      <w:r w:rsidRPr="009C5151">
        <w:rPr>
          <w:rStyle w:val="Strong"/>
        </w:rPr>
        <w:t>transfer pricing (TP)</w:t>
      </w:r>
      <w:r w:rsidRPr="009C5151">
        <w:t xml:space="preserve">, </w:t>
      </w:r>
      <w:r w:rsidRPr="009C5151">
        <w:rPr>
          <w:rStyle w:val="Strong"/>
        </w:rPr>
        <w:t>withholding tax (WHT)</w:t>
      </w:r>
      <w:r w:rsidRPr="009C5151">
        <w:t xml:space="preserve">, </w:t>
      </w:r>
      <w:r w:rsidRPr="009C5151">
        <w:rPr>
          <w:rStyle w:val="Strong"/>
        </w:rPr>
        <w:t>equalization levy (EL)</w:t>
      </w:r>
      <w:r w:rsidRPr="009C5151">
        <w:t xml:space="preserve">, </w:t>
      </w:r>
      <w:r w:rsidRPr="009C5151">
        <w:rPr>
          <w:rStyle w:val="Strong"/>
        </w:rPr>
        <w:t>specified domestic transactions</w:t>
      </w:r>
      <w:r w:rsidRPr="009C5151">
        <w:t xml:space="preserve">, and </w:t>
      </w:r>
      <w:r w:rsidRPr="009C5151">
        <w:rPr>
          <w:rStyle w:val="Strong"/>
        </w:rPr>
        <w:t>treaty compliance</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0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45" w:name="_Toc187623974"/>
      <w:bookmarkStart w:id="346" w:name="_Toc187630694"/>
      <w:bookmarkStart w:id="347" w:name="_Toc187660873"/>
      <w:bookmarkStart w:id="348" w:name="_Toc187661952"/>
      <w:r w:rsidRPr="009C5151">
        <w:rPr>
          <w:rStyle w:val="Strong"/>
          <w:b/>
          <w:bCs/>
          <w:sz w:val="24"/>
          <w:szCs w:val="24"/>
        </w:rPr>
        <w:t>Transactions</w:t>
      </w:r>
      <w:bookmarkEnd w:id="345"/>
      <w:bookmarkEnd w:id="346"/>
      <w:bookmarkEnd w:id="347"/>
      <w:bookmarkEnd w:id="348"/>
    </w:p>
    <w:p w:rsidR="00A056B6" w:rsidRPr="009C5151" w:rsidRDefault="00A056B6" w:rsidP="00743A5F">
      <w:pPr>
        <w:pStyle w:val="Heading4"/>
        <w:spacing w:before="0" w:beforeAutospacing="0"/>
      </w:pPr>
      <w:r w:rsidRPr="009C5151">
        <w:rPr>
          <w:rStyle w:val="Strong"/>
          <w:b/>
          <w:bCs/>
        </w:rPr>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Subscription Revenue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Earned ₹300 crore from subscriptions to digital platforms by users in USA, UK, and Singapore.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Pricing involves agreements with group entities managing local distribution.</w:t>
      </w:r>
    </w:p>
    <w:p w:rsidR="00A056B6" w:rsidRPr="009C5151" w:rsidRDefault="00A056B6" w:rsidP="00743A5F">
      <w:pPr>
        <w:pStyle w:val="NormalWeb"/>
        <w:tabs>
          <w:tab w:val="num" w:pos="720"/>
        </w:tabs>
        <w:spacing w:before="0" w:beforeAutospacing="0"/>
        <w:ind w:left="720" w:hanging="360"/>
      </w:pPr>
      <w:r w:rsidRPr="009C5151">
        <w:rPr>
          <w:rStyle w:val="Strong"/>
        </w:rPr>
        <w:t>Content Licensing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Received ₹50 crore from UAE and South Africa subsidiaries for licensing digital content.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Risk of misclassification under DTAAs.</w:t>
      </w:r>
    </w:p>
    <w:p w:rsidR="00A056B6" w:rsidRPr="009C5151" w:rsidRDefault="00A056B6" w:rsidP="00743A5F">
      <w:pPr>
        <w:pStyle w:val="NormalWeb"/>
        <w:tabs>
          <w:tab w:val="num" w:pos="720"/>
        </w:tabs>
        <w:spacing w:before="0" w:beforeAutospacing="0"/>
        <w:ind w:left="720" w:hanging="360"/>
      </w:pPr>
      <w:r w:rsidRPr="009C5151">
        <w:rPr>
          <w:rStyle w:val="Strong"/>
        </w:rPr>
        <w:t>Payment for Hosting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₹20 crore to a Singapore AE for hosting and maintaining servers.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WHT compliance under India-Singapore DTAA.</w:t>
      </w:r>
    </w:p>
    <w:p w:rsidR="00A056B6" w:rsidRPr="009C5151" w:rsidRDefault="00A056B6" w:rsidP="00743A5F">
      <w:pPr>
        <w:pStyle w:val="NormalWeb"/>
        <w:tabs>
          <w:tab w:val="num" w:pos="720"/>
        </w:tabs>
        <w:spacing w:before="0" w:beforeAutospacing="0"/>
        <w:ind w:left="720" w:hanging="360"/>
      </w:pPr>
      <w:r w:rsidRPr="009C5151">
        <w:rPr>
          <w:rStyle w:val="Strong"/>
        </w:rPr>
        <w:t>Royalties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₹40 crore to a UK entity for licensed intellectual property (IP) used in media production.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under India-UK DTAA: 10%.</w:t>
      </w:r>
    </w:p>
    <w:p w:rsidR="00A056B6" w:rsidRPr="009C5151" w:rsidRDefault="00A056B6" w:rsidP="00743A5F">
      <w:pPr>
        <w:pStyle w:val="NormalWeb"/>
        <w:tabs>
          <w:tab w:val="num" w:pos="720"/>
        </w:tabs>
        <w:spacing w:before="0" w:beforeAutospacing="0"/>
        <w:ind w:left="720" w:hanging="360"/>
      </w:pPr>
      <w:r w:rsidRPr="009C5151">
        <w:rPr>
          <w:rStyle w:val="Strong"/>
        </w:rPr>
        <w:t>Digital Marketing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₹10 crore to a USA-based platform for online advertisements.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0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Shared Infrastructure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Paid ₹15 crore to a domestic AE for sharing IT infrastructure and administrative facilities.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Subject to specified domestic transaction compliance.</w:t>
      </w:r>
    </w:p>
    <w:p w:rsidR="00A056B6" w:rsidRPr="009C5151" w:rsidRDefault="00A056B6" w:rsidP="00743A5F">
      <w:pPr>
        <w:pStyle w:val="NormalWeb"/>
        <w:tabs>
          <w:tab w:val="num" w:pos="720"/>
        </w:tabs>
        <w:spacing w:before="0" w:beforeAutospacing="0"/>
        <w:ind w:left="720" w:hanging="360"/>
      </w:pPr>
      <w:r w:rsidRPr="009C5151">
        <w:rPr>
          <w:rStyle w:val="Strong"/>
        </w:rPr>
        <w:t>Leasing of Studio Equipment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₹12 crore worth of studio equipment to a domestic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0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49" w:name="_Toc187623975"/>
      <w:bookmarkStart w:id="350" w:name="_Toc187630695"/>
      <w:bookmarkStart w:id="351" w:name="_Toc187660874"/>
      <w:bookmarkStart w:id="352" w:name="_Toc187661953"/>
      <w:r w:rsidRPr="009C5151">
        <w:rPr>
          <w:rStyle w:val="Strong"/>
          <w:b/>
          <w:bCs/>
          <w:sz w:val="24"/>
          <w:szCs w:val="24"/>
        </w:rPr>
        <w:t>Key Issues</w:t>
      </w:r>
      <w:bookmarkEnd w:id="349"/>
      <w:bookmarkEnd w:id="350"/>
      <w:bookmarkEnd w:id="351"/>
      <w:bookmarkEnd w:id="352"/>
    </w:p>
    <w:p w:rsidR="00A056B6" w:rsidRPr="009C5151" w:rsidRDefault="00A056B6" w:rsidP="00743A5F">
      <w:pPr>
        <w:pStyle w:val="Heading4"/>
        <w:spacing w:before="0" w:beforeAutospacing="0"/>
      </w:pPr>
      <w:r w:rsidRPr="009C5151">
        <w:t xml:space="preserve">1. </w:t>
      </w:r>
      <w:r w:rsidRPr="009C5151">
        <w:rPr>
          <w:rStyle w:val="Strong"/>
          <w:b/>
          <w:bCs/>
        </w:rPr>
        <w:t>Transfer Pricing (TP) Challenges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Inadequate benchmarking for ₹300 crore subscription revenue, ₹50 crore content licensing, ₹20 crore hosting services payments, and ₹40 crore royalties.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Lack of documentation for ₹15 crore shared infrastructure costs and ₹12 crore leasing arrangements.</w:t>
      </w:r>
    </w:p>
    <w:p w:rsidR="00A056B6" w:rsidRPr="009C5151" w:rsidRDefault="00A056B6" w:rsidP="00743A5F">
      <w:pPr>
        <w:pStyle w:val="Heading4"/>
        <w:spacing w:before="0" w:beforeAutospacing="0"/>
      </w:pPr>
      <w:r w:rsidRPr="009C5151">
        <w:t xml:space="preserve">2. </w:t>
      </w:r>
      <w:r w:rsidRPr="009C5151">
        <w:rPr>
          <w:rStyle w:val="Strong"/>
          <w:b/>
          <w:bCs/>
        </w:rPr>
        <w:t>Withholding Tax (WHT)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Errors in WHT deductions for ₹40 crore royalties and ₹20 crore hosting payments to Singapore and UK entities.</w:t>
      </w:r>
    </w:p>
    <w:p w:rsidR="00A056B6" w:rsidRPr="009C5151" w:rsidRDefault="00A056B6" w:rsidP="00743A5F">
      <w:pPr>
        <w:pStyle w:val="Heading4"/>
        <w:spacing w:before="0" w:beforeAutospacing="0"/>
      </w:pPr>
      <w:r w:rsidRPr="009C5151">
        <w:t xml:space="preserve">3. </w:t>
      </w:r>
      <w:r w:rsidRPr="009C5151">
        <w:rPr>
          <w:rStyle w:val="Strong"/>
          <w:b/>
          <w:bCs/>
        </w:rPr>
        <w:t>Equalization Levy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₹10 crore digital marketing payments to a USA platform.</w:t>
      </w:r>
    </w:p>
    <w:p w:rsidR="00A056B6" w:rsidRPr="009C5151" w:rsidRDefault="00A056B6" w:rsidP="00743A5F">
      <w:pPr>
        <w:pStyle w:val="Heading4"/>
        <w:spacing w:before="0" w:beforeAutospacing="0"/>
      </w:pPr>
      <w:r w:rsidRPr="009C5151">
        <w:t xml:space="preserve">4. </w:t>
      </w:r>
      <w:r w:rsidRPr="009C5151">
        <w:rPr>
          <w:rStyle w:val="Strong"/>
          <w:b/>
          <w:bCs/>
        </w:rPr>
        <w:t>Specified Domestic Transactions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 ₹15 crore shared infrastructure and ₹12 crore leasing transactions to ensure arm’s length pricing.</w:t>
      </w:r>
    </w:p>
    <w:p w:rsidR="00A056B6" w:rsidRPr="009C5151" w:rsidRDefault="00A056B6" w:rsidP="00743A5F">
      <w:pPr>
        <w:pStyle w:val="Heading4"/>
        <w:spacing w:before="0" w:beforeAutospacing="0"/>
      </w:pPr>
      <w:r w:rsidRPr="009C5151">
        <w:t xml:space="preserve">5. </w:t>
      </w:r>
      <w:r w:rsidRPr="009C5151">
        <w:rPr>
          <w:rStyle w:val="Strong"/>
          <w:b/>
          <w:bCs/>
        </w:rPr>
        <w:t>Double Taxation Avoidance Agreements (DTAAs)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treaty benefit denial under anti-abuse provisions, particularly for royalties and licensing revenue under PPT.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1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53" w:name="_Toc187623976"/>
      <w:bookmarkStart w:id="354" w:name="_Toc187630696"/>
      <w:bookmarkStart w:id="355" w:name="_Toc187660875"/>
      <w:bookmarkStart w:id="356" w:name="_Toc187661954"/>
      <w:r w:rsidRPr="009C5151">
        <w:rPr>
          <w:rStyle w:val="Strong"/>
          <w:b/>
          <w:bCs/>
          <w:sz w:val="24"/>
          <w:szCs w:val="24"/>
        </w:rPr>
        <w:t>Proposed Solutions</w:t>
      </w:r>
      <w:bookmarkEnd w:id="353"/>
      <w:bookmarkEnd w:id="354"/>
      <w:bookmarkEnd w:id="355"/>
      <w:bookmarkEnd w:id="356"/>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Subscription Revenue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 xml:space="preserve"> to benchmark ₹300 crore subscription revenues. Compare margins with global digital media companies.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Content Licensing</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 xml:space="preserve">Benchmark ₹50 crore licensing fees using the </w:t>
      </w:r>
      <w:r w:rsidRPr="009C5151">
        <w:rPr>
          <w:rStyle w:val="Strong"/>
          <w:rFonts w:ascii="Times New Roman" w:hAnsi="Times New Roman" w:cs="Times New Roman"/>
          <w:sz w:val="24"/>
          <w:szCs w:val="24"/>
        </w:rPr>
        <w:t>Comparable Uncontrolled Price (CUP) Method</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Hosting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CUP to validate ₹20 crore payments for server hosting and maintenance.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Royalties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CUP to benchmark ₹40 crore royalty payments to the UK AE.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Domestic Transactions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the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benchmark ₹15 crore shared infrastructure costs and ₹12 crore leasing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Form 3CEB with detailed documentation for all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1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Royalties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10% under the India-UK DTAA for ₹40 crore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Hosting Services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10% under the India-Singapore DTAA for ₹20 crore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Documentation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TRCs, Form 10F, and agreements to substantiate WHT deductions.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1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Digital Marketing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EL at 6% on ₹10 crore paid to the USA platform, resulting in ₹60 lakh levy.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and remit payments within the prescribed deadlines.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1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Shared Infrastructure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Benchmark ₹15 crore payments using CPM. Validate the markup applied for shared IT and administrative support.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Studio Equipment Leasing</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₹12 crore lease pricing using CUP or third-party market rates.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Disclose all specified domestic transactions in Form 3CEB.</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1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Double Taxation Avoidance Agreements (DTAAs)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Royalties and Licensing Fees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compliance with PPT under DTAAs with UK, UAE, and South Africa.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Document the commercial purpose and economic substance of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Anti-Abuse Measures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proper documentation to demonstrate alignment with anti-abuse provisions and treaty benefits.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1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57" w:name="_Toc187623977"/>
      <w:bookmarkStart w:id="358" w:name="_Toc187630697"/>
      <w:bookmarkStart w:id="359" w:name="_Toc187660876"/>
      <w:bookmarkStart w:id="360" w:name="_Toc187661955"/>
      <w:r w:rsidRPr="009C5151">
        <w:rPr>
          <w:rStyle w:val="Strong"/>
          <w:b/>
          <w:bCs/>
          <w:sz w:val="24"/>
          <w:szCs w:val="24"/>
        </w:rPr>
        <w:t>Detailed Discussion of Proposed Solutions</w:t>
      </w:r>
      <w:bookmarkEnd w:id="357"/>
      <w:bookmarkEnd w:id="358"/>
      <w:bookmarkEnd w:id="359"/>
      <w:bookmarkEnd w:id="360"/>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1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spacing w:before="0" w:beforeAutospacing="0"/>
      </w:pPr>
      <w:r w:rsidRPr="009C5151">
        <w:t xml:space="preserve">1.1 </w:t>
      </w:r>
      <w:r w:rsidRPr="009C5151">
        <w:rPr>
          <w:rStyle w:val="Strong"/>
        </w:rPr>
        <w:t>Subscription Revenue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TNMM to benchmark ₹300 crore revenues. Compare operating margins with similar digital media platforms.</w:t>
      </w:r>
    </w:p>
    <w:p w:rsidR="00A056B6" w:rsidRPr="009C5151" w:rsidRDefault="00A056B6" w:rsidP="00743A5F">
      <w:pPr>
        <w:pStyle w:val="NormalWeb"/>
        <w:spacing w:before="0" w:beforeAutospacing="0"/>
      </w:pPr>
      <w:r w:rsidRPr="009C5151">
        <w:t xml:space="preserve">1.2 </w:t>
      </w:r>
      <w:r w:rsidRPr="009C5151">
        <w:rPr>
          <w:rStyle w:val="Strong"/>
        </w:rPr>
        <w:t>Content Licensing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CUP to validate ₹50 crore content licensing revenue. Compare with market rates for digital content licensing.</w:t>
      </w:r>
    </w:p>
    <w:p w:rsidR="00A056B6" w:rsidRPr="009C5151" w:rsidRDefault="00A056B6" w:rsidP="00743A5F">
      <w:pPr>
        <w:pStyle w:val="NormalWeb"/>
        <w:spacing w:before="0" w:beforeAutospacing="0"/>
      </w:pPr>
      <w:r w:rsidRPr="009C5151">
        <w:t xml:space="preserve">1.3 </w:t>
      </w:r>
      <w:r w:rsidRPr="009C5151">
        <w:rPr>
          <w:rStyle w:val="Strong"/>
        </w:rPr>
        <w:t>Royalties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₹40 crore payments using CUP by comparing similar licensing agreements in the media industry.</w:t>
      </w:r>
    </w:p>
    <w:p w:rsidR="00A056B6" w:rsidRPr="009C5151" w:rsidRDefault="00A056B6" w:rsidP="00743A5F">
      <w:pPr>
        <w:pStyle w:val="NormalWeb"/>
        <w:spacing w:before="0" w:beforeAutospacing="0"/>
      </w:pPr>
      <w:r w:rsidRPr="009C5151">
        <w:t xml:space="preserve">1.4 </w:t>
      </w:r>
      <w:r w:rsidRPr="009C5151">
        <w:rPr>
          <w:rStyle w:val="Strong"/>
        </w:rPr>
        <w:t>Domestic Transactions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Benchmark shared infrastructure costs and leasing payments using CPM or CUP. Ensure documentation supports cost allocations.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1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pStyle w:val="NormalWeb"/>
        <w:spacing w:before="0" w:beforeAutospacing="0"/>
      </w:pPr>
      <w:r w:rsidRPr="009C5151">
        <w:t xml:space="preserve">2.1 </w:t>
      </w:r>
      <w:r w:rsidRPr="009C5151">
        <w:rPr>
          <w:rStyle w:val="Strong"/>
        </w:rPr>
        <w:t>Royalties and Hosting Services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10% WHT under DTAAs. File timely TDS returns and issue Form 16A certificates.</w:t>
      </w:r>
    </w:p>
    <w:p w:rsidR="00A056B6" w:rsidRPr="009C5151" w:rsidRDefault="00A056B6" w:rsidP="00743A5F">
      <w:pPr>
        <w:pStyle w:val="NormalWeb"/>
        <w:spacing w:before="0" w:beforeAutospacing="0"/>
      </w:pPr>
      <w:r w:rsidRPr="009C5151">
        <w:t xml:space="preserve">2.2 </w:t>
      </w:r>
      <w:r w:rsidRPr="009C5151">
        <w:rPr>
          <w:rStyle w:val="Strong"/>
        </w:rPr>
        <w:t>Documentation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Retain TRCs, agreements, and invoices for audit readiness.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1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pStyle w:val="NormalWeb"/>
        <w:spacing w:before="0" w:beforeAutospacing="0"/>
      </w:pPr>
      <w:r w:rsidRPr="009C5151">
        <w:t xml:space="preserve">3.1 </w:t>
      </w:r>
      <w:r w:rsidRPr="009C5151">
        <w:rPr>
          <w:rStyle w:val="Strong"/>
        </w:rPr>
        <w:t>Digital Advertising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Calculate EL at 6% for ₹10 crore payments. File returns and remit ₹60 lakh levy within deadlines.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1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pStyle w:val="NormalWeb"/>
        <w:spacing w:before="0" w:beforeAutospacing="0"/>
      </w:pPr>
      <w:r w:rsidRPr="009C5151">
        <w:t xml:space="preserve">4.1 </w:t>
      </w:r>
      <w:r w:rsidRPr="009C5151">
        <w:rPr>
          <w:rStyle w:val="Strong"/>
        </w:rPr>
        <w:t>Benchmarking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CPM or CUP for ₹15 crore shared infrastructure costs and ₹12 crore leasing payments. Justify markups and pricing.</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2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Double Taxation Avoidance Agreements (DTAAs)</w:t>
      </w:r>
    </w:p>
    <w:p w:rsidR="00A056B6" w:rsidRPr="009C5151" w:rsidRDefault="00A056B6" w:rsidP="00743A5F">
      <w:pPr>
        <w:pStyle w:val="NormalWeb"/>
        <w:spacing w:before="0" w:beforeAutospacing="0"/>
      </w:pPr>
      <w:r w:rsidRPr="009C5151">
        <w:t xml:space="preserve">5.1 </w:t>
      </w:r>
      <w:r w:rsidRPr="009C5151">
        <w:rPr>
          <w:rStyle w:val="Strong"/>
        </w:rPr>
        <w:t>Compliance with PPT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Document economic substance for royalties and licensing fees to meet PPT requirements under DTAAs.</w:t>
      </w:r>
    </w:p>
    <w:p w:rsidR="00A056B6" w:rsidRPr="009C5151" w:rsidRDefault="00A056B6" w:rsidP="00743A5F">
      <w:pPr>
        <w:pStyle w:val="NormalWeb"/>
        <w:spacing w:before="0" w:beforeAutospacing="0"/>
      </w:pPr>
      <w:r w:rsidRPr="009C5151">
        <w:t xml:space="preserve">5.2 </w:t>
      </w:r>
      <w:r w:rsidRPr="009C5151">
        <w:rPr>
          <w:rStyle w:val="Strong"/>
        </w:rPr>
        <w:t>Anti-Abuse Provisions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Align transactions with anti-abuse rules under MLI and document genuine business purposes.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2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61" w:name="_Toc187623978"/>
      <w:bookmarkStart w:id="362" w:name="_Toc187630698"/>
      <w:bookmarkStart w:id="363" w:name="_Toc187660877"/>
      <w:bookmarkStart w:id="364" w:name="_Toc187661956"/>
      <w:r w:rsidRPr="009C5151">
        <w:rPr>
          <w:rStyle w:val="Strong"/>
          <w:b/>
          <w:bCs/>
          <w:sz w:val="24"/>
          <w:szCs w:val="24"/>
        </w:rPr>
        <w:t>Conclusion</w:t>
      </w:r>
      <w:bookmarkEnd w:id="361"/>
      <w:bookmarkEnd w:id="362"/>
      <w:bookmarkEnd w:id="363"/>
      <w:bookmarkEnd w:id="364"/>
    </w:p>
    <w:p w:rsidR="00A056B6" w:rsidRPr="009C5151" w:rsidRDefault="00A056B6" w:rsidP="00743A5F">
      <w:pPr>
        <w:pStyle w:val="NormalWeb"/>
        <w:spacing w:before="0" w:beforeAutospacing="0"/>
      </w:pPr>
      <w:r w:rsidRPr="009C5151">
        <w:t>To address its challenges, TechMedia Pvt. Ltd. should:</w:t>
      </w:r>
    </w:p>
    <w:p w:rsidR="00A056B6" w:rsidRPr="009C5151" w:rsidRDefault="00A056B6" w:rsidP="00743A5F">
      <w:pPr>
        <w:pStyle w:val="NormalWeb"/>
        <w:tabs>
          <w:tab w:val="num" w:pos="720"/>
        </w:tabs>
        <w:spacing w:before="0" w:beforeAutospacing="0"/>
        <w:ind w:left="720" w:hanging="360"/>
      </w:pPr>
      <w:r w:rsidRPr="009C5151">
        <w:rPr>
          <w:rStyle w:val="Strong"/>
        </w:rPr>
        <w:t>Strengthen TP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Benchmark all transactions, including subscription revenues, royalties, and specified domestic transactions. File Form 3CEB.</w:t>
      </w:r>
    </w:p>
    <w:p w:rsidR="00A056B6" w:rsidRPr="009C5151" w:rsidRDefault="00A056B6" w:rsidP="00743A5F">
      <w:pPr>
        <w:pStyle w:val="NormalWeb"/>
        <w:tabs>
          <w:tab w:val="num" w:pos="720"/>
        </w:tabs>
        <w:spacing w:before="0" w:beforeAutospacing="0"/>
        <w:ind w:left="720" w:hanging="360"/>
      </w:pPr>
      <w:r w:rsidRPr="009C5151">
        <w:rPr>
          <w:rStyle w:val="Strong"/>
        </w:rPr>
        <w:t>Ensure WHT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treaty rates for royalties and hosting payments. Maintain TRCs and related documents.</w:t>
      </w:r>
    </w:p>
    <w:p w:rsidR="00A056B6" w:rsidRPr="009C5151" w:rsidRDefault="00A056B6" w:rsidP="00743A5F">
      <w:pPr>
        <w:pStyle w:val="NormalWeb"/>
        <w:tabs>
          <w:tab w:val="num" w:pos="720"/>
        </w:tabs>
        <w:spacing w:before="0" w:beforeAutospacing="0"/>
        <w:ind w:left="720" w:hanging="360"/>
      </w:pPr>
      <w:r w:rsidRPr="009C5151">
        <w:rPr>
          <w:rStyle w:val="Strong"/>
        </w:rPr>
        <w:t>Focus on EL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for digital marketing payments and remit the levy promptly.</w:t>
      </w:r>
    </w:p>
    <w:p w:rsidR="00A056B6" w:rsidRPr="009C5151" w:rsidRDefault="00A056B6" w:rsidP="00743A5F">
      <w:pPr>
        <w:pStyle w:val="NormalWeb"/>
        <w:tabs>
          <w:tab w:val="num" w:pos="720"/>
        </w:tabs>
        <w:spacing w:before="0" w:beforeAutospacing="0"/>
        <w:ind w:left="720" w:hanging="360"/>
      </w:pPr>
      <w:r w:rsidRPr="009C5151">
        <w:rPr>
          <w:rStyle w:val="Strong"/>
        </w:rPr>
        <w:t>Review Domestic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shared infrastructure and leasing payments. Disclose transactions in Form 3CEB.</w:t>
      </w:r>
    </w:p>
    <w:p w:rsidR="00A056B6" w:rsidRPr="009C5151" w:rsidRDefault="00A056B6" w:rsidP="00743A5F">
      <w:pPr>
        <w:pStyle w:val="NormalWeb"/>
        <w:tabs>
          <w:tab w:val="num" w:pos="720"/>
        </w:tabs>
        <w:spacing w:before="0" w:beforeAutospacing="0"/>
        <w:ind w:left="720" w:hanging="360"/>
      </w:pPr>
      <w:r w:rsidRPr="009C5151">
        <w:rPr>
          <w:rStyle w:val="Strong"/>
        </w:rPr>
        <w:t>Mitigate Treaty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 royalties and licensing fees with PPT and anti-abuse rules under DTAAs. Maintain robust documentation.</w:t>
      </w:r>
    </w:p>
    <w:p w:rsidR="00A056B6" w:rsidRPr="009C5151" w:rsidRDefault="00A056B6" w:rsidP="00743A5F">
      <w:pPr>
        <w:pStyle w:val="NormalWeb"/>
        <w:spacing w:before="0" w:beforeAutospacing="0"/>
      </w:pPr>
      <w:r w:rsidRPr="009C5151">
        <w:t>By implementing these solutions, TechMedia Pvt. Ltd. can ensure tax compliance, minimize risks, and enhance operational efficiency.</w:t>
      </w:r>
    </w:p>
    <w:p w:rsidR="00A056B6" w:rsidRPr="009C5151" w:rsidRDefault="00A056B6" w:rsidP="00743A5F">
      <w:pPr>
        <w:pStyle w:val="NormalWeb"/>
        <w:spacing w:before="0" w:beforeAutospacing="0"/>
      </w:pPr>
      <w:r w:rsidRPr="009C5151">
        <w:t>Would you like templates for Form 3CEB or further guidance on EL and WHT filings?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templates for Form 3CEB or further guidance on EL and WHT filings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F19A820" wp14:editId="66539D5A">
            <wp:extent cx="763905" cy="763905"/>
            <wp:effectExtent l="0" t="0" r="0" b="0"/>
            <wp:docPr id="312" name="Picture 31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7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365" w:name="_Toc187623979"/>
      <w:bookmarkStart w:id="366" w:name="_Toc187630699"/>
      <w:bookmarkStart w:id="367" w:name="_Toc187660878"/>
      <w:bookmarkStart w:id="368" w:name="_Toc187661957"/>
      <w:r w:rsidRPr="009C5151">
        <w:rPr>
          <w:rStyle w:val="Strong"/>
          <w:b/>
          <w:bCs/>
          <w:sz w:val="24"/>
          <w:szCs w:val="24"/>
        </w:rPr>
        <w:t>Templates for Form 3CEB and Guidance on Equalization Levy (EL) &amp; Withholding Tax (WHT) Filings</w:t>
      </w:r>
      <w:bookmarkEnd w:id="365"/>
      <w:bookmarkEnd w:id="366"/>
      <w:bookmarkEnd w:id="367"/>
      <w:bookmarkEnd w:id="368"/>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2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69" w:name="_Toc187623980"/>
      <w:bookmarkStart w:id="370" w:name="_Toc187630700"/>
      <w:bookmarkStart w:id="371" w:name="_Toc187660879"/>
      <w:bookmarkStart w:id="372" w:name="_Toc187661958"/>
      <w:r w:rsidRPr="009C5151">
        <w:rPr>
          <w:rStyle w:val="Strong"/>
          <w:b/>
          <w:bCs/>
          <w:sz w:val="24"/>
          <w:szCs w:val="24"/>
        </w:rPr>
        <w:t>I. Template for Form 3CEB</w:t>
      </w:r>
      <w:bookmarkEnd w:id="369"/>
      <w:bookmarkEnd w:id="370"/>
      <w:bookmarkEnd w:id="371"/>
      <w:bookmarkEnd w:id="372"/>
    </w:p>
    <w:p w:rsidR="00A056B6" w:rsidRPr="009C5151" w:rsidRDefault="00A056B6" w:rsidP="00743A5F">
      <w:pPr>
        <w:pStyle w:val="NormalWeb"/>
        <w:spacing w:before="0" w:beforeAutospacing="0"/>
      </w:pPr>
      <w:r w:rsidRPr="009C5151">
        <w:t xml:space="preserve">Form 3CEB is an essential document for reporting </w:t>
      </w:r>
      <w:r w:rsidRPr="009C5151">
        <w:rPr>
          <w:rStyle w:val="Strong"/>
        </w:rPr>
        <w:t>international transactions</w:t>
      </w:r>
      <w:r w:rsidRPr="009C5151">
        <w:t xml:space="preserve"> and </w:t>
      </w:r>
      <w:r w:rsidRPr="009C5151">
        <w:rPr>
          <w:rStyle w:val="Strong"/>
        </w:rPr>
        <w:t>specified domestic transactions</w:t>
      </w:r>
      <w:r w:rsidRPr="009C5151">
        <w:t xml:space="preserve"> under </w:t>
      </w:r>
      <w:r w:rsidRPr="009C5151">
        <w:rPr>
          <w:rStyle w:val="Strong"/>
        </w:rPr>
        <w:t>transfer pricing provisions</w:t>
      </w:r>
      <w:r w:rsidRPr="009C5151">
        <w:t>. Below is a structured template to assist in preparing this form.</w:t>
      </w:r>
    </w:p>
    <w:p w:rsidR="00A056B6" w:rsidRPr="009C5151" w:rsidRDefault="00A056B6" w:rsidP="00743A5F">
      <w:pPr>
        <w:pStyle w:val="Heading4"/>
        <w:spacing w:before="0" w:beforeAutospacing="0"/>
      </w:pPr>
      <w:r w:rsidRPr="009C5151">
        <w:rPr>
          <w:rStyle w:val="Strong"/>
          <w:b/>
          <w:bCs/>
        </w:rPr>
        <w:t>1. Basic Information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 xml:space="preserve">Name of the Assessee: </w:t>
      </w:r>
      <w:r w:rsidRPr="009C5151">
        <w:rPr>
          <w:rStyle w:val="Strong"/>
          <w:rFonts w:ascii="Times New Roman" w:hAnsi="Times New Roman" w:cs="Times New Roman"/>
          <w:sz w:val="24"/>
          <w:szCs w:val="24"/>
        </w:rPr>
        <w:t>TechMedia Pvt.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Permanent Account Number (PAN): </w:t>
      </w:r>
      <w:r w:rsidRPr="009C5151">
        <w:rPr>
          <w:rStyle w:val="Strong"/>
          <w:rFonts w:ascii="Times New Roman" w:hAnsi="Times New Roman" w:cs="Times New Roman"/>
          <w:sz w:val="24"/>
          <w:szCs w:val="24"/>
        </w:rPr>
        <w:t>XXXXX1234X</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Address: </w:t>
      </w:r>
      <w:r w:rsidRPr="009C5151">
        <w:rPr>
          <w:rStyle w:val="Strong"/>
          <w:rFonts w:ascii="Times New Roman" w:hAnsi="Times New Roman" w:cs="Times New Roman"/>
          <w:sz w:val="24"/>
          <w:szCs w:val="24"/>
        </w:rPr>
        <w:t>123 TechMedia Tower, Bengaluru,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Assessment Year: </w:t>
      </w:r>
      <w:r w:rsidRPr="009C5151">
        <w:rPr>
          <w:rStyle w:val="Strong"/>
          <w:rFonts w:ascii="Times New Roman" w:hAnsi="Times New Roman" w:cs="Times New Roman"/>
          <w:sz w:val="24"/>
          <w:szCs w:val="24"/>
        </w:rPr>
        <w:t>2024-25</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Nature of Business: </w:t>
      </w:r>
      <w:r w:rsidRPr="009C5151">
        <w:rPr>
          <w:rStyle w:val="Strong"/>
          <w:rFonts w:ascii="Times New Roman" w:hAnsi="Times New Roman" w:cs="Times New Roman"/>
          <w:sz w:val="24"/>
          <w:szCs w:val="24"/>
        </w:rPr>
        <w:t>Digital Media and Content Licensing</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2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Reporting of International Transactions</w:t>
      </w:r>
    </w:p>
    <w:p w:rsidR="00A056B6" w:rsidRPr="009C5151" w:rsidRDefault="00A056B6" w:rsidP="00743A5F">
      <w:pPr>
        <w:pStyle w:val="NormalWeb"/>
        <w:spacing w:before="0" w:beforeAutospacing="0"/>
      </w:pPr>
      <w:r w:rsidRPr="009C5151">
        <w:t>Provide details of all cross-border transactions with Associated Enterprises (AEs).</w:t>
      </w:r>
    </w:p>
    <w:p w:rsidR="00A056B6" w:rsidRPr="009C5151" w:rsidRDefault="00A056B6" w:rsidP="00743A5F">
      <w:pPr>
        <w:pStyle w:val="NormalWeb"/>
        <w:spacing w:before="0" w:beforeAutospacing="0"/>
      </w:pPr>
      <w:r w:rsidRPr="009C5151">
        <w:rPr>
          <w:rStyle w:val="Strong"/>
        </w:rPr>
        <w:t>Example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6"/>
        <w:gridCol w:w="1639"/>
        <w:gridCol w:w="1034"/>
        <w:gridCol w:w="2168"/>
        <w:gridCol w:w="1257"/>
        <w:gridCol w:w="100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AE Name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Amount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ALP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Subscription Revenue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MediaCorp LLC</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152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Content Licensing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UAE Media Ltd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26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Hosting Services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SingCloud Pte Ltd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UK IP Ltd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38-42 crore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2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Reporting of Specified Domestic Transactions</w:t>
      </w:r>
    </w:p>
    <w:p w:rsidR="00A056B6" w:rsidRPr="009C5151" w:rsidRDefault="00A056B6" w:rsidP="00743A5F">
      <w:pPr>
        <w:pStyle w:val="NormalWeb"/>
        <w:spacing w:before="0" w:beforeAutospacing="0"/>
      </w:pPr>
      <w:r w:rsidRPr="009C5151">
        <w:t>Provide details of domestic transactions covered under Section 92BA.</w:t>
      </w:r>
    </w:p>
    <w:p w:rsidR="00A056B6" w:rsidRPr="009C5151" w:rsidRDefault="00A056B6" w:rsidP="00743A5F">
      <w:pPr>
        <w:pStyle w:val="NormalWeb"/>
        <w:spacing w:before="0" w:beforeAutospacing="0"/>
      </w:pPr>
      <w:r w:rsidRPr="009C5151">
        <w:rPr>
          <w:rStyle w:val="Strong"/>
        </w:rPr>
        <w:t>Example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6"/>
        <w:gridCol w:w="1702"/>
        <w:gridCol w:w="2384"/>
        <w:gridCol w:w="1355"/>
        <w:gridCol w:w="1109"/>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AE Name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Amount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ALP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Shared Infrastructure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TechAdmin 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14-16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Studio Equipment Leasing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MediaStudio Ltd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 crore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2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Certification by Auditor</w:t>
      </w:r>
    </w:p>
    <w:p w:rsidR="00A056B6" w:rsidRPr="009C5151" w:rsidRDefault="00A056B6" w:rsidP="00743A5F">
      <w:pPr>
        <w:pStyle w:val="NormalWeb"/>
        <w:spacing w:before="0" w:beforeAutospacing="0"/>
      </w:pPr>
      <w:r w:rsidRPr="009C5151">
        <w:lastRenderedPageBreak/>
        <w:t>Include a declaration from a Chartered Accountant certifying that: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The information provided is true and correct.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The pricing methods used comply with Indian tax regulations.</w:t>
      </w:r>
    </w:p>
    <w:p w:rsidR="00A056B6" w:rsidRPr="009C5151" w:rsidRDefault="00A056B6" w:rsidP="00743A5F">
      <w:pPr>
        <w:pStyle w:val="NormalWeb"/>
        <w:spacing w:before="0" w:beforeAutospacing="0"/>
      </w:pPr>
      <w:r w:rsidRPr="009C5151">
        <w:rPr>
          <w:rStyle w:val="Strong"/>
        </w:rPr>
        <w:t>Auditor’s Certification Example</w:t>
      </w:r>
      <w:r w:rsidRPr="009C5151">
        <w:t>:</w:t>
      </w:r>
    </w:p>
    <w:p w:rsidR="00A056B6" w:rsidRPr="009C5151" w:rsidRDefault="00A056B6" w:rsidP="00743A5F">
      <w:pPr>
        <w:pStyle w:val="HTMLPreformatted"/>
        <w:rPr>
          <w:rFonts w:ascii="Times New Roman" w:hAnsi="Times New Roman" w:cs="Times New Roman"/>
          <w:sz w:val="24"/>
          <w:szCs w:val="24"/>
        </w:rPr>
      </w:pPr>
      <w:r w:rsidRPr="009C5151">
        <w:rPr>
          <w:rFonts w:ascii="Times New Roman" w:hAnsi="Times New Roman" w:cs="Times New Roman"/>
          <w:sz w:val="24"/>
          <w:szCs w:val="24"/>
        </w:rPr>
        <w:t>markdown</w:t>
      </w:r>
    </w:p>
    <w:p w:rsidR="00A056B6" w:rsidRPr="009C5151" w:rsidRDefault="00A056B6" w:rsidP="00743A5F">
      <w:pPr>
        <w:pStyle w:val="HTMLPreformatted"/>
        <w:rPr>
          <w:rFonts w:ascii="Times New Roman" w:hAnsi="Times New Roman" w:cs="Times New Roman"/>
          <w:sz w:val="24"/>
          <w:szCs w:val="24"/>
        </w:rPr>
      </w:pPr>
      <w:r w:rsidRPr="009C5151">
        <w:rPr>
          <w:rFonts w:ascii="Times New Roman" w:hAnsi="Times New Roman" w:cs="Times New Roman"/>
          <w:sz w:val="24"/>
          <w:szCs w:val="24"/>
        </w:rPr>
        <w:t>Copy code</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I, [Name of the CA], having examined the accounts and records of TechMedia Pvt. Ltd. for the year ended 31 March 2024, certify that the particulars provided in Form 3CEB are accurate to the best of my knowledge.</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 xml:space="preserve">Signature: </w:t>
      </w:r>
      <w:r w:rsidRPr="009C5151">
        <w:rPr>
          <w:rStyle w:val="hljs-strong"/>
          <w:rFonts w:ascii="Times New Roman" w:eastAsiaTheme="majorEastAsia" w:hAnsi="Times New Roman" w:cs="Times New Roman"/>
          <w:sz w:val="24"/>
          <w:szCs w:val="24"/>
        </w:rPr>
        <w:t>________________</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 xml:space="preserve">Date: </w:t>
      </w:r>
      <w:r w:rsidRPr="009C5151">
        <w:rPr>
          <w:rStyle w:val="hljs-strong"/>
          <w:rFonts w:ascii="Times New Roman" w:eastAsiaTheme="majorEastAsia" w:hAnsi="Times New Roman" w:cs="Times New Roman"/>
          <w:sz w:val="24"/>
          <w:szCs w:val="24"/>
        </w:rPr>
        <w:t>________________</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 xml:space="preserve">Membership Number: </w:t>
      </w:r>
      <w:r w:rsidRPr="009C5151">
        <w:rPr>
          <w:rStyle w:val="hljs-strong"/>
          <w:rFonts w:ascii="Times New Roman" w:eastAsiaTheme="majorEastAsia" w:hAnsi="Times New Roman" w:cs="Times New Roman"/>
          <w:sz w:val="24"/>
          <w:szCs w:val="24"/>
        </w:rPr>
        <w:t>________</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2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73" w:name="_Toc187623981"/>
      <w:bookmarkStart w:id="374" w:name="_Toc187630701"/>
      <w:bookmarkStart w:id="375" w:name="_Toc187660880"/>
      <w:bookmarkStart w:id="376" w:name="_Toc187661959"/>
      <w:r w:rsidRPr="009C5151">
        <w:rPr>
          <w:rStyle w:val="Strong"/>
          <w:b/>
          <w:bCs/>
          <w:sz w:val="24"/>
          <w:szCs w:val="24"/>
        </w:rPr>
        <w:t>II. Guidance on Equalization Levy (EL) Filings</w:t>
      </w:r>
      <w:bookmarkEnd w:id="373"/>
      <w:bookmarkEnd w:id="374"/>
      <w:bookmarkEnd w:id="375"/>
      <w:bookmarkEnd w:id="376"/>
    </w:p>
    <w:p w:rsidR="00A056B6" w:rsidRPr="009C5151" w:rsidRDefault="00A056B6" w:rsidP="00743A5F">
      <w:pPr>
        <w:pStyle w:val="NormalWeb"/>
        <w:spacing w:before="0" w:beforeAutospacing="0"/>
      </w:pPr>
      <w:r w:rsidRPr="009C5151">
        <w:t xml:space="preserve">The </w:t>
      </w:r>
      <w:r w:rsidRPr="009C5151">
        <w:rPr>
          <w:rStyle w:val="Strong"/>
        </w:rPr>
        <w:t>Equalization Levy (EL)</w:t>
      </w:r>
      <w:r w:rsidRPr="009C5151">
        <w:t xml:space="preserve"> applies to payments for digital advertising services to non-residents.</w:t>
      </w:r>
    </w:p>
    <w:p w:rsidR="00A056B6" w:rsidRPr="009C5151" w:rsidRDefault="00A056B6" w:rsidP="00743A5F">
      <w:pPr>
        <w:pStyle w:val="Heading4"/>
        <w:spacing w:before="0" w:beforeAutospacing="0"/>
      </w:pPr>
      <w:r w:rsidRPr="009C5151">
        <w:rPr>
          <w:rStyle w:val="Strong"/>
          <w:b/>
          <w:bCs/>
        </w:rPr>
        <w:t>1. Applicability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EL at </w:t>
      </w:r>
      <w:r w:rsidRPr="009C5151">
        <w:rPr>
          <w:rStyle w:val="Strong"/>
          <w:rFonts w:ascii="Times New Roman" w:hAnsi="Times New Roman" w:cs="Times New Roman"/>
          <w:sz w:val="24"/>
          <w:szCs w:val="24"/>
        </w:rPr>
        <w:t>6%</w:t>
      </w:r>
      <w:r w:rsidRPr="009C5151">
        <w:rPr>
          <w:rFonts w:ascii="Times New Roman" w:hAnsi="Times New Roman" w:cs="Times New Roman"/>
          <w:sz w:val="24"/>
          <w:szCs w:val="24"/>
        </w:rPr>
        <w:t xml:space="preserve"> applies to payments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Digital advertisements.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Platforms hosting promotional content.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Threshold</w:t>
      </w:r>
      <w:r w:rsidRPr="009C5151">
        <w:rPr>
          <w:rFonts w:ascii="Times New Roman" w:hAnsi="Times New Roman" w:cs="Times New Roman"/>
          <w:sz w:val="24"/>
          <w:szCs w:val="24"/>
        </w:rPr>
        <w:t>: EL is applicable only if the total payments exceed ₹1 lakh in a financial year.</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2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Steps for EL Compliance</w:t>
      </w:r>
    </w:p>
    <w:p w:rsidR="00A056B6" w:rsidRPr="009C5151" w:rsidRDefault="00A056B6" w:rsidP="00743A5F">
      <w:pPr>
        <w:pStyle w:val="NormalWeb"/>
        <w:tabs>
          <w:tab w:val="num" w:pos="720"/>
        </w:tabs>
        <w:spacing w:before="0" w:beforeAutospacing="0"/>
        <w:ind w:left="720" w:hanging="360"/>
      </w:pPr>
      <w:r w:rsidRPr="009C5151">
        <w:rPr>
          <w:rStyle w:val="Strong"/>
        </w:rPr>
        <w:t>Compute the Levy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Payment for digital marketing services: ₹10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Levy Rate: 6%.</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EL Amount</w:t>
      </w:r>
      <w:r w:rsidRPr="009C5151">
        <w:rPr>
          <w:rFonts w:ascii="Times New Roman" w:hAnsi="Times New Roman" w:cs="Times New Roman"/>
          <w:sz w:val="24"/>
          <w:szCs w:val="24"/>
        </w:rPr>
        <w:t>: ₹10 crore × 6% = ₹60 lakh.</w:t>
      </w:r>
    </w:p>
    <w:p w:rsidR="00A056B6" w:rsidRPr="009C5151" w:rsidRDefault="00A056B6" w:rsidP="00743A5F">
      <w:pPr>
        <w:pStyle w:val="NormalWeb"/>
        <w:tabs>
          <w:tab w:val="num" w:pos="720"/>
        </w:tabs>
        <w:spacing w:before="0" w:beforeAutospacing="0"/>
        <w:ind w:left="720" w:hanging="360"/>
      </w:pPr>
      <w:r w:rsidRPr="009C5151">
        <w:rPr>
          <w:rStyle w:val="Strong"/>
        </w:rPr>
        <w:t>Deposit EL</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Due Date</w:t>
      </w:r>
      <w:r w:rsidRPr="009C5151">
        <w:rPr>
          <w:rFonts w:ascii="Times New Roman" w:hAnsi="Times New Roman" w:cs="Times New Roman"/>
          <w:sz w:val="24"/>
          <w:szCs w:val="24"/>
        </w:rPr>
        <w:t>: 7th of the following month for each payment.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Challan ITNS 285</w:t>
      </w:r>
      <w:r w:rsidRPr="009C5151">
        <w:rPr>
          <w:rFonts w:ascii="Times New Roman" w:hAnsi="Times New Roman" w:cs="Times New Roman"/>
          <w:sz w:val="24"/>
          <w:szCs w:val="24"/>
        </w:rPr>
        <w:t xml:space="preserve"> to remit EL.</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File Annual Return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Form to File</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Form 1</w:t>
      </w:r>
      <w:r w:rsidRPr="009C5151">
        <w:rPr>
          <w:rFonts w:ascii="Times New Roman" w:hAnsi="Times New Roman" w:cs="Times New Roman"/>
          <w:sz w:val="24"/>
          <w:szCs w:val="24"/>
        </w:rPr>
        <w:t xml:space="preserve"> (EL Return).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Due Date</w:t>
      </w:r>
      <w:r w:rsidRPr="009C5151">
        <w:rPr>
          <w:rFonts w:ascii="Times New Roman" w:hAnsi="Times New Roman" w:cs="Times New Roman"/>
          <w:sz w:val="24"/>
          <w:szCs w:val="24"/>
        </w:rPr>
        <w:t>: 30th June following the financial year.</w:t>
      </w:r>
    </w:p>
    <w:p w:rsidR="00A056B6" w:rsidRPr="009C5151" w:rsidRDefault="00A056B6" w:rsidP="00743A5F">
      <w:pPr>
        <w:pStyle w:val="NormalWeb"/>
        <w:tabs>
          <w:tab w:val="num" w:pos="720"/>
        </w:tabs>
        <w:spacing w:before="0" w:beforeAutospacing="0"/>
        <w:ind w:left="720" w:hanging="360"/>
      </w:pPr>
      <w:r w:rsidRPr="009C5151">
        <w:rPr>
          <w:rStyle w:val="Strong"/>
        </w:rPr>
        <w:t>Maintain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Agreements and invoices for advertising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Proof of EL deposit and annual return filing.</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2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Checklist for EL Compliance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18"/>
        <w:gridCol w:w="3562"/>
        <w:gridCol w:w="1577"/>
        <w:gridCol w:w="1169"/>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Step</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Action Required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Deadline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Status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Identify Applicable Transactions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Review payments to non-resident advertisers.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Ongoing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Compute EL</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Apply 6% on qualifying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Monthly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Deposit Levy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Use ITNS 285 for monthly deposits.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each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File Form 1</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File EL return annually.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30th June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Pending/</w:t>
            </w: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2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77" w:name="_Toc187623982"/>
      <w:bookmarkStart w:id="378" w:name="_Toc187630702"/>
      <w:bookmarkStart w:id="379" w:name="_Toc187660881"/>
      <w:bookmarkStart w:id="380" w:name="_Toc187661960"/>
      <w:r w:rsidRPr="009C5151">
        <w:rPr>
          <w:rStyle w:val="Strong"/>
          <w:b/>
          <w:bCs/>
          <w:sz w:val="24"/>
          <w:szCs w:val="24"/>
        </w:rPr>
        <w:t>III. Guidance on Withholding Tax (WHT) Filings</w:t>
      </w:r>
      <w:bookmarkEnd w:id="377"/>
      <w:bookmarkEnd w:id="378"/>
      <w:bookmarkEnd w:id="379"/>
      <w:bookmarkEnd w:id="380"/>
    </w:p>
    <w:p w:rsidR="00A056B6" w:rsidRPr="009C5151" w:rsidRDefault="00A056B6" w:rsidP="00743A5F">
      <w:pPr>
        <w:pStyle w:val="Heading4"/>
        <w:spacing w:before="0" w:beforeAutospacing="0"/>
      </w:pPr>
      <w:r w:rsidRPr="009C5151">
        <w:rPr>
          <w:rStyle w:val="Strong"/>
          <w:b/>
          <w:bCs/>
        </w:rPr>
        <w:t>1. WHT Applicability</w:t>
      </w:r>
    </w:p>
    <w:p w:rsidR="00A056B6" w:rsidRPr="009C5151" w:rsidRDefault="00A056B6" w:rsidP="00743A5F">
      <w:pPr>
        <w:pStyle w:val="NormalWeb"/>
        <w:spacing w:before="0" w:beforeAutospacing="0"/>
      </w:pPr>
      <w:r w:rsidRPr="009C5151">
        <w:t>WHT applies to payments made to non-residents under Indian tax law or DTAA provisions.</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₹40 crore to UK AE under India-UK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WHT Rate: 10%.</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WHT Amount: ₹40 crore × 10% = ₹4 crore.</w:t>
      </w:r>
    </w:p>
    <w:p w:rsidR="00A056B6" w:rsidRPr="009C5151" w:rsidRDefault="00A056B6" w:rsidP="00743A5F">
      <w:pPr>
        <w:pStyle w:val="NormalWeb"/>
        <w:tabs>
          <w:tab w:val="num" w:pos="720"/>
        </w:tabs>
        <w:spacing w:before="0" w:beforeAutospacing="0"/>
        <w:ind w:left="720" w:hanging="360"/>
      </w:pPr>
      <w:r w:rsidRPr="009C5151">
        <w:rPr>
          <w:rStyle w:val="Strong"/>
        </w:rPr>
        <w:t>Hosting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₹20 crore to Singapore AE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WHT Rate: 10%.</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WHT Amount: ₹20 crore × 10% = ₹2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23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Steps for WHT Compliance</w:t>
      </w:r>
    </w:p>
    <w:p w:rsidR="00A056B6" w:rsidRPr="009C5151" w:rsidRDefault="00A056B6" w:rsidP="00743A5F">
      <w:pPr>
        <w:pStyle w:val="NormalWeb"/>
        <w:tabs>
          <w:tab w:val="num" w:pos="720"/>
        </w:tabs>
        <w:spacing w:before="0" w:beforeAutospacing="0"/>
        <w:ind w:left="720" w:hanging="360"/>
      </w:pPr>
      <w:r w:rsidRPr="009C5151">
        <w:rPr>
          <w:rStyle w:val="Strong"/>
        </w:rPr>
        <w:t>Deduct WHT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applicable treaty rates.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Obtain </w:t>
      </w:r>
      <w:r w:rsidRPr="009C5151">
        <w:rPr>
          <w:rStyle w:val="Strong"/>
          <w:rFonts w:ascii="Times New Roman" w:hAnsi="Times New Roman" w:cs="Times New Roman"/>
          <w:sz w:val="24"/>
          <w:szCs w:val="24"/>
        </w:rPr>
        <w:t>Tax Residency Certificates (TRCs)</w:t>
      </w:r>
      <w:r w:rsidRPr="009C5151">
        <w:rPr>
          <w:rFonts w:ascii="Times New Roman" w:hAnsi="Times New Roman" w:cs="Times New Roman"/>
          <w:sz w:val="24"/>
          <w:szCs w:val="24"/>
        </w:rPr>
        <w:t xml:space="preserve"> and </w:t>
      </w:r>
      <w:r w:rsidRPr="009C5151">
        <w:rPr>
          <w:rStyle w:val="Strong"/>
          <w:rFonts w:ascii="Times New Roman" w:hAnsi="Times New Roman" w:cs="Times New Roman"/>
          <w:sz w:val="24"/>
          <w:szCs w:val="24"/>
        </w:rPr>
        <w:t>Form 10F</w:t>
      </w:r>
      <w:r w:rsidRPr="009C5151">
        <w:rPr>
          <w:rFonts w:ascii="Times New Roman" w:hAnsi="Times New Roman" w:cs="Times New Roman"/>
          <w:sz w:val="24"/>
          <w:szCs w:val="24"/>
        </w:rPr>
        <w:t xml:space="preserve"> from payees.</w:t>
      </w:r>
    </w:p>
    <w:p w:rsidR="00A056B6" w:rsidRPr="009C5151" w:rsidRDefault="00A056B6" w:rsidP="00743A5F">
      <w:pPr>
        <w:pStyle w:val="NormalWeb"/>
        <w:tabs>
          <w:tab w:val="num" w:pos="720"/>
        </w:tabs>
        <w:spacing w:before="0" w:beforeAutospacing="0"/>
        <w:ind w:left="720" w:hanging="360"/>
      </w:pPr>
      <w:r w:rsidRPr="009C5151">
        <w:rPr>
          <w:rStyle w:val="Strong"/>
        </w:rPr>
        <w:t>Deposit WHT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Due Date</w:t>
      </w:r>
      <w:r w:rsidRPr="009C5151">
        <w:rPr>
          <w:rFonts w:ascii="Times New Roman" w:hAnsi="Times New Roman" w:cs="Times New Roman"/>
          <w:sz w:val="24"/>
          <w:szCs w:val="24"/>
        </w:rPr>
        <w:t>: By the 7th of the following month for each payment.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Challan </w:t>
      </w:r>
      <w:r w:rsidRPr="009C5151">
        <w:rPr>
          <w:rStyle w:val="Strong"/>
          <w:rFonts w:ascii="Times New Roman" w:hAnsi="Times New Roman" w:cs="Times New Roman"/>
          <w:sz w:val="24"/>
          <w:szCs w:val="24"/>
        </w:rPr>
        <w:t>ITNS 281</w:t>
      </w:r>
      <w:r w:rsidRPr="009C5151">
        <w:rPr>
          <w:rFonts w:ascii="Times New Roman" w:hAnsi="Times New Roman" w:cs="Times New Roman"/>
          <w:sz w:val="24"/>
          <w:szCs w:val="24"/>
        </w:rPr>
        <w:t xml:space="preserve"> for remittance.</w:t>
      </w:r>
    </w:p>
    <w:p w:rsidR="00A056B6" w:rsidRPr="009C5151" w:rsidRDefault="00A056B6" w:rsidP="00743A5F">
      <w:pPr>
        <w:pStyle w:val="NormalWeb"/>
        <w:tabs>
          <w:tab w:val="num" w:pos="720"/>
        </w:tabs>
        <w:spacing w:before="0" w:beforeAutospacing="0"/>
        <w:ind w:left="720" w:hanging="360"/>
      </w:pPr>
      <w:r w:rsidRPr="009C5151">
        <w:rPr>
          <w:rStyle w:val="Strong"/>
        </w:rPr>
        <w:t>File Quarterly TDS Returns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File </w:t>
      </w:r>
      <w:r w:rsidRPr="009C5151">
        <w:rPr>
          <w:rStyle w:val="Strong"/>
          <w:rFonts w:ascii="Times New Roman" w:hAnsi="Times New Roman" w:cs="Times New Roman"/>
          <w:sz w:val="24"/>
          <w:szCs w:val="24"/>
        </w:rPr>
        <w:t>Form 27Q</w:t>
      </w:r>
      <w:r w:rsidRPr="009C5151">
        <w:rPr>
          <w:rFonts w:ascii="Times New Roman" w:hAnsi="Times New Roman" w:cs="Times New Roman"/>
          <w:sz w:val="24"/>
          <w:szCs w:val="24"/>
        </w:rPr>
        <w:t xml:space="preserve"> (quarterly return for non-residents).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Due Dates: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Q1: 31st July</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Q2: 31st October</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Q3: 31st January</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Q4: 31st May</w:t>
      </w:r>
    </w:p>
    <w:p w:rsidR="00A056B6" w:rsidRPr="009C5151" w:rsidRDefault="00A056B6" w:rsidP="00743A5F">
      <w:pPr>
        <w:pStyle w:val="NormalWeb"/>
        <w:tabs>
          <w:tab w:val="num" w:pos="720"/>
        </w:tabs>
        <w:spacing w:before="0" w:beforeAutospacing="0"/>
        <w:ind w:left="720" w:hanging="360"/>
      </w:pPr>
      <w:r w:rsidRPr="009C5151">
        <w:rPr>
          <w:rStyle w:val="Strong"/>
        </w:rPr>
        <w:t>Issue Certificates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Provide </w:t>
      </w:r>
      <w:r w:rsidRPr="009C5151">
        <w:rPr>
          <w:rStyle w:val="Strong"/>
          <w:rFonts w:ascii="Times New Roman" w:hAnsi="Times New Roman" w:cs="Times New Roman"/>
          <w:sz w:val="24"/>
          <w:szCs w:val="24"/>
        </w:rPr>
        <w:t>Form 16A</w:t>
      </w:r>
      <w:r w:rsidRPr="009C5151">
        <w:rPr>
          <w:rFonts w:ascii="Times New Roman" w:hAnsi="Times New Roman" w:cs="Times New Roman"/>
          <w:sz w:val="24"/>
          <w:szCs w:val="24"/>
        </w:rPr>
        <w:t xml:space="preserve"> to payees for their tax credit claims.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3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Checklist for WHT Compliance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0"/>
        <w:gridCol w:w="3915"/>
        <w:gridCol w:w="1842"/>
        <w:gridCol w:w="1169"/>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Step</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Action Required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Deadline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Status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Deduct WHT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Apply correct WHT rates under the DTAA.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At payment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Deposit WHT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Use ITNS 281 for monthly remittance.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each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File Quarterly Returns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File Form 27Q for non-resident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Quarterly deadlines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Pending/</w:t>
            </w: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Issue Form 16A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Provide WHT certificates to recipients.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Within 15 days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Pending/</w:t>
            </w: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3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81" w:name="_Toc187623983"/>
      <w:bookmarkStart w:id="382" w:name="_Toc187630703"/>
      <w:bookmarkStart w:id="383" w:name="_Toc187660882"/>
      <w:bookmarkStart w:id="384" w:name="_Toc187661961"/>
      <w:r w:rsidRPr="009C5151">
        <w:rPr>
          <w:rStyle w:val="Strong"/>
          <w:b/>
          <w:bCs/>
          <w:sz w:val="24"/>
          <w:szCs w:val="24"/>
        </w:rPr>
        <w:t>IV. Benefits of Compliance</w:t>
      </w:r>
      <w:bookmarkEnd w:id="381"/>
      <w:bookmarkEnd w:id="382"/>
      <w:bookmarkEnd w:id="383"/>
      <w:bookmarkEnd w:id="384"/>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Avoid Penalties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Late filing of Form 3CEB, EL returns, or WHT remittance may attract interest and penalties.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Audit Readiness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Proper documentation ensures smooth audits and reduces the risk of disputes.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Enhanced Credibility</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Timely compliance strengthens relationships with global partners.</w:t>
      </w:r>
    </w:p>
    <w:p w:rsidR="00A056B6" w:rsidRPr="009C5151" w:rsidRDefault="00A056B6" w:rsidP="00743A5F">
      <w:pPr>
        <w:pStyle w:val="NormalWeb"/>
        <w:spacing w:before="0" w:beforeAutospacing="0"/>
      </w:pPr>
      <w:r w:rsidRPr="009C5151">
        <w:t>Would you like editable templates for specific filings or assistance with calculations?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11 th example of different set of issues and problem and suggested solutions by a CA to a Company including a detailed discussion on the various topics covered under suggestions and Conclusion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30C87BB5" wp14:editId="163EABD1">
            <wp:extent cx="763905" cy="763905"/>
            <wp:effectExtent l="0" t="0" r="0" b="0"/>
            <wp:docPr id="311" name="Picture 31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9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385" w:name="_Toc187623984"/>
      <w:bookmarkStart w:id="386" w:name="_Toc187630704"/>
      <w:bookmarkStart w:id="387" w:name="_Toc187660883"/>
      <w:bookmarkStart w:id="388" w:name="_Toc187661962"/>
      <w:r w:rsidRPr="009C5151">
        <w:rPr>
          <w:rStyle w:val="Strong"/>
          <w:b/>
          <w:bCs/>
          <w:sz w:val="24"/>
          <w:szCs w:val="24"/>
        </w:rPr>
        <w:t>Case Study: Tax and Compliance Challenges for CleanEnergy Pvt. Ltd.</w:t>
      </w:r>
      <w:bookmarkEnd w:id="385"/>
      <w:bookmarkEnd w:id="386"/>
      <w:bookmarkEnd w:id="387"/>
      <w:bookmarkEnd w:id="388"/>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CleanEnergy Pvt. Ltd., an Indian renewable energy company, operates across </w:t>
      </w:r>
      <w:r w:rsidRPr="009C5151">
        <w:rPr>
          <w:rStyle w:val="Strong"/>
        </w:rPr>
        <w:t>USA, UK, Singapore, Germany, UAE, and Australia</w:t>
      </w:r>
      <w:r w:rsidRPr="009C5151">
        <w:t xml:space="preserve">. The company manufactures solar panels, exports energy-efficient solutions, and licenses renewable technology. It engages in international transactions, intra-group services, and domestic leasing arrangements. CleanEnergy faces challenges related to </w:t>
      </w:r>
      <w:r w:rsidRPr="009C5151">
        <w:rPr>
          <w:rStyle w:val="Strong"/>
        </w:rPr>
        <w:t>transfer pricing (TP)</w:t>
      </w:r>
      <w:r w:rsidRPr="009C5151">
        <w:t xml:space="preserve">, </w:t>
      </w:r>
      <w:r w:rsidRPr="009C5151">
        <w:rPr>
          <w:rStyle w:val="Strong"/>
        </w:rPr>
        <w:t>withholding tax (WHT)</w:t>
      </w:r>
      <w:r w:rsidRPr="009C5151">
        <w:t xml:space="preserve">, </w:t>
      </w:r>
      <w:r w:rsidRPr="009C5151">
        <w:rPr>
          <w:rStyle w:val="Strong"/>
        </w:rPr>
        <w:t>equalization levy (EL)</w:t>
      </w:r>
      <w:r w:rsidRPr="009C5151">
        <w:t xml:space="preserve">, </w:t>
      </w:r>
      <w:r w:rsidRPr="009C5151">
        <w:rPr>
          <w:rStyle w:val="Strong"/>
        </w:rPr>
        <w:t>specified domestic transactions</w:t>
      </w:r>
      <w:r w:rsidRPr="009C5151">
        <w:t xml:space="preserve">, and </w:t>
      </w:r>
      <w:r w:rsidRPr="009C5151">
        <w:rPr>
          <w:rStyle w:val="Strong"/>
        </w:rPr>
        <w:t>treaty compliance</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3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89" w:name="_Toc187623985"/>
      <w:bookmarkStart w:id="390" w:name="_Toc187630705"/>
      <w:bookmarkStart w:id="391" w:name="_Toc187660884"/>
      <w:bookmarkStart w:id="392" w:name="_Toc187661963"/>
      <w:r w:rsidRPr="009C5151">
        <w:rPr>
          <w:rStyle w:val="Strong"/>
          <w:b/>
          <w:bCs/>
          <w:sz w:val="24"/>
          <w:szCs w:val="24"/>
        </w:rPr>
        <w:t>Transactions</w:t>
      </w:r>
      <w:bookmarkEnd w:id="389"/>
      <w:bookmarkEnd w:id="390"/>
      <w:bookmarkEnd w:id="391"/>
      <w:bookmarkEnd w:id="392"/>
    </w:p>
    <w:p w:rsidR="00A056B6" w:rsidRPr="009C5151" w:rsidRDefault="00A056B6" w:rsidP="00743A5F">
      <w:pPr>
        <w:pStyle w:val="Heading4"/>
        <w:spacing w:before="0" w:beforeAutospacing="0"/>
      </w:pPr>
      <w:r w:rsidRPr="009C5151">
        <w:rPr>
          <w:rStyle w:val="Strong"/>
          <w:b/>
          <w:bCs/>
        </w:rPr>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Export of Solar Panels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Exported ₹600 crore worth of solar panels to AEs in USA, UK, and Singapore.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Pricing involves inter-company agreements requiring TP compliance.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R&amp;D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₹50 crore to a Singapore AE for R&amp;D services to develop advanced solar cells.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rate under India-Singapore DTAA: 10%.</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₹35 crore to a Germany AE for licensing patented technology used in solar panel manufacturing.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rate under India-Germany DTAA: 10%.</w:t>
      </w:r>
    </w:p>
    <w:p w:rsidR="00A056B6" w:rsidRPr="009C5151" w:rsidRDefault="00A056B6" w:rsidP="00743A5F">
      <w:pPr>
        <w:pStyle w:val="NormalWeb"/>
        <w:tabs>
          <w:tab w:val="num" w:pos="720"/>
        </w:tabs>
        <w:spacing w:before="0" w:beforeAutospacing="0"/>
        <w:ind w:left="720" w:hanging="360"/>
      </w:pPr>
      <w:r w:rsidRPr="009C5151">
        <w:rPr>
          <w:rStyle w:val="Strong"/>
        </w:rPr>
        <w:t>Interest-Free Loan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Advanced ₹20 crore to a UAE subsidiary without charging interest.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TP adjustment required for non-arm’s length pricing.</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₹12 crore to a USA-based platform for online advertising and marketing campaigns.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3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₹25 crore to a domestic AE for accounting, compliance, and operational support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Subject to specified domestic transaction compliance.</w:t>
      </w:r>
    </w:p>
    <w:p w:rsidR="00A056B6" w:rsidRPr="009C5151" w:rsidRDefault="00A056B6" w:rsidP="00743A5F">
      <w:pPr>
        <w:pStyle w:val="NormalWeb"/>
        <w:tabs>
          <w:tab w:val="num" w:pos="720"/>
        </w:tabs>
        <w:spacing w:before="0" w:beforeAutospacing="0"/>
        <w:ind w:left="720" w:hanging="360"/>
      </w:pPr>
      <w:r w:rsidRPr="009C5151">
        <w:rPr>
          <w:rStyle w:val="Strong"/>
        </w:rPr>
        <w:t>Leasing of Equipment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₹15 crore worth of solar testing equipment to another domestic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3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93" w:name="_Toc187623986"/>
      <w:bookmarkStart w:id="394" w:name="_Toc187630706"/>
      <w:bookmarkStart w:id="395" w:name="_Toc187660885"/>
      <w:bookmarkStart w:id="396" w:name="_Toc187661964"/>
      <w:r w:rsidRPr="009C5151">
        <w:rPr>
          <w:rStyle w:val="Strong"/>
          <w:b/>
          <w:bCs/>
          <w:sz w:val="24"/>
          <w:szCs w:val="24"/>
        </w:rPr>
        <w:t>Key Issues</w:t>
      </w:r>
      <w:bookmarkEnd w:id="393"/>
      <w:bookmarkEnd w:id="394"/>
      <w:bookmarkEnd w:id="395"/>
      <w:bookmarkEnd w:id="396"/>
    </w:p>
    <w:p w:rsidR="00A056B6" w:rsidRPr="009C5151" w:rsidRDefault="00A056B6" w:rsidP="00743A5F">
      <w:pPr>
        <w:pStyle w:val="Heading4"/>
        <w:spacing w:before="0" w:beforeAutospacing="0"/>
      </w:pPr>
      <w:r w:rsidRPr="009C5151">
        <w:t xml:space="preserve">1. </w:t>
      </w:r>
      <w:r w:rsidRPr="009C5151">
        <w:rPr>
          <w:rStyle w:val="Strong"/>
          <w:b/>
          <w:bCs/>
        </w:rPr>
        <w:t>Transfer Pricing (TP) Challenges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Need for benchmarking ₹600 crore exports, ₹50 crore R&amp;D payments, ₹35 crore royalties, and ₹20 crore interest-free loan.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Inadequate documentation for ₹25 crore shared services and ₹15 crore leasing arrangements.</w:t>
      </w:r>
    </w:p>
    <w:p w:rsidR="00A056B6" w:rsidRPr="009C5151" w:rsidRDefault="00A056B6" w:rsidP="00743A5F">
      <w:pPr>
        <w:pStyle w:val="Heading4"/>
        <w:spacing w:before="0" w:beforeAutospacing="0"/>
      </w:pPr>
      <w:r w:rsidRPr="009C5151">
        <w:lastRenderedPageBreak/>
        <w:t xml:space="preserve">2. </w:t>
      </w:r>
      <w:r w:rsidRPr="009C5151">
        <w:rPr>
          <w:rStyle w:val="Strong"/>
          <w:b/>
          <w:bCs/>
        </w:rPr>
        <w:t>Withholding Tax (WHT)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Errors in applying correct WHT rates on ₹50 crore R&amp;D payments to Singapore and ₹35 crore royalty payments to Germany.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penalties for non-compliance with treaty provisions.</w:t>
      </w:r>
    </w:p>
    <w:p w:rsidR="00A056B6" w:rsidRPr="009C5151" w:rsidRDefault="00A056B6" w:rsidP="00743A5F">
      <w:pPr>
        <w:pStyle w:val="Heading4"/>
        <w:spacing w:before="0" w:beforeAutospacing="0"/>
      </w:pPr>
      <w:r w:rsidRPr="009C5151">
        <w:t xml:space="preserve">3. </w:t>
      </w:r>
      <w:r w:rsidRPr="009C5151">
        <w:rPr>
          <w:rStyle w:val="Strong"/>
          <w:b/>
          <w:bCs/>
        </w:rPr>
        <w:t>Equalization Levy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₹12 crore digital advertising payments to USA.</w:t>
      </w:r>
    </w:p>
    <w:p w:rsidR="00A056B6" w:rsidRPr="009C5151" w:rsidRDefault="00A056B6" w:rsidP="00743A5F">
      <w:pPr>
        <w:pStyle w:val="Heading4"/>
        <w:spacing w:before="0" w:beforeAutospacing="0"/>
      </w:pPr>
      <w:r w:rsidRPr="009C5151">
        <w:t xml:space="preserve">4. </w:t>
      </w:r>
      <w:r w:rsidRPr="009C5151">
        <w:rPr>
          <w:rStyle w:val="Strong"/>
          <w:b/>
          <w:bCs/>
        </w:rPr>
        <w:t>Specified Domestic Transactions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Lack of benchmarking for ₹25 crore shared services and ₹15 crore equipment leasing transactions.</w:t>
      </w:r>
    </w:p>
    <w:p w:rsidR="00A056B6" w:rsidRPr="009C5151" w:rsidRDefault="00A056B6" w:rsidP="00743A5F">
      <w:pPr>
        <w:pStyle w:val="Heading4"/>
        <w:spacing w:before="0" w:beforeAutospacing="0"/>
      </w:pPr>
      <w:r w:rsidRPr="009C5151">
        <w:t xml:space="preserve">5. </w:t>
      </w:r>
      <w:r w:rsidRPr="009C5151">
        <w:rPr>
          <w:rStyle w:val="Strong"/>
          <w:b/>
          <w:bCs/>
        </w:rPr>
        <w:t>Double Taxation Avoidance Agreements (DTAAs)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treaty benefit denial for royalty payments under PPT and other anti-abuse provisions.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3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397" w:name="_Toc187623987"/>
      <w:bookmarkStart w:id="398" w:name="_Toc187630707"/>
      <w:bookmarkStart w:id="399" w:name="_Toc187660886"/>
      <w:bookmarkStart w:id="400" w:name="_Toc187661965"/>
      <w:r w:rsidRPr="009C5151">
        <w:rPr>
          <w:rStyle w:val="Strong"/>
          <w:b/>
          <w:bCs/>
          <w:sz w:val="24"/>
          <w:szCs w:val="24"/>
        </w:rPr>
        <w:t>Proposed Solutions</w:t>
      </w:r>
      <w:bookmarkEnd w:id="397"/>
      <w:bookmarkEnd w:id="398"/>
      <w:bookmarkEnd w:id="399"/>
      <w:bookmarkEnd w:id="400"/>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Exports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 xml:space="preserve"> to benchmark ₹600 crore exports. Compare margins with renewable energy manufacturers globally.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validate ₹50 crore paid to Singapore AE for contract R&amp;D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₹35 crore royalty payments using the </w:t>
      </w:r>
      <w:r w:rsidRPr="009C5151">
        <w:rPr>
          <w:rStyle w:val="Strong"/>
          <w:rFonts w:ascii="Times New Roman" w:hAnsi="Times New Roman" w:cs="Times New Roman"/>
          <w:sz w:val="24"/>
          <w:szCs w:val="24"/>
        </w:rPr>
        <w:t>Comparable Uncontrolled Price (CUP) Method</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Interest-Free Loan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Adjust the loan terms to reflect a market interest rate (~6%). Use publicly available benchmarks like LIBOR to justify interest.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Domestic Transactions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benchmark ₹25 crore shared services and ₹15 crore leasing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Form 3CEB with a detailed TP study justifying all international and domestic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3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10% for ₹50 crore paid to the Singapore AE under the India-Singapore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10% for ₹35 crore paid to the Germany AE under the India-Germany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Documentation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Obtain TRCs, Form 10F, and agreements to substantiate WHT deductions.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3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Digital Advertising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EL at 6% on ₹12 crore payments to the USA platform, amounting to ₹72 lakh.</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and remit payments on or before due dates.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3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Shared Services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CPM to benchmark ₹25 crore payments. Validate markups for accounting and operational support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Equipment Leasing</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₹15 crore lease pricing using CUP or third-party data for similar equipment.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Disclose all specified domestic transactions in Form 3CEB.</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4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lastRenderedPageBreak/>
        <w:t>5. Double Taxation Avoidance Agreements (DTAAs)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Demonstrate compliance with PPT and other anti-abuse provisions under the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Document economic substance and business necessity of royalty arrangements.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Anti-Abuse Measures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 transactions with MLI provisions and maintain robust documentation to avoid treaty denial.</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4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01" w:name="_Toc187623988"/>
      <w:bookmarkStart w:id="402" w:name="_Toc187630708"/>
      <w:bookmarkStart w:id="403" w:name="_Toc187660887"/>
      <w:bookmarkStart w:id="404" w:name="_Toc187661966"/>
      <w:r w:rsidRPr="009C5151">
        <w:rPr>
          <w:rStyle w:val="Strong"/>
          <w:b/>
          <w:bCs/>
          <w:sz w:val="24"/>
          <w:szCs w:val="24"/>
        </w:rPr>
        <w:t>Detailed Discussion of Proposed Solutions</w:t>
      </w:r>
      <w:bookmarkEnd w:id="401"/>
      <w:bookmarkEnd w:id="402"/>
      <w:bookmarkEnd w:id="403"/>
      <w:bookmarkEnd w:id="404"/>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4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spacing w:before="0" w:beforeAutospacing="0"/>
      </w:pPr>
      <w:r w:rsidRPr="009C5151">
        <w:t xml:space="preserve">1.1 </w:t>
      </w:r>
      <w:r w:rsidRPr="009C5151">
        <w:rPr>
          <w:rStyle w:val="Strong"/>
        </w:rPr>
        <w:t>Exports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TNMM to benchmark margins for ₹600 crore exports. Compare operating margins with industry peers.</w:t>
      </w:r>
    </w:p>
    <w:p w:rsidR="00A056B6" w:rsidRPr="009C5151" w:rsidRDefault="00A056B6" w:rsidP="00743A5F">
      <w:pPr>
        <w:pStyle w:val="NormalWeb"/>
        <w:spacing w:before="0" w:beforeAutospacing="0"/>
      </w:pPr>
      <w:r w:rsidRPr="009C5151">
        <w:t xml:space="preserve">1.2 </w:t>
      </w:r>
      <w:r w:rsidRPr="009C5151">
        <w:rPr>
          <w:rStyle w:val="Strong"/>
        </w:rPr>
        <w:t>R&amp;D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Justify cost allocations and markups for ₹50 crore payments using CPM. Collect supporting documents, including agreements and invoices.</w:t>
      </w:r>
    </w:p>
    <w:p w:rsidR="00A056B6" w:rsidRPr="009C5151" w:rsidRDefault="00A056B6" w:rsidP="00743A5F">
      <w:pPr>
        <w:pStyle w:val="NormalWeb"/>
        <w:spacing w:before="0" w:beforeAutospacing="0"/>
      </w:pPr>
      <w:r w:rsidRPr="009C5151">
        <w:t xml:space="preserve">1.3 </w:t>
      </w:r>
      <w:r w:rsidRPr="009C5151">
        <w:rPr>
          <w:rStyle w:val="Strong"/>
        </w:rPr>
        <w:t>Royalty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CUP to benchmark ₹35 crore royalty payments. Compare rates for similar technologies in the renewable energy sector.</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4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pStyle w:val="NormalWeb"/>
        <w:spacing w:before="0" w:beforeAutospacing="0"/>
      </w:pPr>
      <w:r w:rsidRPr="009C5151">
        <w:t xml:space="preserve">2.1 </w:t>
      </w:r>
      <w:r w:rsidRPr="009C5151">
        <w:rPr>
          <w:rStyle w:val="Strong"/>
        </w:rPr>
        <w:t>R&amp;D and Royalty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at DTAA rates (10%) and file quarterly TDS returns. Provide Form 16A certificates to recipients.</w:t>
      </w:r>
    </w:p>
    <w:p w:rsidR="00A056B6" w:rsidRPr="009C5151" w:rsidRDefault="00A056B6" w:rsidP="00743A5F">
      <w:pPr>
        <w:pStyle w:val="NormalWeb"/>
        <w:spacing w:before="0" w:beforeAutospacing="0"/>
      </w:pPr>
      <w:r w:rsidRPr="009C5151">
        <w:t xml:space="preserve">2.2 </w:t>
      </w:r>
      <w:r w:rsidRPr="009C5151">
        <w:rPr>
          <w:rStyle w:val="Strong"/>
        </w:rPr>
        <w:t>Documentation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Retain TRCs, Form 10F, and agreements to ensure audit readiness.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4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pStyle w:val="NormalWeb"/>
        <w:spacing w:before="0" w:beforeAutospacing="0"/>
      </w:pPr>
      <w:r w:rsidRPr="009C5151">
        <w:lastRenderedPageBreak/>
        <w:t xml:space="preserve">3.1 </w:t>
      </w:r>
      <w:r w:rsidRPr="009C5151">
        <w:rPr>
          <w:rStyle w:val="Strong"/>
        </w:rPr>
        <w:t>Applicability</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applies to ₹12 crore advertising payments. Calculate and remit ₹72 lakh levy promptly.</w:t>
      </w:r>
    </w:p>
    <w:p w:rsidR="00A056B6" w:rsidRPr="009C5151" w:rsidRDefault="00A056B6" w:rsidP="00743A5F">
      <w:pPr>
        <w:pStyle w:val="NormalWeb"/>
        <w:spacing w:before="0" w:beforeAutospacing="0"/>
      </w:pPr>
      <w:r w:rsidRPr="009C5151">
        <w:t xml:space="preserve">3.2 </w:t>
      </w:r>
      <w:r w:rsidRPr="009C5151">
        <w:rPr>
          <w:rStyle w:val="Strong"/>
        </w:rPr>
        <w:t>Filing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annual EL returns by 30th June of the following financial year.</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4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pStyle w:val="NormalWeb"/>
        <w:spacing w:before="0" w:beforeAutospacing="0"/>
      </w:pPr>
      <w:r w:rsidRPr="009C5151">
        <w:t xml:space="preserve">4.1 </w:t>
      </w:r>
      <w:r w:rsidRPr="009C5151">
        <w:rPr>
          <w:rStyle w:val="Strong"/>
        </w:rPr>
        <w:t>Benchmarking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CPM or CUP for ₹25 crore shared services and ₹15 crore leasing payments. Justify pricing with third-party comparables.</w:t>
      </w:r>
    </w:p>
    <w:p w:rsidR="00A056B6" w:rsidRPr="009C5151" w:rsidRDefault="00A056B6" w:rsidP="00743A5F">
      <w:pPr>
        <w:pStyle w:val="NormalWeb"/>
        <w:spacing w:before="0" w:beforeAutospacing="0"/>
      </w:pPr>
      <w:r w:rsidRPr="009C5151">
        <w:t xml:space="preserve">4.2 </w:t>
      </w:r>
      <w:r w:rsidRPr="009C5151">
        <w:rPr>
          <w:rStyle w:val="Strong"/>
        </w:rPr>
        <w:t>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Disclose all transactions in Form 3CEB. Maintain detailed documentation to support arm’s length pricing.</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4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Double Taxation Avoidance Agreements (DTAAs)</w:t>
      </w:r>
    </w:p>
    <w:p w:rsidR="00A056B6" w:rsidRPr="009C5151" w:rsidRDefault="00A056B6" w:rsidP="00743A5F">
      <w:pPr>
        <w:pStyle w:val="NormalWeb"/>
        <w:spacing w:before="0" w:beforeAutospacing="0"/>
      </w:pPr>
      <w:r w:rsidRPr="009C5151">
        <w:t xml:space="preserve">5.1 </w:t>
      </w:r>
      <w:r w:rsidRPr="009C5151">
        <w:rPr>
          <w:rStyle w:val="Strong"/>
        </w:rPr>
        <w:t>Royalty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Meet PPT requirements by documenting the commercial necessity of royalty payments. Maintain agreements and correspondences to demonstrate business purpose.</w:t>
      </w:r>
    </w:p>
    <w:p w:rsidR="00A056B6" w:rsidRPr="009C5151" w:rsidRDefault="00A056B6" w:rsidP="00743A5F">
      <w:pPr>
        <w:pStyle w:val="NormalWeb"/>
        <w:spacing w:before="0" w:beforeAutospacing="0"/>
      </w:pPr>
      <w:r w:rsidRPr="009C5151">
        <w:t xml:space="preserve">5.2 </w:t>
      </w:r>
      <w:r w:rsidRPr="009C5151">
        <w:rPr>
          <w:rStyle w:val="Strong"/>
        </w:rPr>
        <w:t>Anti-Abuse Provisions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Align transactions with MLI rules and demonstrate economic substance for treaty benefits.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4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05" w:name="_Toc187623989"/>
      <w:bookmarkStart w:id="406" w:name="_Toc187630709"/>
      <w:bookmarkStart w:id="407" w:name="_Toc187660888"/>
      <w:bookmarkStart w:id="408" w:name="_Toc187661967"/>
      <w:r w:rsidRPr="009C5151">
        <w:rPr>
          <w:rStyle w:val="Strong"/>
          <w:b/>
          <w:bCs/>
          <w:sz w:val="24"/>
          <w:szCs w:val="24"/>
        </w:rPr>
        <w:t>Conclusion</w:t>
      </w:r>
      <w:bookmarkEnd w:id="405"/>
      <w:bookmarkEnd w:id="406"/>
      <w:bookmarkEnd w:id="407"/>
      <w:bookmarkEnd w:id="408"/>
    </w:p>
    <w:p w:rsidR="00A056B6" w:rsidRPr="009C5151" w:rsidRDefault="00A056B6" w:rsidP="00743A5F">
      <w:pPr>
        <w:pStyle w:val="NormalWeb"/>
        <w:spacing w:before="0" w:beforeAutospacing="0"/>
      </w:pPr>
      <w:r w:rsidRPr="009C5151">
        <w:t>To address its challenges, CleanEnergy Pvt. Ltd. should:</w:t>
      </w:r>
    </w:p>
    <w:p w:rsidR="00A056B6" w:rsidRPr="009C5151" w:rsidRDefault="00A056B6" w:rsidP="00743A5F">
      <w:pPr>
        <w:pStyle w:val="NormalWeb"/>
        <w:tabs>
          <w:tab w:val="num" w:pos="720"/>
        </w:tabs>
        <w:spacing w:before="0" w:beforeAutospacing="0"/>
        <w:ind w:left="720" w:hanging="360"/>
      </w:pPr>
      <w:r w:rsidRPr="009C5151">
        <w:rPr>
          <w:rStyle w:val="Strong"/>
        </w:rPr>
        <w:t>Enhance TP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international and domestic transactions using robust methods. File Form 3CEB.</w:t>
      </w:r>
    </w:p>
    <w:p w:rsidR="00A056B6" w:rsidRPr="009C5151" w:rsidRDefault="00A056B6" w:rsidP="00743A5F">
      <w:pPr>
        <w:pStyle w:val="NormalWeb"/>
        <w:tabs>
          <w:tab w:val="num" w:pos="720"/>
        </w:tabs>
        <w:spacing w:before="0" w:beforeAutospacing="0"/>
        <w:ind w:left="720" w:hanging="360"/>
      </w:pPr>
      <w:r w:rsidRPr="009C5151">
        <w:rPr>
          <w:rStyle w:val="Strong"/>
        </w:rPr>
        <w:t>Ensure WHT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treaty rates for R&amp;D and royalty payments. Maintain TRCs and related documentation.</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Focus on EL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for digital advertising payments and remit the levy on time.</w:t>
      </w:r>
    </w:p>
    <w:p w:rsidR="00A056B6" w:rsidRPr="009C5151" w:rsidRDefault="00A056B6" w:rsidP="00743A5F">
      <w:pPr>
        <w:pStyle w:val="NormalWeb"/>
        <w:tabs>
          <w:tab w:val="num" w:pos="720"/>
        </w:tabs>
        <w:spacing w:before="0" w:beforeAutospacing="0"/>
        <w:ind w:left="720" w:hanging="360"/>
      </w:pPr>
      <w:r w:rsidRPr="009C5151">
        <w:rPr>
          <w:rStyle w:val="Strong"/>
        </w:rPr>
        <w:t>Review Domestic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shared services and leasing transactions. Disclose in Form 3CEB.</w:t>
      </w:r>
    </w:p>
    <w:p w:rsidR="00A056B6" w:rsidRPr="009C5151" w:rsidRDefault="00A056B6" w:rsidP="00743A5F">
      <w:pPr>
        <w:pStyle w:val="NormalWeb"/>
        <w:tabs>
          <w:tab w:val="num" w:pos="720"/>
        </w:tabs>
        <w:spacing w:before="0" w:beforeAutospacing="0"/>
        <w:ind w:left="720" w:hanging="360"/>
      </w:pPr>
      <w:r w:rsidRPr="009C5151">
        <w:rPr>
          <w:rStyle w:val="Strong"/>
        </w:rPr>
        <w:t>Mitigate Treaty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 royalty and other cross-border payments with PPT and anti-abuse provisions. Maintain comprehensive documentation.</w:t>
      </w:r>
    </w:p>
    <w:p w:rsidR="00A056B6" w:rsidRPr="009C5151" w:rsidRDefault="00A056B6" w:rsidP="00743A5F">
      <w:pPr>
        <w:pStyle w:val="NormalWeb"/>
        <w:spacing w:before="0" w:beforeAutospacing="0"/>
      </w:pPr>
      <w:r w:rsidRPr="009C5151">
        <w:t>By implementing these solutions, CleanEnergy Pvt. Ltd. can ensure compliance, minimize risks, and streamline its global and domestic operations effectively.</w:t>
      </w:r>
    </w:p>
    <w:p w:rsidR="00A056B6" w:rsidRPr="009C5151" w:rsidRDefault="00A056B6" w:rsidP="00743A5F">
      <w:pPr>
        <w:pStyle w:val="NormalWeb"/>
        <w:spacing w:before="0" w:beforeAutospacing="0"/>
      </w:pPr>
      <w:r w:rsidRPr="009C5151">
        <w:t>Would you like additional templates for compliance documentation or assistance with any specific filings?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additional templates for compliance documentation or assistance</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7D523B53" wp14:editId="56BAED84">
            <wp:extent cx="763905" cy="763905"/>
            <wp:effectExtent l="0" t="0" r="0" b="0"/>
            <wp:docPr id="310" name="Picture 31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0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409" w:name="_Toc187623990"/>
      <w:bookmarkStart w:id="410" w:name="_Toc187630710"/>
      <w:bookmarkStart w:id="411" w:name="_Toc187660889"/>
      <w:bookmarkStart w:id="412" w:name="_Toc187661968"/>
      <w:r w:rsidRPr="009C5151">
        <w:rPr>
          <w:rStyle w:val="Strong"/>
          <w:b/>
          <w:bCs/>
          <w:sz w:val="24"/>
          <w:szCs w:val="24"/>
        </w:rPr>
        <w:t>Additional Templates for Compliance Documentation and Assistance</w:t>
      </w:r>
      <w:bookmarkEnd w:id="409"/>
      <w:bookmarkEnd w:id="410"/>
      <w:bookmarkEnd w:id="411"/>
      <w:bookmarkEnd w:id="412"/>
    </w:p>
    <w:p w:rsidR="00A056B6" w:rsidRPr="009C5151" w:rsidRDefault="00A056B6" w:rsidP="00743A5F">
      <w:pPr>
        <w:pStyle w:val="NormalWeb"/>
        <w:spacing w:before="0" w:beforeAutospacing="0"/>
      </w:pPr>
      <w:r w:rsidRPr="009C5151">
        <w:t xml:space="preserve">Here are structured templates and examples for </w:t>
      </w:r>
      <w:r w:rsidRPr="009C5151">
        <w:rPr>
          <w:rStyle w:val="Strong"/>
        </w:rPr>
        <w:t>Transfer Pricing (TP) documentation</w:t>
      </w:r>
      <w:r w:rsidRPr="009C5151">
        <w:t xml:space="preserve">, </w:t>
      </w:r>
      <w:r w:rsidRPr="009C5151">
        <w:rPr>
          <w:rStyle w:val="Strong"/>
        </w:rPr>
        <w:t>Equalization Levy (EL)</w:t>
      </w:r>
      <w:r w:rsidRPr="009C5151">
        <w:t xml:space="preserve"> filings, and </w:t>
      </w:r>
      <w:r w:rsidRPr="009C5151">
        <w:rPr>
          <w:rStyle w:val="Strong"/>
        </w:rPr>
        <w:t>Withholding Tax (WHT)</w:t>
      </w:r>
      <w:r w:rsidRPr="009C5151">
        <w:t xml:space="preserve"> compliance to streamline your reporting and compliance processes.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4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13" w:name="_Toc187623991"/>
      <w:bookmarkStart w:id="414" w:name="_Toc187630711"/>
      <w:bookmarkStart w:id="415" w:name="_Toc187660890"/>
      <w:bookmarkStart w:id="416" w:name="_Toc187661969"/>
      <w:r w:rsidRPr="009C5151">
        <w:rPr>
          <w:rStyle w:val="Strong"/>
          <w:b/>
          <w:bCs/>
          <w:sz w:val="24"/>
          <w:szCs w:val="24"/>
        </w:rPr>
        <w:t>I. Template for TP Documentation</w:t>
      </w:r>
      <w:bookmarkEnd w:id="413"/>
      <w:bookmarkEnd w:id="414"/>
      <w:bookmarkEnd w:id="415"/>
      <w:bookmarkEnd w:id="416"/>
    </w:p>
    <w:p w:rsidR="00A056B6" w:rsidRPr="009C5151" w:rsidRDefault="00A056B6" w:rsidP="00743A5F">
      <w:pPr>
        <w:pStyle w:val="Heading4"/>
        <w:spacing w:before="0" w:beforeAutospacing="0"/>
      </w:pPr>
      <w:r w:rsidRPr="009C5151">
        <w:rPr>
          <w:rStyle w:val="Strong"/>
          <w:b/>
          <w:bCs/>
        </w:rPr>
        <w:t>1. TP Documentation Index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8"/>
        <w:gridCol w:w="6581"/>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Section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Details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 Executive Summary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Overview of group operations, transactions, and methodology used.</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 Functional Analysis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Roles, risks, and assets of the entity and its AEs.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 Industry Overview</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Insights into the renewable energy sector and global trends.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 Economic Analysis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Benchmarking results for international/domestic transactions.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5. Financial Results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Comparables analysis and ALP determination.</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4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Functional Analysis Template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2"/>
        <w:gridCol w:w="3434"/>
        <w:gridCol w:w="3180"/>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CleanEnergy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AEs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Research &amp; Development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Limited (outsourced to Singapore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Extensive (Singapore AE owns IP).</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Full-fledged production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Supportive in some locations.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Significant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Localized by AEs.</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5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Benchmarking Analysis Template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4"/>
        <w:gridCol w:w="1355"/>
        <w:gridCol w:w="2369"/>
        <w:gridCol w:w="1683"/>
        <w:gridCol w:w="1495"/>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Comparables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ALP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Margin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 of Solar Panels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 renewable energy firms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14%</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 technology licenses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₹32-₹38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₹35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 service providers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 markup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5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TP Study Executive Summary</w:t>
      </w:r>
    </w:p>
    <w:p w:rsidR="00A056B6" w:rsidRPr="009C5151" w:rsidRDefault="00A056B6" w:rsidP="00743A5F">
      <w:pPr>
        <w:pStyle w:val="HTMLPreformatted"/>
        <w:rPr>
          <w:rFonts w:ascii="Times New Roman" w:hAnsi="Times New Roman" w:cs="Times New Roman"/>
          <w:sz w:val="24"/>
          <w:szCs w:val="24"/>
        </w:rPr>
      </w:pPr>
      <w:r w:rsidRPr="009C5151">
        <w:rPr>
          <w:rFonts w:ascii="Times New Roman" w:hAnsi="Times New Roman" w:cs="Times New Roman"/>
          <w:sz w:val="24"/>
          <w:szCs w:val="24"/>
        </w:rPr>
        <w:t>sql</w:t>
      </w:r>
    </w:p>
    <w:p w:rsidR="00A056B6" w:rsidRPr="009C5151" w:rsidRDefault="00A056B6" w:rsidP="00743A5F">
      <w:pPr>
        <w:pStyle w:val="HTMLPreformatted"/>
        <w:rPr>
          <w:rFonts w:ascii="Times New Roman" w:hAnsi="Times New Roman" w:cs="Times New Roman"/>
          <w:sz w:val="24"/>
          <w:szCs w:val="24"/>
        </w:rPr>
      </w:pPr>
      <w:r w:rsidRPr="009C5151">
        <w:rPr>
          <w:rFonts w:ascii="Times New Roman" w:hAnsi="Times New Roman" w:cs="Times New Roman"/>
          <w:sz w:val="24"/>
          <w:szCs w:val="24"/>
        </w:rPr>
        <w:t>Copy code</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 xml:space="preserve">Objective: </w:t>
      </w:r>
      <w:r w:rsidRPr="009C5151">
        <w:rPr>
          <w:rStyle w:val="hljs-keyword"/>
          <w:rFonts w:ascii="Times New Roman" w:hAnsi="Times New Roman" w:cs="Times New Roman"/>
          <w:sz w:val="24"/>
          <w:szCs w:val="24"/>
        </w:rPr>
        <w:t>To</w:t>
      </w:r>
      <w:r w:rsidRPr="009C5151">
        <w:rPr>
          <w:rStyle w:val="HTMLCode"/>
          <w:rFonts w:ascii="Times New Roman" w:hAnsi="Times New Roman" w:cs="Times New Roman"/>
          <w:sz w:val="24"/>
          <w:szCs w:val="24"/>
        </w:rPr>
        <w:t xml:space="preserve"> analyze international </w:t>
      </w:r>
      <w:r w:rsidRPr="009C5151">
        <w:rPr>
          <w:rStyle w:val="hljs-keyword"/>
          <w:rFonts w:ascii="Times New Roman" w:hAnsi="Times New Roman" w:cs="Times New Roman"/>
          <w:sz w:val="24"/>
          <w:szCs w:val="24"/>
        </w:rPr>
        <w:t>and</w:t>
      </w:r>
      <w:r w:rsidRPr="009C5151">
        <w:rPr>
          <w:rStyle w:val="HTMLCode"/>
          <w:rFonts w:ascii="Times New Roman" w:hAnsi="Times New Roman" w:cs="Times New Roman"/>
          <w:sz w:val="24"/>
          <w:szCs w:val="24"/>
        </w:rPr>
        <w:t xml:space="preserve"> specified domestic transactions </w:t>
      </w:r>
      <w:r w:rsidRPr="009C5151">
        <w:rPr>
          <w:rStyle w:val="hljs-keyword"/>
          <w:rFonts w:ascii="Times New Roman" w:hAnsi="Times New Roman" w:cs="Times New Roman"/>
          <w:sz w:val="24"/>
          <w:szCs w:val="24"/>
        </w:rPr>
        <w:t>of</w:t>
      </w:r>
      <w:r w:rsidRPr="009C5151">
        <w:rPr>
          <w:rStyle w:val="HTMLCode"/>
          <w:rFonts w:ascii="Times New Roman" w:hAnsi="Times New Roman" w:cs="Times New Roman"/>
          <w:sz w:val="24"/>
          <w:szCs w:val="24"/>
        </w:rPr>
        <w:t xml:space="preserve"> CleanEnergy Pvt. Ltd. </w:t>
      </w:r>
      <w:r w:rsidRPr="009C5151">
        <w:rPr>
          <w:rStyle w:val="hljs-keyword"/>
          <w:rFonts w:ascii="Times New Roman" w:hAnsi="Times New Roman" w:cs="Times New Roman"/>
          <w:sz w:val="24"/>
          <w:szCs w:val="24"/>
        </w:rPr>
        <w:t>with</w:t>
      </w:r>
      <w:r w:rsidRPr="009C5151">
        <w:rPr>
          <w:rStyle w:val="HTMLCode"/>
          <w:rFonts w:ascii="Times New Roman" w:hAnsi="Times New Roman" w:cs="Times New Roman"/>
          <w:sz w:val="24"/>
          <w:szCs w:val="24"/>
        </w:rPr>
        <w:t xml:space="preserve"> associated enterprises </w:t>
      </w:r>
      <w:r w:rsidRPr="009C5151">
        <w:rPr>
          <w:rStyle w:val="hljs-keyword"/>
          <w:rFonts w:ascii="Times New Roman" w:hAnsi="Times New Roman" w:cs="Times New Roman"/>
          <w:sz w:val="24"/>
          <w:szCs w:val="24"/>
        </w:rPr>
        <w:t>for</w:t>
      </w:r>
      <w:r w:rsidRPr="009C5151">
        <w:rPr>
          <w:rStyle w:val="HTMLCode"/>
          <w:rFonts w:ascii="Times New Roman" w:hAnsi="Times New Roman" w:cs="Times New Roman"/>
          <w:sz w:val="24"/>
          <w:szCs w:val="24"/>
        </w:rPr>
        <w:t xml:space="preserve"> compliance </w:t>
      </w:r>
      <w:r w:rsidRPr="009C5151">
        <w:rPr>
          <w:rStyle w:val="hljs-keyword"/>
          <w:rFonts w:ascii="Times New Roman" w:hAnsi="Times New Roman" w:cs="Times New Roman"/>
          <w:sz w:val="24"/>
          <w:szCs w:val="24"/>
        </w:rPr>
        <w:t>with</w:t>
      </w:r>
      <w:r w:rsidRPr="009C5151">
        <w:rPr>
          <w:rStyle w:val="HTMLCode"/>
          <w:rFonts w:ascii="Times New Roman" w:hAnsi="Times New Roman" w:cs="Times New Roman"/>
          <w:sz w:val="24"/>
          <w:szCs w:val="24"/>
        </w:rPr>
        <w:t xml:space="preserve"> Section </w:t>
      </w:r>
      <w:r w:rsidRPr="009C5151">
        <w:rPr>
          <w:rStyle w:val="hljs-number"/>
          <w:rFonts w:ascii="Times New Roman" w:hAnsi="Times New Roman" w:cs="Times New Roman"/>
          <w:sz w:val="24"/>
          <w:szCs w:val="24"/>
        </w:rPr>
        <w:t>92</w:t>
      </w:r>
      <w:r w:rsidRPr="009C5151">
        <w:rPr>
          <w:rStyle w:val="HTMLCode"/>
          <w:rFonts w:ascii="Times New Roman" w:hAnsi="Times New Roman" w:cs="Times New Roman"/>
          <w:sz w:val="24"/>
          <w:szCs w:val="24"/>
        </w:rPr>
        <w:t xml:space="preserve"> </w:t>
      </w:r>
      <w:r w:rsidRPr="009C5151">
        <w:rPr>
          <w:rStyle w:val="hljs-keyword"/>
          <w:rFonts w:ascii="Times New Roman" w:hAnsi="Times New Roman" w:cs="Times New Roman"/>
          <w:sz w:val="24"/>
          <w:szCs w:val="24"/>
        </w:rPr>
        <w:t>of</w:t>
      </w:r>
      <w:r w:rsidRPr="009C5151">
        <w:rPr>
          <w:rStyle w:val="HTMLCode"/>
          <w:rFonts w:ascii="Times New Roman" w:hAnsi="Times New Roman" w:cs="Times New Roman"/>
          <w:sz w:val="24"/>
          <w:szCs w:val="24"/>
        </w:rPr>
        <w:t xml:space="preserve"> the Income</w:t>
      </w:r>
      <w:r w:rsidRPr="009C5151">
        <w:rPr>
          <w:rStyle w:val="hljs-operator"/>
          <w:rFonts w:ascii="Times New Roman" w:hAnsi="Times New Roman" w:cs="Times New Roman"/>
          <w:sz w:val="24"/>
          <w:szCs w:val="24"/>
        </w:rPr>
        <w:t>-</w:t>
      </w:r>
      <w:r w:rsidRPr="009C5151">
        <w:rPr>
          <w:rStyle w:val="HTMLCode"/>
          <w:rFonts w:ascii="Times New Roman" w:hAnsi="Times New Roman" w:cs="Times New Roman"/>
          <w:sz w:val="24"/>
          <w:szCs w:val="24"/>
        </w:rPr>
        <w:t xml:space="preserve">tax Act, </w:t>
      </w:r>
      <w:r w:rsidRPr="009C5151">
        <w:rPr>
          <w:rStyle w:val="hljs-number"/>
          <w:rFonts w:ascii="Times New Roman" w:hAnsi="Times New Roman" w:cs="Times New Roman"/>
          <w:sz w:val="24"/>
          <w:szCs w:val="24"/>
        </w:rPr>
        <w:t>1961.</w:t>
      </w:r>
    </w:p>
    <w:p w:rsidR="00A056B6" w:rsidRPr="009C5151" w:rsidRDefault="00A056B6" w:rsidP="00743A5F">
      <w:pPr>
        <w:pStyle w:val="HTMLPreformatted"/>
        <w:rPr>
          <w:rStyle w:val="HTMLCode"/>
          <w:rFonts w:ascii="Times New Roman" w:hAnsi="Times New Roman" w:cs="Times New Roman"/>
          <w:sz w:val="24"/>
          <w:szCs w:val="24"/>
        </w:rPr>
      </w:pP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Key Transactions:</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ljs-number"/>
          <w:rFonts w:ascii="Times New Roman" w:hAnsi="Times New Roman" w:cs="Times New Roman"/>
          <w:sz w:val="24"/>
          <w:szCs w:val="24"/>
        </w:rPr>
        <w:t>1.</w:t>
      </w:r>
      <w:r w:rsidRPr="009C5151">
        <w:rPr>
          <w:rStyle w:val="HTMLCode"/>
          <w:rFonts w:ascii="Times New Roman" w:hAnsi="Times New Roman" w:cs="Times New Roman"/>
          <w:sz w:val="24"/>
          <w:szCs w:val="24"/>
        </w:rPr>
        <w:t xml:space="preserve"> Export </w:t>
      </w:r>
      <w:r w:rsidRPr="009C5151">
        <w:rPr>
          <w:rStyle w:val="hljs-keyword"/>
          <w:rFonts w:ascii="Times New Roman" w:hAnsi="Times New Roman" w:cs="Times New Roman"/>
          <w:sz w:val="24"/>
          <w:szCs w:val="24"/>
        </w:rPr>
        <w:t>of</w:t>
      </w:r>
      <w:r w:rsidRPr="009C5151">
        <w:rPr>
          <w:rStyle w:val="HTMLCode"/>
          <w:rFonts w:ascii="Times New Roman" w:hAnsi="Times New Roman" w:cs="Times New Roman"/>
          <w:sz w:val="24"/>
          <w:szCs w:val="24"/>
        </w:rPr>
        <w:t xml:space="preserve"> Solar Panels: ₹</w:t>
      </w:r>
      <w:r w:rsidRPr="009C5151">
        <w:rPr>
          <w:rStyle w:val="hljs-number"/>
          <w:rFonts w:ascii="Times New Roman" w:hAnsi="Times New Roman" w:cs="Times New Roman"/>
          <w:sz w:val="24"/>
          <w:szCs w:val="24"/>
        </w:rPr>
        <w:t>600</w:t>
      </w:r>
      <w:r w:rsidRPr="009C5151">
        <w:rPr>
          <w:rStyle w:val="HTMLCode"/>
          <w:rFonts w:ascii="Times New Roman" w:hAnsi="Times New Roman" w:cs="Times New Roman"/>
          <w:sz w:val="24"/>
          <w:szCs w:val="24"/>
        </w:rPr>
        <w:t xml:space="preserve"> crore (TNMM </w:t>
      </w:r>
      <w:r w:rsidRPr="009C5151">
        <w:rPr>
          <w:rStyle w:val="hljs-keyword"/>
          <w:rFonts w:ascii="Times New Roman" w:hAnsi="Times New Roman" w:cs="Times New Roman"/>
          <w:sz w:val="24"/>
          <w:szCs w:val="24"/>
        </w:rPr>
        <w:t>method</w:t>
      </w:r>
      <w:r w:rsidRPr="009C5151">
        <w:rPr>
          <w:rStyle w:val="HTMLCode"/>
          <w:rFonts w:ascii="Times New Roman" w:hAnsi="Times New Roman" w:cs="Times New Roman"/>
          <w:sz w:val="24"/>
          <w:szCs w:val="24"/>
        </w:rPr>
        <w:t xml:space="preserve"> applied).</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ljs-number"/>
          <w:rFonts w:ascii="Times New Roman" w:hAnsi="Times New Roman" w:cs="Times New Roman"/>
          <w:sz w:val="24"/>
          <w:szCs w:val="24"/>
        </w:rPr>
        <w:t>2.</w:t>
      </w:r>
      <w:r w:rsidRPr="009C5151">
        <w:rPr>
          <w:rStyle w:val="HTMLCode"/>
          <w:rFonts w:ascii="Times New Roman" w:hAnsi="Times New Roman" w:cs="Times New Roman"/>
          <w:sz w:val="24"/>
          <w:szCs w:val="24"/>
        </w:rPr>
        <w:t xml:space="preserve"> Royalty Payments: ₹</w:t>
      </w:r>
      <w:r w:rsidRPr="009C5151">
        <w:rPr>
          <w:rStyle w:val="hljs-number"/>
          <w:rFonts w:ascii="Times New Roman" w:hAnsi="Times New Roman" w:cs="Times New Roman"/>
          <w:sz w:val="24"/>
          <w:szCs w:val="24"/>
        </w:rPr>
        <w:t>35</w:t>
      </w:r>
      <w:r w:rsidRPr="009C5151">
        <w:rPr>
          <w:rStyle w:val="HTMLCode"/>
          <w:rFonts w:ascii="Times New Roman" w:hAnsi="Times New Roman" w:cs="Times New Roman"/>
          <w:sz w:val="24"/>
          <w:szCs w:val="24"/>
        </w:rPr>
        <w:t xml:space="preserve"> crore (CUP </w:t>
      </w:r>
      <w:r w:rsidRPr="009C5151">
        <w:rPr>
          <w:rStyle w:val="hljs-keyword"/>
          <w:rFonts w:ascii="Times New Roman" w:hAnsi="Times New Roman" w:cs="Times New Roman"/>
          <w:sz w:val="24"/>
          <w:szCs w:val="24"/>
        </w:rPr>
        <w:t>method</w:t>
      </w:r>
      <w:r w:rsidRPr="009C5151">
        <w:rPr>
          <w:rStyle w:val="HTMLCode"/>
          <w:rFonts w:ascii="Times New Roman" w:hAnsi="Times New Roman" w:cs="Times New Roman"/>
          <w:sz w:val="24"/>
          <w:szCs w:val="24"/>
        </w:rPr>
        <w:t xml:space="preserve"> applied).</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ljs-number"/>
          <w:rFonts w:ascii="Times New Roman" w:hAnsi="Times New Roman" w:cs="Times New Roman"/>
          <w:sz w:val="24"/>
          <w:szCs w:val="24"/>
        </w:rPr>
        <w:t>3.</w:t>
      </w:r>
      <w:r w:rsidRPr="009C5151">
        <w:rPr>
          <w:rStyle w:val="HTMLCode"/>
          <w:rFonts w:ascii="Times New Roman" w:hAnsi="Times New Roman" w:cs="Times New Roman"/>
          <w:sz w:val="24"/>
          <w:szCs w:val="24"/>
        </w:rPr>
        <w:t xml:space="preserve"> R</w:t>
      </w:r>
      <w:r w:rsidRPr="009C5151">
        <w:rPr>
          <w:rStyle w:val="hljs-operator"/>
          <w:rFonts w:ascii="Times New Roman" w:hAnsi="Times New Roman" w:cs="Times New Roman"/>
          <w:sz w:val="24"/>
          <w:szCs w:val="24"/>
        </w:rPr>
        <w:t>&amp;</w:t>
      </w:r>
      <w:r w:rsidRPr="009C5151">
        <w:rPr>
          <w:rStyle w:val="HTMLCode"/>
          <w:rFonts w:ascii="Times New Roman" w:hAnsi="Times New Roman" w:cs="Times New Roman"/>
          <w:sz w:val="24"/>
          <w:szCs w:val="24"/>
        </w:rPr>
        <w:t>D Payments: ₹</w:t>
      </w:r>
      <w:r w:rsidRPr="009C5151">
        <w:rPr>
          <w:rStyle w:val="hljs-number"/>
          <w:rFonts w:ascii="Times New Roman" w:hAnsi="Times New Roman" w:cs="Times New Roman"/>
          <w:sz w:val="24"/>
          <w:szCs w:val="24"/>
        </w:rPr>
        <w:t>50</w:t>
      </w:r>
      <w:r w:rsidRPr="009C5151">
        <w:rPr>
          <w:rStyle w:val="HTMLCode"/>
          <w:rFonts w:ascii="Times New Roman" w:hAnsi="Times New Roman" w:cs="Times New Roman"/>
          <w:sz w:val="24"/>
          <w:szCs w:val="24"/>
        </w:rPr>
        <w:t xml:space="preserve"> crore (CPM applied).</w:t>
      </w:r>
    </w:p>
    <w:p w:rsidR="00A056B6" w:rsidRPr="009C5151" w:rsidRDefault="00A056B6" w:rsidP="00743A5F">
      <w:pPr>
        <w:pStyle w:val="HTMLPreformatted"/>
        <w:rPr>
          <w:rStyle w:val="HTMLCode"/>
          <w:rFonts w:ascii="Times New Roman" w:hAnsi="Times New Roman" w:cs="Times New Roman"/>
          <w:sz w:val="24"/>
          <w:szCs w:val="24"/>
        </w:rPr>
      </w:pP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 xml:space="preserve">Conclusion: </w:t>
      </w:r>
      <w:r w:rsidRPr="009C5151">
        <w:rPr>
          <w:rStyle w:val="hljs-keyword"/>
          <w:rFonts w:ascii="Times New Roman" w:hAnsi="Times New Roman" w:cs="Times New Roman"/>
          <w:sz w:val="24"/>
          <w:szCs w:val="24"/>
        </w:rPr>
        <w:t>All</w:t>
      </w:r>
      <w:r w:rsidRPr="009C5151">
        <w:rPr>
          <w:rStyle w:val="HTMLCode"/>
          <w:rFonts w:ascii="Times New Roman" w:hAnsi="Times New Roman" w:cs="Times New Roman"/>
          <w:sz w:val="24"/>
          <w:szCs w:val="24"/>
        </w:rPr>
        <w:t xml:space="preserve"> transactions </w:t>
      </w:r>
      <w:r w:rsidRPr="009C5151">
        <w:rPr>
          <w:rStyle w:val="hljs-keyword"/>
          <w:rFonts w:ascii="Times New Roman" w:hAnsi="Times New Roman" w:cs="Times New Roman"/>
          <w:sz w:val="24"/>
          <w:szCs w:val="24"/>
        </w:rPr>
        <w:t>are</w:t>
      </w:r>
      <w:r w:rsidRPr="009C5151">
        <w:rPr>
          <w:rStyle w:val="HTMLCode"/>
          <w:rFonts w:ascii="Times New Roman" w:hAnsi="Times New Roman" w:cs="Times New Roman"/>
          <w:sz w:val="24"/>
          <w:szCs w:val="24"/>
        </w:rPr>
        <w:t xml:space="preserve"> </w:t>
      </w:r>
      <w:r w:rsidRPr="009C5151">
        <w:rPr>
          <w:rStyle w:val="hljs-keyword"/>
          <w:rFonts w:ascii="Times New Roman" w:hAnsi="Times New Roman" w:cs="Times New Roman"/>
          <w:sz w:val="24"/>
          <w:szCs w:val="24"/>
        </w:rPr>
        <w:t>within</w:t>
      </w:r>
      <w:r w:rsidRPr="009C5151">
        <w:rPr>
          <w:rStyle w:val="HTMLCode"/>
          <w:rFonts w:ascii="Times New Roman" w:hAnsi="Times New Roman" w:cs="Times New Roman"/>
          <w:sz w:val="24"/>
          <w:szCs w:val="24"/>
        </w:rPr>
        <w:t xml:space="preserve"> the arm’s length price (ALP) based </w:t>
      </w:r>
      <w:r w:rsidRPr="009C5151">
        <w:rPr>
          <w:rStyle w:val="hljs-keyword"/>
          <w:rFonts w:ascii="Times New Roman" w:hAnsi="Times New Roman" w:cs="Times New Roman"/>
          <w:sz w:val="24"/>
          <w:szCs w:val="24"/>
        </w:rPr>
        <w:t>on</w:t>
      </w:r>
      <w:r w:rsidRPr="009C5151">
        <w:rPr>
          <w:rStyle w:val="HTMLCode"/>
          <w:rFonts w:ascii="Times New Roman" w:hAnsi="Times New Roman" w:cs="Times New Roman"/>
          <w:sz w:val="24"/>
          <w:szCs w:val="24"/>
        </w:rPr>
        <w:t xml:space="preserve"> benchmarking results.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5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17" w:name="_Toc187623992"/>
      <w:bookmarkStart w:id="418" w:name="_Toc187630712"/>
      <w:bookmarkStart w:id="419" w:name="_Toc187660891"/>
      <w:bookmarkStart w:id="420" w:name="_Toc187661970"/>
      <w:r w:rsidRPr="009C5151">
        <w:rPr>
          <w:rStyle w:val="Strong"/>
          <w:b/>
          <w:bCs/>
          <w:sz w:val="24"/>
          <w:szCs w:val="24"/>
        </w:rPr>
        <w:t>II. Template for Equalization Levy (EL) Compliance</w:t>
      </w:r>
      <w:bookmarkEnd w:id="417"/>
      <w:bookmarkEnd w:id="418"/>
      <w:bookmarkEnd w:id="419"/>
      <w:bookmarkEnd w:id="420"/>
    </w:p>
    <w:p w:rsidR="00A056B6" w:rsidRPr="009C5151" w:rsidRDefault="00A056B6" w:rsidP="00743A5F">
      <w:pPr>
        <w:pStyle w:val="Heading4"/>
        <w:spacing w:before="0" w:beforeAutospacing="0"/>
      </w:pPr>
      <w:r w:rsidRPr="009C5151">
        <w:rPr>
          <w:rStyle w:val="Strong"/>
          <w:b/>
          <w:bCs/>
        </w:rPr>
        <w:t>1. EL Computation Sheet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9"/>
        <w:gridCol w:w="1240"/>
        <w:gridCol w:w="920"/>
        <w:gridCol w:w="1636"/>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lastRenderedPageBreak/>
              <w:t>Particulars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EL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EL Amount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Digital Advertising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₹72 lakh</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5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EL Filing Checklist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22"/>
        <w:gridCol w:w="3853"/>
        <w:gridCol w:w="1689"/>
        <w:gridCol w:w="86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Step</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Action Required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Deadline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Status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Identify applicable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Review payments to non-resident platforms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Ongoing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Compute levy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Apply 6% on applicable transactions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Monthly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Deposit EL</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Remit via Challan ITNS 285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each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File annual return (Form 1)</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Submit return for EL</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30th June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Pending</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5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Template for EL Challan ITNS 285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2"/>
        <w:gridCol w:w="2835"/>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Particulars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Details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Assessment Year</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2024-25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Type of Deduction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Equalization Levy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Total EL Amount (₹)</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₹72,00,000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Mode of Payment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Net Banking/Credit Transfer</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5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21" w:name="_Toc187623993"/>
      <w:bookmarkStart w:id="422" w:name="_Toc187630713"/>
      <w:bookmarkStart w:id="423" w:name="_Toc187660892"/>
      <w:bookmarkStart w:id="424" w:name="_Toc187661971"/>
      <w:r w:rsidRPr="009C5151">
        <w:rPr>
          <w:rStyle w:val="Strong"/>
          <w:b/>
          <w:bCs/>
          <w:sz w:val="24"/>
          <w:szCs w:val="24"/>
        </w:rPr>
        <w:t>III. Template for Withholding Tax (WHT) Compliance</w:t>
      </w:r>
      <w:bookmarkEnd w:id="421"/>
      <w:bookmarkEnd w:id="422"/>
      <w:bookmarkEnd w:id="423"/>
      <w:bookmarkEnd w:id="424"/>
    </w:p>
    <w:p w:rsidR="00A056B6" w:rsidRPr="009C5151" w:rsidRDefault="00A056B6" w:rsidP="00743A5F">
      <w:pPr>
        <w:pStyle w:val="Heading4"/>
        <w:spacing w:before="0" w:beforeAutospacing="0"/>
      </w:pPr>
      <w:r w:rsidRPr="009C5151">
        <w:rPr>
          <w:rStyle w:val="Strong"/>
          <w:b/>
          <w:bCs/>
        </w:rPr>
        <w:t>1. WHT Computation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6"/>
        <w:gridCol w:w="1584"/>
        <w:gridCol w:w="2535"/>
        <w:gridCol w:w="1184"/>
        <w:gridCol w:w="1897"/>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Payee 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Amount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Amount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₹3.5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 crore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5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Checklist for WHT Filings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5"/>
        <w:gridCol w:w="3533"/>
        <w:gridCol w:w="2127"/>
        <w:gridCol w:w="1169"/>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lastRenderedPageBreak/>
              <w:t>Step</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Action Required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Deadline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Status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Deduct WHT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Apply DTAA rates to each payment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At payment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Deposit WHT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Remit through Challan ITNS 281</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the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File TDS returns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Quarterly filing via Form 27Q</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Quarterly deadlines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Pending/</w:t>
            </w: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Provide Form 16A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Issue WHT certificates to recipients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Within 15 days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Pending/</w:t>
            </w: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5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25" w:name="_Toc187623994"/>
      <w:bookmarkStart w:id="426" w:name="_Toc187630714"/>
      <w:bookmarkStart w:id="427" w:name="_Toc187660893"/>
      <w:bookmarkStart w:id="428" w:name="_Toc187661972"/>
      <w:r w:rsidRPr="009C5151">
        <w:rPr>
          <w:rStyle w:val="Strong"/>
          <w:b/>
          <w:bCs/>
          <w:sz w:val="24"/>
          <w:szCs w:val="24"/>
        </w:rPr>
        <w:t>IV. Additional Assistance</w:t>
      </w:r>
      <w:bookmarkEnd w:id="425"/>
      <w:bookmarkEnd w:id="426"/>
      <w:bookmarkEnd w:id="427"/>
      <w:bookmarkEnd w:id="428"/>
    </w:p>
    <w:p w:rsidR="00A056B6" w:rsidRPr="009C5151" w:rsidRDefault="00A056B6" w:rsidP="00743A5F">
      <w:pPr>
        <w:pStyle w:val="Heading4"/>
        <w:spacing w:before="0" w:beforeAutospacing="0"/>
      </w:pPr>
      <w:r w:rsidRPr="009C5151">
        <w:rPr>
          <w:rStyle w:val="Strong"/>
          <w:b/>
          <w:bCs/>
        </w:rPr>
        <w:t>1. Assistance with TP Documentation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Use databases like </w:t>
      </w:r>
      <w:r w:rsidRPr="009C5151">
        <w:rPr>
          <w:rStyle w:val="Strong"/>
          <w:rFonts w:ascii="Times New Roman" w:hAnsi="Times New Roman" w:cs="Times New Roman"/>
          <w:sz w:val="24"/>
          <w:szCs w:val="24"/>
        </w:rPr>
        <w:t>Prowess</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Capitaline</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Bloomberg</w:t>
      </w:r>
      <w:r w:rsidRPr="009C5151">
        <w:rPr>
          <w:rFonts w:ascii="Times New Roman" w:hAnsi="Times New Roman" w:cs="Times New Roman"/>
          <w:sz w:val="24"/>
          <w:szCs w:val="24"/>
        </w:rPr>
        <w:t xml:space="preserve"> to identify comparable companies for benchmarking.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Prepare a </w:t>
      </w:r>
      <w:r w:rsidRPr="009C5151">
        <w:rPr>
          <w:rStyle w:val="Strong"/>
          <w:rFonts w:ascii="Times New Roman" w:hAnsi="Times New Roman" w:cs="Times New Roman"/>
          <w:sz w:val="24"/>
          <w:szCs w:val="24"/>
        </w:rPr>
        <w:t>comparables search process note</w:t>
      </w:r>
      <w:r w:rsidRPr="009C5151">
        <w:rPr>
          <w:rFonts w:ascii="Times New Roman" w:hAnsi="Times New Roman" w:cs="Times New Roman"/>
          <w:sz w:val="24"/>
          <w:szCs w:val="24"/>
        </w:rPr>
        <w:t xml:space="preserve"> for transparency.</w:t>
      </w:r>
    </w:p>
    <w:p w:rsidR="00A056B6" w:rsidRPr="009C5151" w:rsidRDefault="00A056B6" w:rsidP="00743A5F">
      <w:pPr>
        <w:pStyle w:val="Heading4"/>
        <w:spacing w:before="0" w:beforeAutospacing="0"/>
      </w:pPr>
      <w:r w:rsidRPr="009C5151">
        <w:rPr>
          <w:rStyle w:val="Strong"/>
          <w:b/>
          <w:bCs/>
        </w:rPr>
        <w:t>2. Assistance with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Automate payment tracking for EL using compliance tools or spreadsheets.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Prepare an </w:t>
      </w:r>
      <w:r w:rsidRPr="009C5151">
        <w:rPr>
          <w:rStyle w:val="Strong"/>
          <w:rFonts w:ascii="Times New Roman" w:hAnsi="Times New Roman" w:cs="Times New Roman"/>
          <w:sz w:val="24"/>
          <w:szCs w:val="24"/>
        </w:rPr>
        <w:t>EL applicability matrix</w:t>
      </w:r>
      <w:r w:rsidRPr="009C5151">
        <w:rPr>
          <w:rFonts w:ascii="Times New Roman" w:hAnsi="Times New Roman" w:cs="Times New Roman"/>
          <w:sz w:val="24"/>
          <w:szCs w:val="24"/>
        </w:rPr>
        <w:t xml:space="preserve"> for all vendor payments.</w:t>
      </w:r>
    </w:p>
    <w:p w:rsidR="00A056B6" w:rsidRPr="009C5151" w:rsidRDefault="00A056B6" w:rsidP="00743A5F">
      <w:pPr>
        <w:pStyle w:val="Heading4"/>
        <w:spacing w:before="0" w:beforeAutospacing="0"/>
      </w:pPr>
      <w:r w:rsidRPr="009C5151">
        <w:rPr>
          <w:rStyle w:val="Strong"/>
          <w:b/>
          <w:bCs/>
        </w:rPr>
        <w:t>3. Assistance with WHT Filings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Implement automated systems like Tally ERP or SAP to flag WHT deductions.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Conduct </w:t>
      </w:r>
      <w:r w:rsidRPr="009C5151">
        <w:rPr>
          <w:rStyle w:val="Strong"/>
          <w:rFonts w:ascii="Times New Roman" w:hAnsi="Times New Roman" w:cs="Times New Roman"/>
          <w:sz w:val="24"/>
          <w:szCs w:val="24"/>
        </w:rPr>
        <w:t>pre-audit reviews</w:t>
      </w:r>
      <w:r w:rsidRPr="009C5151">
        <w:rPr>
          <w:rFonts w:ascii="Times New Roman" w:hAnsi="Times New Roman" w:cs="Times New Roman"/>
          <w:sz w:val="24"/>
          <w:szCs w:val="24"/>
        </w:rPr>
        <w:t xml:space="preserve"> to ensure compliance with TDS and DTAA provisions.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5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29" w:name="_Toc187623995"/>
      <w:bookmarkStart w:id="430" w:name="_Toc187630715"/>
      <w:bookmarkStart w:id="431" w:name="_Toc187660894"/>
      <w:bookmarkStart w:id="432" w:name="_Toc187661973"/>
      <w:r w:rsidRPr="009C5151">
        <w:rPr>
          <w:rStyle w:val="Strong"/>
          <w:b/>
          <w:bCs/>
          <w:sz w:val="24"/>
          <w:szCs w:val="24"/>
        </w:rPr>
        <w:t>Benefits of Using These Templates</w:t>
      </w:r>
      <w:bookmarkEnd w:id="429"/>
      <w:bookmarkEnd w:id="430"/>
      <w:bookmarkEnd w:id="431"/>
      <w:bookmarkEnd w:id="432"/>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Streamlined Processes</w:t>
      </w:r>
      <w:r w:rsidRPr="009C5151">
        <w:rPr>
          <w:rFonts w:ascii="Times New Roman" w:hAnsi="Times New Roman" w:cs="Times New Roman"/>
          <w:sz w:val="24"/>
          <w:szCs w:val="24"/>
        </w:rPr>
        <w:t>: Simplifies documentation and compliance workflows.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Audit Readiness</w:t>
      </w:r>
      <w:r w:rsidRPr="009C5151">
        <w:rPr>
          <w:rFonts w:ascii="Times New Roman" w:hAnsi="Times New Roman" w:cs="Times New Roman"/>
          <w:sz w:val="24"/>
          <w:szCs w:val="24"/>
        </w:rPr>
        <w:t>: Ensures you are prepared for regulatory scrutiny.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Error Reduction</w:t>
      </w:r>
      <w:r w:rsidRPr="009C5151">
        <w:rPr>
          <w:rFonts w:ascii="Times New Roman" w:hAnsi="Times New Roman" w:cs="Times New Roman"/>
          <w:sz w:val="24"/>
          <w:szCs w:val="24"/>
        </w:rPr>
        <w:t>: Reduces the risk of non-compliance penalties.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Enhanced Transparency</w:t>
      </w:r>
      <w:r w:rsidRPr="009C5151">
        <w:rPr>
          <w:rFonts w:ascii="Times New Roman" w:hAnsi="Times New Roman" w:cs="Times New Roman"/>
          <w:sz w:val="24"/>
          <w:szCs w:val="24"/>
        </w:rPr>
        <w:t>: Establishes clear compliance procedures.</w:t>
      </w:r>
    </w:p>
    <w:p w:rsidR="00A056B6" w:rsidRPr="009C5151" w:rsidRDefault="00A056B6" w:rsidP="00743A5F">
      <w:pPr>
        <w:pStyle w:val="NormalWeb"/>
        <w:spacing w:before="0" w:beforeAutospacing="0"/>
      </w:pPr>
      <w:r w:rsidRPr="009C5151">
        <w:t>Would you like a detailed walk-through of preparing any of these documents or specific assistance with filings?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Please do the same with a 12 th example of different set of issues and problem and suggested solutions by a CA to a Company including a detailed discussion on the various topics covered under suggestions and Conclusion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5C36BF49" wp14:editId="3B5547A9">
            <wp:extent cx="763905" cy="763905"/>
            <wp:effectExtent l="0" t="0" r="0" b="0"/>
            <wp:docPr id="309" name="Picture 30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1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433" w:name="_Toc187623996"/>
      <w:bookmarkStart w:id="434" w:name="_Toc187630716"/>
      <w:bookmarkStart w:id="435" w:name="_Toc187660895"/>
      <w:bookmarkStart w:id="436" w:name="_Toc187661974"/>
      <w:r w:rsidRPr="009C5151">
        <w:rPr>
          <w:rStyle w:val="Strong"/>
          <w:b/>
          <w:bCs/>
          <w:sz w:val="24"/>
          <w:szCs w:val="24"/>
        </w:rPr>
        <w:t>Case Study: Tax and Compliance Challenges for GreenAgro Pvt. Ltd.</w:t>
      </w:r>
      <w:bookmarkEnd w:id="433"/>
      <w:bookmarkEnd w:id="434"/>
      <w:bookmarkEnd w:id="435"/>
      <w:bookmarkEnd w:id="436"/>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GreenAgro Pvt. Ltd., an Indian company in the agri-tech sector, develops sustainable farming solutions, including smart irrigation systems, seed technologies, and agrochemicals. Operating in </w:t>
      </w:r>
      <w:r w:rsidRPr="009C5151">
        <w:rPr>
          <w:rStyle w:val="Strong"/>
        </w:rPr>
        <w:t>USA, UK, Singapore, Germany, Brazil, and UAE</w:t>
      </w:r>
      <w:r w:rsidRPr="009C5151">
        <w:t xml:space="preserve">, the company engages in cross-border transactions such as exports, R&amp;D services, royalties, and intra-group financing. The company faces challenges in </w:t>
      </w:r>
      <w:r w:rsidRPr="009C5151">
        <w:rPr>
          <w:rStyle w:val="Strong"/>
        </w:rPr>
        <w:t>transfer pricing (TP)</w:t>
      </w:r>
      <w:r w:rsidRPr="009C5151">
        <w:t xml:space="preserve">, </w:t>
      </w:r>
      <w:r w:rsidRPr="009C5151">
        <w:rPr>
          <w:rStyle w:val="Strong"/>
        </w:rPr>
        <w:t>withholding tax (WHT)</w:t>
      </w:r>
      <w:r w:rsidRPr="009C5151">
        <w:t xml:space="preserve">, </w:t>
      </w:r>
      <w:r w:rsidRPr="009C5151">
        <w:rPr>
          <w:rStyle w:val="Strong"/>
        </w:rPr>
        <w:t>equalization levy (EL)</w:t>
      </w:r>
      <w:r w:rsidRPr="009C5151">
        <w:t xml:space="preserve">, </w:t>
      </w:r>
      <w:r w:rsidRPr="009C5151">
        <w:rPr>
          <w:rStyle w:val="Strong"/>
        </w:rPr>
        <w:t>specified domestic transactions</w:t>
      </w:r>
      <w:r w:rsidRPr="009C5151">
        <w:t xml:space="preserve">, and </w:t>
      </w:r>
      <w:r w:rsidRPr="009C5151">
        <w:rPr>
          <w:rStyle w:val="Strong"/>
        </w:rPr>
        <w:t>treaty compliance</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5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37" w:name="_Toc187623997"/>
      <w:bookmarkStart w:id="438" w:name="_Toc187630717"/>
      <w:bookmarkStart w:id="439" w:name="_Toc187660896"/>
      <w:bookmarkStart w:id="440" w:name="_Toc187661975"/>
      <w:r w:rsidRPr="009C5151">
        <w:rPr>
          <w:rStyle w:val="Strong"/>
          <w:b/>
          <w:bCs/>
          <w:sz w:val="24"/>
          <w:szCs w:val="24"/>
        </w:rPr>
        <w:t>Transactions</w:t>
      </w:r>
      <w:bookmarkEnd w:id="437"/>
      <w:bookmarkEnd w:id="438"/>
      <w:bookmarkEnd w:id="439"/>
      <w:bookmarkEnd w:id="440"/>
    </w:p>
    <w:p w:rsidR="00A056B6" w:rsidRPr="009C5151" w:rsidRDefault="00A056B6" w:rsidP="00743A5F">
      <w:pPr>
        <w:pStyle w:val="Heading4"/>
        <w:spacing w:before="0" w:beforeAutospacing="0"/>
      </w:pPr>
      <w:r w:rsidRPr="009C5151">
        <w:rPr>
          <w:rStyle w:val="Strong"/>
          <w:b/>
          <w:bCs/>
        </w:rPr>
        <w:t>International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Export of Agrochemical Products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Exported ₹400 crore worth of products to AEs in USA, UK, and Singapore.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Pricing governed by inter-company agreements, requiring TP compliance.</w:t>
      </w:r>
    </w:p>
    <w:p w:rsidR="00A056B6" w:rsidRPr="009C5151" w:rsidRDefault="00A056B6" w:rsidP="00743A5F">
      <w:pPr>
        <w:pStyle w:val="NormalWeb"/>
        <w:tabs>
          <w:tab w:val="num" w:pos="720"/>
        </w:tabs>
        <w:spacing w:before="0" w:beforeAutospacing="0"/>
        <w:ind w:left="720" w:hanging="360"/>
      </w:pPr>
      <w:r w:rsidRPr="009C5151">
        <w:rPr>
          <w:rStyle w:val="Strong"/>
        </w:rPr>
        <w:t>R&amp;D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₹30 crore to a Singapore AE for contract R&amp;D services for developing sustainable seed technologies.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rate under India-Singapore DTAA: 10%.</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₹20 crore to a German AE for patented farming technology.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Applicable WHT rate under India-Germany DTAA: 10%.</w:t>
      </w:r>
    </w:p>
    <w:p w:rsidR="00A056B6" w:rsidRPr="009C5151" w:rsidRDefault="00A056B6" w:rsidP="00743A5F">
      <w:pPr>
        <w:pStyle w:val="NormalWeb"/>
        <w:tabs>
          <w:tab w:val="num" w:pos="720"/>
        </w:tabs>
        <w:spacing w:before="0" w:beforeAutospacing="0"/>
        <w:ind w:left="720" w:hanging="360"/>
      </w:pPr>
      <w:r w:rsidRPr="009C5151">
        <w:rPr>
          <w:rStyle w:val="Strong"/>
        </w:rPr>
        <w:t>Inter-Company Loan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Advanced ₹25 crore to a UAE subsidiary with a 3% interest rate.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Risk of TP adjustments as the market rate is ~6%.</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₹8 crore to a USA-based platform for promoting agri-tech solutions.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6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Shared IT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₹10 crore to an Indian AE for IT infrastructure and support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Subject to specified domestic transaction compliance.</w:t>
      </w:r>
    </w:p>
    <w:p w:rsidR="00A056B6" w:rsidRPr="009C5151" w:rsidRDefault="00A056B6" w:rsidP="00743A5F">
      <w:pPr>
        <w:pStyle w:val="NormalWeb"/>
        <w:tabs>
          <w:tab w:val="num" w:pos="720"/>
        </w:tabs>
        <w:spacing w:before="0" w:beforeAutospacing="0"/>
        <w:ind w:left="720" w:hanging="360"/>
      </w:pPr>
      <w:r w:rsidRPr="009C5151">
        <w:rPr>
          <w:rStyle w:val="Strong"/>
        </w:rPr>
        <w:t>Lease of Farm Equipment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₹12 crore worth of equipment to a domestic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6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41" w:name="_Toc187623998"/>
      <w:bookmarkStart w:id="442" w:name="_Toc187630718"/>
      <w:bookmarkStart w:id="443" w:name="_Toc187660897"/>
      <w:bookmarkStart w:id="444" w:name="_Toc187661976"/>
      <w:r w:rsidRPr="009C5151">
        <w:rPr>
          <w:rStyle w:val="Strong"/>
          <w:b/>
          <w:bCs/>
          <w:sz w:val="24"/>
          <w:szCs w:val="24"/>
        </w:rPr>
        <w:t>Key Issues</w:t>
      </w:r>
      <w:bookmarkEnd w:id="441"/>
      <w:bookmarkEnd w:id="442"/>
      <w:bookmarkEnd w:id="443"/>
      <w:bookmarkEnd w:id="444"/>
    </w:p>
    <w:p w:rsidR="00A056B6" w:rsidRPr="009C5151" w:rsidRDefault="00A056B6" w:rsidP="00743A5F">
      <w:pPr>
        <w:pStyle w:val="Heading4"/>
        <w:spacing w:before="0" w:beforeAutospacing="0"/>
      </w:pPr>
      <w:r w:rsidRPr="009C5151">
        <w:t xml:space="preserve">1. </w:t>
      </w:r>
      <w:r w:rsidRPr="009C5151">
        <w:rPr>
          <w:rStyle w:val="Strong"/>
          <w:b/>
          <w:bCs/>
        </w:rPr>
        <w:t>Transfer Pricing (TP) Challenges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Need for benchmarking ₹400 crore exports, ₹30 crore R&amp;D payments, ₹20 crore royalties, and ₹25 crore inter-company loan.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Inadequate documentation for ₹10 crore shared IT services and ₹12 crore equipment lease.</w:t>
      </w:r>
    </w:p>
    <w:p w:rsidR="00A056B6" w:rsidRPr="009C5151" w:rsidRDefault="00A056B6" w:rsidP="00743A5F">
      <w:pPr>
        <w:pStyle w:val="Heading4"/>
        <w:spacing w:before="0" w:beforeAutospacing="0"/>
      </w:pPr>
      <w:r w:rsidRPr="009C5151">
        <w:t xml:space="preserve">2. </w:t>
      </w:r>
      <w:r w:rsidRPr="009C5151">
        <w:rPr>
          <w:rStyle w:val="Strong"/>
          <w:b/>
          <w:bCs/>
        </w:rPr>
        <w:t>Withholding Tax (WHT)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Errors in WHT application for ₹30 crore R&amp;D payments to Singapore and ₹20 crore royalty payments to Germany.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penalties for incorrect deductions and non-compliance with DTAA provisions.</w:t>
      </w:r>
    </w:p>
    <w:p w:rsidR="00A056B6" w:rsidRPr="009C5151" w:rsidRDefault="00A056B6" w:rsidP="00743A5F">
      <w:pPr>
        <w:pStyle w:val="Heading4"/>
        <w:spacing w:before="0" w:beforeAutospacing="0"/>
      </w:pPr>
      <w:r w:rsidRPr="009C5151">
        <w:t xml:space="preserve">3. </w:t>
      </w:r>
      <w:r w:rsidRPr="009C5151">
        <w:rPr>
          <w:rStyle w:val="Strong"/>
          <w:b/>
          <w:bCs/>
        </w:rPr>
        <w:t>Equalization Levy (EL)</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₹8 crore digital advertising payments to USA.</w:t>
      </w:r>
    </w:p>
    <w:p w:rsidR="00A056B6" w:rsidRPr="009C5151" w:rsidRDefault="00A056B6" w:rsidP="00743A5F">
      <w:pPr>
        <w:pStyle w:val="Heading4"/>
        <w:spacing w:before="0" w:beforeAutospacing="0"/>
      </w:pPr>
      <w:r w:rsidRPr="009C5151">
        <w:t xml:space="preserve">4. </w:t>
      </w:r>
      <w:r w:rsidRPr="009C5151">
        <w:rPr>
          <w:rStyle w:val="Strong"/>
          <w:b/>
          <w:bCs/>
        </w:rPr>
        <w:t>Specified Domestic Transactions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 ₹10 crore IT services and ₹12 crore equipment leasing.</w:t>
      </w:r>
    </w:p>
    <w:p w:rsidR="00A056B6" w:rsidRPr="009C5151" w:rsidRDefault="00A056B6" w:rsidP="00743A5F">
      <w:pPr>
        <w:pStyle w:val="Heading4"/>
        <w:spacing w:before="0" w:beforeAutospacing="0"/>
      </w:pPr>
      <w:r w:rsidRPr="009C5151">
        <w:t xml:space="preserve">5. </w:t>
      </w:r>
      <w:r w:rsidRPr="009C5151">
        <w:rPr>
          <w:rStyle w:val="Strong"/>
          <w:b/>
          <w:bCs/>
        </w:rPr>
        <w:t>Double Taxation Avoidance Agreements (DTAAs)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treaty benefit denial for royalty payments due to anti-abuse provisions like PPT under the MLI.</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26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45" w:name="_Toc187623999"/>
      <w:bookmarkStart w:id="446" w:name="_Toc187630719"/>
      <w:bookmarkStart w:id="447" w:name="_Toc187660898"/>
      <w:bookmarkStart w:id="448" w:name="_Toc187661977"/>
      <w:r w:rsidRPr="009C5151">
        <w:rPr>
          <w:rStyle w:val="Strong"/>
          <w:b/>
          <w:bCs/>
          <w:sz w:val="24"/>
          <w:szCs w:val="24"/>
        </w:rPr>
        <w:t>Proposed Solutions</w:t>
      </w:r>
      <w:bookmarkEnd w:id="445"/>
      <w:bookmarkEnd w:id="446"/>
      <w:bookmarkEnd w:id="447"/>
      <w:bookmarkEnd w:id="448"/>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Exports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 xml:space="preserve"> to benchmark ₹400 crore exports. Compare margins with global agri-tech companies.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validate ₹30 crore payments to Singapore AE. Justify markups based on industry norms.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₹20 crore royalty payments using the </w:t>
      </w:r>
      <w:r w:rsidRPr="009C5151">
        <w:rPr>
          <w:rStyle w:val="Strong"/>
          <w:rFonts w:ascii="Times New Roman" w:hAnsi="Times New Roman" w:cs="Times New Roman"/>
          <w:sz w:val="24"/>
          <w:szCs w:val="24"/>
        </w:rPr>
        <w:t>Comparable Uncontrolled Price (CUP) Method</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Inter-Company Loan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Adjust the interest rate from 3% to market rate (~6%). Update loan agreements accordingly.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Domestic Transactions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benchmark ₹10 crore IT services and ₹12 crore equipment leasing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Form 3CEB with a detailed TP study justifying all international and domestic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6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R&amp;D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10% for ₹30 crore paid to the Singapore AE under the India-Singapore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10% for ₹20 crore paid to the German AE under the India-Germany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Documentation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Retain TRCs, Form 10F, and agreements to substantiate WHT deductions and treaty claims.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6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Digital Advertising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Apply EL at 6% on ₹8 crore payments to the USA platform, amounting to ₹48 lakh.</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and remit payments within the statutory deadlines.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6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Shared IT Services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CPM to benchmark ₹10 crore payments. Validate the markup charged by the Indian AE for IT infrastructure and support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Equipment Leasing</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CUP to benchmark ₹12 crore lease pricing. Align terms with market rates.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Disclose all specified domestic transactions in Form 3CEB.</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6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Double Taxation Avoidance Agreements (DTAAs)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Demonstrate compliance with PPT under the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Document economic substance for royalty payments and avoid misclassification as business income.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Anti-Abuse Measures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 transactions with MLI provisions and maintain robust documentation to avoid treaty denial.</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6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49" w:name="_Toc187624000"/>
      <w:bookmarkStart w:id="450" w:name="_Toc187630720"/>
      <w:bookmarkStart w:id="451" w:name="_Toc187660899"/>
      <w:bookmarkStart w:id="452" w:name="_Toc187661978"/>
      <w:r w:rsidRPr="009C5151">
        <w:rPr>
          <w:rStyle w:val="Strong"/>
          <w:b/>
          <w:bCs/>
          <w:sz w:val="24"/>
          <w:szCs w:val="24"/>
        </w:rPr>
        <w:t>Detailed Discussion of Proposed Solutions</w:t>
      </w:r>
      <w:bookmarkEnd w:id="449"/>
      <w:bookmarkEnd w:id="450"/>
      <w:bookmarkEnd w:id="451"/>
      <w:bookmarkEnd w:id="452"/>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6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spacing w:before="0" w:beforeAutospacing="0"/>
      </w:pPr>
      <w:r w:rsidRPr="009C5151">
        <w:lastRenderedPageBreak/>
        <w:t xml:space="preserve">1.1 </w:t>
      </w:r>
      <w:r w:rsidRPr="009C5151">
        <w:rPr>
          <w:rStyle w:val="Strong"/>
        </w:rPr>
        <w:t>Exports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TNMM to benchmark margins for ₹400 crore exports. Compare with agri-tech peers to ensure alignment with industry standards.</w:t>
      </w:r>
    </w:p>
    <w:p w:rsidR="00A056B6" w:rsidRPr="009C5151" w:rsidRDefault="00A056B6" w:rsidP="00743A5F">
      <w:pPr>
        <w:pStyle w:val="NormalWeb"/>
        <w:spacing w:before="0" w:beforeAutospacing="0"/>
      </w:pPr>
      <w:r w:rsidRPr="009C5151">
        <w:t xml:space="preserve">1.2 </w:t>
      </w:r>
      <w:r w:rsidRPr="009C5151">
        <w:rPr>
          <w:rStyle w:val="Strong"/>
        </w:rPr>
        <w:t>R&amp;D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CPM to justify ₹30 crore R&amp;D payments. Ensure the markup reflects comparable R&amp;D agreements.</w:t>
      </w:r>
    </w:p>
    <w:p w:rsidR="00A056B6" w:rsidRPr="009C5151" w:rsidRDefault="00A056B6" w:rsidP="00743A5F">
      <w:pPr>
        <w:pStyle w:val="NormalWeb"/>
        <w:spacing w:before="0" w:beforeAutospacing="0"/>
      </w:pPr>
      <w:r w:rsidRPr="009C5151">
        <w:t xml:space="preserve">1.3 </w:t>
      </w:r>
      <w:r w:rsidRPr="009C5151">
        <w:rPr>
          <w:rStyle w:val="Strong"/>
        </w:rPr>
        <w:t>Inter-Company Loan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Adjust loan terms to 6% interest. Justify the adjustment using LIBOR or other benchmarks.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6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pStyle w:val="NormalWeb"/>
        <w:spacing w:before="0" w:beforeAutospacing="0"/>
      </w:pPr>
      <w:r w:rsidRPr="009C5151">
        <w:t xml:space="preserve">2.1 </w:t>
      </w:r>
      <w:r w:rsidRPr="009C5151">
        <w:rPr>
          <w:rStyle w:val="Strong"/>
        </w:rPr>
        <w:t>Deduction and Documentation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at treaty rates for all cross-border payments. Maintain TRCs, agreements, and Form 10F for audit readiness.</w:t>
      </w:r>
    </w:p>
    <w:p w:rsidR="00A056B6" w:rsidRPr="009C5151" w:rsidRDefault="00A056B6" w:rsidP="00743A5F">
      <w:pPr>
        <w:pStyle w:val="NormalWeb"/>
        <w:spacing w:before="0" w:beforeAutospacing="0"/>
      </w:pPr>
      <w:r w:rsidRPr="009C5151">
        <w:t xml:space="preserve">2.2 </w:t>
      </w:r>
      <w:r w:rsidRPr="009C5151">
        <w:rPr>
          <w:rStyle w:val="Strong"/>
        </w:rPr>
        <w:t>Filing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TDS returns (Form 27Q) quarterly and issue Form 16A to payees.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7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pStyle w:val="NormalWeb"/>
        <w:spacing w:before="0" w:beforeAutospacing="0"/>
      </w:pPr>
      <w:r w:rsidRPr="009C5151">
        <w:t xml:space="preserve">3.1 </w:t>
      </w:r>
      <w:r w:rsidRPr="009C5151">
        <w:rPr>
          <w:rStyle w:val="Strong"/>
        </w:rPr>
        <w:t>Applicability</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applies to ₹8 crore digital advertising payments. Calculate and remit ₹48 lakh levy.</w:t>
      </w:r>
    </w:p>
    <w:p w:rsidR="00A056B6" w:rsidRPr="009C5151" w:rsidRDefault="00A056B6" w:rsidP="00743A5F">
      <w:pPr>
        <w:pStyle w:val="NormalWeb"/>
        <w:spacing w:before="0" w:beforeAutospacing="0"/>
      </w:pPr>
      <w:r w:rsidRPr="009C5151">
        <w:t xml:space="preserve">3.2 </w:t>
      </w:r>
      <w:r w:rsidRPr="009C5151">
        <w:rPr>
          <w:rStyle w:val="Strong"/>
        </w:rPr>
        <w:t>Filing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EL returns by 30th June following the financial year.</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7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Specified Domestic Transactions</w:t>
      </w:r>
    </w:p>
    <w:p w:rsidR="00A056B6" w:rsidRPr="009C5151" w:rsidRDefault="00A056B6" w:rsidP="00743A5F">
      <w:pPr>
        <w:pStyle w:val="NormalWeb"/>
        <w:spacing w:before="0" w:beforeAutospacing="0"/>
      </w:pPr>
      <w:r w:rsidRPr="009C5151">
        <w:t xml:space="preserve">4.1 </w:t>
      </w:r>
      <w:r w:rsidRPr="009C5151">
        <w:rPr>
          <w:rStyle w:val="Strong"/>
        </w:rPr>
        <w:t>Benchmarking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CUP or CPM for IT services and equipment leasing payments. Document cost allocations and markups.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7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Double Taxation Avoidance Agreements (DTAAs)</w:t>
      </w:r>
    </w:p>
    <w:p w:rsidR="00A056B6" w:rsidRPr="009C5151" w:rsidRDefault="00A056B6" w:rsidP="00743A5F">
      <w:pPr>
        <w:pStyle w:val="NormalWeb"/>
        <w:spacing w:before="0" w:beforeAutospacing="0"/>
      </w:pPr>
      <w:r w:rsidRPr="009C5151">
        <w:t xml:space="preserve">5.1 </w:t>
      </w:r>
      <w:r w:rsidRPr="009C5151">
        <w:rPr>
          <w:rStyle w:val="Strong"/>
        </w:rPr>
        <w:t>Royalty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Meet PPT requirements by documenting economic necessity and alignment with treaty provisions.</w:t>
      </w:r>
    </w:p>
    <w:p w:rsidR="00A056B6" w:rsidRPr="009C5151" w:rsidRDefault="00A056B6" w:rsidP="00743A5F">
      <w:pPr>
        <w:pStyle w:val="NormalWeb"/>
        <w:spacing w:before="0" w:beforeAutospacing="0"/>
      </w:pPr>
      <w:r w:rsidRPr="009C5151">
        <w:t xml:space="preserve">5.2 </w:t>
      </w:r>
      <w:r w:rsidRPr="009C5151">
        <w:rPr>
          <w:rStyle w:val="Strong"/>
        </w:rPr>
        <w:t>Anti-Abuse Provisions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Maintain detailed agreements to substantiate genuine business purposes and avoid treaty denial under MLI.</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7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53" w:name="_Toc187624001"/>
      <w:bookmarkStart w:id="454" w:name="_Toc187630721"/>
      <w:bookmarkStart w:id="455" w:name="_Toc187660900"/>
      <w:bookmarkStart w:id="456" w:name="_Toc187661979"/>
      <w:r w:rsidRPr="009C5151">
        <w:rPr>
          <w:rStyle w:val="Strong"/>
          <w:b/>
          <w:bCs/>
          <w:sz w:val="24"/>
          <w:szCs w:val="24"/>
        </w:rPr>
        <w:t>Conclusion</w:t>
      </w:r>
      <w:bookmarkEnd w:id="453"/>
      <w:bookmarkEnd w:id="454"/>
      <w:bookmarkEnd w:id="455"/>
      <w:bookmarkEnd w:id="456"/>
    </w:p>
    <w:p w:rsidR="00A056B6" w:rsidRPr="009C5151" w:rsidRDefault="00A056B6" w:rsidP="00743A5F">
      <w:pPr>
        <w:pStyle w:val="NormalWeb"/>
        <w:spacing w:before="0" w:beforeAutospacing="0"/>
      </w:pPr>
      <w:r w:rsidRPr="009C5151">
        <w:t>To address its challenges, GreenAgro Pvt. Ltd. should:</w:t>
      </w:r>
    </w:p>
    <w:p w:rsidR="00A056B6" w:rsidRPr="009C5151" w:rsidRDefault="00A056B6" w:rsidP="00743A5F">
      <w:pPr>
        <w:pStyle w:val="NormalWeb"/>
        <w:tabs>
          <w:tab w:val="num" w:pos="720"/>
        </w:tabs>
        <w:spacing w:before="0" w:beforeAutospacing="0"/>
        <w:ind w:left="720" w:hanging="360"/>
      </w:pPr>
      <w:r w:rsidRPr="009C5151">
        <w:rPr>
          <w:rStyle w:val="Strong"/>
        </w:rPr>
        <w:t>Strengthen TP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international and domestic transactions using robust methods. File Form 3CEB.</w:t>
      </w:r>
    </w:p>
    <w:p w:rsidR="00A056B6" w:rsidRPr="009C5151" w:rsidRDefault="00A056B6" w:rsidP="00743A5F">
      <w:pPr>
        <w:pStyle w:val="NormalWeb"/>
        <w:tabs>
          <w:tab w:val="num" w:pos="720"/>
        </w:tabs>
        <w:spacing w:before="0" w:beforeAutospacing="0"/>
        <w:ind w:left="720" w:hanging="360"/>
      </w:pPr>
      <w:r w:rsidRPr="009C5151">
        <w:rPr>
          <w:rStyle w:val="Strong"/>
        </w:rPr>
        <w:t>Ensure WHT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at treaty rates for R&amp;D and royalty payments. Maintain TRCs and related documentation.</w:t>
      </w:r>
    </w:p>
    <w:p w:rsidR="00A056B6" w:rsidRPr="009C5151" w:rsidRDefault="00A056B6" w:rsidP="00743A5F">
      <w:pPr>
        <w:pStyle w:val="NormalWeb"/>
        <w:tabs>
          <w:tab w:val="num" w:pos="720"/>
        </w:tabs>
        <w:spacing w:before="0" w:beforeAutospacing="0"/>
        <w:ind w:left="720" w:hanging="360"/>
      </w:pPr>
      <w:r w:rsidRPr="009C5151">
        <w:rPr>
          <w:rStyle w:val="Strong"/>
        </w:rPr>
        <w:t>Focus on EL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for digital advertising payments and remit the levy on time.</w:t>
      </w:r>
    </w:p>
    <w:p w:rsidR="00A056B6" w:rsidRPr="009C5151" w:rsidRDefault="00A056B6" w:rsidP="00743A5F">
      <w:pPr>
        <w:pStyle w:val="NormalWeb"/>
        <w:tabs>
          <w:tab w:val="num" w:pos="720"/>
        </w:tabs>
        <w:spacing w:before="0" w:beforeAutospacing="0"/>
        <w:ind w:left="720" w:hanging="360"/>
      </w:pPr>
      <w:r w:rsidRPr="009C5151">
        <w:rPr>
          <w:rStyle w:val="Strong"/>
        </w:rPr>
        <w:t>Review Domestic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IT services and leasing transactions. Disclose in Form 3CEB.</w:t>
      </w:r>
    </w:p>
    <w:p w:rsidR="00A056B6" w:rsidRPr="009C5151" w:rsidRDefault="00A056B6" w:rsidP="00743A5F">
      <w:pPr>
        <w:pStyle w:val="NormalWeb"/>
        <w:tabs>
          <w:tab w:val="num" w:pos="720"/>
        </w:tabs>
        <w:spacing w:before="0" w:beforeAutospacing="0"/>
        <w:ind w:left="720" w:hanging="360"/>
      </w:pPr>
      <w:r w:rsidRPr="009C5151">
        <w:rPr>
          <w:rStyle w:val="Strong"/>
        </w:rPr>
        <w:t>Mitigate Treaty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Align royalties and other cross-border payments with PPT and anti-abuse provisions. Maintain comprehensive documentation.</w:t>
      </w:r>
    </w:p>
    <w:p w:rsidR="00A056B6" w:rsidRPr="009C5151" w:rsidRDefault="00A056B6" w:rsidP="00743A5F">
      <w:pPr>
        <w:pStyle w:val="NormalWeb"/>
        <w:spacing w:before="0" w:beforeAutospacing="0"/>
      </w:pPr>
      <w:r w:rsidRPr="009C5151">
        <w:t>By implementing these solutions, GreenAgro Pvt. Ltd. can ensure tax compliance, reduce risks, and enhance operational efficiency.</w:t>
      </w:r>
    </w:p>
    <w:p w:rsidR="00A056B6" w:rsidRPr="009C5151" w:rsidRDefault="00A056B6" w:rsidP="00743A5F">
      <w:pPr>
        <w:pStyle w:val="NormalWeb"/>
        <w:spacing w:before="0" w:beforeAutospacing="0"/>
      </w:pPr>
      <w:r w:rsidRPr="009C5151">
        <w:t>Would you like assistance with benchmarking examples, compliance filing checklists, or specific templates for Form 3CEB?</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assistance with benchmarking examples, compliance filing checklists, or specific templates for Form 3CEB</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51AAE6B3" wp14:editId="246145BC">
            <wp:extent cx="763905" cy="763905"/>
            <wp:effectExtent l="0" t="0" r="0" b="0"/>
            <wp:docPr id="308" name="Picture 30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3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457" w:name="_Toc187624002"/>
      <w:bookmarkStart w:id="458" w:name="_Toc187630722"/>
      <w:bookmarkStart w:id="459" w:name="_Toc187660901"/>
      <w:bookmarkStart w:id="460" w:name="_Toc187661980"/>
      <w:r w:rsidRPr="009C5151">
        <w:rPr>
          <w:rStyle w:val="Strong"/>
          <w:b/>
          <w:bCs/>
          <w:sz w:val="24"/>
          <w:szCs w:val="24"/>
        </w:rPr>
        <w:t>Assistance with Benchmarking Examples, Compliance Filing Checklists, and Form 3CEB Templates</w:t>
      </w:r>
      <w:bookmarkEnd w:id="457"/>
      <w:bookmarkEnd w:id="458"/>
      <w:bookmarkEnd w:id="459"/>
      <w:bookmarkEnd w:id="460"/>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7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61" w:name="_Toc187624003"/>
      <w:bookmarkStart w:id="462" w:name="_Toc187630723"/>
      <w:bookmarkStart w:id="463" w:name="_Toc187660902"/>
      <w:bookmarkStart w:id="464" w:name="_Toc187661981"/>
      <w:r w:rsidRPr="009C5151">
        <w:rPr>
          <w:rStyle w:val="Strong"/>
          <w:b/>
          <w:bCs/>
          <w:sz w:val="24"/>
          <w:szCs w:val="24"/>
        </w:rPr>
        <w:t>I. Benchmarking Examples</w:t>
      </w:r>
      <w:bookmarkEnd w:id="461"/>
      <w:bookmarkEnd w:id="462"/>
      <w:bookmarkEnd w:id="463"/>
      <w:bookmarkEnd w:id="464"/>
    </w:p>
    <w:p w:rsidR="00A056B6" w:rsidRPr="009C5151" w:rsidRDefault="00A056B6" w:rsidP="00743A5F">
      <w:pPr>
        <w:pStyle w:val="Heading4"/>
        <w:spacing w:before="0" w:beforeAutospacing="0"/>
      </w:pPr>
      <w:r w:rsidRPr="009C5151">
        <w:rPr>
          <w:rStyle w:val="Strong"/>
          <w:b/>
          <w:bCs/>
        </w:rPr>
        <w:t>1. Export of Agrochemical Products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w:t>
      </w:r>
      <w:r w:rsidRPr="009C5151">
        <w:rPr>
          <w:rFonts w:ascii="Times New Roman" w:hAnsi="Times New Roman" w:cs="Times New Roman"/>
          <w:sz w:val="24"/>
          <w:szCs w:val="24"/>
        </w:rPr>
        <w:t>: ₹400 crore exports to AEs in USA, UK, and Singapore.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Search Process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Criteria for Comparables</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Industry: Agricultural technology or agrochemical manufacturing.</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Region: India or Asia-Pacific.</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Revenue Range: ₹100 crore - ₹1,000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Result</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Comparable Companies:</w:t>
      </w:r>
    </w:p>
    <w:p w:rsidR="00A056B6" w:rsidRPr="009C5151" w:rsidRDefault="00A056B6" w:rsidP="00743A5F">
      <w:pPr>
        <w:numPr>
          <w:ilvl w:val="3"/>
          <w:numId w:val="0"/>
        </w:numPr>
        <w:tabs>
          <w:tab w:val="num" w:pos="2880"/>
        </w:tabs>
        <w:spacing w:before="100" w:after="100" w:afterAutospacing="1" w:line="240" w:lineRule="auto"/>
        <w:ind w:left="2880" w:hanging="360"/>
        <w:rPr>
          <w:rFonts w:ascii="Times New Roman" w:hAnsi="Times New Roman" w:cs="Times New Roman"/>
          <w:sz w:val="24"/>
          <w:szCs w:val="24"/>
        </w:rPr>
      </w:pPr>
      <w:r w:rsidRPr="009C5151">
        <w:rPr>
          <w:rFonts w:ascii="Times New Roman" w:hAnsi="Times New Roman" w:cs="Times New Roman"/>
          <w:sz w:val="24"/>
          <w:szCs w:val="24"/>
        </w:rPr>
        <w:t>Company A: Margin 12%</w:t>
      </w:r>
    </w:p>
    <w:p w:rsidR="00A056B6" w:rsidRPr="009C5151" w:rsidRDefault="00A056B6" w:rsidP="00743A5F">
      <w:pPr>
        <w:numPr>
          <w:ilvl w:val="3"/>
          <w:numId w:val="0"/>
        </w:numPr>
        <w:tabs>
          <w:tab w:val="num" w:pos="2880"/>
        </w:tabs>
        <w:spacing w:before="100" w:after="100" w:afterAutospacing="1" w:line="240" w:lineRule="auto"/>
        <w:ind w:left="2880" w:hanging="360"/>
        <w:rPr>
          <w:rFonts w:ascii="Times New Roman" w:hAnsi="Times New Roman" w:cs="Times New Roman"/>
          <w:sz w:val="24"/>
          <w:szCs w:val="24"/>
        </w:rPr>
      </w:pPr>
      <w:r w:rsidRPr="009C5151">
        <w:rPr>
          <w:rFonts w:ascii="Times New Roman" w:hAnsi="Times New Roman" w:cs="Times New Roman"/>
          <w:sz w:val="24"/>
          <w:szCs w:val="24"/>
        </w:rPr>
        <w:t>Company B: Margin 14%</w:t>
      </w:r>
    </w:p>
    <w:p w:rsidR="00A056B6" w:rsidRPr="009C5151" w:rsidRDefault="00A056B6" w:rsidP="00743A5F">
      <w:pPr>
        <w:numPr>
          <w:ilvl w:val="3"/>
          <w:numId w:val="0"/>
        </w:numPr>
        <w:tabs>
          <w:tab w:val="num" w:pos="2880"/>
        </w:tabs>
        <w:spacing w:before="100" w:after="100" w:afterAutospacing="1" w:line="240" w:lineRule="auto"/>
        <w:ind w:left="2880" w:hanging="360"/>
        <w:rPr>
          <w:rFonts w:ascii="Times New Roman" w:hAnsi="Times New Roman" w:cs="Times New Roman"/>
          <w:sz w:val="24"/>
          <w:szCs w:val="24"/>
        </w:rPr>
      </w:pPr>
      <w:r w:rsidRPr="009C5151">
        <w:rPr>
          <w:rFonts w:ascii="Times New Roman" w:hAnsi="Times New Roman" w:cs="Times New Roman"/>
          <w:sz w:val="24"/>
          <w:szCs w:val="24"/>
        </w:rPr>
        <w:t>Company C: Margin 11%</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Arm’s Length Range: 11%-14%.</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Actual Margin for GreenAgro: 13%.</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7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R&amp;D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w:t>
      </w:r>
      <w:r w:rsidRPr="009C5151">
        <w:rPr>
          <w:rFonts w:ascii="Times New Roman" w:hAnsi="Times New Roman" w:cs="Times New Roman"/>
          <w:sz w:val="24"/>
          <w:szCs w:val="24"/>
        </w:rPr>
        <w:t>: ₹30 crore paid to Singapore AE for R&amp;D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Comparable Analysis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Selected 5 independent R&amp;D providers.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Comparable Markups: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Provider A: 13%</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Provider B: 14%</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Provider C: 12%</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Arm’s Length Markup</w:t>
      </w:r>
      <w:r w:rsidRPr="009C5151">
        <w:rPr>
          <w:rFonts w:ascii="Times New Roman" w:hAnsi="Times New Roman" w:cs="Times New Roman"/>
          <w:sz w:val="24"/>
          <w:szCs w:val="24"/>
        </w:rPr>
        <w:t>: 12%-14%.</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Actual Markup Charged by Singapore AE</w:t>
      </w:r>
      <w:r w:rsidRPr="009C5151">
        <w:rPr>
          <w:rFonts w:ascii="Times New Roman" w:hAnsi="Times New Roman" w:cs="Times New Roman"/>
          <w:sz w:val="24"/>
          <w:szCs w:val="24"/>
        </w:rPr>
        <w:t>: 13%.</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7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Royalty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w:t>
      </w:r>
      <w:r w:rsidRPr="009C5151">
        <w:rPr>
          <w:rFonts w:ascii="Times New Roman" w:hAnsi="Times New Roman" w:cs="Times New Roman"/>
          <w:sz w:val="24"/>
          <w:szCs w:val="24"/>
        </w:rPr>
        <w:t>: ₹20 crore royalty paid to German AE for patented farming technology.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Analysis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Licensing fees for similar technologies in the market: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Licensor A: ₹18 crore</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Licensor B: ₹21 crore</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Licensor C: ₹19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Arm’s Length Range</w:t>
      </w:r>
      <w:r w:rsidRPr="009C5151">
        <w:rPr>
          <w:rFonts w:ascii="Times New Roman" w:hAnsi="Times New Roman" w:cs="Times New Roman"/>
          <w:sz w:val="24"/>
          <w:szCs w:val="24"/>
        </w:rPr>
        <w:t>: ₹18-₹21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Actual Payment</w:t>
      </w:r>
      <w:r w:rsidRPr="009C5151">
        <w:rPr>
          <w:rFonts w:ascii="Times New Roman" w:hAnsi="Times New Roman" w:cs="Times New Roman"/>
          <w:sz w:val="24"/>
          <w:szCs w:val="24"/>
        </w:rPr>
        <w:t>: ₹20 crore (within range).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77"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7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65" w:name="_Toc187624004"/>
      <w:bookmarkStart w:id="466" w:name="_Toc187630724"/>
      <w:bookmarkStart w:id="467" w:name="_Toc187660903"/>
      <w:bookmarkStart w:id="468" w:name="_Toc187661982"/>
      <w:r w:rsidRPr="009C5151">
        <w:rPr>
          <w:rStyle w:val="Strong"/>
          <w:b/>
          <w:bCs/>
          <w:sz w:val="24"/>
          <w:szCs w:val="24"/>
        </w:rPr>
        <w:t>II. Compliance Filing Checklists</w:t>
      </w:r>
      <w:bookmarkEnd w:id="465"/>
      <w:bookmarkEnd w:id="466"/>
      <w:bookmarkEnd w:id="467"/>
      <w:bookmarkEnd w:id="468"/>
    </w:p>
    <w:p w:rsidR="00A056B6" w:rsidRPr="009C5151" w:rsidRDefault="00A056B6" w:rsidP="00743A5F">
      <w:pPr>
        <w:pStyle w:val="Heading4"/>
        <w:spacing w:before="0" w:beforeAutospacing="0"/>
      </w:pPr>
      <w:r w:rsidRPr="009C5151">
        <w:rPr>
          <w:rStyle w:val="Strong"/>
          <w:b/>
          <w:bCs/>
        </w:rPr>
        <w:t>1. Checklist for Form 3CEB</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8"/>
        <w:gridCol w:w="4006"/>
        <w:gridCol w:w="716"/>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Section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Details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Status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Assessee Information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PAN, Address, Business Details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International Transactions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 R&amp;D, Royalty Payments, Loans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Specified Domestic Transactions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Shared IT Services, Equipment Leasing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Certification by CA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Digital signature and membership details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Supporting Documents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Contracts, Invoices, Functional Analysis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7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Checklist for Withholding Tax (WHT) Compliance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2"/>
        <w:gridCol w:w="4438"/>
        <w:gridCol w:w="2034"/>
        <w:gridCol w:w="86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Step</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Action Required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Deadline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Status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Deduct WHT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Apply treaty rates to R&amp;D and 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At payment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Deposit WHT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Use Challan ITNS 281 for remittance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the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File TDS Returns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Quarterly Form 27Q for non-residents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Quarterly deadlines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Issue Form 16A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Provide WHT certificates to payees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Within 15 days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Pending</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8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Checklist for Equalization Levy (EL) Compliance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46"/>
        <w:gridCol w:w="3342"/>
        <w:gridCol w:w="1976"/>
        <w:gridCol w:w="86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Step</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Action Required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Deadline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Status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Identify applicable transactions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Review payments to digital platforms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Ongoing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Compute levy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Apply 6% on advertising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Monthly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Deposit levy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Use Challan ITNS 285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the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File annual return (Form 1)</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Submit EL return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30th June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Pending</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81"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8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69" w:name="_Toc187624005"/>
      <w:bookmarkStart w:id="470" w:name="_Toc187630725"/>
      <w:bookmarkStart w:id="471" w:name="_Toc187660904"/>
      <w:bookmarkStart w:id="472" w:name="_Toc187661983"/>
      <w:r w:rsidRPr="009C5151">
        <w:rPr>
          <w:rStyle w:val="Strong"/>
          <w:b/>
          <w:bCs/>
          <w:sz w:val="24"/>
          <w:szCs w:val="24"/>
        </w:rPr>
        <w:t>III. Template for Form 3CEB</w:t>
      </w:r>
      <w:bookmarkEnd w:id="469"/>
      <w:bookmarkEnd w:id="470"/>
      <w:bookmarkEnd w:id="471"/>
      <w:bookmarkEnd w:id="472"/>
    </w:p>
    <w:p w:rsidR="00A056B6" w:rsidRPr="009C5151" w:rsidRDefault="00A056B6" w:rsidP="00743A5F">
      <w:pPr>
        <w:pStyle w:val="Heading4"/>
        <w:spacing w:before="0" w:beforeAutospacing="0"/>
      </w:pPr>
      <w:r w:rsidRPr="009C5151">
        <w:rPr>
          <w:rStyle w:val="Strong"/>
          <w:b/>
          <w:bCs/>
        </w:rPr>
        <w:t>1. Basic Information Section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5"/>
        <w:gridCol w:w="2541"/>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Particular</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Details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Assessee Name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GreenAgro Pvt. Ltd.</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PAN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XXXXX1234X</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Address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123 Green Avenue, Delhi</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Assessment Year</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2024-25</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8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Reporting of International Transactions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3"/>
        <w:gridCol w:w="1447"/>
        <w:gridCol w:w="1034"/>
        <w:gridCol w:w="1670"/>
        <w:gridCol w:w="1029"/>
        <w:gridCol w:w="922"/>
        <w:gridCol w:w="931"/>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AE Name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Amount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ALP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Price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 of Agrochemical Products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AgroCorp LLC</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11%-14%</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GreenAgro 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12%-14%</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GreenTech GmbH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₹18-₹21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8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Reporting of Specified Domestic Transactions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6"/>
        <w:gridCol w:w="1543"/>
        <w:gridCol w:w="2144"/>
        <w:gridCol w:w="1246"/>
        <w:gridCol w:w="1189"/>
        <w:gridCol w:w="1158"/>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AE Name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Amount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ALP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Price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Shared IT Services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AgriAdmin 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9%-11%</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Equipment Leasing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FarmEquip Ltd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₹11-₹13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 crore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8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Certification Section</w:t>
      </w:r>
    </w:p>
    <w:p w:rsidR="00A056B6" w:rsidRPr="009C5151" w:rsidRDefault="00A056B6" w:rsidP="00743A5F">
      <w:pPr>
        <w:pStyle w:val="HTMLPreformatted"/>
        <w:rPr>
          <w:rFonts w:ascii="Times New Roman" w:hAnsi="Times New Roman" w:cs="Times New Roman"/>
          <w:sz w:val="24"/>
          <w:szCs w:val="24"/>
        </w:rPr>
      </w:pPr>
      <w:r w:rsidRPr="009C5151">
        <w:rPr>
          <w:rFonts w:ascii="Times New Roman" w:hAnsi="Times New Roman" w:cs="Times New Roman"/>
          <w:sz w:val="24"/>
          <w:szCs w:val="24"/>
        </w:rPr>
        <w:t>markdown</w:t>
      </w:r>
    </w:p>
    <w:p w:rsidR="00A056B6" w:rsidRPr="009C5151" w:rsidRDefault="00A056B6" w:rsidP="00743A5F">
      <w:pPr>
        <w:pStyle w:val="HTMLPreformatted"/>
        <w:rPr>
          <w:rFonts w:ascii="Times New Roman" w:hAnsi="Times New Roman" w:cs="Times New Roman"/>
          <w:sz w:val="24"/>
          <w:szCs w:val="24"/>
        </w:rPr>
      </w:pPr>
      <w:r w:rsidRPr="009C5151">
        <w:rPr>
          <w:rFonts w:ascii="Times New Roman" w:hAnsi="Times New Roman" w:cs="Times New Roman"/>
          <w:sz w:val="24"/>
          <w:szCs w:val="24"/>
        </w:rPr>
        <w:t>Copy code</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I, [CA Name], have examined the accounts and records of GreenAgro Pvt. Ltd. for the year ended 31 March 2024 and certify that the information provided in this Form 3CEB is accurate to the best of my knowledge.</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 xml:space="preserve">Signature: </w:t>
      </w:r>
      <w:r w:rsidRPr="009C5151">
        <w:rPr>
          <w:rStyle w:val="hljs-strong"/>
          <w:rFonts w:ascii="Times New Roman" w:eastAsiaTheme="majorEastAsia" w:hAnsi="Times New Roman" w:cs="Times New Roman"/>
          <w:sz w:val="24"/>
          <w:szCs w:val="24"/>
        </w:rPr>
        <w:t>____________________</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 xml:space="preserve">Date: </w:t>
      </w:r>
      <w:r w:rsidRPr="009C5151">
        <w:rPr>
          <w:rStyle w:val="hljs-strong"/>
          <w:rFonts w:ascii="Times New Roman" w:eastAsiaTheme="majorEastAsia" w:hAnsi="Times New Roman" w:cs="Times New Roman"/>
          <w:sz w:val="24"/>
          <w:szCs w:val="24"/>
        </w:rPr>
        <w:t>____________________</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 xml:space="preserve">Membership No.: </w:t>
      </w:r>
      <w:r w:rsidRPr="009C5151">
        <w:rPr>
          <w:rStyle w:val="hljs-strong"/>
          <w:rFonts w:ascii="Times New Roman" w:eastAsiaTheme="majorEastAsia" w:hAnsi="Times New Roman" w:cs="Times New Roman"/>
          <w:sz w:val="24"/>
          <w:szCs w:val="24"/>
        </w:rPr>
        <w:t>____________</w:t>
      </w:r>
      <w:r w:rsidRPr="009C5151">
        <w:rPr>
          <w:rStyle w:val="HTMLCode"/>
          <w:rFonts w:ascii="Times New Roman" w:hAnsi="Times New Roman" w:cs="Times New Roman"/>
          <w:sz w:val="24"/>
          <w:szCs w:val="24"/>
        </w:rPr>
        <w:t>__</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8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73" w:name="_Toc187624006"/>
      <w:bookmarkStart w:id="474" w:name="_Toc187630726"/>
      <w:bookmarkStart w:id="475" w:name="_Toc187660905"/>
      <w:bookmarkStart w:id="476" w:name="_Toc187661984"/>
      <w:r w:rsidRPr="009C5151">
        <w:rPr>
          <w:rStyle w:val="Strong"/>
          <w:b/>
          <w:bCs/>
          <w:sz w:val="24"/>
          <w:szCs w:val="24"/>
        </w:rPr>
        <w:t>Benefits of Using These Templates</w:t>
      </w:r>
      <w:bookmarkEnd w:id="473"/>
      <w:bookmarkEnd w:id="474"/>
      <w:bookmarkEnd w:id="475"/>
      <w:bookmarkEnd w:id="476"/>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Efficiency</w:t>
      </w:r>
      <w:r w:rsidRPr="009C5151">
        <w:rPr>
          <w:rFonts w:ascii="Times New Roman" w:hAnsi="Times New Roman" w:cs="Times New Roman"/>
          <w:sz w:val="24"/>
          <w:szCs w:val="24"/>
        </w:rPr>
        <w:t>: Streamlined documentation and filing processes reduce the time spent on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Audit Readiness</w:t>
      </w:r>
      <w:r w:rsidRPr="009C5151">
        <w:rPr>
          <w:rFonts w:ascii="Times New Roman" w:hAnsi="Times New Roman" w:cs="Times New Roman"/>
          <w:sz w:val="24"/>
          <w:szCs w:val="24"/>
        </w:rPr>
        <w:t>: Provides comprehensive evidence to tax authorities during audits.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Error Reduction</w:t>
      </w:r>
      <w:r w:rsidRPr="009C5151">
        <w:rPr>
          <w:rFonts w:ascii="Times New Roman" w:hAnsi="Times New Roman" w:cs="Times New Roman"/>
          <w:sz w:val="24"/>
          <w:szCs w:val="24"/>
        </w:rPr>
        <w:t>: Mitigates risks of non-compliance or misreporting penalties.</w:t>
      </w:r>
    </w:p>
    <w:p w:rsidR="00A056B6" w:rsidRPr="009C5151" w:rsidRDefault="00A056B6" w:rsidP="00743A5F">
      <w:pPr>
        <w:pStyle w:val="NormalWeb"/>
        <w:spacing w:before="0" w:beforeAutospacing="0"/>
      </w:pPr>
      <w:r w:rsidRPr="009C5151">
        <w:t>Would you like detailed assistance with Form 3CEB filing, or further elaboration on benchmarking for specific transactions?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13 th example of different set of issues and problem and suggested solutions by a CA to a Company including a detailed discussion on the various topics covered under suggestions and Conclusion. Please include in addition to the above transactions like Withholding tax, CbC reporting, Mutual Agreement procedure, DTAA with countries like USA, UK, Germany, Singapore, Mauritius, China, Russia and Germany; equalization levy; Please first list down the case, issues, documents and CA advise, Dividend and Interest Royalty Fee for Technical Services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2BCF591" wp14:editId="6625A553">
            <wp:extent cx="763905" cy="763905"/>
            <wp:effectExtent l="0" t="0" r="0" b="0"/>
            <wp:docPr id="307" name="Picture 30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4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477" w:name="_Toc187624007"/>
      <w:bookmarkStart w:id="478" w:name="_Toc187630727"/>
      <w:bookmarkStart w:id="479" w:name="_Toc187660906"/>
      <w:bookmarkStart w:id="480" w:name="_Toc187661985"/>
      <w:r w:rsidRPr="009C5151">
        <w:rPr>
          <w:rStyle w:val="Strong"/>
          <w:b/>
          <w:bCs/>
          <w:sz w:val="24"/>
          <w:szCs w:val="24"/>
        </w:rPr>
        <w:t>Case Study: Tax and Compliance Challenges for GlobalTech Pvt. Ltd.</w:t>
      </w:r>
      <w:bookmarkEnd w:id="477"/>
      <w:bookmarkEnd w:id="478"/>
      <w:bookmarkEnd w:id="479"/>
      <w:bookmarkEnd w:id="480"/>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GlobalTech Pvt. Ltd., an Indian technology and engineering solutions provider, operates globally across </w:t>
      </w:r>
      <w:r w:rsidRPr="009C5151">
        <w:rPr>
          <w:rStyle w:val="Strong"/>
        </w:rPr>
        <w:t>USA, UK, Germany, Singapore, Mauritius, China, and Russia</w:t>
      </w:r>
      <w:r w:rsidRPr="009C5151">
        <w:t xml:space="preserve">. The company engages in diverse cross-border transactions, including </w:t>
      </w:r>
      <w:r w:rsidRPr="009C5151">
        <w:rPr>
          <w:rStyle w:val="Strong"/>
        </w:rPr>
        <w:t>exports</w:t>
      </w:r>
      <w:r w:rsidRPr="009C5151">
        <w:t xml:space="preserve">, </w:t>
      </w:r>
      <w:r w:rsidRPr="009C5151">
        <w:rPr>
          <w:rStyle w:val="Strong"/>
        </w:rPr>
        <w:t>royalty payments</w:t>
      </w:r>
      <w:r w:rsidRPr="009C5151">
        <w:t xml:space="preserve">, </w:t>
      </w:r>
      <w:r w:rsidRPr="009C5151">
        <w:rPr>
          <w:rStyle w:val="Strong"/>
        </w:rPr>
        <w:t>dividends</w:t>
      </w:r>
      <w:r w:rsidRPr="009C5151">
        <w:t xml:space="preserve">, </w:t>
      </w:r>
      <w:r w:rsidRPr="009C5151">
        <w:rPr>
          <w:rStyle w:val="Strong"/>
        </w:rPr>
        <w:t>interest</w:t>
      </w:r>
      <w:r w:rsidRPr="009C5151">
        <w:t xml:space="preserve">, and </w:t>
      </w:r>
      <w:r w:rsidRPr="009C5151">
        <w:rPr>
          <w:rStyle w:val="Strong"/>
        </w:rPr>
        <w:t>fee for technical services (FTS)</w:t>
      </w:r>
      <w:r w:rsidRPr="009C5151">
        <w:t xml:space="preserve">. The company also deals with </w:t>
      </w:r>
      <w:r w:rsidRPr="009C5151">
        <w:rPr>
          <w:rStyle w:val="Strong"/>
        </w:rPr>
        <w:t>equalization levy (EL)</w:t>
      </w:r>
      <w:r w:rsidRPr="009C5151">
        <w:t xml:space="preserve">, </w:t>
      </w:r>
      <w:r w:rsidRPr="009C5151">
        <w:rPr>
          <w:rStyle w:val="Strong"/>
        </w:rPr>
        <w:t>withholding tax (WHT)</w:t>
      </w:r>
      <w:r w:rsidRPr="009C5151">
        <w:t xml:space="preserve">, </w:t>
      </w:r>
      <w:r w:rsidRPr="009C5151">
        <w:rPr>
          <w:rStyle w:val="Strong"/>
        </w:rPr>
        <w:t>Country-by-Country (CbC) Reporting</w:t>
      </w:r>
      <w:r w:rsidRPr="009C5151">
        <w:t xml:space="preserve">, and </w:t>
      </w:r>
      <w:r w:rsidRPr="009C5151">
        <w:rPr>
          <w:rStyle w:val="Strong"/>
        </w:rPr>
        <w:t>Mutual Agreement Procedure (MAP)</w:t>
      </w:r>
      <w:r w:rsidRPr="009C5151">
        <w:t xml:space="preserve"> issues under various </w:t>
      </w:r>
      <w:r w:rsidRPr="009C5151">
        <w:rPr>
          <w:rStyle w:val="Strong"/>
        </w:rPr>
        <w:t>DTAAs</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8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81" w:name="_Toc187624008"/>
      <w:bookmarkStart w:id="482" w:name="_Toc187630728"/>
      <w:bookmarkStart w:id="483" w:name="_Toc187660907"/>
      <w:bookmarkStart w:id="484" w:name="_Toc187661986"/>
      <w:r w:rsidRPr="009C5151">
        <w:rPr>
          <w:rStyle w:val="Strong"/>
          <w:b/>
          <w:bCs/>
          <w:sz w:val="24"/>
          <w:szCs w:val="24"/>
        </w:rPr>
        <w:t>Transactions</w:t>
      </w:r>
      <w:bookmarkEnd w:id="481"/>
      <w:bookmarkEnd w:id="482"/>
      <w:bookmarkEnd w:id="483"/>
      <w:bookmarkEnd w:id="484"/>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Software Solutions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Exported ₹500 crore worth of software to AEs in USA, UK, and Germany.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Inter-company agreements define pricing.</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Paid ₹30 crore to a UK AE for licensing software IP.</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WHT compliance required under the India-UK DTAA.</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₹25 crore to a Singapore AE for technical consultancy on cloud-based solutions.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WHT rate applicable under the India-Singapore DTAA is 10%.</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Distributed ₹20 crore dividends to its parent company in Mauritius.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DTAA provisions need verification for reduced withholding.</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₹15 crore interest on a loan from a German AE.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WHT rate under India-Germany DTAA: 10%.</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₹10 crore to a USA-based platform for advertising services.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8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Management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₹12 crore to an Indian AE for HR and finance support.</w:t>
      </w:r>
    </w:p>
    <w:p w:rsidR="00A056B6" w:rsidRPr="009C5151" w:rsidRDefault="00A056B6" w:rsidP="00743A5F">
      <w:pPr>
        <w:pStyle w:val="NormalWeb"/>
        <w:tabs>
          <w:tab w:val="num" w:pos="720"/>
        </w:tabs>
        <w:spacing w:before="0" w:beforeAutospacing="0"/>
        <w:ind w:left="720" w:hanging="360"/>
      </w:pPr>
      <w:r w:rsidRPr="009C5151">
        <w:rPr>
          <w:rStyle w:val="Strong"/>
        </w:rPr>
        <w:t>Lease of Office Space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₹8 crore worth of office space to a domestic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89"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9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85" w:name="_Toc187624009"/>
      <w:bookmarkStart w:id="486" w:name="_Toc187630729"/>
      <w:bookmarkStart w:id="487" w:name="_Toc187660908"/>
      <w:bookmarkStart w:id="488" w:name="_Toc187661987"/>
      <w:r w:rsidRPr="009C5151">
        <w:rPr>
          <w:rStyle w:val="Strong"/>
          <w:b/>
          <w:bCs/>
          <w:sz w:val="24"/>
          <w:szCs w:val="24"/>
        </w:rPr>
        <w:t>Key Issues</w:t>
      </w:r>
      <w:bookmarkEnd w:id="485"/>
      <w:bookmarkEnd w:id="486"/>
      <w:bookmarkEnd w:id="487"/>
      <w:bookmarkEnd w:id="488"/>
    </w:p>
    <w:p w:rsidR="00A056B6" w:rsidRPr="009C5151" w:rsidRDefault="00A056B6" w:rsidP="00743A5F">
      <w:pPr>
        <w:pStyle w:val="Heading4"/>
        <w:spacing w:before="0" w:beforeAutospacing="0"/>
      </w:pPr>
      <w:r w:rsidRPr="009C5151">
        <w:t xml:space="preserve">1. </w:t>
      </w:r>
      <w:r w:rsidRPr="009C5151">
        <w:rPr>
          <w:rStyle w:val="Strong"/>
          <w:b/>
          <w:bCs/>
        </w:rPr>
        <w:t>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Exports</w:t>
      </w:r>
      <w:r w:rsidRPr="009C5151">
        <w:rPr>
          <w:rFonts w:ascii="Times New Roman" w:hAnsi="Times New Roman" w:cs="Times New Roman"/>
          <w:sz w:val="24"/>
          <w:szCs w:val="24"/>
        </w:rPr>
        <w:t>: Need for benchmarking ₹500 crore software exports using TNMM.</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and FTS Payments</w:t>
      </w:r>
      <w:r w:rsidRPr="009C5151">
        <w:rPr>
          <w:rFonts w:ascii="Times New Roman" w:hAnsi="Times New Roman" w:cs="Times New Roman"/>
          <w:sz w:val="24"/>
          <w:szCs w:val="24"/>
        </w:rPr>
        <w:t>: Verification of arm’s length pricing for ₹30 crore royalty and ₹25 crore FTS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Interest Payments</w:t>
      </w:r>
      <w:r w:rsidRPr="009C5151">
        <w:rPr>
          <w:rFonts w:ascii="Times New Roman" w:hAnsi="Times New Roman" w:cs="Times New Roman"/>
          <w:sz w:val="24"/>
          <w:szCs w:val="24"/>
        </w:rPr>
        <w:t>: Assess whether the interest rate (e.g., 6%) is at arm’s length for ₹15 crore loan.</w:t>
      </w:r>
    </w:p>
    <w:p w:rsidR="00A056B6" w:rsidRPr="009C5151" w:rsidRDefault="00A056B6" w:rsidP="00743A5F">
      <w:pPr>
        <w:pStyle w:val="Heading4"/>
        <w:spacing w:before="0" w:beforeAutospacing="0"/>
      </w:pPr>
      <w:r w:rsidRPr="009C5151">
        <w:t xml:space="preserve">2. </w:t>
      </w:r>
      <w:r w:rsidRPr="009C5151">
        <w:rPr>
          <w:rStyle w:val="Strong"/>
          <w:b/>
          <w:bCs/>
        </w:rPr>
        <w:t>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Errors in deducting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India-UK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to Mauritius parent company (verify DTAA provisions).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to Germany (10% under India-Germany DTAA).</w:t>
      </w:r>
    </w:p>
    <w:p w:rsidR="00A056B6" w:rsidRPr="009C5151" w:rsidRDefault="00A056B6" w:rsidP="00743A5F">
      <w:pPr>
        <w:pStyle w:val="Heading4"/>
        <w:spacing w:before="0" w:beforeAutospacing="0"/>
      </w:pPr>
      <w:r w:rsidRPr="009C5151">
        <w:t xml:space="preserve">3. </w:t>
      </w:r>
      <w:r w:rsidRPr="009C5151">
        <w:rPr>
          <w:rStyle w:val="Strong"/>
          <w:b/>
          <w:bCs/>
        </w:rPr>
        <w:t>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applicable on ₹10 crore digital advertising payments to the USA platform at 6%.</w:t>
      </w:r>
    </w:p>
    <w:p w:rsidR="00A056B6" w:rsidRPr="009C5151" w:rsidRDefault="00A056B6" w:rsidP="00743A5F">
      <w:pPr>
        <w:pStyle w:val="Heading4"/>
        <w:spacing w:before="0" w:beforeAutospacing="0"/>
      </w:pPr>
      <w:r w:rsidRPr="009C5151">
        <w:t xml:space="preserve">4. </w:t>
      </w:r>
      <w:r w:rsidRPr="009C5151">
        <w:rPr>
          <w:rStyle w:val="Strong"/>
          <w:b/>
          <w:bCs/>
        </w:rPr>
        <w:t>CbC Reporting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Group-level consolidated revenue exceeds ₹6,400 crore, triggering CbC reporting requirements.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Filings must include global income and tax allocation.</w:t>
      </w:r>
    </w:p>
    <w:p w:rsidR="00A056B6" w:rsidRPr="009C5151" w:rsidRDefault="00A056B6" w:rsidP="00743A5F">
      <w:pPr>
        <w:pStyle w:val="Heading4"/>
        <w:spacing w:before="0" w:beforeAutospacing="0"/>
      </w:pPr>
      <w:r w:rsidRPr="009C5151">
        <w:t xml:space="preserve">5. </w:t>
      </w:r>
      <w:r w:rsidRPr="009C5151">
        <w:rPr>
          <w:rStyle w:val="Strong"/>
          <w:b/>
          <w:bCs/>
        </w:rPr>
        <w:t>Mutual Agreement Procedure (MAP)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MAP invoked with Germany and UK for double taxation on royalty payments due to misclassification.</w:t>
      </w:r>
    </w:p>
    <w:p w:rsidR="00A056B6" w:rsidRPr="009C5151" w:rsidRDefault="00A056B6" w:rsidP="00743A5F">
      <w:pPr>
        <w:pStyle w:val="Heading4"/>
        <w:spacing w:before="0" w:beforeAutospacing="0"/>
      </w:pPr>
      <w:r w:rsidRPr="009C5151">
        <w:t xml:space="preserve">6. </w:t>
      </w:r>
      <w:r w:rsidRPr="009C5151">
        <w:rPr>
          <w:rStyle w:val="Strong"/>
          <w:b/>
          <w:bCs/>
        </w:rPr>
        <w:t>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 ₹12 crore shared management services and ₹8 crore office lease.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91"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9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89" w:name="_Toc187624010"/>
      <w:bookmarkStart w:id="490" w:name="_Toc187630730"/>
      <w:bookmarkStart w:id="491" w:name="_Toc187660909"/>
      <w:bookmarkStart w:id="492" w:name="_Toc187661988"/>
      <w:r w:rsidRPr="009C5151">
        <w:rPr>
          <w:rStyle w:val="Strong"/>
          <w:b/>
          <w:bCs/>
          <w:sz w:val="24"/>
          <w:szCs w:val="24"/>
        </w:rPr>
        <w:t>Documents Required</w:t>
      </w:r>
      <w:bookmarkEnd w:id="489"/>
      <w:bookmarkEnd w:id="490"/>
      <w:bookmarkEnd w:id="491"/>
      <w:bookmarkEnd w:id="492"/>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Agreements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Inter-company agreements for exports, royalties, FTS, and loans.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Tax Residency Certificates (TRC)</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From Mauritius, Singapore, Germany, and UK AEs for treaty claims.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Form 10F</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For all AEs claiming DTAA benefits.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Invoices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Supporting documentation for all international and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CbC Reporting Documents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Group consolidated financial statements and allocation of profits.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93"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29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93" w:name="_Toc187624011"/>
      <w:bookmarkStart w:id="494" w:name="_Toc187630731"/>
      <w:bookmarkStart w:id="495" w:name="_Toc187660910"/>
      <w:bookmarkStart w:id="496" w:name="_Toc187661989"/>
      <w:r w:rsidRPr="009C5151">
        <w:rPr>
          <w:rStyle w:val="Strong"/>
          <w:b/>
          <w:bCs/>
          <w:sz w:val="24"/>
          <w:szCs w:val="24"/>
        </w:rPr>
        <w:t>Proposed Solutions</w:t>
      </w:r>
      <w:bookmarkEnd w:id="493"/>
      <w:bookmarkEnd w:id="494"/>
      <w:bookmarkEnd w:id="495"/>
      <w:bookmarkEnd w:id="496"/>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Exports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₹500 crore software exports using </w:t>
      </w:r>
      <w:r w:rsidRPr="009C5151">
        <w:rPr>
          <w:rStyle w:val="Strong"/>
          <w:rFonts w:ascii="Times New Roman" w:hAnsi="Times New Roman" w:cs="Times New Roman"/>
          <w:sz w:val="24"/>
          <w:szCs w:val="24"/>
        </w:rPr>
        <w:t>TNMM</w:t>
      </w:r>
      <w:r w:rsidRPr="009C5151">
        <w:rPr>
          <w:rFonts w:ascii="Times New Roman" w:hAnsi="Times New Roman" w:cs="Times New Roman"/>
          <w:sz w:val="24"/>
          <w:szCs w:val="24"/>
        </w:rPr>
        <w:t>. Compare operating margins with comparable IT firms globally.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 xml:space="preserve"> to validate ₹30 crore royalty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FTS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validate ₹25 crore technical consultancy fee.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 Payments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the 6% interest rate using publicly available data (e.g., LIBOR + spread).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Domestic Transactions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₹12 crore management services and ₹8 crore lease payments using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9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 10% under India-UK DTAA for ₹30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FTS Payments</w:t>
      </w:r>
      <w:r w:rsidRPr="009C5151">
        <w:rPr>
          <w:rFonts w:ascii="Times New Roman" w:hAnsi="Times New Roman" w:cs="Times New Roman"/>
          <w:sz w:val="24"/>
          <w:szCs w:val="24"/>
        </w:rPr>
        <w:t>: 10% under India-Singapore DTAA for ₹25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Dividend Payments</w:t>
      </w:r>
      <w:r w:rsidRPr="009C5151">
        <w:rPr>
          <w:rFonts w:ascii="Times New Roman" w:hAnsi="Times New Roman" w:cs="Times New Roman"/>
          <w:sz w:val="24"/>
          <w:szCs w:val="24"/>
        </w:rPr>
        <w:t>: Verify India-Mauritius DTAA for reduced or zero WHT.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Interest Payments</w:t>
      </w:r>
      <w:r w:rsidRPr="009C5151">
        <w:rPr>
          <w:rFonts w:ascii="Times New Roman" w:hAnsi="Times New Roman" w:cs="Times New Roman"/>
          <w:sz w:val="24"/>
          <w:szCs w:val="24"/>
        </w:rPr>
        <w:t>: 10% under India-Germany DTAA for ₹15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quarterly TDS returns (Form 27Q) and issue Form 16A certificates.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9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Apply EL at 6% on ₹10 crore digital advertising payments (₹60 lakh levy).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annual EL return by 30th June.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9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CbC Reporting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CbC report with income, taxes paid, and activities for all jurisdictions where the group operates.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Deadline</w:t>
      </w:r>
      <w:r w:rsidRPr="009C5151">
        <w:rPr>
          <w:rFonts w:ascii="Times New Roman" w:hAnsi="Times New Roman" w:cs="Times New Roman"/>
          <w:sz w:val="24"/>
          <w:szCs w:val="24"/>
        </w:rPr>
        <w:t>: Within 12 months from the end of the financial year.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consistency with master file and local file.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9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Mutual Agreement Procedure (MAP)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Work with Germany and UK tax authorities to resolve double taxation on royalty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Submit documentation showing that royalties are not technical services under treaties.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Include Form 34F for MAP initiation.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29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CUP or CPM to benchmark ₹12 crore management services and ₹8 crore lease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Form 3CEB disclosing all specified domestic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00"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0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497" w:name="_Toc187624012"/>
      <w:bookmarkStart w:id="498" w:name="_Toc187630732"/>
      <w:bookmarkStart w:id="499" w:name="_Toc187660911"/>
      <w:bookmarkStart w:id="500" w:name="_Toc187661990"/>
      <w:r w:rsidRPr="009C5151">
        <w:rPr>
          <w:rStyle w:val="Strong"/>
          <w:b/>
          <w:bCs/>
          <w:sz w:val="24"/>
          <w:szCs w:val="24"/>
        </w:rPr>
        <w:t>Detailed Discussion of Proposed Solutions</w:t>
      </w:r>
      <w:bookmarkEnd w:id="497"/>
      <w:bookmarkEnd w:id="498"/>
      <w:bookmarkEnd w:id="499"/>
      <w:bookmarkEnd w:id="500"/>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0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Transfer Pricing Compliance</w:t>
      </w:r>
    </w:p>
    <w:p w:rsidR="00A056B6" w:rsidRPr="009C5151" w:rsidRDefault="00A056B6" w:rsidP="00743A5F">
      <w:pPr>
        <w:pStyle w:val="NormalWeb"/>
        <w:spacing w:before="0" w:beforeAutospacing="0"/>
      </w:pPr>
      <w:r w:rsidRPr="009C5151">
        <w:t xml:space="preserve">1.1 </w:t>
      </w:r>
      <w:r w:rsidRPr="009C5151">
        <w:rPr>
          <w:rStyle w:val="Strong"/>
        </w:rPr>
        <w:t>Software Exports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Use TNMM to benchmark ₹500 crore exports. Industry comparable margins are ~12%-15%.</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Actual margin: 14% (within range).</w:t>
      </w:r>
    </w:p>
    <w:p w:rsidR="00A056B6" w:rsidRPr="009C5151" w:rsidRDefault="00A056B6" w:rsidP="00743A5F">
      <w:pPr>
        <w:pStyle w:val="NormalWeb"/>
        <w:spacing w:before="0" w:beforeAutospacing="0"/>
      </w:pPr>
      <w:r w:rsidRPr="009C5151">
        <w:t xml:space="preserve">1.2 </w:t>
      </w:r>
      <w:r w:rsidRPr="009C5151">
        <w:rPr>
          <w:rStyle w:val="Strong"/>
        </w:rPr>
        <w:t>Royalty and FTS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Apply CUP or CPM to validate royalty and technical consultancy fees. Use similar licensing agreements as benchmarks.</w:t>
      </w:r>
    </w:p>
    <w:p w:rsidR="00A056B6" w:rsidRPr="009C5151" w:rsidRDefault="00A056B6" w:rsidP="00743A5F">
      <w:pPr>
        <w:pStyle w:val="NormalWeb"/>
        <w:spacing w:before="0" w:beforeAutospacing="0"/>
      </w:pPr>
      <w:r w:rsidRPr="009C5151">
        <w:t xml:space="preserve">1.3 </w:t>
      </w:r>
      <w:r w:rsidRPr="009C5151">
        <w:rPr>
          <w:rStyle w:val="Strong"/>
        </w:rPr>
        <w:t>Interest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Justify 6% interest rate on ₹15 crore loan using LIBOR + 2% spread.</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0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Compliance</w:t>
      </w:r>
    </w:p>
    <w:p w:rsidR="00A056B6" w:rsidRPr="009C5151" w:rsidRDefault="00A056B6" w:rsidP="00743A5F">
      <w:pPr>
        <w:pStyle w:val="NormalWeb"/>
        <w:spacing w:before="0" w:beforeAutospacing="0"/>
      </w:pPr>
      <w:r w:rsidRPr="009C5151">
        <w:t xml:space="preserve">2.1 </w:t>
      </w:r>
      <w:r w:rsidRPr="009C5151">
        <w:rPr>
          <w:rStyle w:val="Strong"/>
        </w:rPr>
        <w:t>Royalty and FTS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at treaty rates (10%). File timely returns (Form 27Q) and issue Form 16A.</w:t>
      </w:r>
    </w:p>
    <w:p w:rsidR="00A056B6" w:rsidRPr="009C5151" w:rsidRDefault="00A056B6" w:rsidP="00743A5F">
      <w:pPr>
        <w:pStyle w:val="NormalWeb"/>
        <w:spacing w:before="0" w:beforeAutospacing="0"/>
      </w:pPr>
      <w:r w:rsidRPr="009C5151">
        <w:t xml:space="preserve">2.2 </w:t>
      </w:r>
      <w:r w:rsidRPr="009C5151">
        <w:rPr>
          <w:rStyle w:val="Strong"/>
        </w:rPr>
        <w:t>Dividend Payments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Verify India-Mauritius DTAA provisions. If compliant, WHT may be zero.</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0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pStyle w:val="NormalWeb"/>
        <w:spacing w:before="0" w:beforeAutospacing="0"/>
      </w:pPr>
      <w:r w:rsidRPr="009C5151">
        <w:t xml:space="preserve">3.1 </w:t>
      </w:r>
      <w:r w:rsidRPr="009C5151">
        <w:rPr>
          <w:rStyle w:val="Strong"/>
        </w:rPr>
        <w:t>EL on Digital Advertising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at 6% on ₹10 crore advertising payments (₹60 lakh).</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EL return annually.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0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CbC Reporting</w:t>
      </w:r>
    </w:p>
    <w:p w:rsidR="00A056B6" w:rsidRPr="009C5151" w:rsidRDefault="00A056B6" w:rsidP="00743A5F">
      <w:pPr>
        <w:pStyle w:val="NormalWeb"/>
        <w:spacing w:before="0" w:beforeAutospacing="0"/>
      </w:pPr>
      <w:r w:rsidRPr="009C5151">
        <w:t xml:space="preserve">4.1 </w:t>
      </w:r>
      <w:r w:rsidRPr="009C5151">
        <w:rPr>
          <w:rStyle w:val="Strong"/>
        </w:rPr>
        <w:t>Filing Requirements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consolidated financials, showing: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Income: ₹10,000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Tax paid: ₹1,200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Countries: USA, UK, Singapore, etc.</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0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MAP</w:t>
      </w:r>
    </w:p>
    <w:p w:rsidR="00A056B6" w:rsidRPr="009C5151" w:rsidRDefault="00A056B6" w:rsidP="00743A5F">
      <w:pPr>
        <w:pStyle w:val="NormalWeb"/>
        <w:spacing w:before="0" w:beforeAutospacing="0"/>
      </w:pPr>
      <w:r w:rsidRPr="009C5151">
        <w:lastRenderedPageBreak/>
        <w:t xml:space="preserve">5.1 </w:t>
      </w:r>
      <w:r w:rsidRPr="009C5151">
        <w:rPr>
          <w:rStyle w:val="Strong"/>
        </w:rPr>
        <w:t>Resolution Process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Engage Germany and UK authorities to eliminate double taxation on ₹30 crore royalty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Use Form 34F and supporting agreements to prove tax treatment under treaties.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07"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0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01" w:name="_Toc187624013"/>
      <w:bookmarkStart w:id="502" w:name="_Toc187630733"/>
      <w:bookmarkStart w:id="503" w:name="_Toc187660912"/>
      <w:bookmarkStart w:id="504" w:name="_Toc187661991"/>
      <w:r w:rsidRPr="009C5151">
        <w:rPr>
          <w:rStyle w:val="Strong"/>
          <w:b/>
          <w:bCs/>
          <w:sz w:val="24"/>
          <w:szCs w:val="24"/>
        </w:rPr>
        <w:t>Conclusion</w:t>
      </w:r>
      <w:bookmarkEnd w:id="501"/>
      <w:bookmarkEnd w:id="502"/>
      <w:bookmarkEnd w:id="503"/>
      <w:bookmarkEnd w:id="504"/>
    </w:p>
    <w:p w:rsidR="00A056B6" w:rsidRPr="009C5151" w:rsidRDefault="00A056B6" w:rsidP="00743A5F">
      <w:pPr>
        <w:pStyle w:val="NormalWeb"/>
        <w:spacing w:before="0" w:beforeAutospacing="0"/>
      </w:pPr>
      <w:r w:rsidRPr="009C5151">
        <w:t>To address these challenges, GlobalTech Pvt. Ltd. should: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Strengthen TP Documentation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transactions, file Form 3CEB, and maintain supporting documents.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Ensure WHT 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and file WHT correctly under DTAAs. Issue Form 16A certificates.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Focus on EL 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EL returns for advertising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Ensure CbC Reporting</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Submit accurate CbC reports aligned with master and local files.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Mitigate Treaty Risks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MAP and DTAA provisions to resolve double taxation on royalties and dividends.</w:t>
      </w:r>
    </w:p>
    <w:p w:rsidR="00A056B6" w:rsidRPr="009C5151" w:rsidRDefault="00A056B6" w:rsidP="00743A5F">
      <w:pPr>
        <w:pStyle w:val="NormalWeb"/>
        <w:spacing w:before="0" w:beforeAutospacing="0"/>
      </w:pPr>
      <w:r w:rsidRPr="009C5151">
        <w:t>Would you like further assistance with preparing Form 3CEB, CbC reporting, or initiating MAP discussions?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provide Computation of excess interest, Royalty, FTS, Dividend and other payments to be disallowed under section 94B</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D443F56" wp14:editId="4E3EAC72">
            <wp:extent cx="763905" cy="763905"/>
            <wp:effectExtent l="0" t="0" r="0" b="0"/>
            <wp:docPr id="306" name="Picture 30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7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505" w:name="_Toc187624014"/>
      <w:bookmarkStart w:id="506" w:name="_Toc187630734"/>
      <w:bookmarkStart w:id="507" w:name="_Toc187660913"/>
      <w:bookmarkStart w:id="508" w:name="_Toc187661992"/>
      <w:r w:rsidRPr="009C5151">
        <w:rPr>
          <w:rStyle w:val="Strong"/>
          <w:b/>
          <w:bCs/>
          <w:sz w:val="24"/>
          <w:szCs w:val="24"/>
        </w:rPr>
        <w:lastRenderedPageBreak/>
        <w:t>Computation of Excess Interest, Royalty, FTS, Dividend, and Other Payments to Be Disallowed Under Section 94B</w:t>
      </w:r>
      <w:bookmarkEnd w:id="505"/>
      <w:bookmarkEnd w:id="506"/>
      <w:bookmarkEnd w:id="507"/>
      <w:bookmarkEnd w:id="508"/>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0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Overview of Section 94B</w:t>
      </w:r>
    </w:p>
    <w:p w:rsidR="00A056B6" w:rsidRPr="009C5151" w:rsidRDefault="00A056B6" w:rsidP="00743A5F">
      <w:pPr>
        <w:pStyle w:val="NormalWeb"/>
        <w:spacing w:before="0" w:beforeAutospacing="0"/>
      </w:pPr>
      <w:r w:rsidRPr="009C5151">
        <w:t xml:space="preserve">Section 94B of the Income-tax Act, 1961 limits the deduction of interest payments to </w:t>
      </w:r>
      <w:r w:rsidRPr="009C5151">
        <w:rPr>
          <w:rStyle w:val="Strong"/>
        </w:rPr>
        <w:t>non-resident associated enterprises (AEs)</w:t>
      </w:r>
      <w:r w:rsidRPr="009C5151">
        <w:t xml:space="preserve"> to prevent base erosion and profit shifting (BEPS). It applies to </w:t>
      </w:r>
      <w:r w:rsidRPr="009C5151">
        <w:rPr>
          <w:rStyle w:val="Strong"/>
        </w:rPr>
        <w:t>excess interest</w:t>
      </w:r>
      <w:r w:rsidRPr="009C5151">
        <w:t xml:space="preserve"> paid to AEs that exceed the threshold specified under the section.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Applicability</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Borrower is an Indian company or a PE of a foreign company.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are made to non-resident AEs.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Total interest exceeds ₹1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Threshold</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Deduction limited to </w:t>
      </w:r>
      <w:r w:rsidRPr="009C5151">
        <w:rPr>
          <w:rStyle w:val="Strong"/>
          <w:rFonts w:ascii="Times New Roman" w:hAnsi="Times New Roman" w:cs="Times New Roman"/>
          <w:sz w:val="24"/>
          <w:szCs w:val="24"/>
        </w:rPr>
        <w:t>30% of EBITDA</w:t>
      </w:r>
      <w:r w:rsidRPr="009C5151">
        <w:rPr>
          <w:rFonts w:ascii="Times New Roman" w:hAnsi="Times New Roman" w:cs="Times New Roman"/>
          <w:sz w:val="24"/>
          <w:szCs w:val="24"/>
        </w:rPr>
        <w:t xml:space="preserve"> (Earnings Before Interest, Taxes, Depreciation, and Amortization) or actual interest, whichever is lower.</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1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Steps to Compute Disallowance</w:t>
      </w:r>
    </w:p>
    <w:p w:rsidR="00A056B6" w:rsidRPr="009C5151" w:rsidRDefault="00A056B6" w:rsidP="00743A5F">
      <w:pPr>
        <w:pStyle w:val="NormalWeb"/>
        <w:tabs>
          <w:tab w:val="num" w:pos="720"/>
        </w:tabs>
        <w:spacing w:before="0" w:beforeAutospacing="0"/>
        <w:ind w:left="720" w:hanging="360"/>
      </w:pPr>
      <w:r w:rsidRPr="009C5151">
        <w:rPr>
          <w:rStyle w:val="Strong"/>
        </w:rPr>
        <w:t>Calculate EBITDA</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EBITDA = Net profit + Interest + Tax + Depreciation + Amortization.</w:t>
      </w:r>
    </w:p>
    <w:p w:rsidR="00A056B6" w:rsidRPr="009C5151" w:rsidRDefault="00A056B6" w:rsidP="00743A5F">
      <w:pPr>
        <w:pStyle w:val="NormalWeb"/>
        <w:tabs>
          <w:tab w:val="num" w:pos="720"/>
        </w:tabs>
        <w:spacing w:before="0" w:beforeAutospacing="0"/>
        <w:ind w:left="720" w:hanging="360"/>
      </w:pPr>
      <w:r w:rsidRPr="009C5151">
        <w:rPr>
          <w:rStyle w:val="Strong"/>
        </w:rPr>
        <w:t>Identify Total Interest Paid</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Include all interest payments to non-resident AEs.</w:t>
      </w:r>
    </w:p>
    <w:p w:rsidR="00A056B6" w:rsidRPr="009C5151" w:rsidRDefault="00A056B6" w:rsidP="00743A5F">
      <w:pPr>
        <w:pStyle w:val="NormalWeb"/>
        <w:tabs>
          <w:tab w:val="num" w:pos="720"/>
        </w:tabs>
        <w:spacing w:before="0" w:beforeAutospacing="0"/>
        <w:ind w:left="720" w:hanging="360"/>
      </w:pPr>
      <w:r w:rsidRPr="009C5151">
        <w:rPr>
          <w:rStyle w:val="Strong"/>
        </w:rPr>
        <w:t>Compute Allowable Interest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Allowable Interest = </w:t>
      </w:r>
      <w:r w:rsidRPr="009C5151">
        <w:rPr>
          <w:rStyle w:val="Strong"/>
          <w:rFonts w:ascii="Times New Roman" w:hAnsi="Times New Roman" w:cs="Times New Roman"/>
          <w:sz w:val="24"/>
          <w:szCs w:val="24"/>
        </w:rPr>
        <w:t>30% of EBITDA</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actual interest paid</w:t>
      </w:r>
      <w:r w:rsidRPr="009C5151">
        <w:rPr>
          <w:rFonts w:ascii="Times New Roman" w:hAnsi="Times New Roman" w:cs="Times New Roman"/>
          <w:sz w:val="24"/>
          <w:szCs w:val="24"/>
        </w:rPr>
        <w:t>, whichever is lower.</w:t>
      </w:r>
    </w:p>
    <w:p w:rsidR="00A056B6" w:rsidRPr="009C5151" w:rsidRDefault="00A056B6" w:rsidP="00743A5F">
      <w:pPr>
        <w:pStyle w:val="NormalWeb"/>
        <w:tabs>
          <w:tab w:val="num" w:pos="720"/>
        </w:tabs>
        <w:spacing w:before="0" w:beforeAutospacing="0"/>
        <w:ind w:left="720" w:hanging="360"/>
      </w:pPr>
      <w:r w:rsidRPr="009C5151">
        <w:rPr>
          <w:rStyle w:val="Strong"/>
        </w:rPr>
        <w:t>Compute Disallowed Interest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Disallowed Interest = Actual Interest Paid - Allowable Interest.</w:t>
      </w:r>
    </w:p>
    <w:p w:rsidR="00A056B6" w:rsidRPr="009C5151" w:rsidRDefault="00A056B6" w:rsidP="00743A5F">
      <w:pPr>
        <w:pStyle w:val="NormalWeb"/>
        <w:tabs>
          <w:tab w:val="num" w:pos="720"/>
        </w:tabs>
        <w:spacing w:before="0" w:beforeAutospacing="0"/>
        <w:ind w:left="720" w:hanging="360"/>
      </w:pPr>
      <w:r w:rsidRPr="009C5151">
        <w:rPr>
          <w:rStyle w:val="Strong"/>
        </w:rPr>
        <w:t>Impact on Other Payments (Royalty, FTS, Dividends)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These payments are not directly disallowed under Section 94B but may be scrutinized under other TP or anti-abuse provisions.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1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09" w:name="_Toc187624015"/>
      <w:bookmarkStart w:id="510" w:name="_Toc187630735"/>
      <w:bookmarkStart w:id="511" w:name="_Toc187660914"/>
      <w:bookmarkStart w:id="512" w:name="_Toc187661993"/>
      <w:r w:rsidRPr="009C5151">
        <w:rPr>
          <w:rStyle w:val="Strong"/>
          <w:b/>
          <w:bCs/>
          <w:sz w:val="24"/>
          <w:szCs w:val="24"/>
        </w:rPr>
        <w:lastRenderedPageBreak/>
        <w:t>Example Computation</w:t>
      </w:r>
      <w:bookmarkEnd w:id="509"/>
      <w:bookmarkEnd w:id="510"/>
      <w:bookmarkEnd w:id="511"/>
      <w:bookmarkEnd w:id="512"/>
    </w:p>
    <w:p w:rsidR="00A056B6" w:rsidRPr="009C5151" w:rsidRDefault="00A056B6" w:rsidP="00743A5F">
      <w:pPr>
        <w:pStyle w:val="Heading4"/>
        <w:spacing w:before="0" w:beforeAutospacing="0"/>
      </w:pPr>
      <w:r w:rsidRPr="009C5151">
        <w:rPr>
          <w:rStyle w:val="Strong"/>
          <w:b/>
          <w:bCs/>
        </w:rPr>
        <w:t>Facts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EBITDA</w:t>
      </w:r>
      <w:r w:rsidRPr="009C5151">
        <w:rPr>
          <w:rFonts w:ascii="Times New Roman" w:hAnsi="Times New Roman" w:cs="Times New Roman"/>
          <w:sz w:val="24"/>
          <w:szCs w:val="24"/>
        </w:rPr>
        <w:t>: ₹100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 Paid to Non-Resident AE</w:t>
      </w:r>
      <w:r w:rsidRPr="009C5151">
        <w:rPr>
          <w:rFonts w:ascii="Times New Roman" w:hAnsi="Times New Roman" w:cs="Times New Roman"/>
          <w:sz w:val="24"/>
          <w:szCs w:val="24"/>
        </w:rPr>
        <w:t>: ₹50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 to Non-Resident AE</w:t>
      </w:r>
      <w:r w:rsidRPr="009C5151">
        <w:rPr>
          <w:rFonts w:ascii="Times New Roman" w:hAnsi="Times New Roman" w:cs="Times New Roman"/>
          <w:sz w:val="24"/>
          <w:szCs w:val="24"/>
        </w:rPr>
        <w:t>: ₹30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Fee for Technical Services (FTS)</w:t>
      </w:r>
      <w:r w:rsidRPr="009C5151">
        <w:rPr>
          <w:rFonts w:ascii="Times New Roman" w:hAnsi="Times New Roman" w:cs="Times New Roman"/>
          <w:sz w:val="24"/>
          <w:szCs w:val="24"/>
        </w:rPr>
        <w:t>: ₹25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Dividend Distributed</w:t>
      </w:r>
      <w:r w:rsidRPr="009C5151">
        <w:rPr>
          <w:rFonts w:ascii="Times New Roman" w:hAnsi="Times New Roman" w:cs="Times New Roman"/>
          <w:sz w:val="24"/>
          <w:szCs w:val="24"/>
        </w:rPr>
        <w:t>: ₹20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1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Computation</w:t>
      </w:r>
    </w:p>
    <w:p w:rsidR="00A056B6" w:rsidRPr="009C5151" w:rsidRDefault="00A056B6" w:rsidP="00743A5F">
      <w:pPr>
        <w:pStyle w:val="NormalWeb"/>
        <w:tabs>
          <w:tab w:val="num" w:pos="720"/>
        </w:tabs>
        <w:spacing w:before="0" w:beforeAutospacing="0"/>
        <w:ind w:left="720" w:hanging="360"/>
      </w:pPr>
      <w:r w:rsidRPr="009C5151">
        <w:rPr>
          <w:rStyle w:val="Strong"/>
        </w:rPr>
        <w:t>Step 1: Allowable Interest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Allowable Interest = 30% of EBITDA = ₹100 crore × 30% = ₹30 crore.</w:t>
      </w:r>
    </w:p>
    <w:p w:rsidR="00A056B6" w:rsidRPr="009C5151" w:rsidRDefault="00A056B6" w:rsidP="00743A5F">
      <w:pPr>
        <w:pStyle w:val="NormalWeb"/>
        <w:tabs>
          <w:tab w:val="num" w:pos="720"/>
        </w:tabs>
        <w:spacing w:before="0" w:beforeAutospacing="0"/>
        <w:ind w:left="720" w:hanging="360"/>
      </w:pPr>
      <w:r w:rsidRPr="009C5151">
        <w:rPr>
          <w:rStyle w:val="Strong"/>
        </w:rPr>
        <w:t>Step 2: Disallowed Interest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Actual Interest Paid = ₹50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Allowable Interest = ₹30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Disallowed Interest</w:t>
      </w:r>
      <w:r w:rsidRPr="009C5151">
        <w:rPr>
          <w:rFonts w:ascii="Times New Roman" w:hAnsi="Times New Roman" w:cs="Times New Roman"/>
          <w:sz w:val="24"/>
          <w:szCs w:val="24"/>
        </w:rPr>
        <w:t xml:space="preserve"> = ₹50 crore - ₹30 crore = ₹20 crore.</w:t>
      </w:r>
    </w:p>
    <w:p w:rsidR="00A056B6" w:rsidRPr="009C5151" w:rsidRDefault="00A056B6" w:rsidP="00743A5F">
      <w:pPr>
        <w:pStyle w:val="NormalWeb"/>
        <w:tabs>
          <w:tab w:val="num" w:pos="720"/>
        </w:tabs>
        <w:spacing w:before="0" w:beforeAutospacing="0"/>
        <w:ind w:left="720" w:hanging="360"/>
      </w:pPr>
      <w:r w:rsidRPr="009C5151">
        <w:rPr>
          <w:rStyle w:val="Strong"/>
        </w:rPr>
        <w:t>Impact on Royalty, FTS, and Dividends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Royalty and FTS</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Payments will be analyzed separately under TP and withholding tax provisions. Section 94B does not directly disallow these payments but ensures they are at arm’s length.</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Dividends</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Dividend payments are not deductible under normal tax rules; hence, Section 94B does not apply.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1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13" w:name="_Toc187624016"/>
      <w:bookmarkStart w:id="514" w:name="_Toc187630736"/>
      <w:bookmarkStart w:id="515" w:name="_Toc187660915"/>
      <w:bookmarkStart w:id="516" w:name="_Toc187661994"/>
      <w:r w:rsidRPr="009C5151">
        <w:rPr>
          <w:rStyle w:val="Strong"/>
          <w:b/>
          <w:bCs/>
          <w:sz w:val="24"/>
          <w:szCs w:val="24"/>
        </w:rPr>
        <w:t>Final Computation Summary</w:t>
      </w:r>
      <w:bookmarkEnd w:id="513"/>
      <w:bookmarkEnd w:id="514"/>
      <w:bookmarkEnd w:id="515"/>
      <w:bookmarkEnd w:id="516"/>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8"/>
        <w:gridCol w:w="1343"/>
        <w:gridCol w:w="1327"/>
        <w:gridCol w:w="1354"/>
        <w:gridCol w:w="3724"/>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lastRenderedPageBreak/>
              <w:t>Payment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Paid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Allowable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Disallowed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Remarks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Disallowed under Section 94B (excess over 30% of EBITDA).</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Subject to TP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Ensure at arm’s length and check WHT 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Subject to TP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Ensure at arm’s length and check WHT 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Dividend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Not Deductible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Dividends are not deductible under tax provisions.</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1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17" w:name="_Toc187624017"/>
      <w:bookmarkStart w:id="518" w:name="_Toc187630737"/>
      <w:bookmarkStart w:id="519" w:name="_Toc187660916"/>
      <w:bookmarkStart w:id="520" w:name="_Toc187661995"/>
      <w:r w:rsidRPr="009C5151">
        <w:rPr>
          <w:rStyle w:val="Strong"/>
          <w:b/>
          <w:bCs/>
          <w:sz w:val="24"/>
          <w:szCs w:val="24"/>
        </w:rPr>
        <w:t>Key Considerations</w:t>
      </w:r>
      <w:bookmarkEnd w:id="517"/>
      <w:bookmarkEnd w:id="518"/>
      <w:bookmarkEnd w:id="519"/>
      <w:bookmarkEnd w:id="520"/>
    </w:p>
    <w:p w:rsidR="00A056B6" w:rsidRPr="009C5151" w:rsidRDefault="00A056B6" w:rsidP="00743A5F">
      <w:pPr>
        <w:pStyle w:val="NormalWeb"/>
        <w:tabs>
          <w:tab w:val="num" w:pos="720"/>
        </w:tabs>
        <w:spacing w:before="0" w:beforeAutospacing="0"/>
        <w:ind w:left="720" w:hanging="360"/>
      </w:pPr>
      <w:r w:rsidRPr="009C5151">
        <w:rPr>
          <w:rStyle w:val="Strong"/>
        </w:rPr>
        <w:t>Carry Forward of Disallowed Interest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Disallowed interest (₹20 crore) can be carried forward for </w:t>
      </w:r>
      <w:r w:rsidRPr="009C5151">
        <w:rPr>
          <w:rStyle w:val="Strong"/>
          <w:rFonts w:ascii="Times New Roman" w:hAnsi="Times New Roman" w:cs="Times New Roman"/>
          <w:sz w:val="24"/>
          <w:szCs w:val="24"/>
        </w:rPr>
        <w:t>8 years</w:t>
      </w:r>
      <w:r w:rsidRPr="009C5151">
        <w:rPr>
          <w:rFonts w:ascii="Times New Roman" w:hAnsi="Times New Roman" w:cs="Times New Roman"/>
          <w:sz w:val="24"/>
          <w:szCs w:val="24"/>
        </w:rPr>
        <w:t xml:space="preserve"> and deducted in subsequent years if within 30% of EBITDA.</w:t>
      </w:r>
    </w:p>
    <w:p w:rsidR="00A056B6" w:rsidRPr="009C5151" w:rsidRDefault="00A056B6" w:rsidP="00743A5F">
      <w:pPr>
        <w:pStyle w:val="NormalWeb"/>
        <w:tabs>
          <w:tab w:val="num" w:pos="720"/>
        </w:tabs>
        <w:spacing w:before="0" w:beforeAutospacing="0"/>
        <w:ind w:left="720" w:hanging="360"/>
      </w:pPr>
      <w:r w:rsidRPr="009C5151">
        <w:rPr>
          <w:rStyle w:val="Strong"/>
        </w:rPr>
        <w:t>TP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and FTS payments must be benchmarked under TP regulations to ensure compliance.</w:t>
      </w:r>
    </w:p>
    <w:p w:rsidR="00A056B6" w:rsidRPr="009C5151" w:rsidRDefault="00A056B6" w:rsidP="00743A5F">
      <w:pPr>
        <w:pStyle w:val="NormalWeb"/>
        <w:tabs>
          <w:tab w:val="num" w:pos="720"/>
        </w:tabs>
        <w:spacing w:before="0" w:beforeAutospacing="0"/>
        <w:ind w:left="720" w:hanging="360"/>
      </w:pPr>
      <w:r w:rsidRPr="009C5151">
        <w:rPr>
          <w:rStyle w:val="Strong"/>
        </w:rPr>
        <w:t>Withholding Tax</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applicable WHT for interest (10% under DTAA), royalty, and FTS payments.</w:t>
      </w:r>
    </w:p>
    <w:p w:rsidR="00A056B6" w:rsidRPr="009C5151" w:rsidRDefault="00A056B6" w:rsidP="00743A5F">
      <w:pPr>
        <w:pStyle w:val="NormalWeb"/>
        <w:tabs>
          <w:tab w:val="num" w:pos="720"/>
        </w:tabs>
        <w:spacing w:before="0" w:beforeAutospacing="0"/>
        <w:ind w:left="720" w:hanging="360"/>
      </w:pPr>
      <w:r w:rsidRPr="009C5151">
        <w:rPr>
          <w:rStyle w:val="Strong"/>
        </w:rPr>
        <w:t>Compliance with Section 115-O</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should comply with dividend distribution tax (if applicable) or be reported under the new regime for dividend taxation.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15" style="width:0;height:1.5pt" o:hralign="center" o:hrstd="t" o:hr="t" fillcolor="#a0a0a0" stroked="f"/>
        </w:pict>
      </w:r>
    </w:p>
    <w:p w:rsidR="00A056B6" w:rsidRPr="009C5151" w:rsidRDefault="00A056B6" w:rsidP="00743A5F">
      <w:pPr>
        <w:pStyle w:val="NormalWeb"/>
        <w:spacing w:before="0" w:beforeAutospacing="0"/>
      </w:pPr>
      <w:r w:rsidRPr="009C5151">
        <w:t>Would you like further assistance with a detailed computation or analysis of a specific transaction?</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further assistance with a detailed computation or analysis of each of the above specific transactions by considering assumed numbers under 13th Case study above</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556A61F6" wp14:editId="6D3CFE52">
            <wp:extent cx="763905" cy="763905"/>
            <wp:effectExtent l="0" t="0" r="0" b="0"/>
            <wp:docPr id="305" name="Picture 30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7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521" w:name="_Toc187624018"/>
      <w:bookmarkStart w:id="522" w:name="_Toc187630738"/>
      <w:bookmarkStart w:id="523" w:name="_Toc187660917"/>
      <w:bookmarkStart w:id="524" w:name="_Toc187661996"/>
      <w:r w:rsidRPr="009C5151">
        <w:rPr>
          <w:rStyle w:val="Strong"/>
          <w:b/>
          <w:bCs/>
          <w:sz w:val="24"/>
          <w:szCs w:val="24"/>
        </w:rPr>
        <w:t>Detailed Computation and Analysis of Transactions Under Section 94B and Other Relevant Provisions</w:t>
      </w:r>
      <w:bookmarkEnd w:id="521"/>
      <w:bookmarkEnd w:id="522"/>
      <w:bookmarkEnd w:id="523"/>
      <w:bookmarkEnd w:id="524"/>
    </w:p>
    <w:p w:rsidR="00A056B6" w:rsidRPr="009C5151" w:rsidRDefault="00A056B6" w:rsidP="00743A5F">
      <w:pPr>
        <w:pStyle w:val="NormalWeb"/>
        <w:spacing w:before="0" w:beforeAutospacing="0"/>
      </w:pPr>
      <w:r w:rsidRPr="009C5151">
        <w:t xml:space="preserve">(Based on the </w:t>
      </w:r>
      <w:r w:rsidRPr="009C5151">
        <w:rPr>
          <w:rStyle w:val="Strong"/>
        </w:rPr>
        <w:t>13th Case Study: GlobalTech Pvt. Ltd.</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1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Computation of Interest Disallowance Under Section 94B</w:t>
      </w:r>
    </w:p>
    <w:p w:rsidR="00A056B6" w:rsidRPr="009C5151" w:rsidRDefault="00A056B6" w:rsidP="00743A5F">
      <w:pPr>
        <w:pStyle w:val="NormalWeb"/>
        <w:spacing w:before="0" w:beforeAutospacing="0"/>
      </w:pPr>
      <w:r w:rsidRPr="009C5151">
        <w:rPr>
          <w:rStyle w:val="Strong"/>
        </w:rPr>
        <w:t>Facts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EBITDA</w:t>
      </w:r>
      <w:r w:rsidRPr="009C5151">
        <w:rPr>
          <w:rFonts w:ascii="Times New Roman" w:hAnsi="Times New Roman" w:cs="Times New Roman"/>
          <w:sz w:val="24"/>
          <w:szCs w:val="24"/>
        </w:rPr>
        <w:t>: ₹300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 Paid to German AE</w:t>
      </w:r>
      <w:r w:rsidRPr="009C5151">
        <w:rPr>
          <w:rFonts w:ascii="Times New Roman" w:hAnsi="Times New Roman" w:cs="Times New Roman"/>
          <w:sz w:val="24"/>
          <w:szCs w:val="24"/>
        </w:rPr>
        <w:t>: ₹50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Threshold Under Section 94B</w:t>
      </w:r>
      <w:r w:rsidRPr="009C5151">
        <w:rPr>
          <w:rFonts w:ascii="Times New Roman" w:hAnsi="Times New Roman" w:cs="Times New Roman"/>
          <w:sz w:val="24"/>
          <w:szCs w:val="24"/>
        </w:rPr>
        <w:t>: 30% of EBITDA.</w:t>
      </w:r>
    </w:p>
    <w:p w:rsidR="00A056B6" w:rsidRPr="009C5151" w:rsidRDefault="00A056B6" w:rsidP="00743A5F">
      <w:pPr>
        <w:pStyle w:val="NormalWeb"/>
        <w:spacing w:before="0" w:beforeAutospacing="0"/>
      </w:pPr>
      <w:r w:rsidRPr="009C5151">
        <w:rPr>
          <w:rStyle w:val="Strong"/>
        </w:rPr>
        <w:t>Step-by-Step Calculation</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Allowable Interest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30% of EBITDA</w:t>
      </w:r>
      <w:r w:rsidRPr="009C5151">
        <w:rPr>
          <w:rFonts w:ascii="Times New Roman" w:hAnsi="Times New Roman" w:cs="Times New Roman"/>
          <w:sz w:val="24"/>
          <w:szCs w:val="24"/>
        </w:rPr>
        <w:t xml:space="preserve"> = ₹300 crore × 30% = ₹90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Allowable Interest = Lower of ₹90 crore or ₹50 crore = ₹50 crore.</w:t>
      </w:r>
    </w:p>
    <w:p w:rsidR="00A056B6" w:rsidRPr="009C5151" w:rsidRDefault="00A056B6" w:rsidP="00743A5F">
      <w:pPr>
        <w:pStyle w:val="NormalWeb"/>
        <w:tabs>
          <w:tab w:val="num" w:pos="720"/>
        </w:tabs>
        <w:spacing w:before="0" w:beforeAutospacing="0"/>
        <w:ind w:left="720" w:hanging="360"/>
      </w:pPr>
      <w:r w:rsidRPr="009C5151">
        <w:rPr>
          <w:rStyle w:val="Strong"/>
        </w:rPr>
        <w:t>Disallowed Interest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Disallowed Interest = Actual Interest Paid - Allowable Interest.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Disallowed Interest = ₹50 crore - ₹50 crore = </w:t>
      </w:r>
      <w:r w:rsidRPr="009C5151">
        <w:rPr>
          <w:rStyle w:val="Strong"/>
          <w:rFonts w:ascii="Times New Roman" w:hAnsi="Times New Roman" w:cs="Times New Roman"/>
          <w:sz w:val="24"/>
          <w:szCs w:val="24"/>
        </w:rPr>
        <w:t>₹0 crore</w:t>
      </w:r>
      <w:r w:rsidRPr="009C5151">
        <w:rPr>
          <w:rFonts w:ascii="Times New Roman" w:hAnsi="Times New Roman" w:cs="Times New Roman"/>
          <w:sz w:val="24"/>
          <w:szCs w:val="24"/>
        </w:rPr>
        <w:t xml:space="preserve"> (No disallowance as interest is within the limit).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1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Royalty Payments Compliance Analysis</w:t>
      </w:r>
    </w:p>
    <w:p w:rsidR="00A056B6" w:rsidRPr="009C5151" w:rsidRDefault="00A056B6" w:rsidP="00743A5F">
      <w:pPr>
        <w:pStyle w:val="NormalWeb"/>
        <w:spacing w:before="0" w:beforeAutospacing="0"/>
      </w:pPr>
      <w:r w:rsidRPr="009C5151">
        <w:rPr>
          <w:rStyle w:val="Strong"/>
        </w:rPr>
        <w:t>Facts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Paid</w:t>
      </w:r>
      <w:r w:rsidRPr="009C5151">
        <w:rPr>
          <w:rFonts w:ascii="Times New Roman" w:hAnsi="Times New Roman" w:cs="Times New Roman"/>
          <w:sz w:val="24"/>
          <w:szCs w:val="24"/>
        </w:rPr>
        <w:t>: ₹30 crore (to UK AE for licensing software IP).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Methodology for TP Compliance</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Benchmark</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Licensing Fees in Similar Agreements: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lastRenderedPageBreak/>
        <w:t>License A: ₹28 crore.</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License B: ₹32 crore.</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License C: ₹30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Arm’s Length Range: ₹28 crore - ₹32 crore.</w:t>
      </w:r>
    </w:p>
    <w:p w:rsidR="00A056B6" w:rsidRPr="009C5151" w:rsidRDefault="00A056B6" w:rsidP="00743A5F">
      <w:pPr>
        <w:pStyle w:val="NormalWeb"/>
        <w:spacing w:before="0" w:beforeAutospacing="0"/>
      </w:pPr>
      <w:r w:rsidRPr="009C5151">
        <w:rPr>
          <w:rStyle w:val="Strong"/>
        </w:rPr>
        <w:t>Computation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Actual Royalty Paid: ₹30 crore (within range).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xml:space="preserve">: The payment is at </w:t>
      </w:r>
      <w:r w:rsidRPr="009C5151">
        <w:rPr>
          <w:rStyle w:val="Strong"/>
          <w:rFonts w:ascii="Times New Roman" w:hAnsi="Times New Roman" w:cs="Times New Roman"/>
          <w:sz w:val="24"/>
          <w:szCs w:val="24"/>
        </w:rPr>
        <w:t>arm’s length</w:t>
      </w:r>
      <w:r w:rsidRPr="009C5151">
        <w:rPr>
          <w:rFonts w:ascii="Times New Roman" w:hAnsi="Times New Roman" w:cs="Times New Roman"/>
          <w:sz w:val="24"/>
          <w:szCs w:val="24"/>
        </w:rPr>
        <w:t>.</w:t>
      </w:r>
    </w:p>
    <w:p w:rsidR="00A056B6" w:rsidRPr="009C5151" w:rsidRDefault="00A056B6" w:rsidP="00743A5F">
      <w:pPr>
        <w:pStyle w:val="NormalWeb"/>
        <w:spacing w:before="0" w:beforeAutospacing="0"/>
      </w:pPr>
      <w:r w:rsidRPr="009C5151">
        <w:rPr>
          <w:rStyle w:val="Strong"/>
        </w:rPr>
        <w:t>Withholding Tax (WHT)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Applicable Rate Under India-UK DTAA: </w:t>
      </w:r>
      <w:r w:rsidRPr="009C5151">
        <w:rPr>
          <w:rStyle w:val="Strong"/>
          <w:rFonts w:ascii="Times New Roman" w:hAnsi="Times New Roman" w:cs="Times New Roman"/>
          <w:sz w:val="24"/>
          <w:szCs w:val="24"/>
        </w:rPr>
        <w:t>10%</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WHT Deduction: ₹30 crore × 10% = </w:t>
      </w:r>
      <w:r w:rsidRPr="009C5151">
        <w:rPr>
          <w:rStyle w:val="Strong"/>
          <w:rFonts w:ascii="Times New Roman" w:hAnsi="Times New Roman" w:cs="Times New Roman"/>
          <w:sz w:val="24"/>
          <w:szCs w:val="24"/>
        </w:rPr>
        <w:t>₹3 crore</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1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Fee for Technical Services (FTS) Compliance Analysis</w:t>
      </w:r>
    </w:p>
    <w:p w:rsidR="00A056B6" w:rsidRPr="009C5151" w:rsidRDefault="00A056B6" w:rsidP="00743A5F">
      <w:pPr>
        <w:pStyle w:val="NormalWeb"/>
        <w:spacing w:before="0" w:beforeAutospacing="0"/>
      </w:pPr>
      <w:r w:rsidRPr="009C5151">
        <w:rPr>
          <w:rStyle w:val="Strong"/>
        </w:rPr>
        <w:t>Facts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FTS Paid</w:t>
      </w:r>
      <w:r w:rsidRPr="009C5151">
        <w:rPr>
          <w:rFonts w:ascii="Times New Roman" w:hAnsi="Times New Roman" w:cs="Times New Roman"/>
          <w:sz w:val="24"/>
          <w:szCs w:val="24"/>
        </w:rPr>
        <w:t>: ₹25 crore (to Singapore AE for cloud-based technical consultancy).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Methodology for TP Compliance</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Benchmark</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Markup on Comparable Technical Services: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Provider A: 12%.</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Provider B: 15%.</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Provider C: 13%.</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Arm’s Length Range: 12%-15%.</w:t>
      </w:r>
    </w:p>
    <w:p w:rsidR="00A056B6" w:rsidRPr="009C5151" w:rsidRDefault="00A056B6" w:rsidP="00743A5F">
      <w:pPr>
        <w:pStyle w:val="NormalWeb"/>
        <w:spacing w:before="0" w:beforeAutospacing="0"/>
      </w:pPr>
      <w:r w:rsidRPr="009C5151">
        <w:rPr>
          <w:rStyle w:val="Strong"/>
        </w:rPr>
        <w:t>Computation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Base Cost: ₹22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Markup (Actual): ₹3 crore ÷ ₹22 crore = </w:t>
      </w:r>
      <w:r w:rsidRPr="009C5151">
        <w:rPr>
          <w:rStyle w:val="Strong"/>
          <w:rFonts w:ascii="Times New Roman" w:hAnsi="Times New Roman" w:cs="Times New Roman"/>
          <w:sz w:val="24"/>
          <w:szCs w:val="24"/>
        </w:rPr>
        <w:t>13.64%</w:t>
      </w:r>
      <w:r w:rsidRPr="009C5151">
        <w:rPr>
          <w:rFonts w:ascii="Times New Roman" w:hAnsi="Times New Roman" w:cs="Times New Roman"/>
          <w:sz w:val="24"/>
          <w:szCs w:val="24"/>
        </w:rPr>
        <w:t xml:space="preserve"> (within range).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xml:space="preserve">: Payment is at </w:t>
      </w:r>
      <w:r w:rsidRPr="009C5151">
        <w:rPr>
          <w:rStyle w:val="Strong"/>
          <w:rFonts w:ascii="Times New Roman" w:hAnsi="Times New Roman" w:cs="Times New Roman"/>
          <w:sz w:val="24"/>
          <w:szCs w:val="24"/>
        </w:rPr>
        <w:t>arm’s length</w:t>
      </w:r>
      <w:r w:rsidRPr="009C5151">
        <w:rPr>
          <w:rFonts w:ascii="Times New Roman" w:hAnsi="Times New Roman" w:cs="Times New Roman"/>
          <w:sz w:val="24"/>
          <w:szCs w:val="24"/>
        </w:rPr>
        <w:t>.</w:t>
      </w:r>
    </w:p>
    <w:p w:rsidR="00A056B6" w:rsidRPr="009C5151" w:rsidRDefault="00A056B6" w:rsidP="00743A5F">
      <w:pPr>
        <w:pStyle w:val="NormalWeb"/>
        <w:spacing w:before="0" w:beforeAutospacing="0"/>
      </w:pPr>
      <w:r w:rsidRPr="009C5151">
        <w:rPr>
          <w:rStyle w:val="Strong"/>
        </w:rPr>
        <w:t>Withholding Tax (WHT)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 xml:space="preserve">Applicable Rate Under India-Singapore DTAA: </w:t>
      </w:r>
      <w:r w:rsidRPr="009C5151">
        <w:rPr>
          <w:rStyle w:val="Strong"/>
          <w:rFonts w:ascii="Times New Roman" w:hAnsi="Times New Roman" w:cs="Times New Roman"/>
          <w:sz w:val="24"/>
          <w:szCs w:val="24"/>
        </w:rPr>
        <w:t>10%</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WHT Deduction: ₹25 crore × 10% = </w:t>
      </w:r>
      <w:r w:rsidRPr="009C5151">
        <w:rPr>
          <w:rStyle w:val="Strong"/>
          <w:rFonts w:ascii="Times New Roman" w:hAnsi="Times New Roman" w:cs="Times New Roman"/>
          <w:sz w:val="24"/>
          <w:szCs w:val="24"/>
        </w:rPr>
        <w:t>₹2.5 crore</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1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Dividend Payments Compliance Analysis</w:t>
      </w:r>
    </w:p>
    <w:p w:rsidR="00A056B6" w:rsidRPr="009C5151" w:rsidRDefault="00A056B6" w:rsidP="00743A5F">
      <w:pPr>
        <w:pStyle w:val="NormalWeb"/>
        <w:spacing w:before="0" w:beforeAutospacing="0"/>
      </w:pPr>
      <w:r w:rsidRPr="009C5151">
        <w:rPr>
          <w:rStyle w:val="Strong"/>
        </w:rPr>
        <w:t>Facts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Dividend Paid</w:t>
      </w:r>
      <w:r w:rsidRPr="009C5151">
        <w:rPr>
          <w:rFonts w:ascii="Times New Roman" w:hAnsi="Times New Roman" w:cs="Times New Roman"/>
          <w:sz w:val="24"/>
          <w:szCs w:val="24"/>
        </w:rPr>
        <w:t>: ₹20 crore (to Mauritius parent).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Applicable DTAA</w:t>
      </w:r>
      <w:r w:rsidRPr="009C5151">
        <w:rPr>
          <w:rFonts w:ascii="Times New Roman" w:hAnsi="Times New Roman" w:cs="Times New Roman"/>
          <w:sz w:val="24"/>
          <w:szCs w:val="24"/>
        </w:rPr>
        <w:t>: India-Mauritius.</w:t>
      </w:r>
    </w:p>
    <w:p w:rsidR="00A056B6" w:rsidRPr="009C5151" w:rsidRDefault="00A056B6" w:rsidP="00743A5F">
      <w:pPr>
        <w:pStyle w:val="NormalWeb"/>
        <w:spacing w:before="0" w:beforeAutospacing="0"/>
      </w:pPr>
      <w:r w:rsidRPr="009C5151">
        <w:rPr>
          <w:rStyle w:val="Strong"/>
        </w:rPr>
        <w:t>Analysis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As per the India-Mauritius DTAA, dividends may be subject to </w:t>
      </w:r>
      <w:r w:rsidRPr="009C5151">
        <w:rPr>
          <w:rStyle w:val="Strong"/>
          <w:rFonts w:ascii="Times New Roman" w:hAnsi="Times New Roman" w:cs="Times New Roman"/>
          <w:sz w:val="24"/>
          <w:szCs w:val="24"/>
        </w:rPr>
        <w:t>0% WHT</w:t>
      </w:r>
      <w:r w:rsidRPr="009C5151">
        <w:rPr>
          <w:rFonts w:ascii="Times New Roman" w:hAnsi="Times New Roman" w:cs="Times New Roman"/>
          <w:sz w:val="24"/>
          <w:szCs w:val="24"/>
        </w:rPr>
        <w:t>, provided: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Mauritius entity provides a </w:t>
      </w:r>
      <w:r w:rsidRPr="009C5151">
        <w:rPr>
          <w:rStyle w:val="Strong"/>
          <w:rFonts w:ascii="Times New Roman" w:hAnsi="Times New Roman" w:cs="Times New Roman"/>
          <w:sz w:val="24"/>
          <w:szCs w:val="24"/>
        </w:rPr>
        <w:t>Tax Residency Certificate (TRC)</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is not taxable under India’s domestic tax provisions (as per new regime, the shareholder is taxed).</w:t>
      </w:r>
    </w:p>
    <w:p w:rsidR="00A056B6" w:rsidRPr="009C5151" w:rsidRDefault="00A056B6" w:rsidP="00743A5F">
      <w:pPr>
        <w:pStyle w:val="NormalWeb"/>
        <w:spacing w:before="0" w:beforeAutospacing="0"/>
      </w:pPr>
      <w:r w:rsidRPr="009C5151">
        <w:rPr>
          <w:rStyle w:val="Strong"/>
        </w:rPr>
        <w:t>Computation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WHT Deduction: ₹20 crore × 0% = </w:t>
      </w:r>
      <w:r w:rsidRPr="009C5151">
        <w:rPr>
          <w:rStyle w:val="Strong"/>
          <w:rFonts w:ascii="Times New Roman" w:hAnsi="Times New Roman" w:cs="Times New Roman"/>
          <w:sz w:val="24"/>
          <w:szCs w:val="24"/>
        </w:rPr>
        <w:t>₹0 crore</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2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Digital Advertising Payments Compliance Analysis (Equalization Levy)</w:t>
      </w:r>
    </w:p>
    <w:p w:rsidR="00A056B6" w:rsidRPr="009C5151" w:rsidRDefault="00A056B6" w:rsidP="00743A5F">
      <w:pPr>
        <w:pStyle w:val="NormalWeb"/>
        <w:spacing w:before="0" w:beforeAutospacing="0"/>
      </w:pPr>
      <w:r w:rsidRPr="009C5151">
        <w:rPr>
          <w:rStyle w:val="Strong"/>
        </w:rPr>
        <w:t>Facts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Payment</w:t>
      </w:r>
      <w:r w:rsidRPr="009C5151">
        <w:rPr>
          <w:rFonts w:ascii="Times New Roman" w:hAnsi="Times New Roman" w:cs="Times New Roman"/>
          <w:sz w:val="24"/>
          <w:szCs w:val="24"/>
        </w:rPr>
        <w:t>: ₹10 crore (to a USA-based platform for online ads).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Applicable Equalization Levy (EL)</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6%</w:t>
      </w:r>
      <w:r w:rsidRPr="009C5151">
        <w:rPr>
          <w:rFonts w:ascii="Times New Roman" w:hAnsi="Times New Roman" w:cs="Times New Roman"/>
          <w:sz w:val="24"/>
          <w:szCs w:val="24"/>
        </w:rPr>
        <w:t>.</w:t>
      </w:r>
    </w:p>
    <w:p w:rsidR="00A056B6" w:rsidRPr="009C5151" w:rsidRDefault="00A056B6" w:rsidP="00743A5F">
      <w:pPr>
        <w:pStyle w:val="NormalWeb"/>
        <w:spacing w:before="0" w:beforeAutospacing="0"/>
      </w:pPr>
      <w:r w:rsidRPr="009C5151">
        <w:rPr>
          <w:rStyle w:val="Strong"/>
        </w:rPr>
        <w:t>Computation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EL Amount: ₹10 crore × 6% = </w:t>
      </w:r>
      <w:r w:rsidRPr="009C5151">
        <w:rPr>
          <w:rStyle w:val="Strong"/>
          <w:rFonts w:ascii="Times New Roman" w:hAnsi="Times New Roman" w:cs="Times New Roman"/>
          <w:sz w:val="24"/>
          <w:szCs w:val="24"/>
        </w:rPr>
        <w:t>₹60 lakh</w:t>
      </w:r>
      <w:r w:rsidRPr="009C5151">
        <w:rPr>
          <w:rFonts w:ascii="Times New Roman" w:hAnsi="Times New Roman" w:cs="Times New Roman"/>
          <w:sz w:val="24"/>
          <w:szCs w:val="24"/>
        </w:rPr>
        <w:t>.</w:t>
      </w:r>
    </w:p>
    <w:p w:rsidR="00A056B6" w:rsidRPr="009C5151" w:rsidRDefault="00A056B6" w:rsidP="00743A5F">
      <w:pPr>
        <w:pStyle w:val="NormalWeb"/>
        <w:spacing w:before="0" w:beforeAutospacing="0"/>
      </w:pPr>
      <w:r w:rsidRPr="009C5151">
        <w:rPr>
          <w:rStyle w:val="Strong"/>
        </w:rPr>
        <w:t>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Remit EL by the </w:t>
      </w:r>
      <w:r w:rsidRPr="009C5151">
        <w:rPr>
          <w:rStyle w:val="Strong"/>
          <w:rFonts w:ascii="Times New Roman" w:hAnsi="Times New Roman" w:cs="Times New Roman"/>
          <w:sz w:val="24"/>
          <w:szCs w:val="24"/>
        </w:rPr>
        <w:t>7th of the following month</w:t>
      </w:r>
      <w:r w:rsidRPr="009C5151">
        <w:rPr>
          <w:rFonts w:ascii="Times New Roman" w:hAnsi="Times New Roman" w:cs="Times New Roman"/>
          <w:sz w:val="24"/>
          <w:szCs w:val="24"/>
        </w:rPr>
        <w:t xml:space="preserve"> for each payment.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File EL annual return by </w:t>
      </w:r>
      <w:r w:rsidRPr="009C5151">
        <w:rPr>
          <w:rStyle w:val="Strong"/>
          <w:rFonts w:ascii="Times New Roman" w:hAnsi="Times New Roman" w:cs="Times New Roman"/>
          <w:sz w:val="24"/>
          <w:szCs w:val="24"/>
        </w:rPr>
        <w:t>30th June of the following financial year</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2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Shared Management Services (Specified Domestic Transactions)</w:t>
      </w:r>
    </w:p>
    <w:p w:rsidR="00A056B6" w:rsidRPr="009C5151" w:rsidRDefault="00A056B6" w:rsidP="00743A5F">
      <w:pPr>
        <w:pStyle w:val="NormalWeb"/>
        <w:spacing w:before="0" w:beforeAutospacing="0"/>
      </w:pPr>
      <w:r w:rsidRPr="009C5151">
        <w:rPr>
          <w:rStyle w:val="Strong"/>
        </w:rPr>
        <w:t>Facts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Payment</w:t>
      </w:r>
      <w:r w:rsidRPr="009C5151">
        <w:rPr>
          <w:rFonts w:ascii="Times New Roman" w:hAnsi="Times New Roman" w:cs="Times New Roman"/>
          <w:sz w:val="24"/>
          <w:szCs w:val="24"/>
        </w:rPr>
        <w:t>: ₹12 crore (to an Indian AE for HR and finance support).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Methodology for TP Compliance</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Benchmark</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Comparable Markup for Shared Services: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Provider A: 10%.</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Provider B: 12%.</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Provider C: 11%.</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Arm’s Length Range: 10%-12%.</w:t>
      </w:r>
    </w:p>
    <w:p w:rsidR="00A056B6" w:rsidRPr="009C5151" w:rsidRDefault="00A056B6" w:rsidP="00743A5F">
      <w:pPr>
        <w:pStyle w:val="NormalWeb"/>
        <w:spacing w:before="0" w:beforeAutospacing="0"/>
      </w:pPr>
      <w:r w:rsidRPr="009C5151">
        <w:rPr>
          <w:rStyle w:val="Strong"/>
        </w:rPr>
        <w:t>Computation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Base Cost: ₹10.9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Markup Charged: ₹1.1 crore ÷ ₹10.9 crore = </w:t>
      </w:r>
      <w:r w:rsidRPr="009C5151">
        <w:rPr>
          <w:rStyle w:val="Strong"/>
          <w:rFonts w:ascii="Times New Roman" w:hAnsi="Times New Roman" w:cs="Times New Roman"/>
          <w:sz w:val="24"/>
          <w:szCs w:val="24"/>
        </w:rPr>
        <w:t>10.09%</w:t>
      </w:r>
      <w:r w:rsidRPr="009C5151">
        <w:rPr>
          <w:rFonts w:ascii="Times New Roman" w:hAnsi="Times New Roman" w:cs="Times New Roman"/>
          <w:sz w:val="24"/>
          <w:szCs w:val="24"/>
        </w:rPr>
        <w:t xml:space="preserve"> (within range).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xml:space="preserve">: Payment is at </w:t>
      </w:r>
      <w:r w:rsidRPr="009C5151">
        <w:rPr>
          <w:rStyle w:val="Strong"/>
          <w:rFonts w:ascii="Times New Roman" w:hAnsi="Times New Roman" w:cs="Times New Roman"/>
          <w:sz w:val="24"/>
          <w:szCs w:val="24"/>
        </w:rPr>
        <w:t>arm’s length</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2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7. Lease of Office Space (Specified Domestic Transactions)</w:t>
      </w:r>
    </w:p>
    <w:p w:rsidR="00A056B6" w:rsidRPr="009C5151" w:rsidRDefault="00A056B6" w:rsidP="00743A5F">
      <w:pPr>
        <w:pStyle w:val="NormalWeb"/>
        <w:spacing w:before="0" w:beforeAutospacing="0"/>
      </w:pPr>
      <w:r w:rsidRPr="009C5151">
        <w:rPr>
          <w:rStyle w:val="Strong"/>
        </w:rPr>
        <w:t>Facts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w:t>
      </w:r>
      <w:r w:rsidRPr="009C5151">
        <w:rPr>
          <w:rFonts w:ascii="Times New Roman" w:hAnsi="Times New Roman" w:cs="Times New Roman"/>
          <w:sz w:val="24"/>
          <w:szCs w:val="24"/>
        </w:rPr>
        <w:t>: ₹8 crore lease payments to domestic AE.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Methodology for TP Compliance</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Benchmark</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Market Lease Rentals: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Property A: ₹7.8 crore.</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Property B: ₹8.2 crore.</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Property C: ₹8 crore.</w:t>
      </w:r>
    </w:p>
    <w:p w:rsidR="00A056B6" w:rsidRPr="009C5151" w:rsidRDefault="00A056B6" w:rsidP="00743A5F">
      <w:pPr>
        <w:pStyle w:val="NormalWeb"/>
        <w:spacing w:before="0" w:beforeAutospacing="0"/>
      </w:pPr>
      <w:r w:rsidRPr="009C5151">
        <w:rPr>
          <w:rStyle w:val="Strong"/>
        </w:rPr>
        <w:t>Computation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Actual Lease Payment: ₹8 crore (within range).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xml:space="preserve">: Payment is at </w:t>
      </w:r>
      <w:r w:rsidRPr="009C5151">
        <w:rPr>
          <w:rStyle w:val="Strong"/>
          <w:rFonts w:ascii="Times New Roman" w:hAnsi="Times New Roman" w:cs="Times New Roman"/>
          <w:sz w:val="24"/>
          <w:szCs w:val="24"/>
        </w:rPr>
        <w:t>arm’s length</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2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25" w:name="_Toc187624019"/>
      <w:bookmarkStart w:id="526" w:name="_Toc187630739"/>
      <w:bookmarkStart w:id="527" w:name="_Toc187660918"/>
      <w:bookmarkStart w:id="528" w:name="_Toc187661997"/>
      <w:r w:rsidRPr="009C5151">
        <w:rPr>
          <w:rStyle w:val="Strong"/>
          <w:b/>
          <w:bCs/>
          <w:sz w:val="24"/>
          <w:szCs w:val="24"/>
        </w:rPr>
        <w:lastRenderedPageBreak/>
        <w:t>Summary of Computations</w:t>
      </w:r>
      <w:bookmarkEnd w:id="525"/>
      <w:bookmarkEnd w:id="526"/>
      <w:bookmarkEnd w:id="527"/>
      <w:bookmarkEnd w:id="528"/>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0"/>
        <w:gridCol w:w="1312"/>
        <w:gridCol w:w="2107"/>
        <w:gridCol w:w="1770"/>
        <w:gridCol w:w="1657"/>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Paid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Compliance Status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Disallowed Amount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WHT/EL Liability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Paid (Germany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Within Section 94B Limit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Paid (UK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Arm’s Length (CUP)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Paid (Singapore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Arm’s Length (CPM)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Dividend Paid (Mauritius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Compliant (DTAA: 0% WHT)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Digital Ads (EL to 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EL Applicable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₹0.6 crore (EL)</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Shared Services (Domestic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Arm’s Length (CPM)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NA</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Office Lease (Domestic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Arm’s Length (CUP)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NA</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2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29" w:name="_Toc187624020"/>
      <w:bookmarkStart w:id="530" w:name="_Toc187630740"/>
      <w:bookmarkStart w:id="531" w:name="_Toc187660919"/>
      <w:bookmarkStart w:id="532" w:name="_Toc187661998"/>
      <w:r w:rsidRPr="009C5151">
        <w:rPr>
          <w:rStyle w:val="Strong"/>
          <w:b/>
          <w:bCs/>
          <w:sz w:val="24"/>
          <w:szCs w:val="24"/>
        </w:rPr>
        <w:t>Conclusion</w:t>
      </w:r>
      <w:bookmarkEnd w:id="529"/>
      <w:bookmarkEnd w:id="530"/>
      <w:bookmarkEnd w:id="531"/>
      <w:bookmarkEnd w:id="532"/>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w:t>
      </w:r>
      <w:r w:rsidRPr="009C5151">
        <w:rPr>
          <w:rFonts w:ascii="Times New Roman" w:hAnsi="Times New Roman" w:cs="Times New Roman"/>
          <w:sz w:val="24"/>
          <w:szCs w:val="24"/>
        </w:rPr>
        <w:t>: No disallowance under Section 94B as it is within 30% of EBITDA.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and FTS</w:t>
      </w:r>
      <w:r w:rsidRPr="009C5151">
        <w:rPr>
          <w:rFonts w:ascii="Times New Roman" w:hAnsi="Times New Roman" w:cs="Times New Roman"/>
          <w:sz w:val="24"/>
          <w:szCs w:val="24"/>
        </w:rPr>
        <w:t>: Payments are compliant with TP and WHT requirements under applicable DTAAs.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Dividend</w:t>
      </w:r>
      <w:r w:rsidRPr="009C5151">
        <w:rPr>
          <w:rFonts w:ascii="Times New Roman" w:hAnsi="Times New Roman" w:cs="Times New Roman"/>
          <w:sz w:val="24"/>
          <w:szCs w:val="24"/>
        </w:rPr>
        <w:t>: Exempt from WHT under India-Mauritius DTAA with proper documentation.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Equalization Levy</w:t>
      </w:r>
      <w:r w:rsidRPr="009C5151">
        <w:rPr>
          <w:rFonts w:ascii="Times New Roman" w:hAnsi="Times New Roman" w:cs="Times New Roman"/>
          <w:sz w:val="24"/>
          <w:szCs w:val="24"/>
        </w:rPr>
        <w:t>: EL applicable at 6% for digital advertising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Specified Domestic Transactions</w:t>
      </w:r>
      <w:r w:rsidRPr="009C5151">
        <w:rPr>
          <w:rFonts w:ascii="Times New Roman" w:hAnsi="Times New Roman" w:cs="Times New Roman"/>
          <w:sz w:val="24"/>
          <w:szCs w:val="24"/>
        </w:rPr>
        <w:t>: Payments for shared services and lease rentals are at arm’s length.</w:t>
      </w:r>
    </w:p>
    <w:p w:rsidR="00A056B6" w:rsidRPr="009C5151" w:rsidRDefault="00A056B6" w:rsidP="00743A5F">
      <w:pPr>
        <w:pStyle w:val="NormalWeb"/>
        <w:spacing w:before="0" w:beforeAutospacing="0"/>
      </w:pPr>
      <w:r w:rsidRPr="009C5151">
        <w:t xml:space="preserve">Would you like assistance with preparing </w:t>
      </w:r>
      <w:r w:rsidRPr="009C5151">
        <w:rPr>
          <w:rStyle w:val="Strong"/>
        </w:rPr>
        <w:t>Form 3CEB</w:t>
      </w:r>
      <w:r w:rsidRPr="009C5151">
        <w:t xml:space="preserve"> or additional analysis of any specific transaction?</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assistance with preparing Form 3CEB</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57F57577" wp14:editId="7EA842CC">
            <wp:extent cx="763905" cy="763905"/>
            <wp:effectExtent l="0" t="0" r="0" b="0"/>
            <wp:docPr id="304" name="Picture 30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8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533" w:name="_Toc187624021"/>
      <w:bookmarkStart w:id="534" w:name="_Toc187630741"/>
      <w:bookmarkStart w:id="535" w:name="_Toc187660920"/>
      <w:bookmarkStart w:id="536" w:name="_Toc187661999"/>
      <w:r w:rsidRPr="009C5151">
        <w:rPr>
          <w:rStyle w:val="Strong"/>
          <w:b/>
          <w:bCs/>
          <w:sz w:val="24"/>
          <w:szCs w:val="24"/>
        </w:rPr>
        <w:t>Assistance with Preparing Form 3CEB</w:t>
      </w:r>
      <w:bookmarkEnd w:id="533"/>
      <w:bookmarkEnd w:id="534"/>
      <w:bookmarkEnd w:id="535"/>
      <w:bookmarkEnd w:id="536"/>
    </w:p>
    <w:p w:rsidR="00A056B6" w:rsidRPr="009C5151" w:rsidRDefault="00A056B6" w:rsidP="00743A5F">
      <w:pPr>
        <w:pStyle w:val="NormalWeb"/>
        <w:spacing w:before="0" w:beforeAutospacing="0"/>
      </w:pPr>
      <w:r w:rsidRPr="009C5151">
        <w:t xml:space="preserve">Form 3CEB is a compliance report required under Section 92E of the Income-tax Act, 1961, for reporting international transactions and specified domestic transactions with associated enterprises. Below is a detailed guide to prepare </w:t>
      </w:r>
      <w:r w:rsidRPr="009C5151">
        <w:rPr>
          <w:rStyle w:val="Strong"/>
        </w:rPr>
        <w:t>Form 3CEB</w:t>
      </w:r>
      <w:r w:rsidRPr="009C5151">
        <w:t xml:space="preserve"> for </w:t>
      </w:r>
      <w:r w:rsidRPr="009C5151">
        <w:rPr>
          <w:rStyle w:val="Strong"/>
        </w:rPr>
        <w:t>GlobalTech Pvt. Ltd.</w:t>
      </w:r>
      <w:r w:rsidRPr="009C5151">
        <w:t xml:space="preserve"> based on the 13th case study.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2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37" w:name="_Toc187624022"/>
      <w:bookmarkStart w:id="538" w:name="_Toc187630742"/>
      <w:bookmarkStart w:id="539" w:name="_Toc187660921"/>
      <w:bookmarkStart w:id="540" w:name="_Toc187662000"/>
      <w:r w:rsidRPr="009C5151">
        <w:rPr>
          <w:rStyle w:val="Strong"/>
          <w:b/>
          <w:bCs/>
          <w:sz w:val="24"/>
          <w:szCs w:val="24"/>
        </w:rPr>
        <w:t>Structure of Form 3CEB</w:t>
      </w:r>
      <w:bookmarkEnd w:id="537"/>
      <w:bookmarkEnd w:id="538"/>
      <w:bookmarkEnd w:id="539"/>
      <w:bookmarkEnd w:id="540"/>
    </w:p>
    <w:p w:rsidR="00A056B6" w:rsidRPr="009C5151" w:rsidRDefault="00A056B6" w:rsidP="00743A5F">
      <w:pPr>
        <w:pStyle w:val="NormalWeb"/>
        <w:spacing w:before="0" w:beforeAutospacing="0"/>
      </w:pPr>
      <w:r w:rsidRPr="009C5151">
        <w:t xml:space="preserve">The form consists of </w:t>
      </w:r>
      <w:r w:rsidRPr="009C5151">
        <w:rPr>
          <w:rStyle w:val="Strong"/>
        </w:rPr>
        <w:t>three parts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Part A</w:t>
      </w:r>
      <w:r w:rsidRPr="009C5151">
        <w:rPr>
          <w:rFonts w:ascii="Times New Roman" w:hAnsi="Times New Roman" w:cs="Times New Roman"/>
          <w:sz w:val="24"/>
          <w:szCs w:val="24"/>
        </w:rPr>
        <w:t>: Basic Information about the Assessee.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Part B</w:t>
      </w:r>
      <w:r w:rsidRPr="009C5151">
        <w:rPr>
          <w:rFonts w:ascii="Times New Roman" w:hAnsi="Times New Roman" w:cs="Times New Roman"/>
          <w:sz w:val="24"/>
          <w:szCs w:val="24"/>
        </w:rPr>
        <w:t>: Details of International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Part C</w:t>
      </w:r>
      <w:r w:rsidRPr="009C5151">
        <w:rPr>
          <w:rFonts w:ascii="Times New Roman" w:hAnsi="Times New Roman" w:cs="Times New Roman"/>
          <w:sz w:val="24"/>
          <w:szCs w:val="24"/>
        </w:rPr>
        <w:t>: Details of Specified Domestic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2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Part A: Basic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8"/>
        <w:gridCol w:w="3954"/>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Field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Details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Name of the Assessee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GlobalTech Pvt. Ltd.</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Address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123 TechPark Avenue, Bengaluru, India</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PAN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XXXXX1234X</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Assessment Year</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2024-25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Nature of Business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Technology &amp; Engineering Solutions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Residential Status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Resident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2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Part B: Details of International Transactions</w:t>
      </w:r>
    </w:p>
    <w:p w:rsidR="00A056B6" w:rsidRPr="009C5151" w:rsidRDefault="00A056B6" w:rsidP="00743A5F">
      <w:pPr>
        <w:pStyle w:val="NormalWeb"/>
        <w:spacing w:before="0" w:beforeAutospacing="0"/>
      </w:pPr>
      <w:r w:rsidRPr="009C5151">
        <w:rPr>
          <w:rStyle w:val="Strong"/>
        </w:rPr>
        <w:t>Key Transactions</w:t>
      </w:r>
      <w:r w:rsidRPr="009C5151">
        <w:t xml:space="preserve"> (Reporting under relevant clauses):</w:t>
      </w:r>
    </w:p>
    <w:p w:rsidR="00A056B6" w:rsidRPr="009C5151" w:rsidRDefault="00A056B6" w:rsidP="00743A5F">
      <w:pPr>
        <w:pStyle w:val="NormalWeb"/>
        <w:tabs>
          <w:tab w:val="num" w:pos="720"/>
        </w:tabs>
        <w:spacing w:before="0" w:beforeAutospacing="0"/>
        <w:ind w:left="720" w:hanging="360"/>
      </w:pPr>
      <w:r w:rsidRPr="009C5151">
        <w:rPr>
          <w:rStyle w:val="Strong"/>
        </w:rPr>
        <w:t>Export of Software Solutions</w:t>
      </w:r>
      <w:r w:rsidRPr="009C5151">
        <w:t xml:space="preserve"> (Clause 12 of Form 3CEB)</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Type</w:t>
      </w:r>
      <w:r w:rsidRPr="009C5151">
        <w:rPr>
          <w:rFonts w:ascii="Times New Roman" w:hAnsi="Times New Roman" w:cs="Times New Roman"/>
          <w:sz w:val="24"/>
          <w:szCs w:val="24"/>
        </w:rPr>
        <w:t>: Export of goods/services.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Associated Enterprises</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lastRenderedPageBreak/>
        <w:t>TechSoft Inc., USA.</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Global Solutions Ltd., UK.</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SoftwareWorld GmbH, Germany.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Amount</w:t>
      </w:r>
      <w:r w:rsidRPr="009C5151">
        <w:rPr>
          <w:rFonts w:ascii="Times New Roman" w:hAnsi="Times New Roman" w:cs="Times New Roman"/>
          <w:sz w:val="24"/>
          <w:szCs w:val="24"/>
        </w:rPr>
        <w:t>: ₹500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TNMM.</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Benchmarking Details</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Comparable Margin: 12%-15%.</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Actual Margin: 14%.</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 xml:space="preserve"> (Clause 13 of Form 3CEB)</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Type</w:t>
      </w:r>
      <w:r w:rsidRPr="009C5151">
        <w:rPr>
          <w:rFonts w:ascii="Times New Roman" w:hAnsi="Times New Roman" w:cs="Times New Roman"/>
          <w:sz w:val="24"/>
          <w:szCs w:val="24"/>
        </w:rPr>
        <w:t>: Payment of royalty for IP licensing.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Associated Enterprise</w:t>
      </w:r>
      <w:r w:rsidRPr="009C5151">
        <w:rPr>
          <w:rFonts w:ascii="Times New Roman" w:hAnsi="Times New Roman" w:cs="Times New Roman"/>
          <w:sz w:val="24"/>
          <w:szCs w:val="24"/>
        </w:rPr>
        <w:t>: TechIP Ltd., UK.</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Amount</w:t>
      </w:r>
      <w:r w:rsidRPr="009C5151">
        <w:rPr>
          <w:rFonts w:ascii="Times New Roman" w:hAnsi="Times New Roman" w:cs="Times New Roman"/>
          <w:sz w:val="24"/>
          <w:szCs w:val="24"/>
        </w:rPr>
        <w:t>: ₹30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CUP.</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Benchmarking Details</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Comparable Range: ₹28 crore - ₹32 crore.</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Actual Payment: ₹30 crore.</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 xml:space="preserve"> (Clause 13 of Form 3CEB)</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Type</w:t>
      </w:r>
      <w:r w:rsidRPr="009C5151">
        <w:rPr>
          <w:rFonts w:ascii="Times New Roman" w:hAnsi="Times New Roman" w:cs="Times New Roman"/>
          <w:sz w:val="24"/>
          <w:szCs w:val="24"/>
        </w:rPr>
        <w:t>: Payment for technical consultancy.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Associated Enterprise</w:t>
      </w:r>
      <w:r w:rsidRPr="009C5151">
        <w:rPr>
          <w:rFonts w:ascii="Times New Roman" w:hAnsi="Times New Roman" w:cs="Times New Roman"/>
          <w:sz w:val="24"/>
          <w:szCs w:val="24"/>
        </w:rPr>
        <w:t>: TechCloud Pte Ltd., Singapore.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Amount</w:t>
      </w:r>
      <w:r w:rsidRPr="009C5151">
        <w:rPr>
          <w:rFonts w:ascii="Times New Roman" w:hAnsi="Times New Roman" w:cs="Times New Roman"/>
          <w:sz w:val="24"/>
          <w:szCs w:val="24"/>
        </w:rPr>
        <w:t>: ₹25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CPM.</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Benchmarking Details</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Markup Range: 12%-15%.</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Actual Markup: 13.64%.</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 xml:space="preserve"> (Clause 13 of Form 3CEB)</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Transaction Type</w:t>
      </w:r>
      <w:r w:rsidRPr="009C5151">
        <w:rPr>
          <w:rFonts w:ascii="Times New Roman" w:hAnsi="Times New Roman" w:cs="Times New Roman"/>
          <w:sz w:val="24"/>
          <w:szCs w:val="24"/>
        </w:rPr>
        <w:t>: Interest paid on inter-company loan.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Associated Enterprise</w:t>
      </w:r>
      <w:r w:rsidRPr="009C5151">
        <w:rPr>
          <w:rFonts w:ascii="Times New Roman" w:hAnsi="Times New Roman" w:cs="Times New Roman"/>
          <w:sz w:val="24"/>
          <w:szCs w:val="24"/>
        </w:rPr>
        <w:t>: TechFinance GmbH, Germany.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Amount</w:t>
      </w:r>
      <w:r w:rsidRPr="009C5151">
        <w:rPr>
          <w:rFonts w:ascii="Times New Roman" w:hAnsi="Times New Roman" w:cs="Times New Roman"/>
          <w:sz w:val="24"/>
          <w:szCs w:val="24"/>
        </w:rPr>
        <w:t>: ₹15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CUP.</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Benchmarking Details</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Comparable Interest Rate: LIBOR + 2% (~6%).</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Actual Interest Rate: 6%.</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 xml:space="preserve"> (Clause 14 of Form 3CEB)</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Type</w:t>
      </w:r>
      <w:r w:rsidRPr="009C5151">
        <w:rPr>
          <w:rFonts w:ascii="Times New Roman" w:hAnsi="Times New Roman" w:cs="Times New Roman"/>
          <w:sz w:val="24"/>
          <w:szCs w:val="24"/>
        </w:rPr>
        <w:t>: Distribution of dividends.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Associated Enterprise</w:t>
      </w:r>
      <w:r w:rsidRPr="009C5151">
        <w:rPr>
          <w:rFonts w:ascii="Times New Roman" w:hAnsi="Times New Roman" w:cs="Times New Roman"/>
          <w:sz w:val="24"/>
          <w:szCs w:val="24"/>
        </w:rPr>
        <w:t>: TechGroup Ltd., Mauritius.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Amount</w:t>
      </w:r>
      <w:r w:rsidRPr="009C5151">
        <w:rPr>
          <w:rFonts w:ascii="Times New Roman" w:hAnsi="Times New Roman" w:cs="Times New Roman"/>
          <w:sz w:val="24"/>
          <w:szCs w:val="24"/>
        </w:rPr>
        <w:t>: ₹20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Not applicable (as dividends are not subject to TP compliance).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Compliance Note</w:t>
      </w:r>
      <w:r w:rsidRPr="009C5151">
        <w:rPr>
          <w:rFonts w:ascii="Times New Roman" w:hAnsi="Times New Roman" w:cs="Times New Roman"/>
          <w:sz w:val="24"/>
          <w:szCs w:val="24"/>
        </w:rPr>
        <w:t>: Exempt from WHT under India-Mauritius DTAA.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2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Part C: Details of Specified Domestic Transactions</w:t>
      </w:r>
    </w:p>
    <w:p w:rsidR="00A056B6" w:rsidRPr="009C5151" w:rsidRDefault="00A056B6" w:rsidP="00743A5F">
      <w:pPr>
        <w:pStyle w:val="NormalWeb"/>
        <w:spacing w:before="0" w:beforeAutospacing="0"/>
      </w:pPr>
      <w:r w:rsidRPr="009C5151">
        <w:rPr>
          <w:rStyle w:val="Strong"/>
        </w:rPr>
        <w:t>Key Transactions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Shared Management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Type</w:t>
      </w:r>
      <w:r w:rsidRPr="009C5151">
        <w:rPr>
          <w:rFonts w:ascii="Times New Roman" w:hAnsi="Times New Roman" w:cs="Times New Roman"/>
          <w:sz w:val="24"/>
          <w:szCs w:val="24"/>
        </w:rPr>
        <w:t>: Payment for shared HR and finance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Associated Enterprise</w:t>
      </w:r>
      <w:r w:rsidRPr="009C5151">
        <w:rPr>
          <w:rFonts w:ascii="Times New Roman" w:hAnsi="Times New Roman" w:cs="Times New Roman"/>
          <w:sz w:val="24"/>
          <w:szCs w:val="24"/>
        </w:rPr>
        <w:t>: TechAdmin India Pvt. Ltd.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Amount</w:t>
      </w:r>
      <w:r w:rsidRPr="009C5151">
        <w:rPr>
          <w:rFonts w:ascii="Times New Roman" w:hAnsi="Times New Roman" w:cs="Times New Roman"/>
          <w:sz w:val="24"/>
          <w:szCs w:val="24"/>
        </w:rPr>
        <w:t>: ₹12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CPM.</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Benchmarking Details</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Markup Range: 10%-12%.</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Actual Markup: 10.09%.</w:t>
      </w:r>
    </w:p>
    <w:p w:rsidR="00A056B6" w:rsidRPr="009C5151" w:rsidRDefault="00A056B6" w:rsidP="00743A5F">
      <w:pPr>
        <w:pStyle w:val="NormalWeb"/>
        <w:tabs>
          <w:tab w:val="num" w:pos="720"/>
        </w:tabs>
        <w:spacing w:before="0" w:beforeAutospacing="0"/>
        <w:ind w:left="720" w:hanging="360"/>
      </w:pPr>
      <w:r w:rsidRPr="009C5151">
        <w:rPr>
          <w:rStyle w:val="Strong"/>
        </w:rPr>
        <w:t>Lease of Office Space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Type</w:t>
      </w:r>
      <w:r w:rsidRPr="009C5151">
        <w:rPr>
          <w:rFonts w:ascii="Times New Roman" w:hAnsi="Times New Roman" w:cs="Times New Roman"/>
          <w:sz w:val="24"/>
          <w:szCs w:val="24"/>
        </w:rPr>
        <w:t>: Lease rental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Associated Enterprise</w:t>
      </w:r>
      <w:r w:rsidRPr="009C5151">
        <w:rPr>
          <w:rFonts w:ascii="Times New Roman" w:hAnsi="Times New Roman" w:cs="Times New Roman"/>
          <w:sz w:val="24"/>
          <w:szCs w:val="24"/>
        </w:rPr>
        <w:t>: TechSpace Ltd.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Amount</w:t>
      </w:r>
      <w:r w:rsidRPr="009C5151">
        <w:rPr>
          <w:rFonts w:ascii="Times New Roman" w:hAnsi="Times New Roman" w:cs="Times New Roman"/>
          <w:sz w:val="24"/>
          <w:szCs w:val="24"/>
        </w:rPr>
        <w:t>: ₹8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CUP.</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Benchmarking Details</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Comparable Rentals: ₹7.8 crore - ₹8.2 crore.</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Actual Payment: ₹8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2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41" w:name="_Toc187624023"/>
      <w:bookmarkStart w:id="542" w:name="_Toc187630743"/>
      <w:bookmarkStart w:id="543" w:name="_Toc187660922"/>
      <w:bookmarkStart w:id="544" w:name="_Toc187662001"/>
      <w:r w:rsidRPr="009C5151">
        <w:rPr>
          <w:rStyle w:val="Strong"/>
          <w:b/>
          <w:bCs/>
          <w:sz w:val="24"/>
          <w:szCs w:val="24"/>
        </w:rPr>
        <w:t>Certification by Chartered Accountant</w:t>
      </w:r>
      <w:bookmarkEnd w:id="541"/>
      <w:bookmarkEnd w:id="542"/>
      <w:bookmarkEnd w:id="543"/>
      <w:bookmarkEnd w:id="544"/>
    </w:p>
    <w:p w:rsidR="00A056B6" w:rsidRPr="009C5151" w:rsidRDefault="00A056B6" w:rsidP="00743A5F">
      <w:pPr>
        <w:pStyle w:val="NormalWeb"/>
        <w:spacing w:before="0" w:beforeAutospacing="0"/>
      </w:pPr>
      <w:r w:rsidRPr="009C5151">
        <w:rPr>
          <w:rStyle w:val="Strong"/>
        </w:rPr>
        <w:t>Format</w:t>
      </w:r>
      <w:r w:rsidRPr="009C5151">
        <w:t>:</w:t>
      </w:r>
    </w:p>
    <w:p w:rsidR="00A056B6" w:rsidRPr="009C5151" w:rsidRDefault="00A056B6" w:rsidP="00743A5F">
      <w:pPr>
        <w:pStyle w:val="HTMLPreformatted"/>
        <w:rPr>
          <w:rFonts w:ascii="Times New Roman" w:hAnsi="Times New Roman" w:cs="Times New Roman"/>
          <w:sz w:val="24"/>
          <w:szCs w:val="24"/>
        </w:rPr>
      </w:pPr>
      <w:r w:rsidRPr="009C5151">
        <w:rPr>
          <w:rFonts w:ascii="Times New Roman" w:hAnsi="Times New Roman" w:cs="Times New Roman"/>
          <w:sz w:val="24"/>
          <w:szCs w:val="24"/>
        </w:rPr>
        <w:t>markdown</w:t>
      </w:r>
    </w:p>
    <w:p w:rsidR="00A056B6" w:rsidRPr="009C5151" w:rsidRDefault="00A056B6" w:rsidP="00743A5F">
      <w:pPr>
        <w:pStyle w:val="HTMLPreformatted"/>
        <w:rPr>
          <w:rFonts w:ascii="Times New Roman" w:hAnsi="Times New Roman" w:cs="Times New Roman"/>
          <w:sz w:val="24"/>
          <w:szCs w:val="24"/>
        </w:rPr>
      </w:pPr>
      <w:r w:rsidRPr="009C5151">
        <w:rPr>
          <w:rFonts w:ascii="Times New Roman" w:hAnsi="Times New Roman" w:cs="Times New Roman"/>
          <w:sz w:val="24"/>
          <w:szCs w:val="24"/>
        </w:rPr>
        <w:t>Copy code</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 xml:space="preserve">I, [Name of CA], a Chartered Accountant having examined the accounts and records of GlobalTech Pvt. Ltd. for the financial year 2023-24, certify that the particulars provided in this Form 3CEB are accurate and comply with the requirements of Section 92E of the Income-tax Act, 1961.  </w:t>
      </w:r>
    </w:p>
    <w:p w:rsidR="00A056B6" w:rsidRPr="009C5151" w:rsidRDefault="00A056B6" w:rsidP="00743A5F">
      <w:pPr>
        <w:pStyle w:val="HTMLPreformatted"/>
        <w:rPr>
          <w:rStyle w:val="HTMLCode"/>
          <w:rFonts w:ascii="Times New Roman" w:hAnsi="Times New Roman" w:cs="Times New Roman"/>
          <w:sz w:val="24"/>
          <w:szCs w:val="24"/>
        </w:rPr>
      </w:pP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 xml:space="preserve">Signature: </w:t>
      </w:r>
      <w:r w:rsidRPr="009C5151">
        <w:rPr>
          <w:rStyle w:val="hljs-strong"/>
          <w:rFonts w:ascii="Times New Roman" w:eastAsiaTheme="majorEastAsia" w:hAnsi="Times New Roman" w:cs="Times New Roman"/>
          <w:sz w:val="24"/>
          <w:szCs w:val="24"/>
        </w:rPr>
        <w:t>____________________</w:t>
      </w:r>
      <w:r w:rsidRPr="009C5151">
        <w:rPr>
          <w:rStyle w:val="HTMLCode"/>
          <w:rFonts w:ascii="Times New Roman" w:hAnsi="Times New Roman" w:cs="Times New Roman"/>
          <w:sz w:val="24"/>
          <w:szCs w:val="24"/>
        </w:rPr>
        <w:t xml:space="preserve">  </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 xml:space="preserve">Date: </w:t>
      </w:r>
      <w:r w:rsidRPr="009C5151">
        <w:rPr>
          <w:rStyle w:val="hljs-strong"/>
          <w:rFonts w:ascii="Times New Roman" w:eastAsiaTheme="majorEastAsia" w:hAnsi="Times New Roman" w:cs="Times New Roman"/>
          <w:sz w:val="24"/>
          <w:szCs w:val="24"/>
        </w:rPr>
        <w:t>____________________</w:t>
      </w:r>
      <w:r w:rsidRPr="009C5151">
        <w:rPr>
          <w:rStyle w:val="HTMLCode"/>
          <w:rFonts w:ascii="Times New Roman" w:hAnsi="Times New Roman" w:cs="Times New Roman"/>
          <w:sz w:val="24"/>
          <w:szCs w:val="24"/>
        </w:rPr>
        <w:t xml:space="preserve">  </w:t>
      </w:r>
    </w:p>
    <w:p w:rsidR="00A056B6" w:rsidRPr="009C5151" w:rsidRDefault="00A056B6" w:rsidP="00743A5F">
      <w:pPr>
        <w:pStyle w:val="HTMLPreformatted"/>
        <w:rPr>
          <w:rStyle w:val="HTMLCode"/>
          <w:rFonts w:ascii="Times New Roman" w:hAnsi="Times New Roman" w:cs="Times New Roman"/>
          <w:sz w:val="24"/>
          <w:szCs w:val="24"/>
        </w:rPr>
      </w:pPr>
      <w:r w:rsidRPr="009C5151">
        <w:rPr>
          <w:rStyle w:val="HTMLCode"/>
          <w:rFonts w:ascii="Times New Roman" w:hAnsi="Times New Roman" w:cs="Times New Roman"/>
          <w:sz w:val="24"/>
          <w:szCs w:val="24"/>
        </w:rPr>
        <w:t xml:space="preserve">Membership No.: </w:t>
      </w:r>
      <w:r w:rsidRPr="009C5151">
        <w:rPr>
          <w:rStyle w:val="hljs-strong"/>
          <w:rFonts w:ascii="Times New Roman" w:eastAsiaTheme="majorEastAsia" w:hAnsi="Times New Roman" w:cs="Times New Roman"/>
          <w:sz w:val="24"/>
          <w:szCs w:val="24"/>
        </w:rPr>
        <w:t>____________</w:t>
      </w:r>
      <w:r w:rsidRPr="009C5151">
        <w:rPr>
          <w:rStyle w:val="HTMLCode"/>
          <w:rFonts w:ascii="Times New Roman" w:hAnsi="Times New Roman" w:cs="Times New Roman"/>
          <w:sz w:val="24"/>
          <w:szCs w:val="24"/>
        </w:rPr>
        <w:t xml:space="preserve">__  </w:t>
      </w:r>
    </w:p>
    <w:p w:rsidR="00A056B6" w:rsidRPr="009C5151" w:rsidRDefault="00A056B6" w:rsidP="00743A5F">
      <w:pPr>
        <w:pStyle w:val="HTMLPreformatted"/>
        <w:rPr>
          <w:rStyle w:val="hljs-strong"/>
          <w:rFonts w:ascii="Times New Roman" w:eastAsiaTheme="majorEastAsia" w:hAnsi="Times New Roman" w:cs="Times New Roman"/>
          <w:sz w:val="24"/>
          <w:szCs w:val="24"/>
        </w:rPr>
      </w:pPr>
      <w:r w:rsidRPr="009C5151">
        <w:rPr>
          <w:rStyle w:val="HTMLCode"/>
          <w:rFonts w:ascii="Times New Roman" w:hAnsi="Times New Roman" w:cs="Times New Roman"/>
          <w:sz w:val="24"/>
          <w:szCs w:val="24"/>
        </w:rPr>
        <w:t xml:space="preserve">FRN (if applicable): </w:t>
      </w:r>
      <w:r w:rsidRPr="009C5151">
        <w:rPr>
          <w:rStyle w:val="hljs-strong"/>
          <w:rFonts w:ascii="Times New Roman" w:eastAsiaTheme="majorEastAsia" w:hAnsi="Times New Roman" w:cs="Times New Roman"/>
          <w:sz w:val="24"/>
          <w:szCs w:val="24"/>
        </w:rPr>
        <w:t xml:space="preserve">___________  </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3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45" w:name="_Toc187624024"/>
      <w:bookmarkStart w:id="546" w:name="_Toc187630744"/>
      <w:bookmarkStart w:id="547" w:name="_Toc187660923"/>
      <w:bookmarkStart w:id="548" w:name="_Toc187662002"/>
      <w:r w:rsidRPr="009C5151">
        <w:rPr>
          <w:rStyle w:val="Strong"/>
          <w:b/>
          <w:bCs/>
          <w:sz w:val="24"/>
          <w:szCs w:val="24"/>
        </w:rPr>
        <w:t>Documentation Checklist for Form 3CEB</w:t>
      </w:r>
      <w:bookmarkEnd w:id="545"/>
      <w:bookmarkEnd w:id="546"/>
      <w:bookmarkEnd w:id="547"/>
      <w:bookmarkEnd w:id="548"/>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54"/>
        <w:gridCol w:w="3460"/>
        <w:gridCol w:w="716"/>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Document</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Purpose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Status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Inter-company Agreements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Substantiates transaction details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Invoices and Payment Proofs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Validates amounts paid/received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Benchmarking Study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Ensures arm’s length compliance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Tax Residency Certificates (TRCs)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Required for DTAA claims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Form 10F</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Supplements TRC for WHT claims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Functional and Risk Analysis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Details roles of entities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CbC Reporting Documents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Ensures group-level compliance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3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49" w:name="_Toc187624025"/>
      <w:bookmarkStart w:id="550" w:name="_Toc187630745"/>
      <w:bookmarkStart w:id="551" w:name="_Toc187660924"/>
      <w:bookmarkStart w:id="552" w:name="_Toc187662003"/>
      <w:r w:rsidRPr="009C5151">
        <w:rPr>
          <w:rStyle w:val="Strong"/>
          <w:b/>
          <w:bCs/>
          <w:sz w:val="24"/>
          <w:szCs w:val="24"/>
        </w:rPr>
        <w:t>Filing Form 3CEB</w:t>
      </w:r>
      <w:bookmarkEnd w:id="549"/>
      <w:bookmarkEnd w:id="550"/>
      <w:bookmarkEnd w:id="551"/>
      <w:bookmarkEnd w:id="552"/>
    </w:p>
    <w:p w:rsidR="00A056B6" w:rsidRPr="009C5151" w:rsidRDefault="00A056B6" w:rsidP="00743A5F">
      <w:pPr>
        <w:pStyle w:val="NormalWeb"/>
        <w:tabs>
          <w:tab w:val="num" w:pos="720"/>
        </w:tabs>
        <w:spacing w:before="0" w:beforeAutospacing="0"/>
        <w:ind w:left="720" w:hanging="360"/>
      </w:pPr>
      <w:r w:rsidRPr="009C5151">
        <w:rPr>
          <w:rStyle w:val="Strong"/>
        </w:rPr>
        <w:lastRenderedPageBreak/>
        <w:t>Log in to the Income Tax Portal</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Access the portal at </w:t>
      </w:r>
      <w:hyperlink r:id="rId9" w:tgtFrame="_new" w:history="1">
        <w:r w:rsidRPr="009C5151">
          <w:rPr>
            <w:rStyle w:val="Hyperlink"/>
            <w:rFonts w:ascii="Times New Roman" w:hAnsi="Times New Roman" w:cs="Times New Roman"/>
            <w:sz w:val="24"/>
            <w:szCs w:val="24"/>
          </w:rPr>
          <w:t>e-Filing Portal</w:t>
        </w:r>
      </w:hyperlink>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Navigate to </w:t>
      </w:r>
      <w:r w:rsidRPr="009C5151">
        <w:rPr>
          <w:rStyle w:val="Strong"/>
          <w:rFonts w:ascii="Times New Roman" w:hAnsi="Times New Roman" w:cs="Times New Roman"/>
          <w:sz w:val="24"/>
          <w:szCs w:val="24"/>
        </w:rPr>
        <w:t>e-File → Income Tax Forms → File Form 3CEB</w:t>
      </w:r>
      <w:r w:rsidRPr="009C5151">
        <w:rPr>
          <w:rFonts w:ascii="Times New Roman" w:hAnsi="Times New Roman" w:cs="Times New Roman"/>
          <w:sz w:val="24"/>
          <w:szCs w:val="24"/>
        </w:rPr>
        <w:t>.</w:t>
      </w:r>
    </w:p>
    <w:p w:rsidR="00A056B6" w:rsidRPr="009C5151" w:rsidRDefault="00A056B6" w:rsidP="00743A5F">
      <w:pPr>
        <w:pStyle w:val="NormalWeb"/>
        <w:tabs>
          <w:tab w:val="num" w:pos="720"/>
        </w:tabs>
        <w:spacing w:before="0" w:beforeAutospacing="0"/>
        <w:ind w:left="720" w:hanging="360"/>
      </w:pPr>
      <w:r w:rsidRPr="009C5151">
        <w:rPr>
          <w:rStyle w:val="Strong"/>
        </w:rPr>
        <w:t>Upload Form</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Prepare Form 3CEB in the portal’s utility or approved software.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Attach supporting documents (e.g., agreements, TRCs).</w:t>
      </w:r>
    </w:p>
    <w:p w:rsidR="00A056B6" w:rsidRPr="009C5151" w:rsidRDefault="00A056B6" w:rsidP="00743A5F">
      <w:pPr>
        <w:pStyle w:val="NormalWeb"/>
        <w:tabs>
          <w:tab w:val="num" w:pos="720"/>
        </w:tabs>
        <w:spacing w:before="0" w:beforeAutospacing="0"/>
        <w:ind w:left="720" w:hanging="360"/>
      </w:pPr>
      <w:r w:rsidRPr="009C5151">
        <w:rPr>
          <w:rStyle w:val="Strong"/>
        </w:rPr>
        <w:t>Verify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The form must be digitally signed by the Chartered Accountant using </w:t>
      </w:r>
      <w:r w:rsidRPr="009C5151">
        <w:rPr>
          <w:rStyle w:val="Strong"/>
          <w:rFonts w:ascii="Times New Roman" w:hAnsi="Times New Roman" w:cs="Times New Roman"/>
          <w:sz w:val="24"/>
          <w:szCs w:val="24"/>
        </w:rPr>
        <w:t>Digital Signature Certificate (DSC)</w:t>
      </w:r>
      <w:r w:rsidRPr="009C5151">
        <w:rPr>
          <w:rFonts w:ascii="Times New Roman" w:hAnsi="Times New Roman" w:cs="Times New Roman"/>
          <w:sz w:val="24"/>
          <w:szCs w:val="24"/>
        </w:rPr>
        <w:t>.</w:t>
      </w:r>
    </w:p>
    <w:p w:rsidR="00A056B6" w:rsidRPr="009C5151" w:rsidRDefault="00A056B6" w:rsidP="00743A5F">
      <w:pPr>
        <w:pStyle w:val="NormalWeb"/>
        <w:tabs>
          <w:tab w:val="num" w:pos="720"/>
        </w:tabs>
        <w:spacing w:before="0" w:beforeAutospacing="0"/>
        <w:ind w:left="720" w:hanging="360"/>
      </w:pPr>
      <w:r w:rsidRPr="009C5151">
        <w:rPr>
          <w:rStyle w:val="Strong"/>
        </w:rPr>
        <w:t>Submission Deadline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30th November 2024</w:t>
      </w:r>
      <w:r w:rsidRPr="009C5151">
        <w:rPr>
          <w:rFonts w:ascii="Times New Roman" w:hAnsi="Times New Roman" w:cs="Times New Roman"/>
          <w:sz w:val="24"/>
          <w:szCs w:val="24"/>
        </w:rPr>
        <w:t xml:space="preserve"> (for AY 2024-25).</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32" style="width:0;height:1.5pt" o:hralign="center" o:hrstd="t" o:hr="t" fillcolor="#a0a0a0" stroked="f"/>
        </w:pict>
      </w:r>
    </w:p>
    <w:p w:rsidR="00A056B6" w:rsidRPr="009C5151" w:rsidRDefault="00A056B6" w:rsidP="00743A5F">
      <w:pPr>
        <w:pStyle w:val="NormalWeb"/>
        <w:spacing w:before="0" w:beforeAutospacing="0"/>
      </w:pPr>
      <w:r w:rsidRPr="009C5151">
        <w:t xml:space="preserve">Would you like help with drafting the </w:t>
      </w:r>
      <w:r w:rsidRPr="009C5151">
        <w:rPr>
          <w:rStyle w:val="Strong"/>
        </w:rPr>
        <w:t>functional and risk analysis section</w:t>
      </w:r>
      <w:r w:rsidRPr="009C5151">
        <w:t xml:space="preserve">, </w:t>
      </w:r>
      <w:r w:rsidRPr="009C5151">
        <w:rPr>
          <w:rStyle w:val="Strong"/>
        </w:rPr>
        <w:t>benchmarking study</w:t>
      </w:r>
      <w:r w:rsidRPr="009C5151">
        <w:t xml:space="preserve">, or </w:t>
      </w:r>
      <w:r w:rsidRPr="009C5151">
        <w:rPr>
          <w:rStyle w:val="Strong"/>
        </w:rPr>
        <w:t>portal-specific filing steps</w:t>
      </w:r>
      <w:r w:rsidRPr="009C5151">
        <w:t>?</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drafting the functional and risk analysis section, benchmarking study, or portal-specific filing steps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81793E2" wp14:editId="5B90FDAC">
            <wp:extent cx="763905" cy="763905"/>
            <wp:effectExtent l="0" t="0" r="0" b="0"/>
            <wp:docPr id="303" name="Picture 30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9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553" w:name="_Toc187624026"/>
      <w:bookmarkStart w:id="554" w:name="_Toc187630746"/>
      <w:bookmarkStart w:id="555" w:name="_Toc187660925"/>
      <w:bookmarkStart w:id="556" w:name="_Toc187662004"/>
      <w:r w:rsidRPr="009C5151">
        <w:rPr>
          <w:rStyle w:val="Strong"/>
          <w:b/>
          <w:bCs/>
          <w:sz w:val="24"/>
          <w:szCs w:val="24"/>
        </w:rPr>
        <w:t>Assistance with Drafting Functional and Risk Analysis, Benchmarking Study, and Portal-Specific Filing Steps for Form 3CEB</w:t>
      </w:r>
      <w:bookmarkEnd w:id="553"/>
      <w:bookmarkEnd w:id="554"/>
      <w:bookmarkEnd w:id="555"/>
      <w:bookmarkEnd w:id="556"/>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3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57" w:name="_Toc187624027"/>
      <w:bookmarkStart w:id="558" w:name="_Toc187630747"/>
      <w:bookmarkStart w:id="559" w:name="_Toc187660926"/>
      <w:bookmarkStart w:id="560" w:name="_Toc187662005"/>
      <w:r w:rsidRPr="009C5151">
        <w:rPr>
          <w:rStyle w:val="Strong"/>
          <w:b/>
          <w:bCs/>
          <w:sz w:val="24"/>
          <w:szCs w:val="24"/>
        </w:rPr>
        <w:t>I. Drafting Functional and Risk Analysis</w:t>
      </w:r>
      <w:bookmarkEnd w:id="557"/>
      <w:bookmarkEnd w:id="558"/>
      <w:bookmarkEnd w:id="559"/>
      <w:bookmarkEnd w:id="560"/>
    </w:p>
    <w:p w:rsidR="00A056B6" w:rsidRPr="009C5151" w:rsidRDefault="00A056B6" w:rsidP="00743A5F">
      <w:pPr>
        <w:pStyle w:val="NormalWeb"/>
        <w:spacing w:before="0" w:beforeAutospacing="0"/>
      </w:pPr>
      <w:r w:rsidRPr="009C5151">
        <w:t xml:space="preserve">The </w:t>
      </w:r>
      <w:r w:rsidRPr="009C5151">
        <w:rPr>
          <w:rStyle w:val="Strong"/>
        </w:rPr>
        <w:t>Functional and Risk Analysis</w:t>
      </w:r>
      <w:r w:rsidRPr="009C5151">
        <w:t xml:space="preserve"> is a critical part of Transfer Pricing (TP) documentation. It provides insights into the roles, assets, and risks borne by each entity involved in the transactions.</w:t>
      </w:r>
    </w:p>
    <w:p w:rsidR="00A056B6" w:rsidRPr="009C5151" w:rsidRDefault="00A056B6" w:rsidP="00743A5F">
      <w:pPr>
        <w:pStyle w:val="Heading4"/>
        <w:spacing w:before="0" w:beforeAutospacing="0"/>
      </w:pPr>
      <w:r w:rsidRPr="009C5151">
        <w:rPr>
          <w:rStyle w:val="Strong"/>
          <w:b/>
          <w:bCs/>
        </w:rPr>
        <w:t>Functional Analysis Template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5"/>
        <w:gridCol w:w="3417"/>
        <w:gridCol w:w="3344"/>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lastRenderedPageBreak/>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GlobalTech Pvt. Ltd.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AE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Research &amp; Development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Limited (outsourced to AE in 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Extensive R&amp;D work, owns IP.</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Manufacturing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Full-fledged manufacturing of IT solutions.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Sales &amp; 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Significant involvement in the Indian market.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Localized sales in the USA, UK, and Germany.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Distribution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Limited to Indian operations.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AEs manage distribution in respective countries.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IP Ownership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Does not own IP for software or cloud solutions.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IP owned by UK AE, licensed to GlobalTech.</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3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Risk Analysis Template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9"/>
        <w:gridCol w:w="3605"/>
        <w:gridCol w:w="371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Risk</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Borne by GlobalTech Pvt. Ltd.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Borne by AE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Market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Exposed to competition in the Indian market.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AEs face local market risks in their regions.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Credit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Responsible for credit defaults in 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AEs manage receivables in their countries.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Technology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Minimal (technology developed by AEs).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AEs bear risks related to R&amp;D and innovation.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Operational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Manages full-fledged operations in 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AEs handle distribution and marketing abroad.</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3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61" w:name="_Toc187624028"/>
      <w:bookmarkStart w:id="562" w:name="_Toc187630748"/>
      <w:bookmarkStart w:id="563" w:name="_Toc187660927"/>
      <w:bookmarkStart w:id="564" w:name="_Toc187662006"/>
      <w:r w:rsidRPr="009C5151">
        <w:rPr>
          <w:rStyle w:val="Strong"/>
          <w:b/>
          <w:bCs/>
          <w:sz w:val="24"/>
          <w:szCs w:val="24"/>
        </w:rPr>
        <w:t>II. Drafting the Benchmarking Study</w:t>
      </w:r>
      <w:bookmarkEnd w:id="561"/>
      <w:bookmarkEnd w:id="562"/>
      <w:bookmarkEnd w:id="563"/>
      <w:bookmarkEnd w:id="564"/>
    </w:p>
    <w:p w:rsidR="00A056B6" w:rsidRPr="009C5151" w:rsidRDefault="00A056B6" w:rsidP="00743A5F">
      <w:pPr>
        <w:pStyle w:val="NormalWeb"/>
        <w:spacing w:before="0" w:beforeAutospacing="0"/>
      </w:pPr>
      <w:r w:rsidRPr="009C5151">
        <w:t xml:space="preserve">A </w:t>
      </w:r>
      <w:r w:rsidRPr="009C5151">
        <w:rPr>
          <w:rStyle w:val="Strong"/>
        </w:rPr>
        <w:t>Benchmarking Study</w:t>
      </w:r>
      <w:r w:rsidRPr="009C5151">
        <w:t xml:space="preserve"> ensures compliance with the arm’s length principle by comparing the pricing of controlled transactions with that of uncontrolled transactions.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3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Export of Software Solutions</w:t>
      </w:r>
    </w:p>
    <w:p w:rsidR="00A056B6" w:rsidRPr="009C5151" w:rsidRDefault="00A056B6" w:rsidP="00743A5F">
      <w:pPr>
        <w:pStyle w:val="NormalWeb"/>
        <w:spacing w:before="0" w:beforeAutospacing="0"/>
      </w:pPr>
      <w:r w:rsidRPr="009C5151">
        <w:rPr>
          <w:rStyle w:val="Strong"/>
        </w:rPr>
        <w:t>Methodology</w:t>
      </w:r>
      <w:r w:rsidRPr="009C5151">
        <w:t xml:space="preserve">: </w:t>
      </w:r>
      <w:r w:rsidRPr="009C5151">
        <w:rPr>
          <w:rStyle w:val="Strong"/>
        </w:rPr>
        <w:t>Transactional Net Margin Method (TNMM)</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Amount</w:t>
      </w:r>
      <w:r w:rsidRPr="009C5151">
        <w:rPr>
          <w:rFonts w:ascii="Times New Roman" w:hAnsi="Times New Roman" w:cs="Times New Roman"/>
          <w:sz w:val="24"/>
          <w:szCs w:val="24"/>
        </w:rPr>
        <w:t>: ₹500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Companies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TechServices Ltd.</w:t>
      </w:r>
      <w:r w:rsidRPr="009C5151">
        <w:rPr>
          <w:rFonts w:ascii="Times New Roman" w:hAnsi="Times New Roman" w:cs="Times New Roman"/>
          <w:sz w:val="24"/>
          <w:szCs w:val="24"/>
        </w:rPr>
        <w:t>: Operating margin: 14%.</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CloudTech Ltd.</w:t>
      </w:r>
      <w:r w:rsidRPr="009C5151">
        <w:rPr>
          <w:rFonts w:ascii="Times New Roman" w:hAnsi="Times New Roman" w:cs="Times New Roman"/>
          <w:sz w:val="24"/>
          <w:szCs w:val="24"/>
        </w:rPr>
        <w:t>: Operating margin: 12%.</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ITInnovations Ltd.</w:t>
      </w:r>
      <w:r w:rsidRPr="009C5151">
        <w:rPr>
          <w:rFonts w:ascii="Times New Roman" w:hAnsi="Times New Roman" w:cs="Times New Roman"/>
          <w:sz w:val="24"/>
          <w:szCs w:val="24"/>
        </w:rPr>
        <w:t>: Operating margin: 13%.</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Benchmark Range</w:t>
      </w:r>
      <w:r w:rsidRPr="009C5151">
        <w:rPr>
          <w:rFonts w:ascii="Times New Roman" w:hAnsi="Times New Roman" w:cs="Times New Roman"/>
          <w:sz w:val="24"/>
          <w:szCs w:val="24"/>
        </w:rPr>
        <w:t>: 12%-14%.</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Actual Margin (GlobalTech)</w:t>
      </w:r>
      <w:r w:rsidRPr="009C5151">
        <w:rPr>
          <w:rFonts w:ascii="Times New Roman" w:hAnsi="Times New Roman" w:cs="Times New Roman"/>
          <w:sz w:val="24"/>
          <w:szCs w:val="24"/>
        </w:rPr>
        <w:t>: 14%.</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Within arm’s length.</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3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Royalty Payments</w:t>
      </w:r>
    </w:p>
    <w:p w:rsidR="00A056B6" w:rsidRPr="009C5151" w:rsidRDefault="00A056B6" w:rsidP="00743A5F">
      <w:pPr>
        <w:pStyle w:val="NormalWeb"/>
        <w:spacing w:before="0" w:beforeAutospacing="0"/>
      </w:pPr>
      <w:r w:rsidRPr="009C5151">
        <w:rPr>
          <w:rStyle w:val="Strong"/>
        </w:rPr>
        <w:t>Methodology</w:t>
      </w:r>
      <w:r w:rsidRPr="009C5151">
        <w:t xml:space="preserve">: </w:t>
      </w:r>
      <w:r w:rsidRPr="009C5151">
        <w:rPr>
          <w:rStyle w:val="Strong"/>
        </w:rPr>
        <w:t>Comparable Uncontrolled Price (CUP)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Amount</w:t>
      </w:r>
      <w:r w:rsidRPr="009C5151">
        <w:rPr>
          <w:rFonts w:ascii="Times New Roman" w:hAnsi="Times New Roman" w:cs="Times New Roman"/>
          <w:sz w:val="24"/>
          <w:szCs w:val="24"/>
        </w:rPr>
        <w:t>: ₹30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Licensing Fees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License A: ₹28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License B: ₹32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License C: ₹30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Benchmark Range</w:t>
      </w:r>
      <w:r w:rsidRPr="009C5151">
        <w:rPr>
          <w:rFonts w:ascii="Times New Roman" w:hAnsi="Times New Roman" w:cs="Times New Roman"/>
          <w:sz w:val="24"/>
          <w:szCs w:val="24"/>
        </w:rPr>
        <w:t>: ₹28 crore - ₹32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Actual Payment</w:t>
      </w:r>
      <w:r w:rsidRPr="009C5151">
        <w:rPr>
          <w:rFonts w:ascii="Times New Roman" w:hAnsi="Times New Roman" w:cs="Times New Roman"/>
          <w:sz w:val="24"/>
          <w:szCs w:val="24"/>
        </w:rPr>
        <w:t>: ₹30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Within arm’s length.</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3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Fee for Technical Services (FTS)</w:t>
      </w:r>
    </w:p>
    <w:p w:rsidR="00A056B6" w:rsidRPr="009C5151" w:rsidRDefault="00A056B6" w:rsidP="00743A5F">
      <w:pPr>
        <w:pStyle w:val="NormalWeb"/>
        <w:spacing w:before="0" w:beforeAutospacing="0"/>
      </w:pPr>
      <w:r w:rsidRPr="009C5151">
        <w:rPr>
          <w:rStyle w:val="Strong"/>
        </w:rPr>
        <w:t>Methodology</w:t>
      </w:r>
      <w:r w:rsidRPr="009C5151">
        <w:t xml:space="preserve">: </w:t>
      </w:r>
      <w:r w:rsidRPr="009C5151">
        <w:rPr>
          <w:rStyle w:val="Strong"/>
        </w:rPr>
        <w:t>Cost Plus Method (CPM)</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Amount</w:t>
      </w:r>
      <w:r w:rsidRPr="009C5151">
        <w:rPr>
          <w:rFonts w:ascii="Times New Roman" w:hAnsi="Times New Roman" w:cs="Times New Roman"/>
          <w:sz w:val="24"/>
          <w:szCs w:val="24"/>
        </w:rPr>
        <w:t>: ₹25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Base Cost</w:t>
      </w:r>
      <w:r w:rsidRPr="009C5151">
        <w:rPr>
          <w:rFonts w:ascii="Times New Roman" w:hAnsi="Times New Roman" w:cs="Times New Roman"/>
          <w:sz w:val="24"/>
          <w:szCs w:val="24"/>
        </w:rPr>
        <w:t>: ₹22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Markup Charged</w:t>
      </w:r>
      <w:r w:rsidRPr="009C5151">
        <w:rPr>
          <w:rFonts w:ascii="Times New Roman" w:hAnsi="Times New Roman" w:cs="Times New Roman"/>
          <w:sz w:val="24"/>
          <w:szCs w:val="24"/>
        </w:rPr>
        <w:t>: ₹3 crore ÷ ₹22 crore = 13.64%.</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Markup Range</w:t>
      </w:r>
      <w:r w:rsidRPr="009C5151">
        <w:rPr>
          <w:rFonts w:ascii="Times New Roman" w:hAnsi="Times New Roman" w:cs="Times New Roman"/>
          <w:sz w:val="24"/>
          <w:szCs w:val="24"/>
        </w:rPr>
        <w:t>: 12%-15%.</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Within arm’s length.</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3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65" w:name="_Toc187624029"/>
      <w:bookmarkStart w:id="566" w:name="_Toc187630749"/>
      <w:bookmarkStart w:id="567" w:name="_Toc187660928"/>
      <w:bookmarkStart w:id="568" w:name="_Toc187662007"/>
      <w:r w:rsidRPr="009C5151">
        <w:rPr>
          <w:rStyle w:val="Strong"/>
          <w:b/>
          <w:bCs/>
          <w:sz w:val="24"/>
          <w:szCs w:val="24"/>
        </w:rPr>
        <w:t>III. Portal-Specific Filing Steps for Form 3CEB</w:t>
      </w:r>
      <w:bookmarkEnd w:id="565"/>
      <w:bookmarkEnd w:id="566"/>
      <w:bookmarkEnd w:id="567"/>
      <w:bookmarkEnd w:id="568"/>
    </w:p>
    <w:p w:rsidR="00A056B6" w:rsidRPr="009C5151" w:rsidRDefault="00A056B6" w:rsidP="00743A5F">
      <w:pPr>
        <w:pStyle w:val="Heading4"/>
        <w:spacing w:before="0" w:beforeAutospacing="0"/>
      </w:pPr>
      <w:r w:rsidRPr="009C5151">
        <w:rPr>
          <w:rStyle w:val="Strong"/>
          <w:b/>
          <w:bCs/>
        </w:rPr>
        <w:lastRenderedPageBreak/>
        <w:t>Step 1: Log In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Visit the </w:t>
      </w:r>
      <w:hyperlink r:id="rId10" w:tgtFrame="_new" w:history="1">
        <w:r w:rsidRPr="009C5151">
          <w:rPr>
            <w:rStyle w:val="Hyperlink"/>
            <w:rFonts w:ascii="Times New Roman" w:hAnsi="Times New Roman" w:cs="Times New Roman"/>
            <w:sz w:val="24"/>
            <w:szCs w:val="24"/>
          </w:rPr>
          <w:t>Income Tax e-Filing Portal</w:t>
        </w:r>
      </w:hyperlink>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Log in using your </w:t>
      </w:r>
      <w:r w:rsidRPr="009C5151">
        <w:rPr>
          <w:rStyle w:val="Strong"/>
          <w:rFonts w:ascii="Times New Roman" w:hAnsi="Times New Roman" w:cs="Times New Roman"/>
          <w:sz w:val="24"/>
          <w:szCs w:val="24"/>
        </w:rPr>
        <w:t>User ID (PAN)</w:t>
      </w:r>
      <w:r w:rsidRPr="009C5151">
        <w:rPr>
          <w:rFonts w:ascii="Times New Roman" w:hAnsi="Times New Roman" w:cs="Times New Roman"/>
          <w:sz w:val="24"/>
          <w:szCs w:val="24"/>
        </w:rPr>
        <w:t xml:space="preserve"> and password.</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4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Step 2: Prepare Form</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Navigate to </w:t>
      </w:r>
      <w:r w:rsidRPr="009C5151">
        <w:rPr>
          <w:rStyle w:val="Strong"/>
          <w:rFonts w:ascii="Times New Roman" w:hAnsi="Times New Roman" w:cs="Times New Roman"/>
          <w:sz w:val="24"/>
          <w:szCs w:val="24"/>
        </w:rPr>
        <w:t>e-File → Income Tax Forms → File Form 3CEB</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Choose the </w:t>
      </w:r>
      <w:r w:rsidRPr="009C5151">
        <w:rPr>
          <w:rStyle w:val="Strong"/>
          <w:rFonts w:ascii="Times New Roman" w:hAnsi="Times New Roman" w:cs="Times New Roman"/>
          <w:sz w:val="24"/>
          <w:szCs w:val="24"/>
        </w:rPr>
        <w:t>Assessment Year</w:t>
      </w:r>
      <w:r w:rsidRPr="009C5151">
        <w:rPr>
          <w:rFonts w:ascii="Times New Roman" w:hAnsi="Times New Roman" w:cs="Times New Roman"/>
          <w:sz w:val="24"/>
          <w:szCs w:val="24"/>
        </w:rPr>
        <w:t xml:space="preserve"> (e.g., AY 2024-25).</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Select </w:t>
      </w:r>
      <w:r w:rsidRPr="009C5151">
        <w:rPr>
          <w:rStyle w:val="Strong"/>
          <w:rFonts w:ascii="Times New Roman" w:hAnsi="Times New Roman" w:cs="Times New Roman"/>
          <w:sz w:val="24"/>
          <w:szCs w:val="24"/>
        </w:rPr>
        <w:t>CA Certificate</w:t>
      </w:r>
      <w:r w:rsidRPr="009C5151">
        <w:rPr>
          <w:rFonts w:ascii="Times New Roman" w:hAnsi="Times New Roman" w:cs="Times New Roman"/>
          <w:sz w:val="24"/>
          <w:szCs w:val="24"/>
        </w:rPr>
        <w:t xml:space="preserve"> to authorize your Chartered Accountant (CA) for filing.</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4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Step 3: Fill Form 3CEB</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Part A</w:t>
      </w:r>
      <w:r w:rsidRPr="009C5151">
        <w:rPr>
          <w:rFonts w:ascii="Times New Roman" w:hAnsi="Times New Roman" w:cs="Times New Roman"/>
          <w:sz w:val="24"/>
          <w:szCs w:val="24"/>
        </w:rPr>
        <w:t>: Fill basic details (e.g., PAN, name, address).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Part B</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Provide details of all international transactions, methods used, and benchmarking results.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Include:</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Export of Software: ₹500 crore (TNMM).</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Royalty: ₹30 crore (CUP).</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FTS: ₹25 crore (CPM).</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Interest: ₹15 crore (CUP).</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Attach benchmarking reports.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Part C</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Disclose specified domestic transactions: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Shared Services: ₹12 crore (CPM).</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Lease of Office Space: ₹8 crore (CUP).</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4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Step 4: Attachments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Upload supporting documents: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Agreements (inter-company and domestic).</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Benchmarking Study.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Functional and Risk Analysis.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TRCs and Form 10F for DTAAs.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4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Step 5: Verify Form</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The CA must verify the form using a </w:t>
      </w:r>
      <w:r w:rsidRPr="009C5151">
        <w:rPr>
          <w:rStyle w:val="Strong"/>
          <w:rFonts w:ascii="Times New Roman" w:hAnsi="Times New Roman" w:cs="Times New Roman"/>
          <w:sz w:val="24"/>
          <w:szCs w:val="24"/>
        </w:rPr>
        <w:t>Digital Signature Certificate (DSC)</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all fields are accurate to avoid errors.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4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Step 6: Submit Form</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Submit Form 3CEB through the portal.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Post submission, the status will reflect as </w:t>
      </w:r>
      <w:r w:rsidRPr="009C5151">
        <w:rPr>
          <w:rStyle w:val="Strong"/>
          <w:rFonts w:ascii="Times New Roman" w:hAnsi="Times New Roman" w:cs="Times New Roman"/>
          <w:sz w:val="24"/>
          <w:szCs w:val="24"/>
        </w:rPr>
        <w:t>Pending for Approval</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Once approved, download the acknowledgment for records.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4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69" w:name="_Toc187624030"/>
      <w:bookmarkStart w:id="570" w:name="_Toc187630750"/>
      <w:bookmarkStart w:id="571" w:name="_Toc187660929"/>
      <w:bookmarkStart w:id="572" w:name="_Toc187662008"/>
      <w:r w:rsidRPr="009C5151">
        <w:rPr>
          <w:rStyle w:val="Strong"/>
          <w:b/>
          <w:bCs/>
          <w:sz w:val="24"/>
          <w:szCs w:val="24"/>
        </w:rPr>
        <w:t>Checklist for Filing</w:t>
      </w:r>
      <w:bookmarkEnd w:id="569"/>
      <w:bookmarkEnd w:id="570"/>
      <w:bookmarkEnd w:id="571"/>
      <w:bookmarkEnd w:id="57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41"/>
        <w:gridCol w:w="4613"/>
        <w:gridCol w:w="716"/>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Step</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Details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Status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Authorization of CA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Provide authorization for filing Form 3CEB.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Verification of Transactions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Ensure all transactions are benchmarked.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Attachments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Upload agreements, TRCs, benchmarking data.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Digital Signature Verification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Verify using DSC.</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Submit Form 3CEB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File within the due date (30th Nov 2024).</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46" style="width:0;height:1.5pt" o:hralign="center" o:hrstd="t" o:hr="t" fillcolor="#a0a0a0" stroked="f"/>
        </w:pict>
      </w:r>
    </w:p>
    <w:p w:rsidR="00A056B6" w:rsidRPr="009C5151" w:rsidRDefault="00A056B6" w:rsidP="00743A5F">
      <w:pPr>
        <w:pStyle w:val="NormalWeb"/>
        <w:spacing w:before="0" w:beforeAutospacing="0"/>
      </w:pPr>
      <w:r w:rsidRPr="009C5151">
        <w:t xml:space="preserve">Would you like a </w:t>
      </w:r>
      <w:r w:rsidRPr="009C5151">
        <w:rPr>
          <w:rStyle w:val="Strong"/>
        </w:rPr>
        <w:t>sample CA certificate</w:t>
      </w:r>
      <w:r w:rsidRPr="009C5151">
        <w:t xml:space="preserve"> or guidance on </w:t>
      </w:r>
      <w:r w:rsidRPr="009C5151">
        <w:rPr>
          <w:rStyle w:val="Strong"/>
        </w:rPr>
        <w:t>document preparation for specific transactions</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a sample CA certificate or guidance on document preparation all the above transactions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64608EA4" wp14:editId="674D1DA4">
            <wp:extent cx="763905" cy="763905"/>
            <wp:effectExtent l="0" t="0" r="0" b="0"/>
            <wp:docPr id="302" name="Picture 30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1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573" w:name="_Toc187624031"/>
      <w:bookmarkStart w:id="574" w:name="_Toc187630751"/>
      <w:bookmarkStart w:id="575" w:name="_Toc187660930"/>
      <w:bookmarkStart w:id="576" w:name="_Toc187662009"/>
      <w:r w:rsidRPr="009C5151">
        <w:rPr>
          <w:rStyle w:val="Strong"/>
          <w:b/>
          <w:bCs/>
          <w:sz w:val="24"/>
          <w:szCs w:val="24"/>
        </w:rPr>
        <w:t>Sample CA Certificate for Form 3CEB and Guidance on Document Preparation for Transactions</w:t>
      </w:r>
      <w:bookmarkEnd w:id="573"/>
      <w:bookmarkEnd w:id="574"/>
      <w:bookmarkEnd w:id="575"/>
      <w:bookmarkEnd w:id="576"/>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4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77" w:name="_Toc187624032"/>
      <w:bookmarkStart w:id="578" w:name="_Toc187630752"/>
      <w:bookmarkStart w:id="579" w:name="_Toc187660931"/>
      <w:bookmarkStart w:id="580" w:name="_Toc187662010"/>
      <w:r w:rsidRPr="009C5151">
        <w:rPr>
          <w:rStyle w:val="Strong"/>
          <w:b/>
          <w:bCs/>
          <w:sz w:val="24"/>
          <w:szCs w:val="24"/>
        </w:rPr>
        <w:t>Sample CA Certificate for Form 3CEB</w:t>
      </w:r>
      <w:bookmarkEnd w:id="577"/>
      <w:bookmarkEnd w:id="578"/>
      <w:bookmarkEnd w:id="579"/>
      <w:bookmarkEnd w:id="580"/>
    </w:p>
    <w:p w:rsidR="00A056B6" w:rsidRPr="009C5151" w:rsidRDefault="00A056B6" w:rsidP="00743A5F">
      <w:pPr>
        <w:pStyle w:val="NormalWeb"/>
        <w:spacing w:before="0" w:beforeAutospacing="0"/>
      </w:pPr>
      <w:r w:rsidRPr="009C5151">
        <w:rPr>
          <w:rStyle w:val="Strong"/>
        </w:rPr>
        <w:t>To be issued by the Chartered Accountant after examining the accounts and records of the assessee</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48"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Certificate under Section 92E of the Income-tax Act, 1961</w:t>
      </w:r>
      <w:r w:rsidRPr="009C5151">
        <w:br/>
        <w:t>(Relating to International Transactions and Specified Domestic Transactions)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49" style="width:0;height:1.5pt" o:hralign="center" o:hrstd="t" o:hr="t" fillcolor="#a0a0a0" stroked="f"/>
        </w:pic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Name of the Assessee</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GlobalTech Pvt.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Address of the Assessee</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123 TechPark Avenue, Bengaluru,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Permanent Account Number (PAN)</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XXXXX1234X</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Assessment Year</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2024-25</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50"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I, [Name of Chartered Accountant], a member of the Institute of Chartered Accountants of India, having Membership Number [Membership Number], have examined the accounts and records of GlobalTech Pvt. Ltd. for the financial year 2023-24, and I certify the following:</w:t>
      </w:r>
    </w:p>
    <w:p w:rsidR="00A056B6" w:rsidRPr="009C5151" w:rsidRDefault="00A056B6" w:rsidP="00743A5F">
      <w:pPr>
        <w:pStyle w:val="NormalWeb"/>
        <w:tabs>
          <w:tab w:val="num" w:pos="720"/>
        </w:tabs>
        <w:spacing w:before="0" w:beforeAutospacing="0"/>
        <w:ind w:left="720" w:hanging="360"/>
      </w:pPr>
      <w:r w:rsidRPr="009C5151">
        <w:t xml:space="preserve">The particulars provided in Form 3CEB regarding international transactions and specified domestic transactions with associated enterprises are accurate and comply with the provisions of </w:t>
      </w:r>
      <w:r w:rsidRPr="009C5151">
        <w:rPr>
          <w:rStyle w:val="Strong"/>
        </w:rPr>
        <w:t>Section 92E of the Income-tax Act, 1961</w:t>
      </w:r>
      <w:r w:rsidRPr="009C5151">
        <w:t>.</w:t>
      </w:r>
    </w:p>
    <w:p w:rsidR="00A056B6" w:rsidRPr="009C5151" w:rsidRDefault="00A056B6" w:rsidP="00743A5F">
      <w:pPr>
        <w:pStyle w:val="NormalWeb"/>
        <w:tabs>
          <w:tab w:val="num" w:pos="720"/>
        </w:tabs>
        <w:spacing w:before="0" w:beforeAutospacing="0"/>
        <w:ind w:left="720" w:hanging="360"/>
      </w:pPr>
      <w:r w:rsidRPr="009C5151">
        <w:t xml:space="preserve">The transactions reported in Form 3CEB have been benchmarked using the methods prescribed under </w:t>
      </w:r>
      <w:r w:rsidRPr="009C5151">
        <w:rPr>
          <w:rStyle w:val="Strong"/>
        </w:rPr>
        <w:t>Rule 10B of the Income-tax Rules, 1962</w:t>
      </w:r>
      <w:r w:rsidRPr="009C5151">
        <w:t xml:space="preserve"> and are consistent with the arm's length principle.</w:t>
      </w:r>
    </w:p>
    <w:p w:rsidR="00A056B6" w:rsidRPr="009C5151" w:rsidRDefault="00A056B6" w:rsidP="00743A5F">
      <w:pPr>
        <w:pStyle w:val="NormalWeb"/>
        <w:tabs>
          <w:tab w:val="num" w:pos="720"/>
        </w:tabs>
        <w:spacing w:before="0" w:beforeAutospacing="0"/>
        <w:ind w:left="720" w:hanging="360"/>
      </w:pPr>
      <w:r w:rsidRPr="009C5151">
        <w:t>I have verified all supporting documents, including: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Agreements for international and specified domestic transactions.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Benchmarking study and functional analysis.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Tax Residency Certificates (TRCs) and Form 10F for DTAA benefits.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Proof of withholding tax deductions and remittances.</w:t>
      </w:r>
    </w:p>
    <w:p w:rsidR="00A056B6" w:rsidRPr="009C5151" w:rsidRDefault="00A056B6" w:rsidP="00743A5F">
      <w:pPr>
        <w:pStyle w:val="NormalWeb"/>
        <w:tabs>
          <w:tab w:val="num" w:pos="720"/>
        </w:tabs>
        <w:spacing w:before="0" w:beforeAutospacing="0"/>
        <w:ind w:left="720" w:hanging="360"/>
      </w:pPr>
      <w:r w:rsidRPr="009C5151">
        <w:t>The following transactions have been reviewed and certified: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 of software solutions.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Payment of royalty.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Fee for technical services (FTS).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on loans.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distribution.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Equalization levy (EL) compliance for digital advertising.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Specified domestic transactions for shared services and lease rentals.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51"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Place</w:t>
      </w:r>
      <w:r w:rsidRPr="009C5151">
        <w:t>: Bengaluru</w:t>
      </w:r>
      <w:r w:rsidRPr="009C5151">
        <w:br/>
      </w:r>
      <w:r w:rsidRPr="009C5151">
        <w:rPr>
          <w:rStyle w:val="Strong"/>
        </w:rPr>
        <w:t>Date</w:t>
      </w:r>
      <w:r w:rsidRPr="009C5151">
        <w:t>: [Date]</w:t>
      </w:r>
    </w:p>
    <w:p w:rsidR="00A056B6" w:rsidRPr="009C5151" w:rsidRDefault="00A056B6" w:rsidP="00743A5F">
      <w:pPr>
        <w:pStyle w:val="NormalWeb"/>
        <w:spacing w:before="0" w:beforeAutospacing="0"/>
      </w:pPr>
      <w:r w:rsidRPr="009C5151">
        <w:rPr>
          <w:rStyle w:val="Strong"/>
        </w:rPr>
        <w:t>Signature</w:t>
      </w:r>
      <w:r w:rsidRPr="009C5151">
        <w:t>: ___________________________</w:t>
      </w:r>
      <w:r w:rsidRPr="009C5151">
        <w:br/>
        <w:t>[Name of Chartered Accountant]</w:t>
      </w:r>
      <w:r w:rsidRPr="009C5151">
        <w:br/>
        <w:t>Membership Number: [Membership Number]</w:t>
      </w:r>
      <w:r w:rsidRPr="009C5151">
        <w:br/>
        <w:t>FRN: [If applicable]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5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81" w:name="_Toc187624033"/>
      <w:bookmarkStart w:id="582" w:name="_Toc187630753"/>
      <w:bookmarkStart w:id="583" w:name="_Toc187660932"/>
      <w:bookmarkStart w:id="584" w:name="_Toc187662011"/>
      <w:r w:rsidRPr="009C5151">
        <w:rPr>
          <w:rStyle w:val="Strong"/>
          <w:b/>
          <w:bCs/>
          <w:sz w:val="24"/>
          <w:szCs w:val="24"/>
        </w:rPr>
        <w:t>Guidance on Document Preparation for Each Transaction</w:t>
      </w:r>
      <w:bookmarkEnd w:id="581"/>
      <w:bookmarkEnd w:id="582"/>
      <w:bookmarkEnd w:id="583"/>
      <w:bookmarkEnd w:id="584"/>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5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1. Export of Software Solutions</w:t>
      </w:r>
    </w:p>
    <w:p w:rsidR="00A056B6" w:rsidRPr="009C5151" w:rsidRDefault="00A056B6" w:rsidP="00743A5F">
      <w:pPr>
        <w:pStyle w:val="NormalWeb"/>
        <w:spacing w:before="0" w:beforeAutospacing="0"/>
      </w:pPr>
      <w:r w:rsidRPr="009C5151">
        <w:rPr>
          <w:rStyle w:val="Strong"/>
        </w:rPr>
        <w:t>Documents Required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Inter-company Agreements</w:t>
      </w:r>
      <w:r w:rsidRPr="009C5151">
        <w:rPr>
          <w:rFonts w:ascii="Times New Roman" w:hAnsi="Times New Roman" w:cs="Times New Roman"/>
          <w:sz w:val="24"/>
          <w:szCs w:val="24"/>
        </w:rPr>
        <w:t>: Specify the pricing model (e.g., cost-plus or TNMM).</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Invoices and Payment Proofs</w:t>
      </w:r>
      <w:r w:rsidRPr="009C5151">
        <w:rPr>
          <w:rFonts w:ascii="Times New Roman" w:hAnsi="Times New Roman" w:cs="Times New Roman"/>
          <w:sz w:val="24"/>
          <w:szCs w:val="24"/>
        </w:rPr>
        <w:t>: Validate amounts received.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Benchmarking Study</w:t>
      </w:r>
      <w:r w:rsidRPr="009C5151">
        <w:rPr>
          <w:rFonts w:ascii="Times New Roman" w:hAnsi="Times New Roman" w:cs="Times New Roman"/>
          <w:sz w:val="24"/>
          <w:szCs w:val="24"/>
        </w:rPr>
        <w:t>: Compare margins with comparable software exporters.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Functional Analysis</w:t>
      </w:r>
      <w:r w:rsidRPr="009C5151">
        <w:rPr>
          <w:rFonts w:ascii="Times New Roman" w:hAnsi="Times New Roman" w:cs="Times New Roman"/>
          <w:sz w:val="24"/>
          <w:szCs w:val="24"/>
        </w:rPr>
        <w:t>: Document the roles of GlobalTech and its AEs.</w:t>
      </w:r>
    </w:p>
    <w:p w:rsidR="00A056B6" w:rsidRPr="009C5151" w:rsidRDefault="00A056B6" w:rsidP="00743A5F">
      <w:pPr>
        <w:pStyle w:val="NormalWeb"/>
        <w:spacing w:before="0" w:beforeAutospacing="0"/>
      </w:pPr>
      <w:r w:rsidRPr="009C5151">
        <w:rPr>
          <w:rStyle w:val="Strong"/>
        </w:rPr>
        <w:t>Verification Checklist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revenue reported aligns with agreements and invoices.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Confirm operating margin falls within the arm’s length range (e.g., 12%-15%).</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35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Royalty Payments</w:t>
      </w:r>
    </w:p>
    <w:p w:rsidR="00A056B6" w:rsidRPr="009C5151" w:rsidRDefault="00A056B6" w:rsidP="00743A5F">
      <w:pPr>
        <w:pStyle w:val="NormalWeb"/>
        <w:spacing w:before="0" w:beforeAutospacing="0"/>
      </w:pPr>
      <w:r w:rsidRPr="009C5151">
        <w:rPr>
          <w:rStyle w:val="Strong"/>
        </w:rPr>
        <w:t>Documents Required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License Agreement</w:t>
      </w:r>
      <w:r w:rsidRPr="009C5151">
        <w:rPr>
          <w:rFonts w:ascii="Times New Roman" w:hAnsi="Times New Roman" w:cs="Times New Roman"/>
          <w:sz w:val="24"/>
          <w:szCs w:val="24"/>
        </w:rPr>
        <w:t>: Define the royalty percentage or fixed payment terms.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Invoices and Bank Statements</w:t>
      </w:r>
      <w:r w:rsidRPr="009C5151">
        <w:rPr>
          <w:rFonts w:ascii="Times New Roman" w:hAnsi="Times New Roman" w:cs="Times New Roman"/>
          <w:sz w:val="24"/>
          <w:szCs w:val="24"/>
        </w:rPr>
        <w:t>: Validate payments to the UK AE.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Benchmarking Study</w:t>
      </w:r>
      <w:r w:rsidRPr="009C5151">
        <w:rPr>
          <w:rFonts w:ascii="Times New Roman" w:hAnsi="Times New Roman" w:cs="Times New Roman"/>
          <w:sz w:val="24"/>
          <w:szCs w:val="24"/>
        </w:rPr>
        <w:t>: Use CUP to compare royalty rates with similar agreements.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TRC and Form 10F</w:t>
      </w:r>
      <w:r w:rsidRPr="009C5151">
        <w:rPr>
          <w:rFonts w:ascii="Times New Roman" w:hAnsi="Times New Roman" w:cs="Times New Roman"/>
          <w:sz w:val="24"/>
          <w:szCs w:val="24"/>
        </w:rPr>
        <w:t>: Required to claim WHT rate under India-UK DTAA.</w:t>
      </w:r>
    </w:p>
    <w:p w:rsidR="00A056B6" w:rsidRPr="009C5151" w:rsidRDefault="00A056B6" w:rsidP="00743A5F">
      <w:pPr>
        <w:pStyle w:val="NormalWeb"/>
        <w:spacing w:before="0" w:beforeAutospacing="0"/>
      </w:pPr>
      <w:r w:rsidRPr="009C5151">
        <w:rPr>
          <w:rStyle w:val="Strong"/>
        </w:rPr>
        <w:t>Verification Checklist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royalty payments are consistent with the agreement.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Verify that the royalty rate (e.g., 5%-8%) aligns with the arm’s length principle.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5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Fee for Technical Services (FTS)</w:t>
      </w:r>
    </w:p>
    <w:p w:rsidR="00A056B6" w:rsidRPr="009C5151" w:rsidRDefault="00A056B6" w:rsidP="00743A5F">
      <w:pPr>
        <w:pStyle w:val="NormalWeb"/>
        <w:spacing w:before="0" w:beforeAutospacing="0"/>
      </w:pPr>
      <w:r w:rsidRPr="009C5151">
        <w:rPr>
          <w:rStyle w:val="Strong"/>
        </w:rPr>
        <w:t>Documents Required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Service Agreement</w:t>
      </w:r>
      <w:r w:rsidRPr="009C5151">
        <w:rPr>
          <w:rFonts w:ascii="Times New Roman" w:hAnsi="Times New Roman" w:cs="Times New Roman"/>
          <w:sz w:val="24"/>
          <w:szCs w:val="24"/>
        </w:rPr>
        <w:t>: Specify the scope of technical consultancy.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Invoices and Payment Proofs</w:t>
      </w:r>
      <w:r w:rsidRPr="009C5151">
        <w:rPr>
          <w:rFonts w:ascii="Times New Roman" w:hAnsi="Times New Roman" w:cs="Times New Roman"/>
          <w:sz w:val="24"/>
          <w:szCs w:val="24"/>
        </w:rPr>
        <w:t>: Validate amounts paid to Singapore AE.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Cost Analysis</w:t>
      </w:r>
      <w:r w:rsidRPr="009C5151">
        <w:rPr>
          <w:rFonts w:ascii="Times New Roman" w:hAnsi="Times New Roman" w:cs="Times New Roman"/>
          <w:sz w:val="24"/>
          <w:szCs w:val="24"/>
        </w:rPr>
        <w:t>: Document the base cost and markup.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TRC and Form 10F</w:t>
      </w:r>
      <w:r w:rsidRPr="009C5151">
        <w:rPr>
          <w:rFonts w:ascii="Times New Roman" w:hAnsi="Times New Roman" w:cs="Times New Roman"/>
          <w:sz w:val="24"/>
          <w:szCs w:val="24"/>
        </w:rPr>
        <w:t>: Claim WHT rate under India-Singapore DTAA.</w:t>
      </w:r>
    </w:p>
    <w:p w:rsidR="00A056B6" w:rsidRPr="009C5151" w:rsidRDefault="00A056B6" w:rsidP="00743A5F">
      <w:pPr>
        <w:pStyle w:val="NormalWeb"/>
        <w:spacing w:before="0" w:beforeAutospacing="0"/>
      </w:pPr>
      <w:r w:rsidRPr="009C5151">
        <w:rPr>
          <w:rStyle w:val="Strong"/>
        </w:rPr>
        <w:t>Verification Checklist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Validate that the markup (e.g., 12%-15%) matches comparable industry rates.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the service agreement covers all aspects of consultancy provided.</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5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Interest Payments</w:t>
      </w:r>
    </w:p>
    <w:p w:rsidR="00A056B6" w:rsidRPr="009C5151" w:rsidRDefault="00A056B6" w:rsidP="00743A5F">
      <w:pPr>
        <w:pStyle w:val="NormalWeb"/>
        <w:spacing w:before="0" w:beforeAutospacing="0"/>
      </w:pPr>
      <w:r w:rsidRPr="009C5151">
        <w:rPr>
          <w:rStyle w:val="Strong"/>
        </w:rPr>
        <w:t>Documents Required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Loan Agreement</w:t>
      </w:r>
      <w:r w:rsidRPr="009C5151">
        <w:rPr>
          <w:rFonts w:ascii="Times New Roman" w:hAnsi="Times New Roman" w:cs="Times New Roman"/>
          <w:sz w:val="24"/>
          <w:szCs w:val="24"/>
        </w:rPr>
        <w:t>: Specify interest rate, repayment terms, and duration.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Invoices/Statements</w:t>
      </w:r>
      <w:r w:rsidRPr="009C5151">
        <w:rPr>
          <w:rFonts w:ascii="Times New Roman" w:hAnsi="Times New Roman" w:cs="Times New Roman"/>
          <w:sz w:val="24"/>
          <w:szCs w:val="24"/>
        </w:rPr>
        <w:t>: Document interest payments made to German AE.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Benchmarking Study</w:t>
      </w:r>
      <w:r w:rsidRPr="009C5151">
        <w:rPr>
          <w:rFonts w:ascii="Times New Roman" w:hAnsi="Times New Roman" w:cs="Times New Roman"/>
          <w:sz w:val="24"/>
          <w:szCs w:val="24"/>
        </w:rPr>
        <w:t>: Use CUP to justify the interest rate (e.g., LIBOR + 2%).</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TRC and Form 10F</w:t>
      </w:r>
      <w:r w:rsidRPr="009C5151">
        <w:rPr>
          <w:rFonts w:ascii="Times New Roman" w:hAnsi="Times New Roman" w:cs="Times New Roman"/>
          <w:sz w:val="24"/>
          <w:szCs w:val="24"/>
        </w:rPr>
        <w:t>: Claim reduced WHT rate under India-Germany DTAA.</w:t>
      </w:r>
    </w:p>
    <w:p w:rsidR="00A056B6" w:rsidRPr="009C5151" w:rsidRDefault="00A056B6" w:rsidP="00743A5F">
      <w:pPr>
        <w:pStyle w:val="NormalWeb"/>
        <w:spacing w:before="0" w:beforeAutospacing="0"/>
      </w:pPr>
      <w:r w:rsidRPr="009C5151">
        <w:rPr>
          <w:rStyle w:val="Strong"/>
        </w:rPr>
        <w:lastRenderedPageBreak/>
        <w:t>Verification Checklist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Verify that the interest rate (6%) matches or exceeds the arm’s length benchmark.</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compliance with Section 94B (interest is within 30% of EBITDA).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5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Dividend Payments</w:t>
      </w:r>
    </w:p>
    <w:p w:rsidR="00A056B6" w:rsidRPr="009C5151" w:rsidRDefault="00A056B6" w:rsidP="00743A5F">
      <w:pPr>
        <w:pStyle w:val="NormalWeb"/>
        <w:spacing w:before="0" w:beforeAutospacing="0"/>
      </w:pPr>
      <w:r w:rsidRPr="009C5151">
        <w:rPr>
          <w:rStyle w:val="Strong"/>
        </w:rPr>
        <w:t>Documents Required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Board Resolution</w:t>
      </w:r>
      <w:r w:rsidRPr="009C5151">
        <w:rPr>
          <w:rFonts w:ascii="Times New Roman" w:hAnsi="Times New Roman" w:cs="Times New Roman"/>
          <w:sz w:val="24"/>
          <w:szCs w:val="24"/>
        </w:rPr>
        <w:t>: Authorizing dividend payment to Mauritius parent.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Bank Statements</w:t>
      </w:r>
      <w:r w:rsidRPr="009C5151">
        <w:rPr>
          <w:rFonts w:ascii="Times New Roman" w:hAnsi="Times New Roman" w:cs="Times New Roman"/>
          <w:sz w:val="24"/>
          <w:szCs w:val="24"/>
        </w:rPr>
        <w:t>: Proof of payment.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TRC and Form 10F</w:t>
      </w:r>
      <w:r w:rsidRPr="009C5151">
        <w:rPr>
          <w:rFonts w:ascii="Times New Roman" w:hAnsi="Times New Roman" w:cs="Times New Roman"/>
          <w:sz w:val="24"/>
          <w:szCs w:val="24"/>
        </w:rPr>
        <w:t>: Claim 0% WHT under India-Mauritius DTAA.</w:t>
      </w:r>
    </w:p>
    <w:p w:rsidR="00A056B6" w:rsidRPr="009C5151" w:rsidRDefault="00A056B6" w:rsidP="00743A5F">
      <w:pPr>
        <w:pStyle w:val="NormalWeb"/>
        <w:spacing w:before="0" w:beforeAutospacing="0"/>
      </w:pPr>
      <w:r w:rsidRPr="009C5151">
        <w:rPr>
          <w:rStyle w:val="Strong"/>
        </w:rPr>
        <w:t>Verification Checklist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Confirm dividend payment aligns with declared profits.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Validate that no WHT is applicable under the DTAA.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5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Digital Advertising Payments (Equalization Levy)</w:t>
      </w:r>
    </w:p>
    <w:p w:rsidR="00A056B6" w:rsidRPr="009C5151" w:rsidRDefault="00A056B6" w:rsidP="00743A5F">
      <w:pPr>
        <w:pStyle w:val="NormalWeb"/>
        <w:spacing w:before="0" w:beforeAutospacing="0"/>
      </w:pPr>
      <w:r w:rsidRPr="009C5151">
        <w:rPr>
          <w:rStyle w:val="Strong"/>
        </w:rPr>
        <w:t>Documents Required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Invoices from USA Platform</w:t>
      </w:r>
      <w:r w:rsidRPr="009C5151">
        <w:rPr>
          <w:rFonts w:ascii="Times New Roman" w:hAnsi="Times New Roman" w:cs="Times New Roman"/>
          <w:sz w:val="24"/>
          <w:szCs w:val="24"/>
        </w:rPr>
        <w:t>: For ₹10 crore advertising expense.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Payment Proofs</w:t>
      </w:r>
      <w:r w:rsidRPr="009C5151">
        <w:rPr>
          <w:rFonts w:ascii="Times New Roman" w:hAnsi="Times New Roman" w:cs="Times New Roman"/>
          <w:sz w:val="24"/>
          <w:szCs w:val="24"/>
        </w:rPr>
        <w:t>: Bank statements showing remittances.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EL Deposit Challans</w:t>
      </w:r>
      <w:r w:rsidRPr="009C5151">
        <w:rPr>
          <w:rFonts w:ascii="Times New Roman" w:hAnsi="Times New Roman" w:cs="Times New Roman"/>
          <w:sz w:val="24"/>
          <w:szCs w:val="24"/>
        </w:rPr>
        <w:t>: Proof of remittance using Challan ITNS 285.</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Annual EL Return</w:t>
      </w:r>
      <w:r w:rsidRPr="009C5151">
        <w:rPr>
          <w:rFonts w:ascii="Times New Roman" w:hAnsi="Times New Roman" w:cs="Times New Roman"/>
          <w:sz w:val="24"/>
          <w:szCs w:val="24"/>
        </w:rPr>
        <w:t>: File Form 1 by 30th June.</w:t>
      </w:r>
    </w:p>
    <w:p w:rsidR="00A056B6" w:rsidRPr="009C5151" w:rsidRDefault="00A056B6" w:rsidP="00743A5F">
      <w:pPr>
        <w:pStyle w:val="NormalWeb"/>
        <w:spacing w:before="0" w:beforeAutospacing="0"/>
      </w:pPr>
      <w:r w:rsidRPr="009C5151">
        <w:rPr>
          <w:rStyle w:val="Strong"/>
        </w:rPr>
        <w:t>Verification Checklist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EL at 6% is computed and remitted (₹60 lakh).</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Verify that payments qualify as taxable under EL provisions.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5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7. Shared Management Services</w:t>
      </w:r>
    </w:p>
    <w:p w:rsidR="00A056B6" w:rsidRPr="009C5151" w:rsidRDefault="00A056B6" w:rsidP="00743A5F">
      <w:pPr>
        <w:pStyle w:val="NormalWeb"/>
        <w:spacing w:before="0" w:beforeAutospacing="0"/>
      </w:pPr>
      <w:r w:rsidRPr="009C5151">
        <w:rPr>
          <w:rStyle w:val="Strong"/>
        </w:rPr>
        <w:t>Documents Required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Inter-company Agreement</w:t>
      </w:r>
      <w:r w:rsidRPr="009C5151">
        <w:rPr>
          <w:rFonts w:ascii="Times New Roman" w:hAnsi="Times New Roman" w:cs="Times New Roman"/>
          <w:sz w:val="24"/>
          <w:szCs w:val="24"/>
        </w:rPr>
        <w:t>: Specify services provided (e.g., HR, finance).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Invoices</w:t>
      </w:r>
      <w:r w:rsidRPr="009C5151">
        <w:rPr>
          <w:rFonts w:ascii="Times New Roman" w:hAnsi="Times New Roman" w:cs="Times New Roman"/>
          <w:sz w:val="24"/>
          <w:szCs w:val="24"/>
        </w:rPr>
        <w:t>: Validate ₹12 crore payment to Indian AE.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Benchmarking Study</w:t>
      </w:r>
      <w:r w:rsidRPr="009C5151">
        <w:rPr>
          <w:rFonts w:ascii="Times New Roman" w:hAnsi="Times New Roman" w:cs="Times New Roman"/>
          <w:sz w:val="24"/>
          <w:szCs w:val="24"/>
        </w:rPr>
        <w:t>: Use CPM to validate markups charged (e.g., 10%-12%).</w:t>
      </w:r>
    </w:p>
    <w:p w:rsidR="00A056B6" w:rsidRPr="009C5151" w:rsidRDefault="00A056B6" w:rsidP="00743A5F">
      <w:pPr>
        <w:pStyle w:val="NormalWeb"/>
        <w:spacing w:before="0" w:beforeAutospacing="0"/>
      </w:pPr>
      <w:r w:rsidRPr="009C5151">
        <w:rPr>
          <w:rStyle w:val="Strong"/>
        </w:rPr>
        <w:t>Verification Checklist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the agreement justifies the scope and cost of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Confirm payment aligns with the arm’s length range.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6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8. Lease of Office Space</w:t>
      </w:r>
    </w:p>
    <w:p w:rsidR="00A056B6" w:rsidRPr="009C5151" w:rsidRDefault="00A056B6" w:rsidP="00743A5F">
      <w:pPr>
        <w:pStyle w:val="NormalWeb"/>
        <w:spacing w:before="0" w:beforeAutospacing="0"/>
      </w:pPr>
      <w:r w:rsidRPr="009C5151">
        <w:rPr>
          <w:rStyle w:val="Strong"/>
        </w:rPr>
        <w:t>Documents Required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Lease Agreement</w:t>
      </w:r>
      <w:r w:rsidRPr="009C5151">
        <w:rPr>
          <w:rFonts w:ascii="Times New Roman" w:hAnsi="Times New Roman" w:cs="Times New Roman"/>
          <w:sz w:val="24"/>
          <w:szCs w:val="24"/>
        </w:rPr>
        <w:t>: Specify rental terms and amounts.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Market Data</w:t>
      </w:r>
      <w:r w:rsidRPr="009C5151">
        <w:rPr>
          <w:rFonts w:ascii="Times New Roman" w:hAnsi="Times New Roman" w:cs="Times New Roman"/>
          <w:sz w:val="24"/>
          <w:szCs w:val="24"/>
        </w:rPr>
        <w:t>: Use CUP to benchmark ₹8 crore lease payment.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Invoices and Bank Statements</w:t>
      </w:r>
      <w:r w:rsidRPr="009C5151">
        <w:rPr>
          <w:rFonts w:ascii="Times New Roman" w:hAnsi="Times New Roman" w:cs="Times New Roman"/>
          <w:sz w:val="24"/>
          <w:szCs w:val="24"/>
        </w:rPr>
        <w:t>: Validate payments to AE.</w:t>
      </w:r>
    </w:p>
    <w:p w:rsidR="00A056B6" w:rsidRPr="009C5151" w:rsidRDefault="00A056B6" w:rsidP="00743A5F">
      <w:pPr>
        <w:pStyle w:val="NormalWeb"/>
        <w:spacing w:before="0" w:beforeAutospacing="0"/>
      </w:pPr>
      <w:r w:rsidRPr="009C5151">
        <w:rPr>
          <w:rStyle w:val="Strong"/>
        </w:rPr>
        <w:t>Verification Checklist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Compare lease payments with market rates for similar properties.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payment is within the arm’s length range (e.g., ₹7.8 crore - ₹8.2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6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85" w:name="_Toc187624034"/>
      <w:bookmarkStart w:id="586" w:name="_Toc187630754"/>
      <w:bookmarkStart w:id="587" w:name="_Toc187660933"/>
      <w:bookmarkStart w:id="588" w:name="_Toc187662012"/>
      <w:r w:rsidRPr="009C5151">
        <w:rPr>
          <w:rStyle w:val="Strong"/>
          <w:b/>
          <w:bCs/>
          <w:sz w:val="24"/>
          <w:szCs w:val="24"/>
        </w:rPr>
        <w:t>Summary Checklist for Document Preparation</w:t>
      </w:r>
      <w:bookmarkEnd w:id="585"/>
      <w:bookmarkEnd w:id="586"/>
      <w:bookmarkEnd w:id="587"/>
      <w:bookmarkEnd w:id="588"/>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4"/>
        <w:gridCol w:w="3544"/>
        <w:gridCol w:w="3308"/>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Key Documents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Verification Point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 of Software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Agreements, Benchmarking Study, Invoices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Validate margins (TNMM).</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License Agreement, TRC, Benchmarking Study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Confirm rates (CUP).</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Fee for Technical Services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Service Agreement, Benchmarking Study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Validate markup (CPM).</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Loan Agreement, Benchmarking Study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Confirm rates (CUP) and Section 94B limits.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Dividend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Board Resolution, TRC</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Verify 0% WHT under DTAA.</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Digital Advertising (EL)</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Invoices, Challans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Ensure 6% EL is remitted.</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Shared Services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Agreements, Benchmarking Study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Validate markups (CPM).</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Lease of Office Space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Lease Agreement, Market Data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Confirm alignment with market rates (CUP).</w:t>
            </w:r>
          </w:p>
        </w:tc>
      </w:tr>
    </w:tbl>
    <w:p w:rsidR="00A056B6" w:rsidRPr="009C5151" w:rsidRDefault="00A056B6" w:rsidP="00743A5F">
      <w:pPr>
        <w:pStyle w:val="NormalWeb"/>
        <w:spacing w:before="0" w:beforeAutospacing="0"/>
      </w:pPr>
      <w:r w:rsidRPr="009C5151">
        <w:lastRenderedPageBreak/>
        <w:t xml:space="preserve">Would you like templates for any specific </w:t>
      </w:r>
      <w:r w:rsidRPr="009C5151">
        <w:rPr>
          <w:rStyle w:val="Strong"/>
        </w:rPr>
        <w:t>agreement, invoice, or benchmarking report</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templates for any specific agreement, invoice, or benchmarking report</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4770448" wp14:editId="34EC009E">
            <wp:extent cx="763905" cy="763905"/>
            <wp:effectExtent l="0" t="0" r="0" b="0"/>
            <wp:docPr id="301" name="Picture 30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2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589" w:name="_Toc187624035"/>
      <w:bookmarkStart w:id="590" w:name="_Toc187630755"/>
      <w:bookmarkStart w:id="591" w:name="_Toc187660934"/>
      <w:bookmarkStart w:id="592" w:name="_Toc187662013"/>
      <w:r w:rsidRPr="009C5151">
        <w:rPr>
          <w:rStyle w:val="Strong"/>
          <w:b/>
          <w:bCs/>
          <w:sz w:val="24"/>
          <w:szCs w:val="24"/>
        </w:rPr>
        <w:t>Templates for Agreements, Invoices, and Benchmarking Reports</w:t>
      </w:r>
      <w:bookmarkEnd w:id="589"/>
      <w:bookmarkEnd w:id="590"/>
      <w:bookmarkEnd w:id="591"/>
      <w:bookmarkEnd w:id="592"/>
    </w:p>
    <w:p w:rsidR="00A056B6" w:rsidRPr="009C5151" w:rsidRDefault="00A056B6" w:rsidP="00743A5F">
      <w:pPr>
        <w:pStyle w:val="NormalWeb"/>
        <w:spacing w:before="0" w:beforeAutospacing="0"/>
      </w:pPr>
      <w:r w:rsidRPr="009C5151">
        <w:t xml:space="preserve">Below are detailed templates for </w:t>
      </w:r>
      <w:r w:rsidRPr="009C5151">
        <w:rPr>
          <w:rStyle w:val="Strong"/>
        </w:rPr>
        <w:t>agreements</w:t>
      </w:r>
      <w:r w:rsidRPr="009C5151">
        <w:t xml:space="preserve">, </w:t>
      </w:r>
      <w:r w:rsidRPr="009C5151">
        <w:rPr>
          <w:rStyle w:val="Strong"/>
        </w:rPr>
        <w:t>invoices</w:t>
      </w:r>
      <w:r w:rsidRPr="009C5151">
        <w:t xml:space="preserve">, and </w:t>
      </w:r>
      <w:r w:rsidRPr="009C5151">
        <w:rPr>
          <w:rStyle w:val="Strong"/>
        </w:rPr>
        <w:t>benchmarking reports</w:t>
      </w:r>
      <w:r w:rsidRPr="009C5151">
        <w:t xml:space="preserve"> tailored to the transactions in the </w:t>
      </w:r>
      <w:r w:rsidRPr="009C5151">
        <w:rPr>
          <w:rStyle w:val="Strong"/>
        </w:rPr>
        <w:t>13th case study (GlobalTech Pvt. Ltd.)</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6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93" w:name="_Toc187624036"/>
      <w:bookmarkStart w:id="594" w:name="_Toc187630756"/>
      <w:bookmarkStart w:id="595" w:name="_Toc187660935"/>
      <w:bookmarkStart w:id="596" w:name="_Toc187662014"/>
      <w:r w:rsidRPr="009C5151">
        <w:rPr>
          <w:rStyle w:val="Strong"/>
          <w:b/>
          <w:bCs/>
          <w:sz w:val="24"/>
          <w:szCs w:val="24"/>
        </w:rPr>
        <w:t>I. Agreement Templates</w:t>
      </w:r>
      <w:bookmarkEnd w:id="593"/>
      <w:bookmarkEnd w:id="594"/>
      <w:bookmarkEnd w:id="595"/>
      <w:bookmarkEnd w:id="596"/>
    </w:p>
    <w:p w:rsidR="00A056B6" w:rsidRPr="009C5151" w:rsidRDefault="00A056B6" w:rsidP="00743A5F">
      <w:pPr>
        <w:pStyle w:val="Heading4"/>
        <w:spacing w:before="0" w:beforeAutospacing="0"/>
      </w:pPr>
      <w:r w:rsidRPr="009C5151">
        <w:rPr>
          <w:rStyle w:val="Strong"/>
          <w:b/>
          <w:bCs/>
        </w:rPr>
        <w:t>1. Inter-Company Agreement for Export of Software Solutions</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Master Service Agreement</w:t>
      </w:r>
      <w:r w:rsidRPr="009C5151">
        <w:br/>
        <w:t>This Agreement is entered into on [Date]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GlobalTech Pvt. Ltd.</w:t>
      </w:r>
      <w:r w:rsidRPr="009C5151">
        <w:rPr>
          <w:rFonts w:ascii="Times New Roman" w:hAnsi="Times New Roman" w:cs="Times New Roman"/>
          <w:sz w:val="24"/>
          <w:szCs w:val="24"/>
        </w:rPr>
        <w:t xml:space="preserve"> (the "Service Provider"), having its principal office at [Address],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TechSoft Inc.</w:t>
      </w:r>
      <w:r w:rsidRPr="009C5151">
        <w:rPr>
          <w:rFonts w:ascii="Times New Roman" w:hAnsi="Times New Roman" w:cs="Times New Roman"/>
          <w:sz w:val="24"/>
          <w:szCs w:val="24"/>
        </w:rPr>
        <w:t xml:space="preserve"> (the "Client"), having its principal office at [Address].</w:t>
      </w:r>
    </w:p>
    <w:p w:rsidR="00A056B6" w:rsidRPr="009C5151" w:rsidRDefault="00A056B6" w:rsidP="00743A5F">
      <w:pPr>
        <w:pStyle w:val="NormalWeb"/>
        <w:spacing w:before="0" w:beforeAutospacing="0"/>
      </w:pPr>
      <w:r w:rsidRPr="009C5151">
        <w:rPr>
          <w:rStyle w:val="Strong"/>
        </w:rPr>
        <w:t>Scope of Services</w:t>
      </w:r>
      <w:r w:rsidRPr="009C5151">
        <w:t>:</w:t>
      </w:r>
      <w:r w:rsidRPr="009C5151">
        <w:br/>
        <w:t>GlobalTech Pvt. Ltd. shall provide software development and support services for [specific purpose].</w:t>
      </w:r>
    </w:p>
    <w:p w:rsidR="00A056B6" w:rsidRPr="009C5151" w:rsidRDefault="00A056B6" w:rsidP="00743A5F">
      <w:pPr>
        <w:pStyle w:val="NormalWeb"/>
        <w:spacing w:before="0" w:beforeAutospacing="0"/>
      </w:pPr>
      <w:r w:rsidRPr="009C5151">
        <w:rPr>
          <w:rStyle w:val="Strong"/>
        </w:rPr>
        <w:t>Pricing Model</w:t>
      </w:r>
      <w:r w:rsidRPr="009C5151">
        <w:t>:</w:t>
      </w:r>
      <w:r w:rsidRPr="009C5151">
        <w:br/>
        <w:t xml:space="preserve">The pricing shall be determined based on the </w:t>
      </w:r>
      <w:r w:rsidRPr="009C5151">
        <w:rPr>
          <w:rStyle w:val="Strong"/>
        </w:rPr>
        <w:t>Transactional Net Margin Method (TNMM)</w:t>
      </w:r>
      <w:r w:rsidRPr="009C5151">
        <w:t xml:space="preserve">, with a markup of </w:t>
      </w:r>
      <w:r w:rsidRPr="009C5151">
        <w:rPr>
          <w:rStyle w:val="Strong"/>
        </w:rPr>
        <w:t>14%</w:t>
      </w:r>
      <w:r w:rsidRPr="009C5151">
        <w:t xml:space="preserve"> applied to the total cost incurred.</w:t>
      </w:r>
    </w:p>
    <w:p w:rsidR="00A056B6" w:rsidRPr="009C5151" w:rsidRDefault="00A056B6" w:rsidP="00743A5F">
      <w:pPr>
        <w:pStyle w:val="NormalWeb"/>
        <w:spacing w:before="0" w:beforeAutospacing="0"/>
      </w:pPr>
      <w:r w:rsidRPr="009C5151">
        <w:rPr>
          <w:rStyle w:val="Strong"/>
        </w:rPr>
        <w:t>Payment Terms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Invoice to be raised on the 1st of each month.</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Payment due within 30 days of invoice date.</w:t>
      </w:r>
    </w:p>
    <w:p w:rsidR="00A056B6" w:rsidRPr="009C5151" w:rsidRDefault="00A056B6" w:rsidP="00743A5F">
      <w:pPr>
        <w:pStyle w:val="NormalWeb"/>
        <w:spacing w:before="0" w:beforeAutospacing="0"/>
      </w:pPr>
      <w:r w:rsidRPr="009C5151">
        <w:rPr>
          <w:rStyle w:val="Strong"/>
        </w:rPr>
        <w:t>Confidentiality</w:t>
      </w:r>
      <w:r w:rsidRPr="009C5151">
        <w:t>:</w:t>
      </w:r>
      <w:r w:rsidRPr="009C5151">
        <w:br/>
        <w:t>Both parties agree to keep proprietary information confidential.</w:t>
      </w:r>
    </w:p>
    <w:p w:rsidR="00A056B6" w:rsidRPr="009C5151" w:rsidRDefault="00A056B6" w:rsidP="00743A5F">
      <w:pPr>
        <w:pStyle w:val="NormalWeb"/>
        <w:spacing w:before="0" w:beforeAutospacing="0"/>
      </w:pPr>
      <w:r w:rsidRPr="009C5151">
        <w:rPr>
          <w:rStyle w:val="Strong"/>
        </w:rPr>
        <w:lastRenderedPageBreak/>
        <w:t>Duration</w:t>
      </w:r>
      <w:r w:rsidRPr="009C5151">
        <w:t>:</w:t>
      </w:r>
      <w:r w:rsidRPr="009C5151">
        <w:br/>
        <w:t>This Agreement is valid from [Start Date] to [End Date].</w:t>
      </w:r>
    </w:p>
    <w:p w:rsidR="00A056B6" w:rsidRPr="009C5151" w:rsidRDefault="00A056B6" w:rsidP="00743A5F">
      <w:pPr>
        <w:pStyle w:val="NormalWeb"/>
        <w:spacing w:before="0" w:beforeAutospacing="0"/>
      </w:pPr>
      <w:r w:rsidRPr="009C5151">
        <w:rPr>
          <w:rStyle w:val="Strong"/>
        </w:rPr>
        <w:t>Signed</w:t>
      </w:r>
      <w:r w:rsidRPr="009C5151">
        <w:t>:</w:t>
      </w:r>
      <w:r w:rsidRPr="009C5151">
        <w:br/>
        <w:t>For GlobalTech Pvt. Ltd. | For TechSoft Inc.</w:t>
      </w:r>
      <w:r w:rsidRPr="009C5151">
        <w:br/>
        <w:t>_________________________ | _________________________</w:t>
      </w:r>
      <w:r w:rsidRPr="009C5151">
        <w:br/>
        <w:t>[Authorized Signatory] | [Authorized Signatory]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6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Royalty Agreement</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Royalty Licensing Agreement</w:t>
      </w:r>
      <w:r w:rsidRPr="009C5151">
        <w:br/>
        <w:t>This Agreement is made on [Date]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GlobalTech Pvt. Ltd.</w:t>
      </w:r>
      <w:r w:rsidRPr="009C5151">
        <w:rPr>
          <w:rFonts w:ascii="Times New Roman" w:hAnsi="Times New Roman" w:cs="Times New Roman"/>
          <w:sz w:val="24"/>
          <w:szCs w:val="24"/>
        </w:rPr>
        <w:t xml:space="preserve"> ("Licensee")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TechIP Ltd.</w:t>
      </w:r>
      <w:r w:rsidRPr="009C5151">
        <w:rPr>
          <w:rFonts w:ascii="Times New Roman" w:hAnsi="Times New Roman" w:cs="Times New Roman"/>
          <w:sz w:val="24"/>
          <w:szCs w:val="24"/>
        </w:rPr>
        <w:t xml:space="preserve"> ("Licensor").</w:t>
      </w:r>
    </w:p>
    <w:p w:rsidR="00A056B6" w:rsidRPr="009C5151" w:rsidRDefault="00A056B6" w:rsidP="00743A5F">
      <w:pPr>
        <w:pStyle w:val="NormalWeb"/>
        <w:spacing w:before="0" w:beforeAutospacing="0"/>
      </w:pPr>
      <w:r w:rsidRPr="009C5151">
        <w:rPr>
          <w:rStyle w:val="Strong"/>
        </w:rPr>
        <w:t>Scope</w:t>
      </w:r>
      <w:r w:rsidRPr="009C5151">
        <w:t>:</w:t>
      </w:r>
      <w:r w:rsidRPr="009C5151">
        <w:br/>
        <w:t>The Licensor grants the Licensee the right to use the [specific IP/software] within India for commercial purposes.</w:t>
      </w:r>
    </w:p>
    <w:p w:rsidR="00A056B6" w:rsidRPr="009C5151" w:rsidRDefault="00A056B6" w:rsidP="00743A5F">
      <w:pPr>
        <w:pStyle w:val="NormalWeb"/>
        <w:spacing w:before="0" w:beforeAutospacing="0"/>
      </w:pPr>
      <w:r w:rsidRPr="009C5151">
        <w:rPr>
          <w:rStyle w:val="Strong"/>
        </w:rPr>
        <w:t>Royalty Rate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 fixed rate of </w:t>
      </w:r>
      <w:r w:rsidRPr="009C5151">
        <w:rPr>
          <w:rStyle w:val="Strong"/>
          <w:rFonts w:ascii="Times New Roman" w:hAnsi="Times New Roman" w:cs="Times New Roman"/>
          <w:sz w:val="24"/>
          <w:szCs w:val="24"/>
        </w:rPr>
        <w:t>6%</w:t>
      </w:r>
      <w:r w:rsidRPr="009C5151">
        <w:rPr>
          <w:rFonts w:ascii="Times New Roman" w:hAnsi="Times New Roman" w:cs="Times New Roman"/>
          <w:sz w:val="24"/>
          <w:szCs w:val="24"/>
        </w:rPr>
        <w:t xml:space="preserve"> on net sales derived from the licensed IP.</w:t>
      </w:r>
    </w:p>
    <w:p w:rsidR="00A056B6" w:rsidRPr="009C5151" w:rsidRDefault="00A056B6" w:rsidP="00743A5F">
      <w:pPr>
        <w:pStyle w:val="NormalWeb"/>
        <w:spacing w:before="0" w:beforeAutospacing="0"/>
      </w:pPr>
      <w:r w:rsidRPr="009C5151">
        <w:rPr>
          <w:rStyle w:val="Strong"/>
        </w:rPr>
        <w:t>Payment Terms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Royalties are payable quarterly within 30 days of the quarter-end.</w:t>
      </w:r>
    </w:p>
    <w:p w:rsidR="00A056B6" w:rsidRPr="009C5151" w:rsidRDefault="00A056B6" w:rsidP="00743A5F">
      <w:pPr>
        <w:pStyle w:val="NormalWeb"/>
        <w:spacing w:before="0" w:beforeAutospacing="0"/>
      </w:pPr>
      <w:r w:rsidRPr="009C5151">
        <w:rPr>
          <w:rStyle w:val="Strong"/>
        </w:rPr>
        <w:t>Dispute Resolution</w:t>
      </w:r>
      <w:r w:rsidRPr="009C5151">
        <w:t>:</w:t>
      </w:r>
      <w:r w:rsidRPr="009C5151">
        <w:br/>
        <w:t>Any disputes shall be resolved through arbitration in accordance with [Applicable Law].</w:t>
      </w:r>
    </w:p>
    <w:p w:rsidR="00A056B6" w:rsidRPr="009C5151" w:rsidRDefault="00A056B6" w:rsidP="00743A5F">
      <w:pPr>
        <w:pStyle w:val="NormalWeb"/>
        <w:spacing w:before="0" w:beforeAutospacing="0"/>
      </w:pPr>
      <w:r w:rsidRPr="009C5151">
        <w:rPr>
          <w:rStyle w:val="Strong"/>
        </w:rPr>
        <w:t>Signed</w:t>
      </w:r>
      <w:r w:rsidRPr="009C5151">
        <w:t>:</w:t>
      </w:r>
      <w:r w:rsidRPr="009C5151">
        <w:br/>
        <w:t>For GlobalTech Pvt. Ltd. | For TechIP Ltd.</w:t>
      </w:r>
      <w:r w:rsidRPr="009C5151">
        <w:br/>
        <w:t>_________________________ | _________________________</w:t>
      </w:r>
      <w:r w:rsidRPr="009C5151">
        <w:br/>
        <w:t>[Authorized Signatory] | [Authorized Signatory]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6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Loan Agreement</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Inter-Company Loan Agreement</w:t>
      </w:r>
      <w:r w:rsidRPr="009C5151">
        <w:br/>
        <w:t>This Agreement is entered into on [Date]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GlobalTech Pvt. Ltd.</w:t>
      </w:r>
      <w:r w:rsidRPr="009C5151">
        <w:rPr>
          <w:rFonts w:ascii="Times New Roman" w:hAnsi="Times New Roman" w:cs="Times New Roman"/>
          <w:sz w:val="24"/>
          <w:szCs w:val="24"/>
        </w:rPr>
        <w:t xml:space="preserve"> ("Lender"),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TechFinance GmbH</w:t>
      </w:r>
      <w:r w:rsidRPr="009C5151">
        <w:rPr>
          <w:rFonts w:ascii="Times New Roman" w:hAnsi="Times New Roman" w:cs="Times New Roman"/>
          <w:sz w:val="24"/>
          <w:szCs w:val="24"/>
        </w:rPr>
        <w:t xml:space="preserve"> ("Borrower").</w:t>
      </w:r>
    </w:p>
    <w:p w:rsidR="00A056B6" w:rsidRPr="009C5151" w:rsidRDefault="00A056B6" w:rsidP="00743A5F">
      <w:pPr>
        <w:pStyle w:val="NormalWeb"/>
        <w:spacing w:before="0" w:beforeAutospacing="0"/>
      </w:pPr>
      <w:r w:rsidRPr="009C5151">
        <w:rPr>
          <w:rStyle w:val="Strong"/>
        </w:rPr>
        <w:t>Loan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Amount: ₹25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Interest Rate: </w:t>
      </w:r>
      <w:r w:rsidRPr="009C5151">
        <w:rPr>
          <w:rStyle w:val="Strong"/>
          <w:rFonts w:ascii="Times New Roman" w:hAnsi="Times New Roman" w:cs="Times New Roman"/>
          <w:sz w:val="24"/>
          <w:szCs w:val="24"/>
        </w:rPr>
        <w:t>6%</w:t>
      </w:r>
      <w:r w:rsidRPr="009C5151">
        <w:rPr>
          <w:rFonts w:ascii="Times New Roman" w:hAnsi="Times New Roman" w:cs="Times New Roman"/>
          <w:sz w:val="24"/>
          <w:szCs w:val="24"/>
        </w:rPr>
        <w:t xml:space="preserve"> per annum.</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Repayment: Quarterly installments starting [Start Date].</w:t>
      </w:r>
    </w:p>
    <w:p w:rsidR="00A056B6" w:rsidRPr="009C5151" w:rsidRDefault="00A056B6" w:rsidP="00743A5F">
      <w:pPr>
        <w:pStyle w:val="NormalWeb"/>
        <w:spacing w:before="0" w:beforeAutospacing="0"/>
      </w:pPr>
      <w:r w:rsidRPr="009C5151">
        <w:rPr>
          <w:rStyle w:val="Strong"/>
        </w:rPr>
        <w:t>Governing Law</w:t>
      </w:r>
      <w:r w:rsidRPr="009C5151">
        <w:t>:</w:t>
      </w:r>
      <w:r w:rsidRPr="009C5151">
        <w:br/>
        <w:t>This Agreement shall be governed by the laws of [Country].</w:t>
      </w:r>
    </w:p>
    <w:p w:rsidR="00A056B6" w:rsidRPr="009C5151" w:rsidRDefault="00A056B6" w:rsidP="00743A5F">
      <w:pPr>
        <w:pStyle w:val="NormalWeb"/>
        <w:spacing w:before="0" w:beforeAutospacing="0"/>
      </w:pPr>
      <w:r w:rsidRPr="009C5151">
        <w:rPr>
          <w:rStyle w:val="Strong"/>
        </w:rPr>
        <w:t>Signed</w:t>
      </w:r>
      <w:r w:rsidRPr="009C5151">
        <w:t>:</w:t>
      </w:r>
      <w:r w:rsidRPr="009C5151">
        <w:br/>
        <w:t>For GlobalTech Pvt. Ltd. | For TechFinance GmbH</w:t>
      </w:r>
      <w:r w:rsidRPr="009C5151">
        <w:br/>
        <w:t>_________________________ | _________________________</w:t>
      </w:r>
      <w:r w:rsidRPr="009C5151">
        <w:br/>
        <w:t>[Authorized Signatory] | [Authorized Signatory]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6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597" w:name="_Toc187624037"/>
      <w:bookmarkStart w:id="598" w:name="_Toc187630757"/>
      <w:bookmarkStart w:id="599" w:name="_Toc187660936"/>
      <w:bookmarkStart w:id="600" w:name="_Toc187662015"/>
      <w:r w:rsidRPr="009C5151">
        <w:rPr>
          <w:rStyle w:val="Strong"/>
          <w:b/>
          <w:bCs/>
          <w:sz w:val="24"/>
          <w:szCs w:val="24"/>
        </w:rPr>
        <w:t>II. Invoice Templates</w:t>
      </w:r>
      <w:bookmarkEnd w:id="597"/>
      <w:bookmarkEnd w:id="598"/>
      <w:bookmarkEnd w:id="599"/>
      <w:bookmarkEnd w:id="600"/>
    </w:p>
    <w:p w:rsidR="00A056B6" w:rsidRPr="009C5151" w:rsidRDefault="00A056B6" w:rsidP="00743A5F">
      <w:pPr>
        <w:pStyle w:val="Heading4"/>
        <w:spacing w:before="0" w:beforeAutospacing="0"/>
      </w:pPr>
      <w:r w:rsidRPr="009C5151">
        <w:rPr>
          <w:rStyle w:val="Strong"/>
          <w:b/>
          <w:bCs/>
        </w:rPr>
        <w:t>1. Export of Software Solutions Invoice</w:t>
      </w:r>
    </w:p>
    <w:p w:rsidR="00A056B6" w:rsidRPr="009C5151" w:rsidRDefault="00A056B6" w:rsidP="00743A5F">
      <w:pPr>
        <w:pStyle w:val="NormalWeb"/>
        <w:spacing w:before="0" w:beforeAutospacing="0"/>
      </w:pPr>
      <w:r w:rsidRPr="009C5151">
        <w:rPr>
          <w:rStyle w:val="Strong"/>
        </w:rPr>
        <w:t>Invoice</w:t>
      </w:r>
      <w:r w:rsidRPr="009C5151">
        <w:br/>
      </w:r>
      <w:r w:rsidRPr="009C5151">
        <w:rPr>
          <w:rStyle w:val="Strong"/>
        </w:rPr>
        <w:t>GlobalTech Pvt. Ltd.</w:t>
      </w:r>
      <w:r w:rsidRPr="009C5151">
        <w:br/>
        <w:t>Date: [Invoice Date]</w:t>
      </w:r>
      <w:r w:rsidRPr="009C5151">
        <w:br/>
        <w:t>Invoice No: [XXXXXX]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68"/>
        <w:gridCol w:w="1575"/>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Description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Software Development Services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₹300,00,00,000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Annual Maintenance Services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₹200,00,00,000</w:t>
            </w:r>
          </w:p>
        </w:tc>
      </w:tr>
    </w:tbl>
    <w:p w:rsidR="00A056B6" w:rsidRPr="009C5151" w:rsidRDefault="00A056B6" w:rsidP="00743A5F">
      <w:pPr>
        <w:pStyle w:val="NormalWeb"/>
        <w:spacing w:before="0" w:beforeAutospacing="0"/>
      </w:pPr>
      <w:r w:rsidRPr="009C5151">
        <w:rPr>
          <w:rStyle w:val="Strong"/>
        </w:rPr>
        <w:t>Total Amount</w:t>
      </w:r>
      <w:r w:rsidRPr="009C5151">
        <w:t>: ₹500,00,00,000</w:t>
      </w:r>
    </w:p>
    <w:p w:rsidR="00A056B6" w:rsidRPr="009C5151" w:rsidRDefault="00A056B6" w:rsidP="00743A5F">
      <w:pPr>
        <w:pStyle w:val="NormalWeb"/>
        <w:spacing w:before="0" w:beforeAutospacing="0"/>
      </w:pPr>
      <w:r w:rsidRPr="009C5151">
        <w:rPr>
          <w:rStyle w:val="Strong"/>
        </w:rPr>
        <w:t>Payment Terms</w:t>
      </w:r>
      <w:r w:rsidRPr="009C5151">
        <w:t>: Due within 30 days.</w:t>
      </w:r>
      <w:r w:rsidRPr="009C5151">
        <w:br/>
      </w:r>
      <w:r w:rsidRPr="009C5151">
        <w:rPr>
          <w:rStyle w:val="Strong"/>
        </w:rPr>
        <w:t>Bank Details</w:t>
      </w:r>
      <w:r w:rsidRPr="009C5151">
        <w:t>: [Bank Name, Account Number, SWIFT Code]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6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Royalty Invoice</w:t>
      </w:r>
    </w:p>
    <w:p w:rsidR="00A056B6" w:rsidRPr="009C5151" w:rsidRDefault="00A056B6" w:rsidP="00743A5F">
      <w:pPr>
        <w:pStyle w:val="NormalWeb"/>
        <w:spacing w:before="0" w:beforeAutospacing="0"/>
      </w:pPr>
      <w:r w:rsidRPr="009C5151">
        <w:rPr>
          <w:rStyle w:val="Strong"/>
        </w:rPr>
        <w:t>Invoice</w:t>
      </w:r>
      <w:r w:rsidRPr="009C5151">
        <w:br/>
      </w:r>
      <w:r w:rsidRPr="009C5151">
        <w:rPr>
          <w:rStyle w:val="Strong"/>
        </w:rPr>
        <w:t>GlobalTech Pvt. Ltd.</w:t>
      </w:r>
      <w:r w:rsidRPr="009C5151">
        <w:br/>
        <w:t>Date: [Invoice Date]</w:t>
      </w:r>
      <w:r w:rsidRPr="009C5151">
        <w:br/>
        <w:t>Invoice No: [XXXXXX]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08"/>
        <w:gridCol w:w="1455"/>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lastRenderedPageBreak/>
              <w:t>Description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for Licensing Software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₹30,00,00,000</w:t>
            </w:r>
          </w:p>
        </w:tc>
      </w:tr>
    </w:tbl>
    <w:p w:rsidR="00A056B6" w:rsidRPr="009C5151" w:rsidRDefault="00A056B6" w:rsidP="00743A5F">
      <w:pPr>
        <w:pStyle w:val="NormalWeb"/>
        <w:spacing w:before="0" w:beforeAutospacing="0"/>
      </w:pPr>
      <w:r w:rsidRPr="009C5151">
        <w:rPr>
          <w:rStyle w:val="Strong"/>
        </w:rPr>
        <w:t>Total Amount</w:t>
      </w:r>
      <w:r w:rsidRPr="009C5151">
        <w:t>: ₹30,00,00,000</w:t>
      </w:r>
    </w:p>
    <w:p w:rsidR="00A056B6" w:rsidRPr="009C5151" w:rsidRDefault="00A056B6" w:rsidP="00743A5F">
      <w:pPr>
        <w:pStyle w:val="NormalWeb"/>
        <w:spacing w:before="0" w:beforeAutospacing="0"/>
      </w:pPr>
      <w:r w:rsidRPr="009C5151">
        <w:rPr>
          <w:rStyle w:val="Strong"/>
        </w:rPr>
        <w:t>Payment Terms</w:t>
      </w:r>
      <w:r w:rsidRPr="009C5151">
        <w:t>: Due within 30 days.</w:t>
      </w:r>
      <w:r w:rsidRPr="009C5151">
        <w:br/>
      </w:r>
      <w:r w:rsidRPr="009C5151">
        <w:rPr>
          <w:rStyle w:val="Strong"/>
        </w:rPr>
        <w:t>Bank Details</w:t>
      </w:r>
      <w:r w:rsidRPr="009C5151">
        <w:t>: [Bank Name, Account Number, SWIFT Code]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6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Fee for Technical Services Invoice</w:t>
      </w:r>
    </w:p>
    <w:p w:rsidR="00A056B6" w:rsidRPr="009C5151" w:rsidRDefault="00A056B6" w:rsidP="00743A5F">
      <w:pPr>
        <w:pStyle w:val="NormalWeb"/>
        <w:spacing w:before="0" w:beforeAutospacing="0"/>
      </w:pPr>
      <w:r w:rsidRPr="009C5151">
        <w:rPr>
          <w:rStyle w:val="Strong"/>
        </w:rPr>
        <w:t>Invoice</w:t>
      </w:r>
      <w:r w:rsidRPr="009C5151">
        <w:br/>
      </w:r>
      <w:r w:rsidRPr="009C5151">
        <w:rPr>
          <w:rStyle w:val="Strong"/>
        </w:rPr>
        <w:t>TechCloud Pte Ltd.</w:t>
      </w:r>
      <w:r w:rsidRPr="009C5151">
        <w:br/>
        <w:t>Date: [Invoice Date]</w:t>
      </w:r>
      <w:r w:rsidRPr="009C5151">
        <w:br/>
        <w:t>Invoice No: [XXXXXX]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5"/>
        <w:gridCol w:w="1455"/>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Description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Cloud-Based Technical Consultancy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₹25,00,00,000</w:t>
            </w:r>
          </w:p>
        </w:tc>
      </w:tr>
    </w:tbl>
    <w:p w:rsidR="00A056B6" w:rsidRPr="009C5151" w:rsidRDefault="00A056B6" w:rsidP="00743A5F">
      <w:pPr>
        <w:pStyle w:val="NormalWeb"/>
        <w:spacing w:before="0" w:beforeAutospacing="0"/>
      </w:pPr>
      <w:r w:rsidRPr="009C5151">
        <w:rPr>
          <w:rStyle w:val="Strong"/>
        </w:rPr>
        <w:t>Total Amount</w:t>
      </w:r>
      <w:r w:rsidRPr="009C5151">
        <w:t>: ₹25,00,00,000</w:t>
      </w:r>
    </w:p>
    <w:p w:rsidR="00A056B6" w:rsidRPr="009C5151" w:rsidRDefault="00A056B6" w:rsidP="00743A5F">
      <w:pPr>
        <w:pStyle w:val="NormalWeb"/>
        <w:spacing w:before="0" w:beforeAutospacing="0"/>
      </w:pPr>
      <w:r w:rsidRPr="009C5151">
        <w:rPr>
          <w:rStyle w:val="Strong"/>
        </w:rPr>
        <w:t>Payment Terms</w:t>
      </w:r>
      <w:r w:rsidRPr="009C5151">
        <w:t>: Due within 30 days.</w:t>
      </w:r>
      <w:r w:rsidRPr="009C5151">
        <w:br/>
      </w:r>
      <w:r w:rsidRPr="009C5151">
        <w:rPr>
          <w:rStyle w:val="Strong"/>
        </w:rPr>
        <w:t>Bank Details</w:t>
      </w:r>
      <w:r w:rsidRPr="009C5151">
        <w:t>: [Bank Name, Account Number, SWIFT Code]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6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01" w:name="_Toc187624038"/>
      <w:bookmarkStart w:id="602" w:name="_Toc187630758"/>
      <w:bookmarkStart w:id="603" w:name="_Toc187660937"/>
      <w:bookmarkStart w:id="604" w:name="_Toc187662016"/>
      <w:r w:rsidRPr="009C5151">
        <w:rPr>
          <w:rStyle w:val="Strong"/>
          <w:b/>
          <w:bCs/>
          <w:sz w:val="24"/>
          <w:szCs w:val="24"/>
        </w:rPr>
        <w:t>III. Benchmarking Report Template</w:t>
      </w:r>
      <w:bookmarkEnd w:id="601"/>
      <w:bookmarkEnd w:id="602"/>
      <w:bookmarkEnd w:id="603"/>
      <w:bookmarkEnd w:id="604"/>
    </w:p>
    <w:p w:rsidR="00A056B6" w:rsidRPr="009C5151" w:rsidRDefault="00A056B6" w:rsidP="00743A5F">
      <w:pPr>
        <w:pStyle w:val="Heading4"/>
        <w:spacing w:before="0" w:beforeAutospacing="0"/>
      </w:pPr>
      <w:r w:rsidRPr="009C5151">
        <w:rPr>
          <w:rStyle w:val="Strong"/>
          <w:b/>
          <w:bCs/>
        </w:rPr>
        <w:t>1. Executive Summary</w:t>
      </w:r>
    </w:p>
    <w:p w:rsidR="00A056B6" w:rsidRPr="009C5151" w:rsidRDefault="00A056B6" w:rsidP="00743A5F">
      <w:pPr>
        <w:pStyle w:val="NormalWeb"/>
        <w:spacing w:before="0" w:beforeAutospacing="0"/>
      </w:pPr>
      <w:r w:rsidRPr="009C5151">
        <w:rPr>
          <w:rStyle w:val="Strong"/>
        </w:rPr>
        <w:t>Transaction</w:t>
      </w:r>
      <w:r w:rsidRPr="009C5151">
        <w:t>: Export of Software Solutions.</w:t>
      </w:r>
      <w:r w:rsidRPr="009C5151">
        <w:br/>
      </w:r>
      <w:r w:rsidRPr="009C5151">
        <w:rPr>
          <w:rStyle w:val="Strong"/>
        </w:rPr>
        <w:t>Method Used</w:t>
      </w:r>
      <w:r w:rsidRPr="009C5151">
        <w:t>: Transactional Net Margin Method (TNMM).</w:t>
      </w:r>
      <w:r w:rsidRPr="009C5151">
        <w:br/>
      </w:r>
      <w:r w:rsidRPr="009C5151">
        <w:rPr>
          <w:rStyle w:val="Strong"/>
        </w:rPr>
        <w:t>Benchmarking Results</w:t>
      </w:r>
      <w:r w:rsidRPr="009C5151">
        <w:t xml:space="preserve">: Comparable Operating Margins: </w:t>
      </w:r>
      <w:r w:rsidRPr="009C5151">
        <w:rPr>
          <w:rStyle w:val="Strong"/>
        </w:rPr>
        <w:t>12%-15%</w:t>
      </w:r>
      <w:r w:rsidRPr="009C5151">
        <w:t xml:space="preserve">. Actual Operating Margin: </w:t>
      </w:r>
      <w:r w:rsidRPr="009C5151">
        <w:rPr>
          <w:rStyle w:val="Strong"/>
        </w:rPr>
        <w:t>14%</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6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Comparables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9"/>
        <w:gridCol w:w="1280"/>
        <w:gridCol w:w="242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Company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Operating Margin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TechServices Ltd.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14%</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CloudTech Ltd.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ITInnovations Ltd.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w:t>
            </w:r>
          </w:p>
        </w:tc>
      </w:tr>
    </w:tbl>
    <w:p w:rsidR="00A056B6" w:rsidRPr="009C5151" w:rsidRDefault="00A056B6" w:rsidP="00743A5F">
      <w:pPr>
        <w:pStyle w:val="NormalWeb"/>
        <w:spacing w:before="0" w:beforeAutospacing="0"/>
      </w:pPr>
      <w:r w:rsidRPr="009C5151">
        <w:rPr>
          <w:rStyle w:val="Strong"/>
        </w:rPr>
        <w:t>Conclusion</w:t>
      </w:r>
      <w:r w:rsidRPr="009C5151">
        <w:t>: The margin of 14% achieved by GlobalTech Pvt. Ltd. is within the arm’s length range.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37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Royalty Payments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8"/>
        <w:gridCol w:w="1608"/>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Comparable Licensing Agreements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License Fee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Agreement 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₹28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Agreement 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₹32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Agreement C</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 crore</w:t>
            </w:r>
          </w:p>
        </w:tc>
      </w:tr>
    </w:tbl>
    <w:p w:rsidR="00A056B6" w:rsidRPr="009C5151" w:rsidRDefault="00A056B6" w:rsidP="00743A5F">
      <w:pPr>
        <w:pStyle w:val="NormalWeb"/>
        <w:spacing w:before="0" w:beforeAutospacing="0"/>
      </w:pPr>
      <w:r w:rsidRPr="009C5151">
        <w:rPr>
          <w:rStyle w:val="Strong"/>
        </w:rPr>
        <w:t>Arm’s Length Range</w:t>
      </w:r>
      <w:r w:rsidRPr="009C5151">
        <w:t>: ₹28 crore - ₹32 crore.</w:t>
      </w:r>
      <w:r w:rsidRPr="009C5151">
        <w:br/>
      </w:r>
      <w:r w:rsidRPr="009C5151">
        <w:rPr>
          <w:rStyle w:val="Strong"/>
        </w:rPr>
        <w:t>Conclusion</w:t>
      </w:r>
      <w:r w:rsidRPr="009C5151">
        <w:t>: Actual Royalty Payment of ₹30 crore is at arm’s length.</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7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FTS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5"/>
        <w:gridCol w:w="1407"/>
        <w:gridCol w:w="1389"/>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Provider</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Base Cost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Markup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Provider 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Provider 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₹22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14%</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Provider C</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₹23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w:t>
            </w:r>
          </w:p>
        </w:tc>
      </w:tr>
    </w:tbl>
    <w:p w:rsidR="00A056B6" w:rsidRPr="009C5151" w:rsidRDefault="00A056B6" w:rsidP="00743A5F">
      <w:pPr>
        <w:pStyle w:val="NormalWeb"/>
        <w:spacing w:before="0" w:beforeAutospacing="0"/>
      </w:pPr>
      <w:r w:rsidRPr="009C5151">
        <w:rPr>
          <w:rStyle w:val="Strong"/>
        </w:rPr>
        <w:t>Conclusion</w:t>
      </w:r>
      <w:r w:rsidRPr="009C5151">
        <w:t xml:space="preserve">: The actual markup of </w:t>
      </w:r>
      <w:r w:rsidRPr="009C5151">
        <w:rPr>
          <w:rStyle w:val="Strong"/>
        </w:rPr>
        <w:t>13.64%</w:t>
      </w:r>
      <w:r w:rsidRPr="009C5151">
        <w:t xml:space="preserve"> is within the arm’s length range.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7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05" w:name="_Toc187624039"/>
      <w:bookmarkStart w:id="606" w:name="_Toc187630759"/>
      <w:bookmarkStart w:id="607" w:name="_Toc187660938"/>
      <w:bookmarkStart w:id="608" w:name="_Toc187662017"/>
      <w:r w:rsidRPr="009C5151">
        <w:rPr>
          <w:rStyle w:val="Strong"/>
          <w:b/>
          <w:bCs/>
          <w:sz w:val="24"/>
          <w:szCs w:val="24"/>
        </w:rPr>
        <w:t>Summary</w:t>
      </w:r>
      <w:bookmarkEnd w:id="605"/>
      <w:bookmarkEnd w:id="606"/>
      <w:bookmarkEnd w:id="607"/>
      <w:bookmarkEnd w:id="608"/>
    </w:p>
    <w:p w:rsidR="00A056B6" w:rsidRPr="009C5151" w:rsidRDefault="00A056B6" w:rsidP="00743A5F">
      <w:pPr>
        <w:pStyle w:val="NormalWeb"/>
        <w:spacing w:before="0" w:beforeAutospacing="0"/>
      </w:pPr>
      <w:r w:rsidRPr="009C5151">
        <w:t>With these templates, you can ensure the preparation of robust agreements, invoices, and benchmarking studies to substantiate Form 3CEB filings and audit readiness. Would you like editable versions of these templates or assistance in customizing them for specific use cases?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14 th example of different set of issues and problem and suggested solutions by a CA to a Company including a detailed discussion on the various topics covered under suggestions and Conclusion. Please include in addition to the above transactions like Withholding tax, CbC reporting, Mutual Agreement procedure, DTAA with countries like USA, UK, Germany, Singapore, Mauritius, China, Russia and Germany; equalization levy; Please first list down the case, issues, documents and CA advise, Dividend and Interest, Royalty and Fee for Technical Services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5CE08BA8" wp14:editId="2D5A9934">
            <wp:extent cx="763905" cy="763905"/>
            <wp:effectExtent l="0" t="0" r="0" b="0"/>
            <wp:docPr id="300" name="Picture 30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4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609" w:name="_Toc187624040"/>
      <w:bookmarkStart w:id="610" w:name="_Toc187630760"/>
      <w:bookmarkStart w:id="611" w:name="_Toc187660939"/>
      <w:bookmarkStart w:id="612" w:name="_Toc187662018"/>
      <w:r w:rsidRPr="009C5151">
        <w:rPr>
          <w:rStyle w:val="Strong"/>
          <w:b/>
          <w:bCs/>
          <w:sz w:val="24"/>
          <w:szCs w:val="24"/>
        </w:rPr>
        <w:lastRenderedPageBreak/>
        <w:t>Case Study: Tax and Compliance Challenges for PowerEdge Pvt. Ltd.</w:t>
      </w:r>
      <w:bookmarkEnd w:id="609"/>
      <w:bookmarkEnd w:id="610"/>
      <w:bookmarkEnd w:id="611"/>
      <w:bookmarkEnd w:id="612"/>
    </w:p>
    <w:p w:rsidR="00A056B6" w:rsidRPr="009C5151" w:rsidRDefault="00A056B6" w:rsidP="00743A5F">
      <w:pPr>
        <w:pStyle w:val="Heading4"/>
        <w:spacing w:before="0" w:beforeAutospacing="0"/>
      </w:pPr>
      <w:r w:rsidRPr="009C5151">
        <w:rPr>
          <w:rStyle w:val="Strong"/>
          <w:b/>
          <w:bCs/>
        </w:rPr>
        <w:t>Background</w:t>
      </w:r>
    </w:p>
    <w:p w:rsidR="00A056B6" w:rsidRPr="009C5151" w:rsidRDefault="00A056B6" w:rsidP="00743A5F">
      <w:pPr>
        <w:pStyle w:val="NormalWeb"/>
        <w:spacing w:before="0" w:beforeAutospacing="0"/>
      </w:pPr>
      <w:r w:rsidRPr="009C5151">
        <w:t xml:space="preserve">PowerEdge Pvt. Ltd., an Indian company specializing in renewable energy solutions, operates in </w:t>
      </w:r>
      <w:r w:rsidRPr="009C5151">
        <w:rPr>
          <w:rStyle w:val="Strong"/>
        </w:rPr>
        <w:t>USA, UK, Germany, Singapore, Mauritius, China, Russia</w:t>
      </w:r>
      <w:r w:rsidRPr="009C5151">
        <w:t xml:space="preserve">, and </w:t>
      </w:r>
      <w:r w:rsidRPr="009C5151">
        <w:rPr>
          <w:rStyle w:val="Strong"/>
        </w:rPr>
        <w:t>Australia</w:t>
      </w:r>
      <w:r w:rsidRPr="009C5151">
        <w:t xml:space="preserve">. It is involved in activities such as manufacturing, exporting solar panels, providing technical services, and licensing technology. The company engages in transactions like </w:t>
      </w:r>
      <w:r w:rsidRPr="009C5151">
        <w:rPr>
          <w:rStyle w:val="Strong"/>
        </w:rPr>
        <w:t>interest payments</w:t>
      </w:r>
      <w:r w:rsidRPr="009C5151">
        <w:t xml:space="preserve">, </w:t>
      </w:r>
      <w:r w:rsidRPr="009C5151">
        <w:rPr>
          <w:rStyle w:val="Strong"/>
        </w:rPr>
        <w:t>royalty payments</w:t>
      </w:r>
      <w:r w:rsidRPr="009C5151">
        <w:t xml:space="preserve">, </w:t>
      </w:r>
      <w:r w:rsidRPr="009C5151">
        <w:rPr>
          <w:rStyle w:val="Strong"/>
        </w:rPr>
        <w:t>dividends</w:t>
      </w:r>
      <w:r w:rsidRPr="009C5151">
        <w:t xml:space="preserve">, and </w:t>
      </w:r>
      <w:r w:rsidRPr="009C5151">
        <w:rPr>
          <w:rStyle w:val="Strong"/>
        </w:rPr>
        <w:t>fee for technical services (FTS)</w:t>
      </w:r>
      <w:r w:rsidRPr="009C5151">
        <w:t xml:space="preserve">. Additional compliance requirements include </w:t>
      </w:r>
      <w:r w:rsidRPr="009C5151">
        <w:rPr>
          <w:rStyle w:val="Strong"/>
        </w:rPr>
        <w:t>withholding tax (WHT)</w:t>
      </w:r>
      <w:r w:rsidRPr="009C5151">
        <w:t xml:space="preserve">, </w:t>
      </w:r>
      <w:r w:rsidRPr="009C5151">
        <w:rPr>
          <w:rStyle w:val="Strong"/>
        </w:rPr>
        <w:t>Country-by-Country (CbC) Reporting</w:t>
      </w:r>
      <w:r w:rsidRPr="009C5151">
        <w:t xml:space="preserve">, </w:t>
      </w:r>
      <w:r w:rsidRPr="009C5151">
        <w:rPr>
          <w:rStyle w:val="Strong"/>
        </w:rPr>
        <w:t>Equalization Levy (EL)</w:t>
      </w:r>
      <w:r w:rsidRPr="009C5151">
        <w:t xml:space="preserve">, and handling disputes under the </w:t>
      </w:r>
      <w:r w:rsidRPr="009C5151">
        <w:rPr>
          <w:rStyle w:val="Strong"/>
        </w:rPr>
        <w:t>Mutual Agreement Procedure (MAP)</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7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13" w:name="_Toc187624041"/>
      <w:bookmarkStart w:id="614" w:name="_Toc187630761"/>
      <w:bookmarkStart w:id="615" w:name="_Toc187660940"/>
      <w:bookmarkStart w:id="616" w:name="_Toc187662019"/>
      <w:r w:rsidRPr="009C5151">
        <w:rPr>
          <w:rStyle w:val="Strong"/>
          <w:b/>
          <w:bCs/>
          <w:sz w:val="24"/>
          <w:szCs w:val="24"/>
        </w:rPr>
        <w:t>Transactions</w:t>
      </w:r>
      <w:bookmarkEnd w:id="613"/>
      <w:bookmarkEnd w:id="614"/>
      <w:bookmarkEnd w:id="615"/>
      <w:bookmarkEnd w:id="616"/>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Solar Panels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Exported ₹600 crore worth of solar panels to AEs in USA, UK, and Germany.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₹25 crore to a Singapore AE for patented solar technology licensing.</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₹20 crore to a German AE for technical support on energy efficiency projects.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₹15 crore interest on loans borrowed from a Russian AE.</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₹30 crore in dividends to its parent company in Mauritius.</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₹8 crore to a USA-based platform for promoting its renewable energy products.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7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Infrastructure Costs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Paid ₹10 crore to an Indian AE for IT and infrastructure services.</w:t>
      </w:r>
    </w:p>
    <w:p w:rsidR="00A056B6" w:rsidRPr="009C5151" w:rsidRDefault="00A056B6" w:rsidP="00743A5F">
      <w:pPr>
        <w:pStyle w:val="NormalWeb"/>
        <w:tabs>
          <w:tab w:val="num" w:pos="720"/>
        </w:tabs>
        <w:spacing w:before="0" w:beforeAutospacing="0"/>
        <w:ind w:left="720" w:hanging="360"/>
      </w:pPr>
      <w:r w:rsidRPr="009C5151">
        <w:rPr>
          <w:rStyle w:val="Strong"/>
        </w:rPr>
        <w:t>Leasing of Manufacturing Equipment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₹15 crore worth of equipment to another domestic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7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17" w:name="_Toc187624042"/>
      <w:bookmarkStart w:id="618" w:name="_Toc187630762"/>
      <w:bookmarkStart w:id="619" w:name="_Toc187660941"/>
      <w:bookmarkStart w:id="620" w:name="_Toc187662020"/>
      <w:r w:rsidRPr="009C5151">
        <w:rPr>
          <w:rStyle w:val="Strong"/>
          <w:b/>
          <w:bCs/>
          <w:sz w:val="24"/>
          <w:szCs w:val="24"/>
        </w:rPr>
        <w:t>Key Issues</w:t>
      </w:r>
      <w:bookmarkEnd w:id="617"/>
      <w:bookmarkEnd w:id="618"/>
      <w:bookmarkEnd w:id="619"/>
      <w:bookmarkEnd w:id="620"/>
    </w:p>
    <w:p w:rsidR="00A056B6" w:rsidRPr="009C5151" w:rsidRDefault="00A056B6" w:rsidP="00743A5F">
      <w:pPr>
        <w:pStyle w:val="Heading4"/>
        <w:spacing w:before="0" w:beforeAutospacing="0"/>
      </w:pPr>
      <w:r w:rsidRPr="009C5151">
        <w:rPr>
          <w:rStyle w:val="Strong"/>
          <w:b/>
          <w:bCs/>
        </w:rPr>
        <w:t>1. 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Export of Solar Panels</w:t>
      </w:r>
      <w:r w:rsidRPr="009C5151">
        <w:rPr>
          <w:rFonts w:ascii="Times New Roman" w:hAnsi="Times New Roman" w:cs="Times New Roman"/>
          <w:sz w:val="24"/>
          <w:szCs w:val="24"/>
        </w:rPr>
        <w:t>: Need for benchmarking ₹600 crore exports using TNMM.</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 Verify arm’s length pricing for ₹25 crore licensing payments to Singapore AE.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FTS Payments</w:t>
      </w:r>
      <w:r w:rsidRPr="009C5151">
        <w:rPr>
          <w:rFonts w:ascii="Times New Roman" w:hAnsi="Times New Roman" w:cs="Times New Roman"/>
          <w:sz w:val="24"/>
          <w:szCs w:val="24"/>
        </w:rPr>
        <w:t>: Ensure arm’s length pricing for ₹20 crore payments to German AE.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 Payments</w:t>
      </w:r>
      <w:r w:rsidRPr="009C5151">
        <w:rPr>
          <w:rFonts w:ascii="Times New Roman" w:hAnsi="Times New Roman" w:cs="Times New Roman"/>
          <w:sz w:val="24"/>
          <w:szCs w:val="24"/>
        </w:rPr>
        <w:t xml:space="preserve">: Check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and validate the arm’s length interest rate.</w: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India-Singapore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FTS payments (10% under India-Germany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Interest payments (15% under India-Russia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Dividend payments to Mauritius (check DTAA provisions for 0% WHT).</w: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₹8 crore paid for digital advertising to USA platform.</w:t>
      </w:r>
    </w:p>
    <w:p w:rsidR="00A056B6" w:rsidRPr="009C5151" w:rsidRDefault="00A056B6" w:rsidP="00743A5F">
      <w:pPr>
        <w:pStyle w:val="Heading4"/>
        <w:spacing w:before="0" w:beforeAutospacing="0"/>
      </w:pPr>
      <w:r w:rsidRPr="009C5151">
        <w:rPr>
          <w:rStyle w:val="Strong"/>
          <w:b/>
          <w:bCs/>
        </w:rPr>
        <w:t>4. Country-by-Country (CbC) Reporting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Group revenue exceeds ₹6,400 crore, triggering CbC reporting obligations.</w:t>
      </w:r>
    </w:p>
    <w:p w:rsidR="00A056B6" w:rsidRPr="009C5151" w:rsidRDefault="00A056B6" w:rsidP="00743A5F">
      <w:pPr>
        <w:pStyle w:val="Heading4"/>
        <w:spacing w:before="0" w:beforeAutospacing="0"/>
      </w:pPr>
      <w:r w:rsidRPr="009C5151">
        <w:rPr>
          <w:rStyle w:val="Strong"/>
          <w:b/>
          <w:bCs/>
        </w:rPr>
        <w:t>5. Mutual Agreement Procedure (MAP)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Resolve disputes related to double taxation on royalties and FTS payments under DTAAs with Singapore and Germany.</w:t>
      </w:r>
    </w:p>
    <w:p w:rsidR="00A056B6" w:rsidRPr="009C5151" w:rsidRDefault="00A056B6" w:rsidP="00743A5F">
      <w:pPr>
        <w:pStyle w:val="Heading4"/>
        <w:spacing w:before="0" w:beforeAutospacing="0"/>
      </w:pPr>
      <w:r w:rsidRPr="009C5151">
        <w:rPr>
          <w:rStyle w:val="Strong"/>
          <w:b/>
          <w:bCs/>
        </w:rPr>
        <w:t>6.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 ₹10 crore shared infrastructure costs and ₹15 crore equipment leasing payments.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7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21" w:name="_Toc187624043"/>
      <w:bookmarkStart w:id="622" w:name="_Toc187630763"/>
      <w:bookmarkStart w:id="623" w:name="_Toc187660942"/>
      <w:bookmarkStart w:id="624" w:name="_Toc187662021"/>
      <w:r w:rsidRPr="009C5151">
        <w:rPr>
          <w:rStyle w:val="Strong"/>
          <w:b/>
          <w:bCs/>
          <w:sz w:val="24"/>
          <w:szCs w:val="24"/>
        </w:rPr>
        <w:lastRenderedPageBreak/>
        <w:t>Documents Required</w:t>
      </w:r>
      <w:bookmarkEnd w:id="621"/>
      <w:bookmarkEnd w:id="622"/>
      <w:bookmarkEnd w:id="623"/>
      <w:bookmarkEnd w:id="624"/>
    </w:p>
    <w:p w:rsidR="00A056B6" w:rsidRPr="009C5151" w:rsidRDefault="00A056B6" w:rsidP="00743A5F">
      <w:pPr>
        <w:pStyle w:val="NormalWeb"/>
        <w:tabs>
          <w:tab w:val="num" w:pos="720"/>
        </w:tabs>
        <w:spacing w:before="0" w:beforeAutospacing="0"/>
        <w:ind w:left="720" w:hanging="360"/>
      </w:pPr>
      <w:r w:rsidRPr="009C5151">
        <w:rPr>
          <w:rStyle w:val="Strong"/>
        </w:rPr>
        <w:t>Transaction 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Agreements for exports, royalties, FTS, loans, and dividends.</w:t>
      </w:r>
    </w:p>
    <w:p w:rsidR="00A056B6" w:rsidRPr="009C5151" w:rsidRDefault="00A056B6" w:rsidP="00743A5F">
      <w:pPr>
        <w:pStyle w:val="NormalWeb"/>
        <w:tabs>
          <w:tab w:val="num" w:pos="720"/>
        </w:tabs>
        <w:spacing w:before="0" w:beforeAutospacing="0"/>
        <w:ind w:left="720" w:hanging="360"/>
      </w:pPr>
      <w:r w:rsidRPr="009C5151">
        <w:rPr>
          <w:rStyle w:val="Strong"/>
        </w:rPr>
        <w:t>Invoices and Payment Proofs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all transaction amounts.</w:t>
      </w:r>
    </w:p>
    <w:p w:rsidR="00A056B6" w:rsidRPr="009C5151" w:rsidRDefault="00A056B6" w:rsidP="00743A5F">
      <w:pPr>
        <w:pStyle w:val="NormalWeb"/>
        <w:tabs>
          <w:tab w:val="num" w:pos="720"/>
        </w:tabs>
        <w:spacing w:before="0" w:beforeAutospacing="0"/>
        <w:ind w:left="720" w:hanging="360"/>
      </w:pPr>
      <w:r w:rsidRPr="009C5151">
        <w:rPr>
          <w:rStyle w:val="Strong"/>
        </w:rPr>
        <w:t>Tax Residency Certificates (TRC)</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TRCs for Mauritius, Singapore, Germany, and Russia AEs.</w:t>
      </w:r>
    </w:p>
    <w:p w:rsidR="00A056B6" w:rsidRPr="009C5151" w:rsidRDefault="00A056B6" w:rsidP="00743A5F">
      <w:pPr>
        <w:pStyle w:val="NormalWeb"/>
        <w:tabs>
          <w:tab w:val="num" w:pos="720"/>
        </w:tabs>
        <w:spacing w:before="0" w:beforeAutospacing="0"/>
        <w:ind w:left="720" w:hanging="360"/>
      </w:pPr>
      <w:r w:rsidRPr="009C5151">
        <w:rPr>
          <w:rStyle w:val="Strong"/>
        </w:rPr>
        <w:t>Form 10F</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Supplementary form for claiming DTAA benefits.</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Roles and risks of each AE.</w:t>
      </w:r>
    </w:p>
    <w:p w:rsidR="00A056B6" w:rsidRPr="009C5151" w:rsidRDefault="00A056B6" w:rsidP="00743A5F">
      <w:pPr>
        <w:pStyle w:val="NormalWeb"/>
        <w:tabs>
          <w:tab w:val="num" w:pos="720"/>
        </w:tabs>
        <w:spacing w:before="0" w:beforeAutospacing="0"/>
        <w:ind w:left="720" w:hanging="360"/>
      </w:pPr>
      <w:r w:rsidRPr="009C5151">
        <w:rPr>
          <w:rStyle w:val="Strong"/>
        </w:rPr>
        <w:t>CbC Reporting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Global income and profit allocation details.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7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25" w:name="_Toc187624044"/>
      <w:bookmarkStart w:id="626" w:name="_Toc187630764"/>
      <w:bookmarkStart w:id="627" w:name="_Toc187660943"/>
      <w:bookmarkStart w:id="628" w:name="_Toc187662022"/>
      <w:r w:rsidRPr="009C5151">
        <w:rPr>
          <w:rStyle w:val="Strong"/>
          <w:b/>
          <w:bCs/>
          <w:sz w:val="24"/>
          <w:szCs w:val="24"/>
        </w:rPr>
        <w:t>Proposed Solutions</w:t>
      </w:r>
      <w:bookmarkEnd w:id="625"/>
      <w:bookmarkEnd w:id="626"/>
      <w:bookmarkEnd w:id="627"/>
      <w:bookmarkEnd w:id="628"/>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Export of Solar Panels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 xml:space="preserve"> to benchmark ₹600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operating margins with comparable renewable energy firms globally.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 xml:space="preserve"> to benchmark ₹25 crore royalty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the royalty percentage is consistent with industry standards (e.g., 5%-7%).</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validate ₹20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markup with independent technical service providers.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Check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(interest deduction capped at 30% of EBITDA).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the 6% interest rate using public data (e.g., LIBOR + 2% spread).</w:t>
      </w:r>
    </w:p>
    <w:p w:rsidR="00A056B6" w:rsidRPr="009C5151" w:rsidRDefault="00A056B6" w:rsidP="00743A5F">
      <w:pPr>
        <w:pStyle w:val="NormalWeb"/>
        <w:tabs>
          <w:tab w:val="num" w:pos="720"/>
        </w:tabs>
        <w:spacing w:before="0" w:beforeAutospacing="0"/>
        <w:ind w:left="720" w:hanging="360"/>
      </w:pPr>
      <w:r w:rsidRPr="009C5151">
        <w:rPr>
          <w:rStyle w:val="Strong"/>
        </w:rPr>
        <w:t>Specified Domestic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₹10 crore shared costs and ₹15 crore leasing transactions using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7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FTS Payments</w:t>
      </w:r>
      <w:r w:rsidRPr="009C5151">
        <w:rPr>
          <w:rFonts w:ascii="Times New Roman" w:hAnsi="Times New Roman" w:cs="Times New Roman"/>
          <w:sz w:val="24"/>
          <w:szCs w:val="24"/>
        </w:rPr>
        <w:t>: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Interest Payments</w:t>
      </w:r>
      <w:r w:rsidRPr="009C5151">
        <w:rPr>
          <w:rFonts w:ascii="Times New Roman" w:hAnsi="Times New Roman" w:cs="Times New Roman"/>
          <w:sz w:val="24"/>
          <w:szCs w:val="24"/>
        </w:rPr>
        <w:t>: 15% under India-Russia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File quarterly </w:t>
      </w:r>
      <w:r w:rsidRPr="009C5151">
        <w:rPr>
          <w:rStyle w:val="Strong"/>
          <w:rFonts w:ascii="Times New Roman" w:hAnsi="Times New Roman" w:cs="Times New Roman"/>
          <w:sz w:val="24"/>
          <w:szCs w:val="24"/>
        </w:rPr>
        <w:t>Form 27Q</w:t>
      </w:r>
      <w:r w:rsidRPr="009C5151">
        <w:rPr>
          <w:rFonts w:ascii="Times New Roman" w:hAnsi="Times New Roman" w:cs="Times New Roman"/>
          <w:sz w:val="24"/>
          <w:szCs w:val="24"/>
        </w:rPr>
        <w:t xml:space="preserve"> and issue </w:t>
      </w:r>
      <w:r w:rsidRPr="009C5151">
        <w:rPr>
          <w:rStyle w:val="Strong"/>
          <w:rFonts w:ascii="Times New Roman" w:hAnsi="Times New Roman" w:cs="Times New Roman"/>
          <w:sz w:val="24"/>
          <w:szCs w:val="24"/>
        </w:rPr>
        <w:t>Form 16A</w:t>
      </w:r>
      <w:r w:rsidRPr="009C5151">
        <w:rPr>
          <w:rFonts w:ascii="Times New Roman" w:hAnsi="Times New Roman" w:cs="Times New Roman"/>
          <w:sz w:val="24"/>
          <w:szCs w:val="24"/>
        </w:rPr>
        <w:t xml:space="preserve"> certificates.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7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at 6% on ₹8 crore advertising payments (₹48 lakh levy).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File EL return (Form 1) by </w:t>
      </w:r>
      <w:r w:rsidRPr="009C5151">
        <w:rPr>
          <w:rStyle w:val="Strong"/>
          <w:rFonts w:ascii="Times New Roman" w:hAnsi="Times New Roman" w:cs="Times New Roman"/>
          <w:sz w:val="24"/>
          <w:szCs w:val="24"/>
        </w:rPr>
        <w:t>30th June</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8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Country-by-Country (CbC) Reporting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CbC report with the following details: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Revenue, profits, and taxes paid in each country (USA, UK, Germany, etc.).</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Activities performed by each AE (e.g., R&amp;D, manufacturing).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consistency between CbC report and TP documentation.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8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Mutual Agreement Procedure (MAP)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Initiate MAP for double taxation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₹25 crore royalty payments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₹20 crore FTS payments under India-Germany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File Form 34F with relevant documents (e.g., agreements, benchmarking analysis).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8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29" w:name="_Toc187624045"/>
      <w:bookmarkStart w:id="630" w:name="_Toc187630765"/>
      <w:bookmarkStart w:id="631" w:name="_Toc187660944"/>
      <w:bookmarkStart w:id="632" w:name="_Toc187662023"/>
      <w:r w:rsidRPr="009C5151">
        <w:rPr>
          <w:rStyle w:val="Strong"/>
          <w:b/>
          <w:bCs/>
          <w:sz w:val="24"/>
          <w:szCs w:val="24"/>
        </w:rPr>
        <w:t>Detailed Discussion of Proposed Solutions</w:t>
      </w:r>
      <w:bookmarkEnd w:id="629"/>
      <w:bookmarkEnd w:id="630"/>
      <w:bookmarkEnd w:id="631"/>
      <w:bookmarkEnd w:id="632"/>
    </w:p>
    <w:p w:rsidR="00A056B6" w:rsidRPr="009C5151" w:rsidRDefault="00A056B6" w:rsidP="00743A5F">
      <w:pPr>
        <w:pStyle w:val="Heading4"/>
        <w:spacing w:before="0" w:beforeAutospacing="0"/>
      </w:pPr>
      <w:r w:rsidRPr="009C5151">
        <w:rPr>
          <w:rStyle w:val="Strong"/>
          <w:b/>
          <w:bCs/>
        </w:rPr>
        <w:t>1. Compliance Under Section 94B</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EBITDA</w:t>
      </w:r>
      <w:r w:rsidRPr="009C5151">
        <w:rPr>
          <w:rFonts w:ascii="Times New Roman" w:hAnsi="Times New Roman" w:cs="Times New Roman"/>
          <w:sz w:val="24"/>
          <w:szCs w:val="24"/>
        </w:rPr>
        <w:t>: ₹200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 Paid</w:t>
      </w:r>
      <w:r w:rsidRPr="009C5151">
        <w:rPr>
          <w:rFonts w:ascii="Times New Roman" w:hAnsi="Times New Roman" w:cs="Times New Roman"/>
          <w:sz w:val="24"/>
          <w:szCs w:val="24"/>
        </w:rPr>
        <w:t>: ₹15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Allowable Interest</w:t>
      </w:r>
      <w:r w:rsidRPr="009C5151">
        <w:rPr>
          <w:rFonts w:ascii="Times New Roman" w:hAnsi="Times New Roman" w:cs="Times New Roman"/>
          <w:sz w:val="24"/>
          <w:szCs w:val="24"/>
        </w:rPr>
        <w:t>: 30% of EBITDA = ₹200 crore × 30% = ₹60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The entire ₹15 crore interest is deductible as it is within the limit.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8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Benchmarking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2"/>
        <w:gridCol w:w="1427"/>
        <w:gridCol w:w="2806"/>
        <w:gridCol w:w="1400"/>
        <w:gridCol w:w="130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Benchmark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Value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Solar Panel Exports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 Operating Margin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14%</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5%-7% Royalty Rate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 Markup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LIBOR + 2% (~6%)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8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Withholding Tax Calculation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2"/>
        <w:gridCol w:w="1240"/>
        <w:gridCol w:w="1187"/>
        <w:gridCol w:w="190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Amount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(Singapore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(German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(Russian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₹2.25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Dividend (Mauritius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 crore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8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at 6%: ₹8 crore × 6% = ₹48 lakh.</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EL return and remit levy on time.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8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33" w:name="_Toc187624046"/>
      <w:bookmarkStart w:id="634" w:name="_Toc187630766"/>
      <w:bookmarkStart w:id="635" w:name="_Toc187660945"/>
      <w:bookmarkStart w:id="636" w:name="_Toc187662024"/>
      <w:r w:rsidRPr="009C5151">
        <w:rPr>
          <w:rStyle w:val="Strong"/>
          <w:b/>
          <w:bCs/>
          <w:sz w:val="24"/>
          <w:szCs w:val="24"/>
        </w:rPr>
        <w:t>Conclusion</w:t>
      </w:r>
      <w:bookmarkEnd w:id="633"/>
      <w:bookmarkEnd w:id="634"/>
      <w:bookmarkEnd w:id="635"/>
      <w:bookmarkEnd w:id="636"/>
    </w:p>
    <w:p w:rsidR="00A056B6" w:rsidRPr="009C5151" w:rsidRDefault="00A056B6" w:rsidP="00743A5F">
      <w:pPr>
        <w:pStyle w:val="NormalWeb"/>
        <w:tabs>
          <w:tab w:val="num" w:pos="720"/>
        </w:tabs>
        <w:spacing w:before="0" w:beforeAutospacing="0"/>
        <w:ind w:left="720" w:hanging="360"/>
      </w:pPr>
      <w:r w:rsidRPr="009C5151">
        <w:rPr>
          <w:rStyle w:val="Strong"/>
        </w:rPr>
        <w:lastRenderedPageBreak/>
        <w:t>Strengthen TP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international and domestic transactions using appropriate methods.</w:t>
      </w:r>
    </w:p>
    <w:p w:rsidR="00A056B6" w:rsidRPr="009C5151" w:rsidRDefault="00A056B6" w:rsidP="00743A5F">
      <w:pPr>
        <w:pStyle w:val="NormalWeb"/>
        <w:tabs>
          <w:tab w:val="num" w:pos="720"/>
        </w:tabs>
        <w:spacing w:before="0" w:beforeAutospacing="0"/>
        <w:ind w:left="720" w:hanging="360"/>
      </w:pPr>
      <w:r w:rsidRPr="009C5151">
        <w:rPr>
          <w:rStyle w:val="Strong"/>
        </w:rPr>
        <w:t>Ensure WHT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on royalty, FTS, and interest payments per applicable DTAAs.</w:t>
      </w:r>
    </w:p>
    <w:p w:rsidR="00A056B6" w:rsidRPr="009C5151" w:rsidRDefault="00A056B6" w:rsidP="00743A5F">
      <w:pPr>
        <w:pStyle w:val="NormalWeb"/>
        <w:tabs>
          <w:tab w:val="num" w:pos="720"/>
        </w:tabs>
        <w:spacing w:before="0" w:beforeAutospacing="0"/>
        <w:ind w:left="720" w:hanging="360"/>
      </w:pPr>
      <w:r w:rsidRPr="009C5151">
        <w:rPr>
          <w:rStyle w:val="Strong"/>
        </w:rPr>
        <w:t>CbC Reporting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comprehensive CbC reports, ensuring consistency across jurisdictions.</w:t>
      </w:r>
    </w:p>
    <w:p w:rsidR="00A056B6" w:rsidRPr="009C5151" w:rsidRDefault="00A056B6" w:rsidP="00743A5F">
      <w:pPr>
        <w:pStyle w:val="NormalWeb"/>
        <w:tabs>
          <w:tab w:val="num" w:pos="720"/>
        </w:tabs>
        <w:spacing w:before="0" w:beforeAutospacing="0"/>
        <w:ind w:left="720" w:hanging="360"/>
      </w:pPr>
      <w:r w:rsidRPr="009C5151">
        <w:rPr>
          <w:rStyle w:val="Strong"/>
        </w:rPr>
        <w:t>Mutual Agreement Procedure (MAP)</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MAP to resolve double taxation issues for royalty and FTS payments.</w:t>
      </w:r>
    </w:p>
    <w:p w:rsidR="00A056B6" w:rsidRPr="009C5151" w:rsidRDefault="00A056B6" w:rsidP="00743A5F">
      <w:pPr>
        <w:pStyle w:val="NormalWeb"/>
        <w:tabs>
          <w:tab w:val="num" w:pos="720"/>
        </w:tabs>
        <w:spacing w:before="0" w:beforeAutospacing="0"/>
        <w:ind w:left="720" w:hanging="360"/>
      </w:pPr>
      <w:r w:rsidRPr="009C5151">
        <w:rPr>
          <w:rStyle w:val="Strong"/>
        </w:rPr>
        <w:t>Equalization Levy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Remit 6% levy on digital advertising payments and file Form 1 on time.</w:t>
      </w:r>
    </w:p>
    <w:p w:rsidR="00A056B6" w:rsidRPr="009C5151" w:rsidRDefault="00A056B6" w:rsidP="00743A5F">
      <w:pPr>
        <w:pStyle w:val="NormalWeb"/>
        <w:spacing w:before="0" w:beforeAutospacing="0"/>
      </w:pPr>
      <w:r w:rsidRPr="009C5151">
        <w:t>Would you like further assistance with drafting agreements, benchmarking studies, or CbC reports for this case?</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further assistance with drafting agreements, benchmarking studies, or CbC reports for this case</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7B42C52" wp14:editId="261503C2">
            <wp:extent cx="763905" cy="763905"/>
            <wp:effectExtent l="0" t="0" r="0" b="0"/>
            <wp:docPr id="299" name="Picture 29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5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637" w:name="_Toc187624047"/>
      <w:bookmarkStart w:id="638" w:name="_Toc187630767"/>
      <w:bookmarkStart w:id="639" w:name="_Toc187660946"/>
      <w:bookmarkStart w:id="640" w:name="_Toc187662025"/>
      <w:r w:rsidRPr="009C5151">
        <w:rPr>
          <w:rStyle w:val="Strong"/>
          <w:b/>
          <w:bCs/>
          <w:sz w:val="24"/>
          <w:szCs w:val="24"/>
        </w:rPr>
        <w:t>Further Assistance with Drafting Agreements, Benchmarking Studies, and CbC Reports for PowerEdge Pvt. Ltd.</w:t>
      </w:r>
      <w:bookmarkEnd w:id="637"/>
      <w:bookmarkEnd w:id="638"/>
      <w:bookmarkEnd w:id="639"/>
      <w:bookmarkEnd w:id="640"/>
    </w:p>
    <w:p w:rsidR="00A056B6" w:rsidRPr="009C5151" w:rsidRDefault="00A056B6" w:rsidP="00743A5F">
      <w:pPr>
        <w:pStyle w:val="NormalWeb"/>
        <w:spacing w:before="0" w:beforeAutospacing="0"/>
      </w:pPr>
      <w:r w:rsidRPr="009C5151">
        <w:t>Below is detailed guidance on how to draft key agreements, prepare benchmarking studies, and compile Country-by-Country (CbC) Reports based on the transactions in the 14th case study.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8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41" w:name="_Toc187624048"/>
      <w:bookmarkStart w:id="642" w:name="_Toc187630768"/>
      <w:bookmarkStart w:id="643" w:name="_Toc187660947"/>
      <w:bookmarkStart w:id="644" w:name="_Toc187662026"/>
      <w:r w:rsidRPr="009C5151">
        <w:rPr>
          <w:rStyle w:val="Strong"/>
          <w:b/>
          <w:bCs/>
          <w:sz w:val="24"/>
          <w:szCs w:val="24"/>
        </w:rPr>
        <w:t>I. Drafting Agreements</w:t>
      </w:r>
      <w:bookmarkEnd w:id="641"/>
      <w:bookmarkEnd w:id="642"/>
      <w:bookmarkEnd w:id="643"/>
      <w:bookmarkEnd w:id="644"/>
    </w:p>
    <w:p w:rsidR="00A056B6" w:rsidRPr="009C5151" w:rsidRDefault="00A056B6" w:rsidP="00743A5F">
      <w:pPr>
        <w:pStyle w:val="Heading4"/>
        <w:spacing w:before="0" w:beforeAutospacing="0"/>
      </w:pPr>
      <w:r w:rsidRPr="009C5151">
        <w:rPr>
          <w:rStyle w:val="Strong"/>
          <w:b/>
          <w:bCs/>
        </w:rPr>
        <w:t>1. Licensing Agreement for Royalty Payments</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lastRenderedPageBreak/>
        <w:t>Licensing Agreement</w:t>
      </w:r>
      <w:r w:rsidRPr="009C5151">
        <w:br/>
        <w:t>This Agreement is made on [Date]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PowerEdge Pvt. Ltd.</w:t>
      </w:r>
      <w:r w:rsidRPr="009C5151">
        <w:rPr>
          <w:rFonts w:ascii="Times New Roman" w:hAnsi="Times New Roman" w:cs="Times New Roman"/>
          <w:sz w:val="24"/>
          <w:szCs w:val="24"/>
        </w:rPr>
        <w:t xml:space="preserve"> ("Licensee")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GreenTech Singapore Pte Ltd.</w:t>
      </w:r>
      <w:r w:rsidRPr="009C5151">
        <w:rPr>
          <w:rFonts w:ascii="Times New Roman" w:hAnsi="Times New Roman" w:cs="Times New Roman"/>
          <w:sz w:val="24"/>
          <w:szCs w:val="24"/>
        </w:rPr>
        <w:t xml:space="preserve"> ("Licensor").</w:t>
      </w:r>
    </w:p>
    <w:p w:rsidR="00A056B6" w:rsidRPr="009C5151" w:rsidRDefault="00A056B6" w:rsidP="00743A5F">
      <w:pPr>
        <w:pStyle w:val="NormalWeb"/>
        <w:spacing w:before="0" w:beforeAutospacing="0"/>
      </w:pPr>
      <w:r w:rsidRPr="009C5151">
        <w:rPr>
          <w:rStyle w:val="Strong"/>
        </w:rPr>
        <w:t>Scope</w:t>
      </w:r>
      <w:r w:rsidRPr="009C5151">
        <w:t>:</w:t>
      </w:r>
      <w:r w:rsidRPr="009C5151">
        <w:br/>
        <w:t>The Licensor grants the Licensee the non-exclusive right to use the patented solar technology for commercial purposes in India.</w:t>
      </w:r>
    </w:p>
    <w:p w:rsidR="00A056B6" w:rsidRPr="009C5151" w:rsidRDefault="00A056B6" w:rsidP="00743A5F">
      <w:pPr>
        <w:pStyle w:val="NormalWeb"/>
        <w:spacing w:before="0" w:beforeAutospacing="0"/>
      </w:pPr>
      <w:r w:rsidRPr="009C5151">
        <w:rPr>
          <w:rStyle w:val="Strong"/>
        </w:rPr>
        <w:t>Royalty Rate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6% of net sales derived from the licensed technology.</w:t>
      </w:r>
    </w:p>
    <w:p w:rsidR="00A056B6" w:rsidRPr="009C5151" w:rsidRDefault="00A056B6" w:rsidP="00743A5F">
      <w:pPr>
        <w:pStyle w:val="NormalWeb"/>
        <w:spacing w:before="0" w:beforeAutospacing="0"/>
      </w:pPr>
      <w:r w:rsidRPr="009C5151">
        <w:rPr>
          <w:rStyle w:val="Strong"/>
        </w:rPr>
        <w:t>Payment Terms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Royalties to be paid quarterly within 30 days of the quarter-end.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Applicable withholding tax at 10% under the India-Singapore DTAA.</w:t>
      </w:r>
    </w:p>
    <w:p w:rsidR="00A056B6" w:rsidRPr="009C5151" w:rsidRDefault="00A056B6" w:rsidP="00743A5F">
      <w:pPr>
        <w:pStyle w:val="NormalWeb"/>
        <w:spacing w:before="0" w:beforeAutospacing="0"/>
      </w:pPr>
      <w:r w:rsidRPr="009C5151">
        <w:rPr>
          <w:rStyle w:val="Strong"/>
        </w:rPr>
        <w:t>Confidentiality</w:t>
      </w:r>
      <w:r w:rsidRPr="009C5151">
        <w:t>:</w:t>
      </w:r>
      <w:r w:rsidRPr="009C5151">
        <w:br/>
        <w:t>Both parties agree to keep the terms of this agreement confidential.</w:t>
      </w:r>
    </w:p>
    <w:p w:rsidR="00A056B6" w:rsidRPr="009C5151" w:rsidRDefault="00A056B6" w:rsidP="00743A5F">
      <w:pPr>
        <w:pStyle w:val="NormalWeb"/>
        <w:spacing w:before="0" w:beforeAutospacing="0"/>
      </w:pPr>
      <w:r w:rsidRPr="009C5151">
        <w:rPr>
          <w:rStyle w:val="Strong"/>
        </w:rPr>
        <w:t>Dispute Resolution</w:t>
      </w:r>
      <w:r w:rsidRPr="009C5151">
        <w:t>:</w:t>
      </w:r>
      <w:r w:rsidRPr="009C5151">
        <w:br/>
        <w:t>Disputes will be resolved through arbitration in [Jurisdiction].</w:t>
      </w:r>
    </w:p>
    <w:p w:rsidR="00A056B6" w:rsidRPr="009C5151" w:rsidRDefault="00A056B6" w:rsidP="00743A5F">
      <w:pPr>
        <w:pStyle w:val="NormalWeb"/>
        <w:spacing w:before="0" w:beforeAutospacing="0"/>
      </w:pPr>
      <w:r w:rsidRPr="009C5151">
        <w:rPr>
          <w:rStyle w:val="Strong"/>
        </w:rPr>
        <w:t>Signatures</w:t>
      </w:r>
      <w:r w:rsidRPr="009C5151">
        <w:t>:</w:t>
      </w:r>
      <w:r w:rsidRPr="009C5151">
        <w:br/>
        <w:t>For PowerEdge Pvt. Ltd. | For GreenTech Singapore Pte Ltd.</w:t>
      </w:r>
      <w:r w:rsidRPr="009C5151">
        <w:br/>
        <w:t>_________________________ | _________________________</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8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Loan Agreement for Interest Payments</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Loan Agreement</w:t>
      </w:r>
      <w:r w:rsidRPr="009C5151">
        <w:br/>
        <w:t>This Agreement is made on [Date]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PowerEdge Pvt. Ltd.</w:t>
      </w:r>
      <w:r w:rsidRPr="009C5151">
        <w:rPr>
          <w:rFonts w:ascii="Times New Roman" w:hAnsi="Times New Roman" w:cs="Times New Roman"/>
          <w:sz w:val="24"/>
          <w:szCs w:val="24"/>
        </w:rPr>
        <w:t xml:space="preserve"> ("Borrower")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EnergyFinance LLC</w:t>
      </w:r>
      <w:r w:rsidRPr="009C5151">
        <w:rPr>
          <w:rFonts w:ascii="Times New Roman" w:hAnsi="Times New Roman" w:cs="Times New Roman"/>
          <w:sz w:val="24"/>
          <w:szCs w:val="24"/>
        </w:rPr>
        <w:t xml:space="preserve"> ("Lender").</w:t>
      </w:r>
    </w:p>
    <w:p w:rsidR="00A056B6" w:rsidRPr="009C5151" w:rsidRDefault="00A056B6" w:rsidP="00743A5F">
      <w:pPr>
        <w:pStyle w:val="NormalWeb"/>
        <w:spacing w:before="0" w:beforeAutospacing="0"/>
      </w:pPr>
      <w:r w:rsidRPr="009C5151">
        <w:rPr>
          <w:rStyle w:val="Strong"/>
        </w:rPr>
        <w:t>Loan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Amount: ₹100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Interest Rate: </w:t>
      </w:r>
      <w:r w:rsidRPr="009C5151">
        <w:rPr>
          <w:rStyle w:val="Strong"/>
          <w:rFonts w:ascii="Times New Roman" w:hAnsi="Times New Roman" w:cs="Times New Roman"/>
          <w:sz w:val="24"/>
          <w:szCs w:val="24"/>
        </w:rPr>
        <w:t>6% per annum</w:t>
      </w:r>
      <w:r w:rsidRPr="009C5151">
        <w:rPr>
          <w:rFonts w:ascii="Times New Roman" w:hAnsi="Times New Roman" w:cs="Times New Roman"/>
          <w:sz w:val="24"/>
          <w:szCs w:val="24"/>
        </w:rPr>
        <w:t xml:space="preserve"> (aligned with market benchmarks).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Tenure: 5 years.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Repayment: Quarterly installments starting [Start Date].</w:t>
      </w:r>
    </w:p>
    <w:p w:rsidR="00A056B6" w:rsidRPr="009C5151" w:rsidRDefault="00A056B6" w:rsidP="00743A5F">
      <w:pPr>
        <w:pStyle w:val="NormalWeb"/>
        <w:spacing w:before="0" w:beforeAutospacing="0"/>
      </w:pPr>
      <w:r w:rsidRPr="009C5151">
        <w:rPr>
          <w:rStyle w:val="Strong"/>
        </w:rPr>
        <w:t>Withholding Tax Compliance</w:t>
      </w:r>
      <w:r w:rsidRPr="009C5151">
        <w:t>:</w:t>
      </w:r>
      <w:r w:rsidRPr="009C5151">
        <w:br/>
        <w:t>Interest payments will be subject to WHT at 15% under the India-Russia DTAA.</w:t>
      </w:r>
    </w:p>
    <w:p w:rsidR="00A056B6" w:rsidRPr="009C5151" w:rsidRDefault="00A056B6" w:rsidP="00743A5F">
      <w:pPr>
        <w:pStyle w:val="NormalWeb"/>
        <w:spacing w:before="0" w:beforeAutospacing="0"/>
      </w:pPr>
      <w:r w:rsidRPr="009C5151">
        <w:rPr>
          <w:rStyle w:val="Strong"/>
        </w:rPr>
        <w:t>Signatures</w:t>
      </w:r>
      <w:r w:rsidRPr="009C5151">
        <w:t>:</w:t>
      </w:r>
      <w:r w:rsidRPr="009C5151">
        <w:br/>
        <w:t>For PowerEdge Pvt. Ltd. | For EnergyFinance LLC</w:t>
      </w:r>
      <w:r w:rsidRPr="009C5151">
        <w:br/>
        <w:t>_________________________ | _________________________</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8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Technical Services Agreement</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Technical Services Agreement</w:t>
      </w:r>
      <w:r w:rsidRPr="009C5151">
        <w:br/>
        <w:t>This Agreement is made on [Date]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PowerEdge Pvt. Ltd.</w:t>
      </w:r>
      <w:r w:rsidRPr="009C5151">
        <w:rPr>
          <w:rFonts w:ascii="Times New Roman" w:hAnsi="Times New Roman" w:cs="Times New Roman"/>
          <w:sz w:val="24"/>
          <w:szCs w:val="24"/>
        </w:rPr>
        <w:t xml:space="preserve"> ("Client")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EcoConsult GmbH</w:t>
      </w:r>
      <w:r w:rsidRPr="009C5151">
        <w:rPr>
          <w:rFonts w:ascii="Times New Roman" w:hAnsi="Times New Roman" w:cs="Times New Roman"/>
          <w:sz w:val="24"/>
          <w:szCs w:val="24"/>
        </w:rPr>
        <w:t xml:space="preserve"> ("Service Provider").</w:t>
      </w:r>
    </w:p>
    <w:p w:rsidR="00A056B6" w:rsidRPr="009C5151" w:rsidRDefault="00A056B6" w:rsidP="00743A5F">
      <w:pPr>
        <w:pStyle w:val="NormalWeb"/>
        <w:spacing w:before="0" w:beforeAutospacing="0"/>
      </w:pPr>
      <w:r w:rsidRPr="009C5151">
        <w:rPr>
          <w:rStyle w:val="Strong"/>
        </w:rPr>
        <w:t>Scope of Services</w:t>
      </w:r>
      <w:r w:rsidRPr="009C5151">
        <w:t>:</w:t>
      </w:r>
      <w:r w:rsidRPr="009C5151">
        <w:br/>
        <w:t>The Service Provider shall provide technical consultancy for energy efficiency projects, including system design and project implementation.</w:t>
      </w:r>
    </w:p>
    <w:p w:rsidR="00A056B6" w:rsidRPr="009C5151" w:rsidRDefault="00A056B6" w:rsidP="00743A5F">
      <w:pPr>
        <w:pStyle w:val="NormalWeb"/>
        <w:spacing w:before="0" w:beforeAutospacing="0"/>
      </w:pPr>
      <w:r w:rsidRPr="009C5151">
        <w:rPr>
          <w:rStyle w:val="Strong"/>
        </w:rPr>
        <w:t>Service Fee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₹20 crore, inclusive of all costs.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Payment will be made in two installments upon completion of milestones.</w:t>
      </w:r>
    </w:p>
    <w:p w:rsidR="00A056B6" w:rsidRPr="009C5151" w:rsidRDefault="00A056B6" w:rsidP="00743A5F">
      <w:pPr>
        <w:pStyle w:val="NormalWeb"/>
        <w:spacing w:before="0" w:beforeAutospacing="0"/>
      </w:pPr>
      <w:r w:rsidRPr="009C5151">
        <w:rPr>
          <w:rStyle w:val="Strong"/>
        </w:rPr>
        <w:t>Tax Compliance</w:t>
      </w:r>
      <w:r w:rsidRPr="009C5151">
        <w:t>:</w:t>
      </w:r>
      <w:r w:rsidRPr="009C5151">
        <w:br/>
        <w:t>Payments will be subject to a WHT of 10% under the India-Germany DTAA.</w:t>
      </w:r>
    </w:p>
    <w:p w:rsidR="00A056B6" w:rsidRPr="009C5151" w:rsidRDefault="00A056B6" w:rsidP="00743A5F">
      <w:pPr>
        <w:pStyle w:val="NormalWeb"/>
        <w:spacing w:before="0" w:beforeAutospacing="0"/>
      </w:pPr>
      <w:r w:rsidRPr="009C5151">
        <w:rPr>
          <w:rStyle w:val="Strong"/>
        </w:rPr>
        <w:t>Signatures</w:t>
      </w:r>
      <w:r w:rsidRPr="009C5151">
        <w:t>:</w:t>
      </w:r>
      <w:r w:rsidRPr="009C5151">
        <w:br/>
        <w:t>For PowerEdge Pvt. Ltd. | For EcoConsult GmbH</w:t>
      </w:r>
      <w:r w:rsidRPr="009C5151">
        <w:br/>
        <w:t>_________________________ | _________________________</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9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45" w:name="_Toc187624049"/>
      <w:bookmarkStart w:id="646" w:name="_Toc187630769"/>
      <w:bookmarkStart w:id="647" w:name="_Toc187660948"/>
      <w:bookmarkStart w:id="648" w:name="_Toc187662027"/>
      <w:r w:rsidRPr="009C5151">
        <w:rPr>
          <w:rStyle w:val="Strong"/>
          <w:b/>
          <w:bCs/>
          <w:sz w:val="24"/>
          <w:szCs w:val="24"/>
        </w:rPr>
        <w:t>II. Benchmarking Studies</w:t>
      </w:r>
      <w:bookmarkEnd w:id="645"/>
      <w:bookmarkEnd w:id="646"/>
      <w:bookmarkEnd w:id="647"/>
      <w:bookmarkEnd w:id="648"/>
    </w:p>
    <w:p w:rsidR="00A056B6" w:rsidRPr="009C5151" w:rsidRDefault="00A056B6" w:rsidP="00743A5F">
      <w:pPr>
        <w:pStyle w:val="Heading4"/>
        <w:spacing w:before="0" w:beforeAutospacing="0"/>
      </w:pPr>
      <w:r w:rsidRPr="009C5151">
        <w:rPr>
          <w:rStyle w:val="Strong"/>
          <w:b/>
          <w:bCs/>
        </w:rPr>
        <w:t>1. Royalty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Data</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Licensing Agreement A: 5.5% royalty rate.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Licensing Agreement B: 6.5% royalty rate.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Licensing Agreement C: 6.0% royalty rate.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Benchmark Range</w:t>
      </w:r>
      <w:r w:rsidRPr="009C5151">
        <w:rPr>
          <w:rFonts w:ascii="Times New Roman" w:hAnsi="Times New Roman" w:cs="Times New Roman"/>
          <w:sz w:val="24"/>
          <w:szCs w:val="24"/>
        </w:rPr>
        <w:t>: 5.5% - 6.5%.</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Actual Payment</w:t>
      </w:r>
      <w:r w:rsidRPr="009C5151">
        <w:rPr>
          <w:rFonts w:ascii="Times New Roman" w:hAnsi="Times New Roman" w:cs="Times New Roman"/>
          <w:sz w:val="24"/>
          <w:szCs w:val="24"/>
        </w:rPr>
        <w:t>: 6% royalty rate (within range).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Payment is at arm’s length.</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9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Fee for Technical Services (FTS)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Data</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Service Provider A: 12% markup.</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Service Provider B: 15% markup.</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Service Provider C: 14% markup.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Benchmark Range</w:t>
      </w:r>
      <w:r w:rsidRPr="009C5151">
        <w:rPr>
          <w:rFonts w:ascii="Times New Roman" w:hAnsi="Times New Roman" w:cs="Times New Roman"/>
          <w:sz w:val="24"/>
          <w:szCs w:val="24"/>
        </w:rPr>
        <w:t>: 12%-15%.</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Actual Markup</w:t>
      </w:r>
      <w:r w:rsidRPr="009C5151">
        <w:rPr>
          <w:rFonts w:ascii="Times New Roman" w:hAnsi="Times New Roman" w:cs="Times New Roman"/>
          <w:sz w:val="24"/>
          <w:szCs w:val="24"/>
        </w:rPr>
        <w:t xml:space="preserve">: ₹3 crore ÷ ₹17 crore (base cost) = </w:t>
      </w:r>
      <w:r w:rsidRPr="009C5151">
        <w:rPr>
          <w:rStyle w:val="Strong"/>
          <w:rFonts w:ascii="Times New Roman" w:hAnsi="Times New Roman" w:cs="Times New Roman"/>
          <w:sz w:val="24"/>
          <w:szCs w:val="24"/>
        </w:rPr>
        <w:t>13%</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Payment is at arm’s length.</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9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Interest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Benchmark Data</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LIBOR Rate: 2.5%.</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Spread for comparable loans: 2%-3%.</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Interest Rate</w:t>
      </w:r>
      <w:r w:rsidRPr="009C5151">
        <w:rPr>
          <w:rFonts w:ascii="Times New Roman" w:hAnsi="Times New Roman" w:cs="Times New Roman"/>
          <w:sz w:val="24"/>
          <w:szCs w:val="24"/>
        </w:rPr>
        <w:t>: 4.5%-5.5%.</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Actual Interest Rate</w:t>
      </w:r>
      <w:r w:rsidRPr="009C5151">
        <w:rPr>
          <w:rFonts w:ascii="Times New Roman" w:hAnsi="Times New Roman" w:cs="Times New Roman"/>
          <w:sz w:val="24"/>
          <w:szCs w:val="24"/>
        </w:rPr>
        <w:t>: 6% (slightly above range but justifiable for perceived risk).</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Compliant with arm’s length principle.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9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49" w:name="_Toc187624050"/>
      <w:bookmarkStart w:id="650" w:name="_Toc187630770"/>
      <w:bookmarkStart w:id="651" w:name="_Toc187660949"/>
      <w:bookmarkStart w:id="652" w:name="_Toc187662028"/>
      <w:r w:rsidRPr="009C5151">
        <w:rPr>
          <w:rStyle w:val="Strong"/>
          <w:b/>
          <w:bCs/>
          <w:sz w:val="24"/>
          <w:szCs w:val="24"/>
        </w:rPr>
        <w:t>III. Country-by-Country (CbC) Reporting</w:t>
      </w:r>
      <w:bookmarkEnd w:id="649"/>
      <w:bookmarkEnd w:id="650"/>
      <w:bookmarkEnd w:id="651"/>
      <w:bookmarkEnd w:id="652"/>
    </w:p>
    <w:p w:rsidR="00A056B6" w:rsidRPr="009C5151" w:rsidRDefault="00A056B6" w:rsidP="00743A5F">
      <w:pPr>
        <w:pStyle w:val="Heading4"/>
        <w:spacing w:before="0" w:beforeAutospacing="0"/>
      </w:pPr>
      <w:r w:rsidRPr="009C5151">
        <w:rPr>
          <w:rStyle w:val="Strong"/>
          <w:b/>
          <w:bCs/>
        </w:rPr>
        <w:lastRenderedPageBreak/>
        <w:t>1. Reporting Template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1226"/>
        <w:gridCol w:w="946"/>
        <w:gridCol w:w="1205"/>
        <w:gridCol w:w="2154"/>
        <w:gridCol w:w="2193"/>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Profit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Paid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Number of Employees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Key Functions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Distribution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Sales, Support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180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Technical Consulting</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IP Management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Mauritius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Holding Company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Russia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Financing</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9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Key Components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Revenue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Segregate revenue into unrelated, related, and total amounts.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Profit and Taxes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Show profit before income tax and taxes paid.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Activities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Specify functions like R&amp;D, manufacturing, sales, etc.</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9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53" w:name="_Toc187624051"/>
      <w:bookmarkStart w:id="654" w:name="_Toc187630771"/>
      <w:bookmarkStart w:id="655" w:name="_Toc187660950"/>
      <w:bookmarkStart w:id="656" w:name="_Toc187662029"/>
      <w:r w:rsidRPr="009C5151">
        <w:rPr>
          <w:rStyle w:val="Strong"/>
          <w:b/>
          <w:bCs/>
          <w:sz w:val="24"/>
          <w:szCs w:val="24"/>
        </w:rPr>
        <w:t>Conclusion</w:t>
      </w:r>
      <w:bookmarkEnd w:id="653"/>
      <w:bookmarkEnd w:id="654"/>
      <w:bookmarkEnd w:id="655"/>
      <w:bookmarkEnd w:id="656"/>
    </w:p>
    <w:p w:rsidR="00A056B6" w:rsidRPr="009C5151" w:rsidRDefault="00A056B6" w:rsidP="00743A5F">
      <w:pPr>
        <w:pStyle w:val="NormalWeb"/>
        <w:spacing w:before="0" w:beforeAutospacing="0"/>
      </w:pPr>
      <w:r w:rsidRPr="009C5151">
        <w:t xml:space="preserve">By implementing these agreements, benchmarking practices, and CbC reporting, </w:t>
      </w:r>
      <w:r w:rsidRPr="009C5151">
        <w:rPr>
          <w:rStyle w:val="Strong"/>
        </w:rPr>
        <w:t>PowerEdge Pvt. Ltd.</w:t>
      </w:r>
      <w:r w:rsidRPr="009C5151">
        <w:t xml:space="preserve"> can ensure compliance with Indian and international tax regulations.</w:t>
      </w:r>
    </w:p>
    <w:p w:rsidR="00A056B6" w:rsidRPr="009C5151" w:rsidRDefault="00A056B6" w:rsidP="00743A5F">
      <w:pPr>
        <w:pStyle w:val="NormalWeb"/>
        <w:spacing w:before="0" w:beforeAutospacing="0"/>
      </w:pPr>
      <w:r w:rsidRPr="009C5151">
        <w:t>Would you like further customization of these templates or additional help with portal-specific filing steps?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xml:space="preserve">Please do the same with a 15 th example of different set of issues and problem and suggested solutions by a CA to a Company including a detailed discussion on the various topics covered under suggestions and Conclusion. Please include in addition to the above transactions like </w:t>
      </w:r>
      <w:r w:rsidRPr="009C5151">
        <w:rPr>
          <w:rFonts w:ascii="Times New Roman" w:hAnsi="Times New Roman" w:cs="Times New Roman"/>
          <w:sz w:val="24"/>
          <w:szCs w:val="24"/>
        </w:rPr>
        <w:lastRenderedPageBreak/>
        <w:t>Withholding tax, CbC reporting, Mutual Agreement procedure, DTAA with countries like USA, UK, Germany, Singapore, Mauritius, China, Russia and Germany; equalization levy; Please first list down the case, issues, documents and CA advise, Dividend and Interest, Royalty and Fee for Technical Services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F3DE546" wp14:editId="54915FF5">
            <wp:extent cx="763905" cy="763905"/>
            <wp:effectExtent l="0" t="0" r="0" b="0"/>
            <wp:docPr id="298" name="Picture 29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6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657" w:name="_Toc187624052"/>
      <w:bookmarkStart w:id="658" w:name="_Toc187630772"/>
      <w:bookmarkStart w:id="659" w:name="_Toc187660951"/>
      <w:bookmarkStart w:id="660" w:name="_Toc187662030"/>
      <w:r w:rsidRPr="009C5151">
        <w:rPr>
          <w:rStyle w:val="Strong"/>
          <w:b/>
          <w:bCs/>
          <w:sz w:val="24"/>
          <w:szCs w:val="24"/>
        </w:rPr>
        <w:t>Case Study: Tax and Compliance Challenges for EcoInfra Pvt. Ltd.</w:t>
      </w:r>
      <w:bookmarkEnd w:id="657"/>
      <w:bookmarkEnd w:id="658"/>
      <w:bookmarkEnd w:id="659"/>
      <w:bookmarkEnd w:id="660"/>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9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61" w:name="_Toc187624053"/>
      <w:bookmarkStart w:id="662" w:name="_Toc187630773"/>
      <w:bookmarkStart w:id="663" w:name="_Toc187660952"/>
      <w:bookmarkStart w:id="664" w:name="_Toc187662031"/>
      <w:r w:rsidRPr="009C5151">
        <w:rPr>
          <w:rStyle w:val="Strong"/>
          <w:b/>
          <w:bCs/>
          <w:sz w:val="24"/>
          <w:szCs w:val="24"/>
        </w:rPr>
        <w:t>Background</w:t>
      </w:r>
      <w:bookmarkEnd w:id="661"/>
      <w:bookmarkEnd w:id="662"/>
      <w:bookmarkEnd w:id="663"/>
      <w:bookmarkEnd w:id="664"/>
    </w:p>
    <w:p w:rsidR="00A056B6" w:rsidRPr="009C5151" w:rsidRDefault="00A056B6" w:rsidP="00743A5F">
      <w:pPr>
        <w:pStyle w:val="NormalWeb"/>
        <w:spacing w:before="0" w:beforeAutospacing="0"/>
      </w:pPr>
      <w:r w:rsidRPr="009C5151">
        <w:t xml:space="preserve">EcoInfra Pvt. Ltd., an Indian infrastructure company specializing in smart city projects, operates globally in </w:t>
      </w:r>
      <w:r w:rsidRPr="009C5151">
        <w:rPr>
          <w:rStyle w:val="Strong"/>
        </w:rPr>
        <w:t>USA, UK, Germany, Singapore, Mauritius, China, Russia, and Australia</w:t>
      </w:r>
      <w:r w:rsidRPr="009C5151">
        <w:t xml:space="preserve">. The company engages in international transactions such as </w:t>
      </w:r>
      <w:r w:rsidRPr="009C5151">
        <w:rPr>
          <w:rStyle w:val="Strong"/>
        </w:rPr>
        <w:t>exports</w:t>
      </w:r>
      <w:r w:rsidRPr="009C5151">
        <w:t xml:space="preserve">, </w:t>
      </w:r>
      <w:r w:rsidRPr="009C5151">
        <w:rPr>
          <w:rStyle w:val="Strong"/>
        </w:rPr>
        <w:t>royalty payments</w:t>
      </w:r>
      <w:r w:rsidRPr="009C5151">
        <w:t xml:space="preserve">, </w:t>
      </w:r>
      <w:r w:rsidRPr="009C5151">
        <w:rPr>
          <w:rStyle w:val="Strong"/>
        </w:rPr>
        <w:t>interest payments</w:t>
      </w:r>
      <w:r w:rsidRPr="009C5151">
        <w:t xml:space="preserve">, </w:t>
      </w:r>
      <w:r w:rsidRPr="009C5151">
        <w:rPr>
          <w:rStyle w:val="Strong"/>
        </w:rPr>
        <w:t>fee for technical services (FTS)</w:t>
      </w:r>
      <w:r w:rsidRPr="009C5151">
        <w:t xml:space="preserve">, and </w:t>
      </w:r>
      <w:r w:rsidRPr="009C5151">
        <w:rPr>
          <w:rStyle w:val="Strong"/>
        </w:rPr>
        <w:t>dividends</w:t>
      </w:r>
      <w:r w:rsidRPr="009C5151">
        <w:t xml:space="preserve">. It also deals with </w:t>
      </w:r>
      <w:r w:rsidRPr="009C5151">
        <w:rPr>
          <w:rStyle w:val="Strong"/>
        </w:rPr>
        <w:t>equalization levy (EL)</w:t>
      </w:r>
      <w:r w:rsidRPr="009C5151">
        <w:t xml:space="preserve">, </w:t>
      </w:r>
      <w:r w:rsidRPr="009C5151">
        <w:rPr>
          <w:rStyle w:val="Strong"/>
        </w:rPr>
        <w:t>withholding tax (WHT)</w:t>
      </w:r>
      <w:r w:rsidRPr="009C5151">
        <w:t xml:space="preserve">, </w:t>
      </w:r>
      <w:r w:rsidRPr="009C5151">
        <w:rPr>
          <w:rStyle w:val="Strong"/>
        </w:rPr>
        <w:t>Country-by-Country (CbC) Reporting</w:t>
      </w:r>
      <w:r w:rsidRPr="009C5151">
        <w:t xml:space="preserve">, and </w:t>
      </w:r>
      <w:r w:rsidRPr="009C5151">
        <w:rPr>
          <w:rStyle w:val="Strong"/>
        </w:rPr>
        <w:t>Mutual Agreement Procedure (MAP)</w:t>
      </w:r>
      <w:r w:rsidRPr="009C5151">
        <w:t xml:space="preserve"> under DTAAs with various countries.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39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65" w:name="_Toc187624054"/>
      <w:bookmarkStart w:id="666" w:name="_Toc187630774"/>
      <w:bookmarkStart w:id="667" w:name="_Toc187660953"/>
      <w:bookmarkStart w:id="668" w:name="_Toc187662032"/>
      <w:r w:rsidRPr="009C5151">
        <w:rPr>
          <w:rStyle w:val="Strong"/>
          <w:b/>
          <w:bCs/>
          <w:sz w:val="24"/>
          <w:szCs w:val="24"/>
        </w:rPr>
        <w:t>Transactions</w:t>
      </w:r>
      <w:bookmarkEnd w:id="665"/>
      <w:bookmarkEnd w:id="666"/>
      <w:bookmarkEnd w:id="667"/>
      <w:bookmarkEnd w:id="668"/>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Smart City Technology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Exported ₹800 crore worth of technology and solutions to AEs in the USA, UK, and Germany.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₹50 crore to a Singapore AE for licensing proprietary software for city management.</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₹25 crore to a German AE for consultancy on sustainable urban development.</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₹20 crore interest on loans borrowed from a Russian AE.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Dividend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₹40 crore in dividends to its parent company in Mauritius.</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₹10 crore to a USA-based platform for promoting its urban projects.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9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₹15 crore to an Indian AE for administrative and HR support.</w:t>
      </w:r>
    </w:p>
    <w:p w:rsidR="00A056B6" w:rsidRPr="009C5151" w:rsidRDefault="00A056B6" w:rsidP="00743A5F">
      <w:pPr>
        <w:pStyle w:val="NormalWeb"/>
        <w:tabs>
          <w:tab w:val="num" w:pos="720"/>
        </w:tabs>
        <w:spacing w:before="0" w:beforeAutospacing="0"/>
        <w:ind w:left="720" w:hanging="360"/>
      </w:pPr>
      <w:r w:rsidRPr="009C5151">
        <w:rPr>
          <w:rStyle w:val="Strong"/>
        </w:rPr>
        <w:t>Leasing of Construction Equipment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₹20 crore worth of equipment to a domestic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399"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0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69" w:name="_Toc187624055"/>
      <w:bookmarkStart w:id="670" w:name="_Toc187630775"/>
      <w:bookmarkStart w:id="671" w:name="_Toc187660954"/>
      <w:bookmarkStart w:id="672" w:name="_Toc187662033"/>
      <w:r w:rsidRPr="009C5151">
        <w:rPr>
          <w:rStyle w:val="Strong"/>
          <w:b/>
          <w:bCs/>
          <w:sz w:val="24"/>
          <w:szCs w:val="24"/>
        </w:rPr>
        <w:t>Key Issues</w:t>
      </w:r>
      <w:bookmarkEnd w:id="669"/>
      <w:bookmarkEnd w:id="670"/>
      <w:bookmarkEnd w:id="671"/>
      <w:bookmarkEnd w:id="672"/>
    </w:p>
    <w:p w:rsidR="00A056B6" w:rsidRPr="009C5151" w:rsidRDefault="00A056B6" w:rsidP="00743A5F">
      <w:pPr>
        <w:pStyle w:val="Heading4"/>
        <w:spacing w:before="0" w:beforeAutospacing="0"/>
      </w:pPr>
      <w:r w:rsidRPr="009C5151">
        <w:rPr>
          <w:rStyle w:val="Strong"/>
          <w:b/>
          <w:bCs/>
        </w:rPr>
        <w:t>1. 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₹800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₹50 crore royalty payments to Singapore AE.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₹25 crore FTS payments to German AE.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₹20 crore interest payments to Russian AE.</w: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Deducting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(15% under India-Russia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to Mauritius (0% WHT under DTAA).</w: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Applicability of EL on ₹10 crore advertising payments to USA platform.</w:t>
      </w:r>
    </w:p>
    <w:p w:rsidR="00A056B6" w:rsidRPr="009C5151" w:rsidRDefault="00A056B6" w:rsidP="00743A5F">
      <w:pPr>
        <w:pStyle w:val="Heading4"/>
        <w:spacing w:before="0" w:beforeAutospacing="0"/>
      </w:pPr>
      <w:r w:rsidRPr="009C5151">
        <w:rPr>
          <w:rStyle w:val="Strong"/>
          <w:b/>
          <w:bCs/>
        </w:rPr>
        <w:t>4. Country-by-Country (CbC) Reporting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CbC reporting triggered due to group revenue exceeding ₹6,400 crore.</w:t>
      </w:r>
    </w:p>
    <w:p w:rsidR="00A056B6" w:rsidRPr="009C5151" w:rsidRDefault="00A056B6" w:rsidP="00743A5F">
      <w:pPr>
        <w:pStyle w:val="Heading4"/>
        <w:spacing w:before="0" w:beforeAutospacing="0"/>
      </w:pPr>
      <w:r w:rsidRPr="009C5151">
        <w:rPr>
          <w:rStyle w:val="Strong"/>
          <w:b/>
          <w:bCs/>
        </w:rPr>
        <w:t>5. Mutual Agreement Procedure (MAP)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Potential double taxation on royalty and FTS payments under DTAAs with Singapore and Germany.</w:t>
      </w:r>
    </w:p>
    <w:p w:rsidR="00A056B6" w:rsidRPr="009C5151" w:rsidRDefault="00A056B6" w:rsidP="00743A5F">
      <w:pPr>
        <w:pStyle w:val="Heading4"/>
        <w:spacing w:before="0" w:beforeAutospacing="0"/>
      </w:pPr>
      <w:r w:rsidRPr="009C5151">
        <w:rPr>
          <w:rStyle w:val="Strong"/>
          <w:b/>
          <w:bCs/>
        </w:rPr>
        <w:t>6.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 ₹15 crore shared services and ₹20 crore equipment leasing payments.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0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73" w:name="_Toc187624056"/>
      <w:bookmarkStart w:id="674" w:name="_Toc187630776"/>
      <w:bookmarkStart w:id="675" w:name="_Toc187660955"/>
      <w:bookmarkStart w:id="676" w:name="_Toc187662034"/>
      <w:r w:rsidRPr="009C5151">
        <w:rPr>
          <w:rStyle w:val="Strong"/>
          <w:b/>
          <w:bCs/>
          <w:sz w:val="24"/>
          <w:szCs w:val="24"/>
        </w:rPr>
        <w:t>Documents Required</w:t>
      </w:r>
      <w:bookmarkEnd w:id="673"/>
      <w:bookmarkEnd w:id="674"/>
      <w:bookmarkEnd w:id="675"/>
      <w:bookmarkEnd w:id="676"/>
    </w:p>
    <w:p w:rsidR="00A056B6" w:rsidRPr="009C5151" w:rsidRDefault="00A056B6" w:rsidP="00743A5F">
      <w:pPr>
        <w:pStyle w:val="NormalWeb"/>
        <w:tabs>
          <w:tab w:val="num" w:pos="720"/>
        </w:tabs>
        <w:spacing w:before="0" w:beforeAutospacing="0"/>
        <w:ind w:left="720" w:hanging="360"/>
      </w:pPr>
      <w:r w:rsidRPr="009C5151">
        <w:rPr>
          <w:rStyle w:val="Strong"/>
        </w:rPr>
        <w:t>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 contracts, royalty agreements, FTS agreements, loan agreements, and dividend resolutions.</w:t>
      </w:r>
    </w:p>
    <w:p w:rsidR="00A056B6" w:rsidRPr="009C5151" w:rsidRDefault="00A056B6" w:rsidP="00743A5F">
      <w:pPr>
        <w:pStyle w:val="NormalWeb"/>
        <w:tabs>
          <w:tab w:val="num" w:pos="720"/>
        </w:tabs>
        <w:spacing w:before="0" w:beforeAutospacing="0"/>
        <w:ind w:left="720" w:hanging="360"/>
      </w:pPr>
      <w:r w:rsidRPr="009C5151">
        <w:rPr>
          <w:rStyle w:val="Strong"/>
        </w:rPr>
        <w:t>Invoices and Payment Proofs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transaction amounts.</w:t>
      </w:r>
    </w:p>
    <w:p w:rsidR="00A056B6" w:rsidRPr="009C5151" w:rsidRDefault="00A056B6" w:rsidP="00743A5F">
      <w:pPr>
        <w:pStyle w:val="NormalWeb"/>
        <w:tabs>
          <w:tab w:val="num" w:pos="720"/>
        </w:tabs>
        <w:spacing w:before="0" w:beforeAutospacing="0"/>
        <w:ind w:left="720" w:hanging="360"/>
      </w:pPr>
      <w:r w:rsidRPr="009C5151">
        <w:rPr>
          <w:rStyle w:val="Strong"/>
        </w:rPr>
        <w:t>Tax Residency Certificates (TRC)</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TRCs for AEs in Mauritius, Singapore, Germany, and Russia.</w:t>
      </w:r>
    </w:p>
    <w:p w:rsidR="00A056B6" w:rsidRPr="009C5151" w:rsidRDefault="00A056B6" w:rsidP="00743A5F">
      <w:pPr>
        <w:pStyle w:val="NormalWeb"/>
        <w:tabs>
          <w:tab w:val="num" w:pos="720"/>
        </w:tabs>
        <w:spacing w:before="0" w:beforeAutospacing="0"/>
        <w:ind w:left="720" w:hanging="360"/>
      </w:pPr>
      <w:r w:rsidRPr="009C5151">
        <w:rPr>
          <w:rStyle w:val="Strong"/>
        </w:rPr>
        <w:t>Form 10F</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Supplementary form for DTAA benefits.</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Roles, functions, and risk allocation of each AE.</w:t>
      </w:r>
    </w:p>
    <w:p w:rsidR="00A056B6" w:rsidRPr="009C5151" w:rsidRDefault="00A056B6" w:rsidP="00743A5F">
      <w:pPr>
        <w:pStyle w:val="NormalWeb"/>
        <w:tabs>
          <w:tab w:val="num" w:pos="720"/>
        </w:tabs>
        <w:spacing w:before="0" w:beforeAutospacing="0"/>
        <w:ind w:left="720" w:hanging="360"/>
      </w:pPr>
      <w:r w:rsidRPr="009C5151">
        <w:rPr>
          <w:rStyle w:val="Strong"/>
        </w:rPr>
        <w:t>CbC Reporting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Group-level revenue and profit allocation details.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0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77" w:name="_Toc187624057"/>
      <w:bookmarkStart w:id="678" w:name="_Toc187630777"/>
      <w:bookmarkStart w:id="679" w:name="_Toc187660956"/>
      <w:bookmarkStart w:id="680" w:name="_Toc187662035"/>
      <w:r w:rsidRPr="009C5151">
        <w:rPr>
          <w:rStyle w:val="Strong"/>
          <w:b/>
          <w:bCs/>
          <w:sz w:val="24"/>
          <w:szCs w:val="24"/>
        </w:rPr>
        <w:t>Proposed Solutions</w:t>
      </w:r>
      <w:bookmarkEnd w:id="677"/>
      <w:bookmarkEnd w:id="678"/>
      <w:bookmarkEnd w:id="679"/>
      <w:bookmarkEnd w:id="680"/>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Exports of Smart City Technology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 xml:space="preserve">Use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 xml:space="preserve"> to benchmark ₹800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margins with global smart city solution providers.</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 xml:space="preserve"> to benchmark ₹50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the royalty rate (e.g., 5%-8%) using industry comparables.</w:t>
      </w:r>
    </w:p>
    <w:p w:rsidR="00A056B6" w:rsidRPr="009C5151" w:rsidRDefault="00A056B6" w:rsidP="00743A5F">
      <w:pPr>
        <w:pStyle w:val="NormalWeb"/>
        <w:tabs>
          <w:tab w:val="num" w:pos="720"/>
        </w:tabs>
        <w:spacing w:before="0" w:beforeAutospacing="0"/>
        <w:ind w:left="720" w:hanging="360"/>
      </w:pPr>
      <w:r w:rsidRPr="009C5151">
        <w:rPr>
          <w:rStyle w:val="Strong"/>
        </w:rPr>
        <w:t>FTS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benchmark ₹25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markup with technical consultancy providers.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Verify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(interest deduction capped at 30% of EBITDA).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6% interest rate using public data (e.g., LIBOR + spread).</w:t>
      </w:r>
    </w:p>
    <w:p w:rsidR="00A056B6" w:rsidRPr="009C5151" w:rsidRDefault="00A056B6" w:rsidP="00743A5F">
      <w:pPr>
        <w:pStyle w:val="NormalWeb"/>
        <w:tabs>
          <w:tab w:val="num" w:pos="720"/>
        </w:tabs>
        <w:spacing w:before="0" w:beforeAutospacing="0"/>
        <w:ind w:left="720" w:hanging="360"/>
      </w:pPr>
      <w:r w:rsidRPr="009C5151">
        <w:rPr>
          <w:rStyle w:val="Strong"/>
        </w:rPr>
        <w:t>Specified Domestic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benchmark ₹15 crore shared services and ₹20 crore equipment leasing payments.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0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Royalty Payments</w:t>
      </w:r>
      <w:r w:rsidRPr="009C5151">
        <w:rPr>
          <w:rFonts w:ascii="Times New Roman" w:hAnsi="Times New Roman" w:cs="Times New Roman"/>
          <w:sz w:val="24"/>
          <w:szCs w:val="24"/>
        </w:rPr>
        <w:t>: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FTS Payments</w:t>
      </w:r>
      <w:r w:rsidRPr="009C5151">
        <w:rPr>
          <w:rFonts w:ascii="Times New Roman" w:hAnsi="Times New Roman" w:cs="Times New Roman"/>
          <w:sz w:val="24"/>
          <w:szCs w:val="24"/>
        </w:rPr>
        <w:t>: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Interest Payments</w:t>
      </w:r>
      <w:r w:rsidRPr="009C5151">
        <w:rPr>
          <w:rFonts w:ascii="Times New Roman" w:hAnsi="Times New Roman" w:cs="Times New Roman"/>
          <w:sz w:val="24"/>
          <w:szCs w:val="24"/>
        </w:rPr>
        <w:t>: 15% under India-Russia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File quarterly </w:t>
      </w:r>
      <w:r w:rsidRPr="009C5151">
        <w:rPr>
          <w:rStyle w:val="Strong"/>
          <w:rFonts w:ascii="Times New Roman" w:hAnsi="Times New Roman" w:cs="Times New Roman"/>
          <w:sz w:val="24"/>
          <w:szCs w:val="24"/>
        </w:rPr>
        <w:t>Form 27Q</w:t>
      </w:r>
      <w:r w:rsidRPr="009C5151">
        <w:rPr>
          <w:rFonts w:ascii="Times New Roman" w:hAnsi="Times New Roman" w:cs="Times New Roman"/>
          <w:sz w:val="24"/>
          <w:szCs w:val="24"/>
        </w:rPr>
        <w:t xml:space="preserve"> and issue </w:t>
      </w:r>
      <w:r w:rsidRPr="009C5151">
        <w:rPr>
          <w:rStyle w:val="Strong"/>
          <w:rFonts w:ascii="Times New Roman" w:hAnsi="Times New Roman" w:cs="Times New Roman"/>
          <w:sz w:val="24"/>
          <w:szCs w:val="24"/>
        </w:rPr>
        <w:t>Form 16A</w:t>
      </w:r>
      <w:r w:rsidRPr="009C5151">
        <w:rPr>
          <w:rFonts w:ascii="Times New Roman" w:hAnsi="Times New Roman" w:cs="Times New Roman"/>
          <w:sz w:val="24"/>
          <w:szCs w:val="24"/>
        </w:rPr>
        <w:t xml:space="preserve"> certificates.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0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at 6% on ₹10 crore advertising payments (₹60 lakh levy).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File EL return (Form 1) by </w:t>
      </w:r>
      <w:r w:rsidRPr="009C5151">
        <w:rPr>
          <w:rStyle w:val="Strong"/>
          <w:rFonts w:ascii="Times New Roman" w:hAnsi="Times New Roman" w:cs="Times New Roman"/>
          <w:sz w:val="24"/>
          <w:szCs w:val="24"/>
        </w:rPr>
        <w:t>30th June</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40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Country-by-Country (CbC) Reporting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CbC report with:</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Jurisdiction-wise revenue, profit, and taxes paid.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Key activities in each country (e.g., R&amp;D, distribution).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0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Mutual Agreement Procedure (MAP)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Resolve double taxation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₹50 crore royalty payments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₹25 crore FTS payments (India-Germany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Form 34F for MAP initiation and attach agreements and benchmarking studies.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07"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0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81" w:name="_Toc187624058"/>
      <w:bookmarkStart w:id="682" w:name="_Toc187630778"/>
      <w:bookmarkStart w:id="683" w:name="_Toc187660957"/>
      <w:bookmarkStart w:id="684" w:name="_Toc187662036"/>
      <w:r w:rsidRPr="009C5151">
        <w:rPr>
          <w:rStyle w:val="Strong"/>
          <w:b/>
          <w:bCs/>
          <w:sz w:val="24"/>
          <w:szCs w:val="24"/>
        </w:rPr>
        <w:t>Detailed Discussion of Proposed Solutions</w:t>
      </w:r>
      <w:bookmarkEnd w:id="681"/>
      <w:bookmarkEnd w:id="682"/>
      <w:bookmarkEnd w:id="683"/>
      <w:bookmarkEnd w:id="684"/>
    </w:p>
    <w:p w:rsidR="00A056B6" w:rsidRPr="009C5151" w:rsidRDefault="00A056B6" w:rsidP="00743A5F">
      <w:pPr>
        <w:pStyle w:val="Heading4"/>
        <w:spacing w:before="0" w:beforeAutospacing="0"/>
      </w:pPr>
      <w:r w:rsidRPr="009C5151">
        <w:rPr>
          <w:rStyle w:val="Strong"/>
          <w:b/>
          <w:bCs/>
        </w:rPr>
        <w:t>1. Interest Disallowance Under Section 94B</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EBITDA</w:t>
      </w:r>
      <w:r w:rsidRPr="009C5151">
        <w:rPr>
          <w:rFonts w:ascii="Times New Roman" w:hAnsi="Times New Roman" w:cs="Times New Roman"/>
          <w:sz w:val="24"/>
          <w:szCs w:val="24"/>
        </w:rPr>
        <w:t>: ₹250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 Paid</w:t>
      </w:r>
      <w:r w:rsidRPr="009C5151">
        <w:rPr>
          <w:rFonts w:ascii="Times New Roman" w:hAnsi="Times New Roman" w:cs="Times New Roman"/>
          <w:sz w:val="24"/>
          <w:szCs w:val="24"/>
        </w:rPr>
        <w:t>: ₹20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Allowable Interest</w:t>
      </w:r>
      <w:r w:rsidRPr="009C5151">
        <w:rPr>
          <w:rFonts w:ascii="Times New Roman" w:hAnsi="Times New Roman" w:cs="Times New Roman"/>
          <w:sz w:val="24"/>
          <w:szCs w:val="24"/>
        </w:rPr>
        <w:t>: 30% of EBITDA = ₹250 crore × 30% = ₹75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The entire ₹20 crore interest is deductible as it is within the allowable limit.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0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Benchmarking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0"/>
        <w:gridCol w:w="1411"/>
        <w:gridCol w:w="2762"/>
        <w:gridCol w:w="1381"/>
        <w:gridCol w:w="130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Benchmark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Value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 of Technology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 Operating Margin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14%</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5%-8% Royalty Rate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 Markup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LIBOR + 2% (~6%)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1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lastRenderedPageBreak/>
        <w:t>3. Withholding Tax Calculation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2"/>
        <w:gridCol w:w="1240"/>
        <w:gridCol w:w="1187"/>
        <w:gridCol w:w="190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Amount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(Singapore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(German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(Russian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Dividend (Mauritius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 crore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1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at 6%: ₹10 crore × 6% = ₹60 lakh.</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EL return and remit levy on time.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1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85" w:name="_Toc187624059"/>
      <w:bookmarkStart w:id="686" w:name="_Toc187630779"/>
      <w:bookmarkStart w:id="687" w:name="_Toc187660958"/>
      <w:bookmarkStart w:id="688" w:name="_Toc187662037"/>
      <w:r w:rsidRPr="009C5151">
        <w:rPr>
          <w:rStyle w:val="Strong"/>
          <w:b/>
          <w:bCs/>
          <w:sz w:val="24"/>
          <w:szCs w:val="24"/>
        </w:rPr>
        <w:t>Conclusion</w:t>
      </w:r>
      <w:bookmarkEnd w:id="685"/>
      <w:bookmarkEnd w:id="686"/>
      <w:bookmarkEnd w:id="687"/>
      <w:bookmarkEnd w:id="688"/>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Transfer Pricing Compliance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international and domestic transactions using TNMM, CUP, or CPM.</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Withholding Tax</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and remit WHT for royalties, FTS, and interest under applicable DTAAs.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CbC Reporting</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detailed CbC reports with consistent global income data.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Mutual Agreement Procedure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MAP to resolve double taxation issues for royalties and FTS.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Equalization Levy</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Comply with EL requirements for advertising payments.</w:t>
      </w:r>
    </w:p>
    <w:p w:rsidR="00A056B6" w:rsidRPr="009C5151" w:rsidRDefault="00A056B6" w:rsidP="00743A5F">
      <w:pPr>
        <w:pStyle w:val="NormalWeb"/>
        <w:spacing w:before="0" w:beforeAutospacing="0"/>
      </w:pPr>
      <w:r w:rsidRPr="009C5151">
        <w:t>Would you like detailed templates for agreements, a full benchmarking report, or assistance with filing compliance?</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detailed templates for agreements, a full benchmarking report, or assistance with filing compliance</w:t>
      </w:r>
    </w:p>
    <w:p w:rsidR="00A056B6" w:rsidRPr="009C5151" w:rsidRDefault="00A056B6" w:rsidP="00743A5F">
      <w:pPr>
        <w:pStyle w:val="Heading6"/>
        <w:spacing w:before="0" w:beforeAutospacing="0"/>
        <w:rPr>
          <w:sz w:val="24"/>
          <w:szCs w:val="24"/>
        </w:rPr>
      </w:pPr>
      <w:r w:rsidRPr="009C5151">
        <w:rPr>
          <w:sz w:val="24"/>
          <w:szCs w:val="24"/>
        </w:rPr>
        <w:lastRenderedPageBreak/>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81B1650" wp14:editId="7233F2DF">
            <wp:extent cx="763905" cy="763905"/>
            <wp:effectExtent l="0" t="0" r="0" b="0"/>
            <wp:docPr id="297" name="Picture 29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8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689" w:name="_Toc187624060"/>
      <w:bookmarkStart w:id="690" w:name="_Toc187630780"/>
      <w:bookmarkStart w:id="691" w:name="_Toc187660959"/>
      <w:bookmarkStart w:id="692" w:name="_Toc187662038"/>
      <w:r w:rsidRPr="009C5151">
        <w:rPr>
          <w:rStyle w:val="Strong"/>
          <w:b/>
          <w:bCs/>
          <w:sz w:val="24"/>
          <w:szCs w:val="24"/>
        </w:rPr>
        <w:t>Detailed Templates for Agreements, Benchmarking Report, and Filing Compliance Assistance</w:t>
      </w:r>
      <w:bookmarkEnd w:id="689"/>
      <w:bookmarkEnd w:id="690"/>
      <w:bookmarkEnd w:id="691"/>
      <w:bookmarkEnd w:id="692"/>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1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93" w:name="_Toc187624061"/>
      <w:bookmarkStart w:id="694" w:name="_Toc187630781"/>
      <w:bookmarkStart w:id="695" w:name="_Toc187660960"/>
      <w:bookmarkStart w:id="696" w:name="_Toc187662039"/>
      <w:r w:rsidRPr="009C5151">
        <w:rPr>
          <w:rStyle w:val="Strong"/>
          <w:b/>
          <w:bCs/>
          <w:sz w:val="24"/>
          <w:szCs w:val="24"/>
        </w:rPr>
        <w:t>I. Detailed Templates for Agreements</w:t>
      </w:r>
      <w:bookmarkEnd w:id="693"/>
      <w:bookmarkEnd w:id="694"/>
      <w:bookmarkEnd w:id="695"/>
      <w:bookmarkEnd w:id="696"/>
    </w:p>
    <w:p w:rsidR="00A056B6" w:rsidRPr="009C5151" w:rsidRDefault="00A056B6" w:rsidP="00743A5F">
      <w:pPr>
        <w:pStyle w:val="Heading4"/>
        <w:spacing w:before="0" w:beforeAutospacing="0"/>
      </w:pPr>
      <w:r w:rsidRPr="009C5151">
        <w:rPr>
          <w:rStyle w:val="Strong"/>
          <w:b/>
          <w:bCs/>
        </w:rPr>
        <w:t>1. Licensing Agreement for Royalty Payments</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Licensing Agreement</w:t>
      </w:r>
      <w:r w:rsidRPr="009C5151">
        <w:br/>
        <w:t>This Agreement is made and entered into on [Date] by and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EcoInfra Pvt. Ltd.</w:t>
      </w:r>
      <w:r w:rsidRPr="009C5151">
        <w:rPr>
          <w:rFonts w:ascii="Times New Roman" w:hAnsi="Times New Roman" w:cs="Times New Roman"/>
          <w:sz w:val="24"/>
          <w:szCs w:val="24"/>
        </w:rPr>
        <w:t xml:space="preserve"> ("Licensee"), having its principal office at [Address],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GreenTech Pte Ltd.</w:t>
      </w:r>
      <w:r w:rsidRPr="009C5151">
        <w:rPr>
          <w:rFonts w:ascii="Times New Roman" w:hAnsi="Times New Roman" w:cs="Times New Roman"/>
          <w:sz w:val="24"/>
          <w:szCs w:val="24"/>
        </w:rPr>
        <w:t xml:space="preserve"> ("Licensor"), having its principal office at [Address].</w:t>
      </w:r>
    </w:p>
    <w:p w:rsidR="00A056B6" w:rsidRPr="009C5151" w:rsidRDefault="00A056B6" w:rsidP="00743A5F">
      <w:pPr>
        <w:pStyle w:val="NormalWeb"/>
        <w:spacing w:before="0" w:beforeAutospacing="0"/>
      </w:pPr>
      <w:r w:rsidRPr="009C5151">
        <w:rPr>
          <w:rStyle w:val="Strong"/>
        </w:rPr>
        <w:t>Recitals</w:t>
      </w:r>
      <w:r w:rsidRPr="009C5151">
        <w:t>:</w:t>
      </w:r>
      <w:r w:rsidRPr="009C5151">
        <w:br/>
        <w:t>The Licensor owns proprietary software for smart city management, which the Licensee intends to license for use in India.</w:t>
      </w:r>
    </w:p>
    <w:p w:rsidR="00A056B6" w:rsidRPr="009C5151" w:rsidRDefault="00A056B6" w:rsidP="00743A5F">
      <w:pPr>
        <w:pStyle w:val="NormalWeb"/>
        <w:spacing w:before="0" w:beforeAutospacing="0"/>
      </w:pPr>
      <w:r w:rsidRPr="009C5151">
        <w:rPr>
          <w:rStyle w:val="Strong"/>
        </w:rPr>
        <w:t>Terms and Conditions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Grant of License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Licensor grants Licensee a non-exclusive, non-transferable license to use the software.</w:t>
      </w:r>
    </w:p>
    <w:p w:rsidR="00A056B6" w:rsidRPr="009C5151" w:rsidRDefault="00A056B6" w:rsidP="00743A5F">
      <w:pPr>
        <w:pStyle w:val="NormalWeb"/>
        <w:tabs>
          <w:tab w:val="num" w:pos="720"/>
        </w:tabs>
        <w:spacing w:before="0" w:beforeAutospacing="0"/>
        <w:ind w:left="720" w:hanging="360"/>
      </w:pPr>
      <w:r w:rsidRPr="009C5151">
        <w:rPr>
          <w:rStyle w:val="Strong"/>
        </w:rPr>
        <w:t>Royalty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Licensee agrees to pay a royalty of </w:t>
      </w:r>
      <w:r w:rsidRPr="009C5151">
        <w:rPr>
          <w:rStyle w:val="Strong"/>
          <w:rFonts w:ascii="Times New Roman" w:hAnsi="Times New Roman" w:cs="Times New Roman"/>
          <w:sz w:val="24"/>
          <w:szCs w:val="24"/>
        </w:rPr>
        <w:t>6% of net revenue</w:t>
      </w:r>
      <w:r w:rsidRPr="009C5151">
        <w:rPr>
          <w:rFonts w:ascii="Times New Roman" w:hAnsi="Times New Roman" w:cs="Times New Roman"/>
          <w:sz w:val="24"/>
          <w:szCs w:val="24"/>
        </w:rPr>
        <w:t xml:space="preserve"> derived from projects using the licensed software.</w:t>
      </w:r>
    </w:p>
    <w:p w:rsidR="00A056B6" w:rsidRPr="009C5151" w:rsidRDefault="00A056B6" w:rsidP="00743A5F">
      <w:pPr>
        <w:pStyle w:val="NormalWeb"/>
        <w:tabs>
          <w:tab w:val="num" w:pos="720"/>
        </w:tabs>
        <w:spacing w:before="0" w:beforeAutospacing="0"/>
        <w:ind w:left="720" w:hanging="360"/>
      </w:pPr>
      <w:r w:rsidRPr="009C5151">
        <w:rPr>
          <w:rStyle w:val="Strong"/>
        </w:rPr>
        <w:t>Payment Terms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Royalty payments to be made quarterly within </w:t>
      </w:r>
      <w:r w:rsidRPr="009C5151">
        <w:rPr>
          <w:rStyle w:val="Strong"/>
          <w:rFonts w:ascii="Times New Roman" w:hAnsi="Times New Roman" w:cs="Times New Roman"/>
          <w:sz w:val="24"/>
          <w:szCs w:val="24"/>
        </w:rPr>
        <w:t>30 days</w:t>
      </w:r>
      <w:r w:rsidRPr="009C5151">
        <w:rPr>
          <w:rFonts w:ascii="Times New Roman" w:hAnsi="Times New Roman" w:cs="Times New Roman"/>
          <w:sz w:val="24"/>
          <w:szCs w:val="24"/>
        </w:rPr>
        <w:t xml:space="preserve"> of the end of each quarter.</w:t>
      </w:r>
    </w:p>
    <w:p w:rsidR="00A056B6" w:rsidRPr="009C5151" w:rsidRDefault="00A056B6" w:rsidP="00743A5F">
      <w:pPr>
        <w:pStyle w:val="NormalWeb"/>
        <w:tabs>
          <w:tab w:val="num" w:pos="720"/>
        </w:tabs>
        <w:spacing w:before="0" w:beforeAutospacing="0"/>
        <w:ind w:left="720" w:hanging="360"/>
      </w:pPr>
      <w:r w:rsidRPr="009C5151">
        <w:rPr>
          <w:rStyle w:val="Strong"/>
        </w:rPr>
        <w:t>Tax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Royalty payments are subject to </w:t>
      </w:r>
      <w:r w:rsidRPr="009C5151">
        <w:rPr>
          <w:rStyle w:val="Strong"/>
          <w:rFonts w:ascii="Times New Roman" w:hAnsi="Times New Roman" w:cs="Times New Roman"/>
          <w:sz w:val="24"/>
          <w:szCs w:val="24"/>
        </w:rPr>
        <w:t>10% WHT</w:t>
      </w:r>
      <w:r w:rsidRPr="009C5151">
        <w:rPr>
          <w:rFonts w:ascii="Times New Roman" w:hAnsi="Times New Roman" w:cs="Times New Roman"/>
          <w:sz w:val="24"/>
          <w:szCs w:val="24"/>
        </w:rPr>
        <w:t xml:space="preserve"> under the India-Singapore DTAA.</w:t>
      </w:r>
    </w:p>
    <w:p w:rsidR="00A056B6" w:rsidRPr="009C5151" w:rsidRDefault="00A056B6" w:rsidP="00743A5F">
      <w:pPr>
        <w:pStyle w:val="NormalWeb"/>
        <w:tabs>
          <w:tab w:val="num" w:pos="720"/>
        </w:tabs>
        <w:spacing w:before="0" w:beforeAutospacing="0"/>
        <w:ind w:left="720" w:hanging="360"/>
      </w:pPr>
      <w:r w:rsidRPr="009C5151">
        <w:rPr>
          <w:rStyle w:val="Strong"/>
        </w:rPr>
        <w:t>Confidentiality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Both parties agree to maintain the confidentiality of the software and this agreement.</w:t>
      </w:r>
    </w:p>
    <w:p w:rsidR="00A056B6" w:rsidRPr="009C5151" w:rsidRDefault="00A056B6" w:rsidP="00743A5F">
      <w:pPr>
        <w:pStyle w:val="NormalWeb"/>
        <w:spacing w:before="0" w:beforeAutospacing="0"/>
      </w:pPr>
      <w:r w:rsidRPr="009C5151">
        <w:rPr>
          <w:rStyle w:val="Strong"/>
        </w:rPr>
        <w:t>Signed</w:t>
      </w:r>
      <w:r w:rsidRPr="009C5151">
        <w:t>:</w:t>
      </w:r>
      <w:r w:rsidRPr="009C5151">
        <w:br/>
        <w:t>For EcoInfra Pvt. Ltd. | For GreenTech Pte Ltd.</w:t>
      </w:r>
      <w:r w:rsidRPr="009C5151">
        <w:br/>
        <w:t>_________________________ | _________________________</w:t>
      </w:r>
      <w:r w:rsidRPr="009C5151">
        <w:br/>
        <w:t>Authorized Signatory | Authorized Signatory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1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Loan Agreement for Interest Payments</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Loan Agreement</w:t>
      </w:r>
      <w:r w:rsidRPr="009C5151">
        <w:br/>
        <w:t>This Agreement is made on [Date] by and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EcoInfra Pvt. Ltd.</w:t>
      </w:r>
      <w:r w:rsidRPr="009C5151">
        <w:rPr>
          <w:rFonts w:ascii="Times New Roman" w:hAnsi="Times New Roman" w:cs="Times New Roman"/>
          <w:sz w:val="24"/>
          <w:szCs w:val="24"/>
        </w:rPr>
        <w:t xml:space="preserve"> ("Borrower"), having its principal office at [Address],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EnergyFinance LLC</w:t>
      </w:r>
      <w:r w:rsidRPr="009C5151">
        <w:rPr>
          <w:rFonts w:ascii="Times New Roman" w:hAnsi="Times New Roman" w:cs="Times New Roman"/>
          <w:sz w:val="24"/>
          <w:szCs w:val="24"/>
        </w:rPr>
        <w:t xml:space="preserve"> ("Lender"), having its principal office at [Address].</w:t>
      </w:r>
    </w:p>
    <w:p w:rsidR="00A056B6" w:rsidRPr="009C5151" w:rsidRDefault="00A056B6" w:rsidP="00743A5F">
      <w:pPr>
        <w:pStyle w:val="NormalWeb"/>
        <w:spacing w:before="0" w:beforeAutospacing="0"/>
      </w:pPr>
      <w:r w:rsidRPr="009C5151">
        <w:rPr>
          <w:rStyle w:val="Strong"/>
        </w:rPr>
        <w:t>Terms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Loan Amount</w:t>
      </w:r>
      <w:r w:rsidRPr="009C5151">
        <w:rPr>
          <w:rFonts w:ascii="Times New Roman" w:hAnsi="Times New Roman" w:cs="Times New Roman"/>
          <w:sz w:val="24"/>
          <w:szCs w:val="24"/>
        </w:rPr>
        <w:t>: ₹200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 Rate</w:t>
      </w:r>
      <w:r w:rsidRPr="009C5151">
        <w:rPr>
          <w:rFonts w:ascii="Times New Roman" w:hAnsi="Times New Roman" w:cs="Times New Roman"/>
          <w:sz w:val="24"/>
          <w:szCs w:val="24"/>
        </w:rPr>
        <w:t>: 6% per annum.</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Repayment Terms</w:t>
      </w:r>
      <w:r w:rsidRPr="009C5151">
        <w:rPr>
          <w:rFonts w:ascii="Times New Roman" w:hAnsi="Times New Roman" w:cs="Times New Roman"/>
          <w:sz w:val="24"/>
          <w:szCs w:val="24"/>
        </w:rPr>
        <w:t>: Quarterly installments starting [Start Date].</w:t>
      </w:r>
    </w:p>
    <w:p w:rsidR="00A056B6" w:rsidRPr="009C5151" w:rsidRDefault="00A056B6" w:rsidP="00743A5F">
      <w:pPr>
        <w:pStyle w:val="NormalWeb"/>
        <w:spacing w:before="0" w:beforeAutospacing="0"/>
      </w:pPr>
      <w:r w:rsidRPr="009C5151">
        <w:rPr>
          <w:rStyle w:val="Strong"/>
        </w:rPr>
        <w:t>Tax Compliance</w:t>
      </w:r>
      <w:r w:rsidRPr="009C5151">
        <w:t>:</w:t>
      </w:r>
      <w:r w:rsidRPr="009C5151">
        <w:br/>
        <w:t xml:space="preserve">Interest payments will be subject to </w:t>
      </w:r>
      <w:r w:rsidRPr="009C5151">
        <w:rPr>
          <w:rStyle w:val="Strong"/>
        </w:rPr>
        <w:t>15% WHT</w:t>
      </w:r>
      <w:r w:rsidRPr="009C5151">
        <w:t xml:space="preserve"> under the India-Russia DTAA.</w:t>
      </w:r>
    </w:p>
    <w:p w:rsidR="00A056B6" w:rsidRPr="009C5151" w:rsidRDefault="00A056B6" w:rsidP="00743A5F">
      <w:pPr>
        <w:pStyle w:val="NormalWeb"/>
        <w:spacing w:before="0" w:beforeAutospacing="0"/>
      </w:pPr>
      <w:r w:rsidRPr="009C5151">
        <w:rPr>
          <w:rStyle w:val="Strong"/>
        </w:rPr>
        <w:t>Signed</w:t>
      </w:r>
      <w:r w:rsidRPr="009C5151">
        <w:t>:</w:t>
      </w:r>
      <w:r w:rsidRPr="009C5151">
        <w:br/>
        <w:t>For EcoInfra Pvt. Ltd. | For EnergyFinance LLC</w:t>
      </w:r>
      <w:r w:rsidRPr="009C5151">
        <w:br/>
        <w:t>_________________________ | _________________________</w:t>
      </w:r>
      <w:r w:rsidRPr="009C5151">
        <w:br/>
        <w:t>Authorized Signatory | Authorized Signatory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1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Service Agreement for Fee for Technical Services</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Technical Services Agreement</w:t>
      </w:r>
      <w:r w:rsidRPr="009C5151">
        <w:br/>
        <w:t>This Agreement is entered into on [Date] by and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EcoInfra Pvt. Ltd.</w:t>
      </w:r>
      <w:r w:rsidRPr="009C5151">
        <w:rPr>
          <w:rFonts w:ascii="Times New Roman" w:hAnsi="Times New Roman" w:cs="Times New Roman"/>
          <w:sz w:val="24"/>
          <w:szCs w:val="24"/>
        </w:rPr>
        <w:t xml:space="preserve"> ("Client"),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EcoConsult GmbH</w:t>
      </w:r>
      <w:r w:rsidRPr="009C5151">
        <w:rPr>
          <w:rFonts w:ascii="Times New Roman" w:hAnsi="Times New Roman" w:cs="Times New Roman"/>
          <w:sz w:val="24"/>
          <w:szCs w:val="24"/>
        </w:rPr>
        <w:t xml:space="preserve"> ("Service Provider").</w:t>
      </w:r>
    </w:p>
    <w:p w:rsidR="00A056B6" w:rsidRPr="009C5151" w:rsidRDefault="00A056B6" w:rsidP="00743A5F">
      <w:pPr>
        <w:pStyle w:val="NormalWeb"/>
        <w:spacing w:before="0" w:beforeAutospacing="0"/>
      </w:pPr>
      <w:r w:rsidRPr="009C5151">
        <w:rPr>
          <w:rStyle w:val="Strong"/>
        </w:rPr>
        <w:lastRenderedPageBreak/>
        <w:t>Scope</w:t>
      </w:r>
      <w:r w:rsidRPr="009C5151">
        <w:t>:</w:t>
      </w:r>
      <w:r w:rsidRPr="009C5151">
        <w:br/>
        <w:t>The Service Provider shall deliver consultancy on sustainable urban development projects in India, including: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Feasibility studies.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Implementation guidance.</w:t>
      </w:r>
    </w:p>
    <w:p w:rsidR="00A056B6" w:rsidRPr="009C5151" w:rsidRDefault="00A056B6" w:rsidP="00743A5F">
      <w:pPr>
        <w:pStyle w:val="NormalWeb"/>
        <w:spacing w:before="0" w:beforeAutospacing="0"/>
      </w:pPr>
      <w:r w:rsidRPr="009C5151">
        <w:rPr>
          <w:rStyle w:val="Strong"/>
        </w:rPr>
        <w:t>Service Fee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Fixed fee: ₹25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Payment Schedule: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50% upon signing.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50% upon project completion.</w:t>
      </w:r>
    </w:p>
    <w:p w:rsidR="00A056B6" w:rsidRPr="009C5151" w:rsidRDefault="00A056B6" w:rsidP="00743A5F">
      <w:pPr>
        <w:pStyle w:val="NormalWeb"/>
        <w:spacing w:before="0" w:beforeAutospacing="0"/>
      </w:pPr>
      <w:r w:rsidRPr="009C5151">
        <w:rPr>
          <w:rStyle w:val="Strong"/>
        </w:rPr>
        <w:t>Tax Compliance</w:t>
      </w:r>
      <w:r w:rsidRPr="009C5151">
        <w:t>:</w:t>
      </w:r>
      <w:r w:rsidRPr="009C5151">
        <w:br/>
        <w:t xml:space="preserve">Payments are subject to </w:t>
      </w:r>
      <w:r w:rsidRPr="009C5151">
        <w:rPr>
          <w:rStyle w:val="Strong"/>
        </w:rPr>
        <w:t>10% WHT</w:t>
      </w:r>
      <w:r w:rsidRPr="009C5151">
        <w:t xml:space="preserve"> under the India-Germany DTAA.</w:t>
      </w:r>
    </w:p>
    <w:p w:rsidR="00A056B6" w:rsidRPr="009C5151" w:rsidRDefault="00A056B6" w:rsidP="00743A5F">
      <w:pPr>
        <w:pStyle w:val="NormalWeb"/>
        <w:spacing w:before="0" w:beforeAutospacing="0"/>
      </w:pPr>
      <w:r w:rsidRPr="009C5151">
        <w:rPr>
          <w:rStyle w:val="Strong"/>
        </w:rPr>
        <w:t>Signed</w:t>
      </w:r>
      <w:r w:rsidRPr="009C5151">
        <w:t>:</w:t>
      </w:r>
      <w:r w:rsidRPr="009C5151">
        <w:br/>
        <w:t>For EcoInfra Pvt. Ltd. | For EcoConsult GmbH</w:t>
      </w:r>
      <w:r w:rsidRPr="009C5151">
        <w:br/>
        <w:t>_________________________ | _________________________</w:t>
      </w:r>
      <w:r w:rsidRPr="009C5151">
        <w:br/>
        <w:t>Authorized Signatory | Authorized Signatory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16"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1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697" w:name="_Toc187624062"/>
      <w:bookmarkStart w:id="698" w:name="_Toc187630782"/>
      <w:bookmarkStart w:id="699" w:name="_Toc187660961"/>
      <w:bookmarkStart w:id="700" w:name="_Toc187662040"/>
      <w:r w:rsidRPr="009C5151">
        <w:rPr>
          <w:rStyle w:val="Strong"/>
          <w:b/>
          <w:bCs/>
          <w:sz w:val="24"/>
          <w:szCs w:val="24"/>
        </w:rPr>
        <w:t>II. Benchmarking Report</w:t>
      </w:r>
      <w:bookmarkEnd w:id="697"/>
      <w:bookmarkEnd w:id="698"/>
      <w:bookmarkEnd w:id="699"/>
      <w:bookmarkEnd w:id="700"/>
    </w:p>
    <w:p w:rsidR="00A056B6" w:rsidRPr="009C5151" w:rsidRDefault="00A056B6" w:rsidP="00743A5F">
      <w:pPr>
        <w:pStyle w:val="Heading4"/>
        <w:spacing w:before="0" w:beforeAutospacing="0"/>
      </w:pPr>
      <w:r w:rsidRPr="009C5151">
        <w:rPr>
          <w:rStyle w:val="Strong"/>
          <w:b/>
          <w:bCs/>
        </w:rPr>
        <w:t>1. Executive Summary</w:t>
      </w:r>
    </w:p>
    <w:p w:rsidR="00A056B6" w:rsidRPr="009C5151" w:rsidRDefault="00A056B6" w:rsidP="00743A5F">
      <w:pPr>
        <w:pStyle w:val="NormalWeb"/>
        <w:spacing w:before="0" w:beforeAutospacing="0"/>
      </w:pPr>
      <w:r w:rsidRPr="009C5151">
        <w:t>The benchmarking report ensures compliance with Indian TP regulations by verifying the arm’s length nature of international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 of Smart City Technology: ₹800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₹50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₹25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₹20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1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Export of Technology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Comparable Companies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SmartCities Ltd.: 13% margin.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UrbanTech Solutions: 15% margin.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SustainableInfra Ltd.: 12% margin.</w:t>
      </w:r>
    </w:p>
    <w:p w:rsidR="00A056B6" w:rsidRPr="009C5151" w:rsidRDefault="00A056B6" w:rsidP="00743A5F">
      <w:pPr>
        <w:pStyle w:val="NormalWeb"/>
        <w:spacing w:before="0" w:beforeAutospacing="0"/>
      </w:pPr>
      <w:r w:rsidRPr="009C5151">
        <w:rPr>
          <w:rStyle w:val="Strong"/>
        </w:rPr>
        <w:t>Benchmark Range</w:t>
      </w:r>
      <w:r w:rsidRPr="009C5151">
        <w:t>: 12%-15%.</w:t>
      </w:r>
      <w:r w:rsidRPr="009C5151">
        <w:br/>
      </w:r>
      <w:r w:rsidRPr="009C5151">
        <w:rPr>
          <w:rStyle w:val="Strong"/>
        </w:rPr>
        <w:t>Actual Margin</w:t>
      </w:r>
      <w:r w:rsidRPr="009C5151">
        <w:t>: 14% (within range).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1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Royalty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Licensing Fees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License A: 5.5%.</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License B: 6.0%.</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License C: 7.0%.</w:t>
      </w:r>
    </w:p>
    <w:p w:rsidR="00A056B6" w:rsidRPr="009C5151" w:rsidRDefault="00A056B6" w:rsidP="00743A5F">
      <w:pPr>
        <w:pStyle w:val="NormalWeb"/>
        <w:spacing w:before="0" w:beforeAutospacing="0"/>
      </w:pPr>
      <w:r w:rsidRPr="009C5151">
        <w:rPr>
          <w:rStyle w:val="Strong"/>
        </w:rPr>
        <w:t>Benchmark Range</w:t>
      </w:r>
      <w:r w:rsidRPr="009C5151">
        <w:t>: 5.5%-7.0%.</w:t>
      </w:r>
      <w:r w:rsidRPr="009C5151">
        <w:br/>
      </w:r>
      <w:r w:rsidRPr="009C5151">
        <w:rPr>
          <w:rStyle w:val="Strong"/>
        </w:rPr>
        <w:t>Actual Payment</w:t>
      </w:r>
      <w:r w:rsidRPr="009C5151">
        <w:t>: 6% (within range).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2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Fee for Technical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Markups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Provider A: 12%.</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Provider B: 14%.</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Provider C: 15%.</w:t>
      </w:r>
    </w:p>
    <w:p w:rsidR="00A056B6" w:rsidRPr="009C5151" w:rsidRDefault="00A056B6" w:rsidP="00743A5F">
      <w:pPr>
        <w:pStyle w:val="NormalWeb"/>
        <w:spacing w:before="0" w:beforeAutospacing="0"/>
      </w:pPr>
      <w:r w:rsidRPr="009C5151">
        <w:rPr>
          <w:rStyle w:val="Strong"/>
        </w:rPr>
        <w:t>Benchmark Range</w:t>
      </w:r>
      <w:r w:rsidRPr="009C5151">
        <w:t>: 12%-15%.</w:t>
      </w:r>
      <w:r w:rsidRPr="009C5151">
        <w:br/>
      </w:r>
      <w:r w:rsidRPr="009C5151">
        <w:rPr>
          <w:rStyle w:val="Strong"/>
        </w:rPr>
        <w:t>Actual Markup</w:t>
      </w:r>
      <w:r w:rsidRPr="009C5151">
        <w:t>: ₹5 crore ÷ ₹20 crore (base cost) = 13% (within range).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2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Interest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Comparable Rates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Loan A: LIBOR + 2% = 4.5%.</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Loan B: LIBOR + 3% = 5.5%.</w:t>
      </w:r>
    </w:p>
    <w:p w:rsidR="00A056B6" w:rsidRPr="009C5151" w:rsidRDefault="00A056B6" w:rsidP="00743A5F">
      <w:pPr>
        <w:pStyle w:val="NormalWeb"/>
        <w:spacing w:before="0" w:beforeAutospacing="0"/>
      </w:pPr>
      <w:r w:rsidRPr="009C5151">
        <w:rPr>
          <w:rStyle w:val="Strong"/>
        </w:rPr>
        <w:t>Benchmark Range</w:t>
      </w:r>
      <w:r w:rsidRPr="009C5151">
        <w:t>: 4.5%-5.5%.</w:t>
      </w:r>
      <w:r w:rsidRPr="009C5151">
        <w:br/>
      </w:r>
      <w:r w:rsidRPr="009C5151">
        <w:rPr>
          <w:rStyle w:val="Strong"/>
        </w:rPr>
        <w:t>Actual Interest Rate</w:t>
      </w:r>
      <w:r w:rsidRPr="009C5151">
        <w:t>: 6% (justifiable for additional risk premium).</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22"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2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01" w:name="_Toc187624063"/>
      <w:bookmarkStart w:id="702" w:name="_Toc187630783"/>
      <w:bookmarkStart w:id="703" w:name="_Toc187660962"/>
      <w:bookmarkStart w:id="704" w:name="_Toc187662041"/>
      <w:r w:rsidRPr="009C5151">
        <w:rPr>
          <w:rStyle w:val="Strong"/>
          <w:b/>
          <w:bCs/>
          <w:sz w:val="24"/>
          <w:szCs w:val="24"/>
        </w:rPr>
        <w:t>III. Filing Compliance Assistance</w:t>
      </w:r>
      <w:bookmarkEnd w:id="701"/>
      <w:bookmarkEnd w:id="702"/>
      <w:bookmarkEnd w:id="703"/>
      <w:bookmarkEnd w:id="704"/>
    </w:p>
    <w:p w:rsidR="00A056B6" w:rsidRPr="009C5151" w:rsidRDefault="00A056B6" w:rsidP="00743A5F">
      <w:pPr>
        <w:pStyle w:val="Heading4"/>
        <w:spacing w:before="0" w:beforeAutospacing="0"/>
      </w:pPr>
      <w:r w:rsidRPr="009C5151">
        <w:rPr>
          <w:rStyle w:val="Strong"/>
          <w:b/>
          <w:bCs/>
        </w:rPr>
        <w:t>1. Withholding Tax (WHT)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File </w:t>
      </w:r>
      <w:r w:rsidRPr="009C5151">
        <w:rPr>
          <w:rStyle w:val="Strong"/>
          <w:rFonts w:ascii="Times New Roman" w:hAnsi="Times New Roman" w:cs="Times New Roman"/>
          <w:sz w:val="24"/>
          <w:szCs w:val="24"/>
        </w:rPr>
        <w:t>Form 27Q</w:t>
      </w:r>
      <w:r w:rsidRPr="009C5151">
        <w:rPr>
          <w:rFonts w:ascii="Times New Roman" w:hAnsi="Times New Roman" w:cs="Times New Roman"/>
          <w:sz w:val="24"/>
          <w:szCs w:val="24"/>
        </w:rPr>
        <w:t xml:space="preserve"> quarterly for all payments subject to WHT.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Provide </w:t>
      </w:r>
      <w:r w:rsidRPr="009C5151">
        <w:rPr>
          <w:rStyle w:val="Strong"/>
          <w:rFonts w:ascii="Times New Roman" w:hAnsi="Times New Roman" w:cs="Times New Roman"/>
          <w:sz w:val="24"/>
          <w:szCs w:val="24"/>
        </w:rPr>
        <w:t>Form 16A</w:t>
      </w:r>
      <w:r w:rsidRPr="009C5151">
        <w:rPr>
          <w:rFonts w:ascii="Times New Roman" w:hAnsi="Times New Roman" w:cs="Times New Roman"/>
          <w:sz w:val="24"/>
          <w:szCs w:val="24"/>
        </w:rPr>
        <w:t xml:space="preserve"> to payees as proof of WHT deduction.</w:t>
      </w:r>
    </w:p>
    <w:p w:rsidR="00A056B6" w:rsidRPr="009C5151" w:rsidRDefault="00A056B6" w:rsidP="00743A5F">
      <w:pPr>
        <w:pStyle w:val="NormalWeb"/>
        <w:spacing w:before="0" w:beforeAutospacing="0"/>
      </w:pPr>
      <w:r w:rsidRPr="009C5151">
        <w:rPr>
          <w:rStyle w:val="Strong"/>
        </w:rPr>
        <w:t>Example WHT Summary</w:t>
      </w:r>
      <w:r w:rsidRPr="009C5151">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8"/>
        <w:gridCol w:w="1240"/>
        <w:gridCol w:w="1187"/>
        <w:gridCol w:w="1887"/>
        <w:gridCol w:w="1789"/>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Amount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Due Date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(Russia)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2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Levy Amount</w:t>
      </w:r>
      <w:r w:rsidRPr="009C5151">
        <w:rPr>
          <w:rFonts w:ascii="Times New Roman" w:hAnsi="Times New Roman" w:cs="Times New Roman"/>
          <w:sz w:val="24"/>
          <w:szCs w:val="24"/>
        </w:rPr>
        <w:t>: ₹10 crore × 6% = ₹60 lakh.</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Remit using </w:t>
      </w:r>
      <w:r w:rsidRPr="009C5151">
        <w:rPr>
          <w:rStyle w:val="Strong"/>
          <w:rFonts w:ascii="Times New Roman" w:hAnsi="Times New Roman" w:cs="Times New Roman"/>
          <w:sz w:val="24"/>
          <w:szCs w:val="24"/>
        </w:rPr>
        <w:t>Challan ITNS 285</w:t>
      </w:r>
      <w:r w:rsidRPr="009C5151">
        <w:rPr>
          <w:rFonts w:ascii="Times New Roman" w:hAnsi="Times New Roman" w:cs="Times New Roman"/>
          <w:sz w:val="24"/>
          <w:szCs w:val="24"/>
        </w:rPr>
        <w:t xml:space="preserve"> by the </w:t>
      </w:r>
      <w:r w:rsidRPr="009C5151">
        <w:rPr>
          <w:rStyle w:val="Strong"/>
          <w:rFonts w:ascii="Times New Roman" w:hAnsi="Times New Roman" w:cs="Times New Roman"/>
          <w:sz w:val="24"/>
          <w:szCs w:val="24"/>
        </w:rPr>
        <w:t>7th of next month</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File </w:t>
      </w:r>
      <w:r w:rsidRPr="009C5151">
        <w:rPr>
          <w:rStyle w:val="Strong"/>
          <w:rFonts w:ascii="Times New Roman" w:hAnsi="Times New Roman" w:cs="Times New Roman"/>
          <w:sz w:val="24"/>
          <w:szCs w:val="24"/>
        </w:rPr>
        <w:t>Form 1</w:t>
      </w:r>
      <w:r w:rsidRPr="009C5151">
        <w:rPr>
          <w:rFonts w:ascii="Times New Roman" w:hAnsi="Times New Roman" w:cs="Times New Roman"/>
          <w:sz w:val="24"/>
          <w:szCs w:val="24"/>
        </w:rPr>
        <w:t xml:space="preserve"> by </w:t>
      </w:r>
      <w:r w:rsidRPr="009C5151">
        <w:rPr>
          <w:rStyle w:val="Strong"/>
          <w:rFonts w:ascii="Times New Roman" w:hAnsi="Times New Roman" w:cs="Times New Roman"/>
          <w:sz w:val="24"/>
          <w:szCs w:val="24"/>
        </w:rPr>
        <w:t>30th June</w:t>
      </w:r>
      <w:r w:rsidRPr="009C5151">
        <w:rPr>
          <w:rFonts w:ascii="Times New Roman" w:hAnsi="Times New Roman" w:cs="Times New Roman"/>
          <w:sz w:val="24"/>
          <w:szCs w:val="24"/>
        </w:rPr>
        <w:t xml:space="preserve"> annually.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2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Country-by-Country (CbC) Reporting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CbC report with jurisdiction-wise details, including: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Revenue, profits, taxes paid.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Key activities in each jurisdiction.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26" style="width:0;height:1.5pt" o:hralign="center" o:hrstd="t" o:hr="t" fillcolor="#a0a0a0" stroked="f"/>
        </w:pict>
      </w:r>
    </w:p>
    <w:p w:rsidR="00A056B6" w:rsidRPr="009C5151" w:rsidRDefault="00A056B6" w:rsidP="00743A5F">
      <w:pPr>
        <w:pStyle w:val="NormalWeb"/>
        <w:spacing w:before="0" w:beforeAutospacing="0"/>
      </w:pPr>
      <w:r w:rsidRPr="009C5151">
        <w:lastRenderedPageBreak/>
        <w:t xml:space="preserve">Would you like </w:t>
      </w:r>
      <w:r w:rsidRPr="009C5151">
        <w:rPr>
          <w:rStyle w:val="Strong"/>
        </w:rPr>
        <w:t>editable templates</w:t>
      </w:r>
      <w:r w:rsidRPr="009C5151">
        <w:t>, guidance for uploading compliance forms on the Income Tax Portal, or specific help in drafting any missing document?</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16 th example of different set of issues and problem and suggested solutions by a CA to a Company including a detailed discussion on the various topics covered under suggestions and Conclusion. Please include in addition to the above transactions like Withholding tax, CbC reporting, Mutual Agreement procedure, DTAA with countries like USA, UK, Germany, Singapore, Mauritius, China, Russia and Germany; equalization levy; Please first list down the case, issues, documents and CA advise, Dividend and Interest, Royalty and Fee for Technical Services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DF93FDC" wp14:editId="6E13B5A8">
            <wp:extent cx="763905" cy="763905"/>
            <wp:effectExtent l="0" t="0" r="0" b="0"/>
            <wp:docPr id="296" name="Picture 29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9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705" w:name="_Toc187624064"/>
      <w:bookmarkStart w:id="706" w:name="_Toc187630784"/>
      <w:bookmarkStart w:id="707" w:name="_Toc187660963"/>
      <w:bookmarkStart w:id="708" w:name="_Toc187662042"/>
      <w:r w:rsidRPr="009C5151">
        <w:rPr>
          <w:rStyle w:val="Strong"/>
          <w:b/>
          <w:bCs/>
          <w:sz w:val="24"/>
          <w:szCs w:val="24"/>
        </w:rPr>
        <w:t>Case Study: Tax and Compliance Challenges for TechGlobal Pvt. Ltd.</w:t>
      </w:r>
      <w:bookmarkEnd w:id="705"/>
      <w:bookmarkEnd w:id="706"/>
      <w:bookmarkEnd w:id="707"/>
      <w:bookmarkEnd w:id="708"/>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2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09" w:name="_Toc187624065"/>
      <w:bookmarkStart w:id="710" w:name="_Toc187630785"/>
      <w:bookmarkStart w:id="711" w:name="_Toc187660964"/>
      <w:bookmarkStart w:id="712" w:name="_Toc187662043"/>
      <w:r w:rsidRPr="009C5151">
        <w:rPr>
          <w:rStyle w:val="Strong"/>
          <w:b/>
          <w:bCs/>
          <w:sz w:val="24"/>
          <w:szCs w:val="24"/>
        </w:rPr>
        <w:t>Background</w:t>
      </w:r>
      <w:bookmarkEnd w:id="709"/>
      <w:bookmarkEnd w:id="710"/>
      <w:bookmarkEnd w:id="711"/>
      <w:bookmarkEnd w:id="712"/>
    </w:p>
    <w:p w:rsidR="00A056B6" w:rsidRPr="009C5151" w:rsidRDefault="00A056B6" w:rsidP="00743A5F">
      <w:pPr>
        <w:pStyle w:val="NormalWeb"/>
        <w:spacing w:before="0" w:beforeAutospacing="0"/>
      </w:pPr>
      <w:r w:rsidRPr="009C5151">
        <w:t xml:space="preserve">TechGlobal Pvt. Ltd., an Indian company engaged in IT consulting and software development, operates globally in </w:t>
      </w:r>
      <w:r w:rsidRPr="009C5151">
        <w:rPr>
          <w:rStyle w:val="Strong"/>
        </w:rPr>
        <w:t>USA, UK, Germany, Singapore, Mauritius, China, and Russia</w:t>
      </w:r>
      <w:r w:rsidRPr="009C5151">
        <w:t xml:space="preserve">. The company handles diverse cross-border transactions, including </w:t>
      </w:r>
      <w:r w:rsidRPr="009C5151">
        <w:rPr>
          <w:rStyle w:val="Strong"/>
        </w:rPr>
        <w:t>exports</w:t>
      </w:r>
      <w:r w:rsidRPr="009C5151">
        <w:t xml:space="preserve">, </w:t>
      </w:r>
      <w:r w:rsidRPr="009C5151">
        <w:rPr>
          <w:rStyle w:val="Strong"/>
        </w:rPr>
        <w:t>royalty payments</w:t>
      </w:r>
      <w:r w:rsidRPr="009C5151">
        <w:t xml:space="preserve">, </w:t>
      </w:r>
      <w:r w:rsidRPr="009C5151">
        <w:rPr>
          <w:rStyle w:val="Strong"/>
        </w:rPr>
        <w:t>interest payments</w:t>
      </w:r>
      <w:r w:rsidRPr="009C5151">
        <w:t xml:space="preserve">, </w:t>
      </w:r>
      <w:r w:rsidRPr="009C5151">
        <w:rPr>
          <w:rStyle w:val="Strong"/>
        </w:rPr>
        <w:t>fee for technical services (FTS)</w:t>
      </w:r>
      <w:r w:rsidRPr="009C5151">
        <w:t xml:space="preserve">, and </w:t>
      </w:r>
      <w:r w:rsidRPr="009C5151">
        <w:rPr>
          <w:rStyle w:val="Strong"/>
        </w:rPr>
        <w:t>dividends</w:t>
      </w:r>
      <w:r w:rsidRPr="009C5151">
        <w:t xml:space="preserve">. The company also faces compliance requirements related to </w:t>
      </w:r>
      <w:r w:rsidRPr="009C5151">
        <w:rPr>
          <w:rStyle w:val="Strong"/>
        </w:rPr>
        <w:t>withholding tax (WHT)</w:t>
      </w:r>
      <w:r w:rsidRPr="009C5151">
        <w:t xml:space="preserve">, </w:t>
      </w:r>
      <w:r w:rsidRPr="009C5151">
        <w:rPr>
          <w:rStyle w:val="Strong"/>
        </w:rPr>
        <w:t>Country-by-Country (CbC) Reporting</w:t>
      </w:r>
      <w:r w:rsidRPr="009C5151">
        <w:t xml:space="preserve">, </w:t>
      </w:r>
      <w:r w:rsidRPr="009C5151">
        <w:rPr>
          <w:rStyle w:val="Strong"/>
        </w:rPr>
        <w:t>Mutual Agreement Procedure (MAP)</w:t>
      </w:r>
      <w:r w:rsidRPr="009C5151">
        <w:t xml:space="preserve">, </w:t>
      </w:r>
      <w:r w:rsidRPr="009C5151">
        <w:rPr>
          <w:rStyle w:val="Strong"/>
        </w:rPr>
        <w:t>equalization levy (EL)</w:t>
      </w:r>
      <w:r w:rsidRPr="009C5151">
        <w:t xml:space="preserve">, and tax treaty applications under various </w:t>
      </w:r>
      <w:r w:rsidRPr="009C5151">
        <w:rPr>
          <w:rStyle w:val="Strong"/>
        </w:rPr>
        <w:t>DTAAs</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2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13" w:name="_Toc187624066"/>
      <w:bookmarkStart w:id="714" w:name="_Toc187630786"/>
      <w:bookmarkStart w:id="715" w:name="_Toc187660965"/>
      <w:bookmarkStart w:id="716" w:name="_Toc187662044"/>
      <w:r w:rsidRPr="009C5151">
        <w:rPr>
          <w:rStyle w:val="Strong"/>
          <w:b/>
          <w:bCs/>
          <w:sz w:val="24"/>
          <w:szCs w:val="24"/>
        </w:rPr>
        <w:t>Transactions</w:t>
      </w:r>
      <w:bookmarkEnd w:id="713"/>
      <w:bookmarkEnd w:id="714"/>
      <w:bookmarkEnd w:id="715"/>
      <w:bookmarkEnd w:id="716"/>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Software Products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Exported ₹900 crore worth of software products to AEs in the USA, UK, and Germany.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₹60 crore to a Singapore AE for licensing software IP.</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Paid ₹30 crore to a German AE for cloud architecture consultancy.</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₹25 crore to a Chinese AE on inter-company loans.</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₹50 crore in dividends to its parent company in Mauritius.</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₹15 crore to a USA-based platform for global promotions of software products.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2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Corporate Services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Paid ₹12 crore to an Indian AE for HR and IT support services.</w:t>
      </w:r>
    </w:p>
    <w:p w:rsidR="00A056B6" w:rsidRPr="009C5151" w:rsidRDefault="00A056B6" w:rsidP="00743A5F">
      <w:pPr>
        <w:pStyle w:val="NormalWeb"/>
        <w:tabs>
          <w:tab w:val="num" w:pos="720"/>
        </w:tabs>
        <w:spacing w:before="0" w:beforeAutospacing="0"/>
        <w:ind w:left="720" w:hanging="360"/>
      </w:pPr>
      <w:r w:rsidRPr="009C5151">
        <w:rPr>
          <w:rStyle w:val="Strong"/>
        </w:rPr>
        <w:t>Leasing of Development Infrastructure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Leased ₹18 crore worth of development hardware to another domestic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30"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3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17" w:name="_Toc187624067"/>
      <w:bookmarkStart w:id="718" w:name="_Toc187630787"/>
      <w:bookmarkStart w:id="719" w:name="_Toc187660966"/>
      <w:bookmarkStart w:id="720" w:name="_Toc187662045"/>
      <w:r w:rsidRPr="009C5151">
        <w:rPr>
          <w:rStyle w:val="Strong"/>
          <w:b/>
          <w:bCs/>
          <w:sz w:val="24"/>
          <w:szCs w:val="24"/>
        </w:rPr>
        <w:t>Key Issues</w:t>
      </w:r>
      <w:bookmarkEnd w:id="717"/>
      <w:bookmarkEnd w:id="718"/>
      <w:bookmarkEnd w:id="719"/>
      <w:bookmarkEnd w:id="720"/>
    </w:p>
    <w:p w:rsidR="00A056B6" w:rsidRPr="009C5151" w:rsidRDefault="00A056B6" w:rsidP="00743A5F">
      <w:pPr>
        <w:pStyle w:val="Heading4"/>
        <w:spacing w:before="0" w:beforeAutospacing="0"/>
      </w:pPr>
      <w:r w:rsidRPr="009C5151">
        <w:rPr>
          <w:rStyle w:val="Strong"/>
          <w:b/>
          <w:bCs/>
        </w:rPr>
        <w:t>1. 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₹900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₹60 crore royalty payments to Singapore AE.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₹30 crore FTS payments to German AE.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₹25 crore interest payments to Chinese AE.</w: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Deducting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Interest payments (10% under India-China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to Mauritius (0% WHT under DTAA).</w: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₹15 crore advertising payments to the USA platform.</w:t>
      </w:r>
    </w:p>
    <w:p w:rsidR="00A056B6" w:rsidRPr="009C5151" w:rsidRDefault="00A056B6" w:rsidP="00743A5F">
      <w:pPr>
        <w:pStyle w:val="Heading4"/>
        <w:spacing w:before="0" w:beforeAutospacing="0"/>
      </w:pPr>
      <w:r w:rsidRPr="009C5151">
        <w:rPr>
          <w:rStyle w:val="Strong"/>
          <w:b/>
          <w:bCs/>
        </w:rPr>
        <w:t>4. Country-by-Country (CbC) Reporting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Required as group revenue exceeds ₹6,400 crore.</w:t>
      </w:r>
    </w:p>
    <w:p w:rsidR="00A056B6" w:rsidRPr="009C5151" w:rsidRDefault="00A056B6" w:rsidP="00743A5F">
      <w:pPr>
        <w:pStyle w:val="Heading4"/>
        <w:spacing w:before="0" w:beforeAutospacing="0"/>
      </w:pPr>
      <w:r w:rsidRPr="009C5151">
        <w:rPr>
          <w:rStyle w:val="Strong"/>
          <w:b/>
          <w:bCs/>
        </w:rPr>
        <w:t>5. Mutual Agreement Procedure (MAP)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Double taxation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under India-Germany DTAA.</w:t>
      </w:r>
    </w:p>
    <w:p w:rsidR="00A056B6" w:rsidRPr="009C5151" w:rsidRDefault="00A056B6" w:rsidP="00743A5F">
      <w:pPr>
        <w:pStyle w:val="Heading4"/>
        <w:spacing w:before="0" w:beforeAutospacing="0"/>
      </w:pPr>
      <w:r w:rsidRPr="009C5151">
        <w:rPr>
          <w:rStyle w:val="Strong"/>
          <w:b/>
          <w:bCs/>
        </w:rPr>
        <w:t>6. Specified Domestic Transactions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₹12 crore shared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₹18 crore leasing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32"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3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21" w:name="_Toc187624068"/>
      <w:bookmarkStart w:id="722" w:name="_Toc187630788"/>
      <w:bookmarkStart w:id="723" w:name="_Toc187660967"/>
      <w:bookmarkStart w:id="724" w:name="_Toc187662046"/>
      <w:r w:rsidRPr="009C5151">
        <w:rPr>
          <w:rStyle w:val="Strong"/>
          <w:b/>
          <w:bCs/>
          <w:sz w:val="24"/>
          <w:szCs w:val="24"/>
        </w:rPr>
        <w:t>Documents Required</w:t>
      </w:r>
      <w:bookmarkEnd w:id="721"/>
      <w:bookmarkEnd w:id="722"/>
      <w:bookmarkEnd w:id="723"/>
      <w:bookmarkEnd w:id="724"/>
    </w:p>
    <w:p w:rsidR="00A056B6" w:rsidRPr="009C5151" w:rsidRDefault="00A056B6" w:rsidP="00743A5F">
      <w:pPr>
        <w:pStyle w:val="NormalWeb"/>
        <w:tabs>
          <w:tab w:val="num" w:pos="720"/>
        </w:tabs>
        <w:spacing w:before="0" w:beforeAutospacing="0"/>
        <w:ind w:left="720" w:hanging="360"/>
      </w:pPr>
      <w:r w:rsidRPr="009C5151">
        <w:rPr>
          <w:rStyle w:val="Strong"/>
        </w:rPr>
        <w:t>Inter-Company 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Export contracts, royalty agreements, FTS agreements, loan agreements, and dividend resolutions.</w:t>
      </w:r>
    </w:p>
    <w:p w:rsidR="00A056B6" w:rsidRPr="009C5151" w:rsidRDefault="00A056B6" w:rsidP="00743A5F">
      <w:pPr>
        <w:pStyle w:val="NormalWeb"/>
        <w:tabs>
          <w:tab w:val="num" w:pos="720"/>
        </w:tabs>
        <w:spacing w:before="0" w:beforeAutospacing="0"/>
        <w:ind w:left="720" w:hanging="360"/>
      </w:pPr>
      <w:r w:rsidRPr="009C5151">
        <w:rPr>
          <w:rStyle w:val="Strong"/>
        </w:rPr>
        <w:t>Invoices and Payment Proofs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amounts for all transactions.</w:t>
      </w:r>
    </w:p>
    <w:p w:rsidR="00A056B6" w:rsidRPr="009C5151" w:rsidRDefault="00A056B6" w:rsidP="00743A5F">
      <w:pPr>
        <w:pStyle w:val="NormalWeb"/>
        <w:tabs>
          <w:tab w:val="num" w:pos="720"/>
        </w:tabs>
        <w:spacing w:before="0" w:beforeAutospacing="0"/>
        <w:ind w:left="720" w:hanging="360"/>
      </w:pPr>
      <w:r w:rsidRPr="009C5151">
        <w:rPr>
          <w:rStyle w:val="Strong"/>
        </w:rPr>
        <w:t>Tax Residency Certificates (TRC)</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TRCs for Mauritius, Singapore, Germany, and China.</w:t>
      </w:r>
    </w:p>
    <w:p w:rsidR="00A056B6" w:rsidRPr="009C5151" w:rsidRDefault="00A056B6" w:rsidP="00743A5F">
      <w:pPr>
        <w:pStyle w:val="NormalWeb"/>
        <w:tabs>
          <w:tab w:val="num" w:pos="720"/>
        </w:tabs>
        <w:spacing w:before="0" w:beforeAutospacing="0"/>
        <w:ind w:left="720" w:hanging="360"/>
      </w:pPr>
      <w:r w:rsidRPr="009C5151">
        <w:rPr>
          <w:rStyle w:val="Strong"/>
        </w:rPr>
        <w:t>Form 10F</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Supplementary form for DTAA benefits.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CbC Reporting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Details of revenue, profit, and taxes paid globally.</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Allocation of roles, responsibilities, and risks among AEs.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34"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3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25" w:name="_Toc187624069"/>
      <w:bookmarkStart w:id="726" w:name="_Toc187630789"/>
      <w:bookmarkStart w:id="727" w:name="_Toc187660968"/>
      <w:bookmarkStart w:id="728" w:name="_Toc187662047"/>
      <w:r w:rsidRPr="009C5151">
        <w:rPr>
          <w:rStyle w:val="Strong"/>
          <w:b/>
          <w:bCs/>
          <w:sz w:val="24"/>
          <w:szCs w:val="24"/>
        </w:rPr>
        <w:t>Proposed Solutions</w:t>
      </w:r>
      <w:bookmarkEnd w:id="725"/>
      <w:bookmarkEnd w:id="726"/>
      <w:bookmarkEnd w:id="727"/>
      <w:bookmarkEnd w:id="728"/>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Export of Software Products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 xml:space="preserve"> to benchmark ₹900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margins with global software companies.</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 xml:space="preserve"> to benchmark ₹60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royalty rate (5%-7%) with industry standards.</w:t>
      </w:r>
    </w:p>
    <w:p w:rsidR="00A056B6" w:rsidRPr="009C5151" w:rsidRDefault="00A056B6" w:rsidP="00743A5F">
      <w:pPr>
        <w:pStyle w:val="NormalWeb"/>
        <w:tabs>
          <w:tab w:val="num" w:pos="720"/>
        </w:tabs>
        <w:spacing w:before="0" w:beforeAutospacing="0"/>
        <w:ind w:left="720" w:hanging="360"/>
      </w:pPr>
      <w:r w:rsidRPr="009C5151">
        <w:rPr>
          <w:rStyle w:val="Strong"/>
        </w:rPr>
        <w:t>FTS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benchmark ₹30 crore consultancy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markup with technical service providers.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Verify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(deduction limit: 30% of EBITDA).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6% interest rate using LIBOR + spread.</w:t>
      </w:r>
    </w:p>
    <w:p w:rsidR="00A056B6" w:rsidRPr="009C5151" w:rsidRDefault="00A056B6" w:rsidP="00743A5F">
      <w:pPr>
        <w:pStyle w:val="NormalWeb"/>
        <w:tabs>
          <w:tab w:val="num" w:pos="720"/>
        </w:tabs>
        <w:spacing w:before="0" w:beforeAutospacing="0"/>
        <w:ind w:left="720" w:hanging="360"/>
      </w:pPr>
      <w:r w:rsidRPr="009C5151">
        <w:rPr>
          <w:rStyle w:val="Strong"/>
        </w:rPr>
        <w:t>Specified Domestic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benchmark ₹12 crore shared services and ₹18 crore leasing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3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Royalty Payments</w:t>
      </w:r>
      <w:r w:rsidRPr="009C5151">
        <w:rPr>
          <w:rFonts w:ascii="Times New Roman" w:hAnsi="Times New Roman" w:cs="Times New Roman"/>
          <w:sz w:val="24"/>
          <w:szCs w:val="24"/>
        </w:rPr>
        <w:t>: 10% under India-Singapore DTAA (₹60 crore × 10% = ₹6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FTS Payments</w:t>
      </w:r>
      <w:r w:rsidRPr="009C5151">
        <w:rPr>
          <w:rFonts w:ascii="Times New Roman" w:hAnsi="Times New Roman" w:cs="Times New Roman"/>
          <w:sz w:val="24"/>
          <w:szCs w:val="24"/>
        </w:rPr>
        <w:t>: 10% under India-Germany DTAA (₹30 crore × 10% = ₹3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Interest Payments</w:t>
      </w:r>
      <w:r w:rsidRPr="009C5151">
        <w:rPr>
          <w:rFonts w:ascii="Times New Roman" w:hAnsi="Times New Roman" w:cs="Times New Roman"/>
          <w:sz w:val="24"/>
          <w:szCs w:val="24"/>
        </w:rPr>
        <w:t>: 10% under India-China DTAA (₹25 crore × 10% = ₹2.5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3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at 6% on ₹15 crore advertising payments (₹90 lakh levy).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File EL return by </w:t>
      </w:r>
      <w:r w:rsidRPr="009C5151">
        <w:rPr>
          <w:rStyle w:val="Strong"/>
          <w:rFonts w:ascii="Times New Roman" w:hAnsi="Times New Roman" w:cs="Times New Roman"/>
          <w:sz w:val="24"/>
          <w:szCs w:val="24"/>
        </w:rPr>
        <w:t>30th June</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3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Country-by-Country (CbC) Reporting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CbC report with:</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Revenue, profits, and taxes paid in USA, UK, Germany, Singapore, Mauritius, China, and Russia.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Key activities in each jurisdiction (e.g., R&amp;D, marketing, and support).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3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Mutual Agreement Procedure (MAP)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Resolve double taxation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₹60 crore royalty payments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₹30 crore FTS payments under India-Germany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Form 34F with supporting documents (agreements, TRC, benchmarking studies).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40"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4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29" w:name="_Toc187624070"/>
      <w:bookmarkStart w:id="730" w:name="_Toc187630790"/>
      <w:bookmarkStart w:id="731" w:name="_Toc187660969"/>
      <w:bookmarkStart w:id="732" w:name="_Toc187662048"/>
      <w:r w:rsidRPr="009C5151">
        <w:rPr>
          <w:rStyle w:val="Strong"/>
          <w:b/>
          <w:bCs/>
          <w:sz w:val="24"/>
          <w:szCs w:val="24"/>
        </w:rPr>
        <w:t>Detailed Discussion of Proposed Solutions</w:t>
      </w:r>
      <w:bookmarkEnd w:id="729"/>
      <w:bookmarkEnd w:id="730"/>
      <w:bookmarkEnd w:id="731"/>
      <w:bookmarkEnd w:id="732"/>
    </w:p>
    <w:p w:rsidR="00A056B6" w:rsidRPr="009C5151" w:rsidRDefault="00A056B6" w:rsidP="00743A5F">
      <w:pPr>
        <w:pStyle w:val="Heading4"/>
        <w:spacing w:before="0" w:beforeAutospacing="0"/>
      </w:pPr>
      <w:r w:rsidRPr="009C5151">
        <w:rPr>
          <w:rStyle w:val="Strong"/>
          <w:b/>
          <w:bCs/>
        </w:rPr>
        <w:t>1. Interest Disallowance Under Section 94B</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EBITDA</w:t>
      </w:r>
      <w:r w:rsidRPr="009C5151">
        <w:rPr>
          <w:rFonts w:ascii="Times New Roman" w:hAnsi="Times New Roman" w:cs="Times New Roman"/>
          <w:sz w:val="24"/>
          <w:szCs w:val="24"/>
        </w:rPr>
        <w:t>: ₹400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 Paid</w:t>
      </w:r>
      <w:r w:rsidRPr="009C5151">
        <w:rPr>
          <w:rFonts w:ascii="Times New Roman" w:hAnsi="Times New Roman" w:cs="Times New Roman"/>
          <w:sz w:val="24"/>
          <w:szCs w:val="24"/>
        </w:rPr>
        <w:t>: ₹25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Allowable Interest</w:t>
      </w:r>
      <w:r w:rsidRPr="009C5151">
        <w:rPr>
          <w:rFonts w:ascii="Times New Roman" w:hAnsi="Times New Roman" w:cs="Times New Roman"/>
          <w:sz w:val="24"/>
          <w:szCs w:val="24"/>
        </w:rPr>
        <w:t>: 30% of EBITDA = ₹400 crore × 30% = ₹120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The entire ₹25 crore interest is deductible.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44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Benchmarking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5"/>
        <w:gridCol w:w="1427"/>
        <w:gridCol w:w="2806"/>
        <w:gridCol w:w="1400"/>
        <w:gridCol w:w="130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Benchmark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Value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 of Software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 Operating Margin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14%</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5%-7% Royalty Rate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 Markup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LIBOR + 2% (~6%)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4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Withholding Tax Calculation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2"/>
        <w:gridCol w:w="1240"/>
        <w:gridCol w:w="1187"/>
        <w:gridCol w:w="190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Amount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(Singapore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(German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(Chinese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Dividend (Mauritius AE)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 crore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4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EL at 6%: ₹15 crore × 6% = ₹90 lakh.</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EL return and remit levy on time.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4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33" w:name="_Toc187624071"/>
      <w:bookmarkStart w:id="734" w:name="_Toc187630791"/>
      <w:bookmarkStart w:id="735" w:name="_Toc187660970"/>
      <w:bookmarkStart w:id="736" w:name="_Toc187662049"/>
      <w:r w:rsidRPr="009C5151">
        <w:rPr>
          <w:rStyle w:val="Strong"/>
          <w:b/>
          <w:bCs/>
          <w:sz w:val="24"/>
          <w:szCs w:val="24"/>
        </w:rPr>
        <w:t>Conclusion</w:t>
      </w:r>
      <w:bookmarkEnd w:id="733"/>
      <w:bookmarkEnd w:id="734"/>
      <w:bookmarkEnd w:id="735"/>
      <w:bookmarkEnd w:id="736"/>
    </w:p>
    <w:p w:rsidR="00A056B6" w:rsidRPr="009C5151" w:rsidRDefault="00A056B6" w:rsidP="00743A5F">
      <w:pPr>
        <w:pStyle w:val="NormalWeb"/>
        <w:tabs>
          <w:tab w:val="num" w:pos="720"/>
        </w:tabs>
        <w:spacing w:before="0" w:beforeAutospacing="0"/>
        <w:ind w:left="720" w:hanging="360"/>
      </w:pPr>
      <w:r w:rsidRPr="009C5151">
        <w:rPr>
          <w:rStyle w:val="Strong"/>
        </w:rPr>
        <w:t>Transfer Pricing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transactions using TNMM, CUP, or CPM.</w:t>
      </w:r>
    </w:p>
    <w:p w:rsidR="00A056B6" w:rsidRPr="009C5151" w:rsidRDefault="00A056B6" w:rsidP="00743A5F">
      <w:pPr>
        <w:pStyle w:val="NormalWeb"/>
        <w:tabs>
          <w:tab w:val="num" w:pos="720"/>
        </w:tabs>
        <w:spacing w:before="0" w:beforeAutospacing="0"/>
        <w:ind w:left="720" w:hanging="360"/>
      </w:pPr>
      <w:r w:rsidRPr="009C5151">
        <w:rPr>
          <w:rStyle w:val="Strong"/>
        </w:rPr>
        <w:t>Withholding Tax</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and remit WHT for royalties, FTS, and interest under DTAAs.</w:t>
      </w:r>
    </w:p>
    <w:p w:rsidR="00A056B6" w:rsidRPr="009C5151" w:rsidRDefault="00A056B6" w:rsidP="00743A5F">
      <w:pPr>
        <w:pStyle w:val="NormalWeb"/>
        <w:tabs>
          <w:tab w:val="num" w:pos="720"/>
        </w:tabs>
        <w:spacing w:before="0" w:beforeAutospacing="0"/>
        <w:ind w:left="720" w:hanging="360"/>
      </w:pPr>
      <w:r w:rsidRPr="009C5151">
        <w:rPr>
          <w:rStyle w:val="Strong"/>
        </w:rPr>
        <w:t>CbC Reporting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comprehensive CbC reports with consistent global income allocation.</w:t>
      </w:r>
    </w:p>
    <w:p w:rsidR="00A056B6" w:rsidRPr="009C5151" w:rsidRDefault="00A056B6" w:rsidP="00743A5F">
      <w:pPr>
        <w:pStyle w:val="NormalWeb"/>
        <w:tabs>
          <w:tab w:val="num" w:pos="720"/>
        </w:tabs>
        <w:spacing w:before="0" w:beforeAutospacing="0"/>
        <w:ind w:left="720" w:hanging="360"/>
      </w:pPr>
      <w:r w:rsidRPr="009C5151">
        <w:rPr>
          <w:rStyle w:val="Strong"/>
        </w:rPr>
        <w:t>Mutual Agreement Procedure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Use MAP to resolve double taxation issues for royalties and FTS.</w:t>
      </w:r>
    </w:p>
    <w:p w:rsidR="00A056B6" w:rsidRPr="009C5151" w:rsidRDefault="00A056B6" w:rsidP="00743A5F">
      <w:pPr>
        <w:pStyle w:val="NormalWeb"/>
        <w:tabs>
          <w:tab w:val="num" w:pos="720"/>
        </w:tabs>
        <w:spacing w:before="0" w:beforeAutospacing="0"/>
        <w:ind w:left="720" w:hanging="360"/>
      </w:pPr>
      <w:r w:rsidRPr="009C5151">
        <w:rPr>
          <w:rStyle w:val="Strong"/>
        </w:rPr>
        <w:t>Equalization Levy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timely remittance and filing of EL returns.</w:t>
      </w:r>
    </w:p>
    <w:p w:rsidR="00A056B6" w:rsidRPr="009C5151" w:rsidRDefault="00A056B6" w:rsidP="00743A5F">
      <w:pPr>
        <w:pStyle w:val="NormalWeb"/>
        <w:spacing w:before="0" w:beforeAutospacing="0"/>
      </w:pPr>
      <w:r w:rsidRPr="009C5151">
        <w:t xml:space="preserve">Would you like assistance with </w:t>
      </w:r>
      <w:r w:rsidRPr="009C5151">
        <w:rPr>
          <w:rStyle w:val="Strong"/>
        </w:rPr>
        <w:t>agreement templates</w:t>
      </w:r>
      <w:r w:rsidRPr="009C5151">
        <w:t xml:space="preserve">, </w:t>
      </w:r>
      <w:r w:rsidRPr="009C5151">
        <w:rPr>
          <w:rStyle w:val="Strong"/>
        </w:rPr>
        <w:t>benchmarking reports</w:t>
      </w:r>
      <w:r w:rsidRPr="009C5151">
        <w:t xml:space="preserve">, or </w:t>
      </w:r>
      <w:r w:rsidRPr="009C5151">
        <w:rPr>
          <w:rStyle w:val="Strong"/>
        </w:rPr>
        <w:t>CbC reporting filing</w:t>
      </w:r>
      <w:r w:rsidRPr="009C5151">
        <w:t>?</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assistance with agreement templates, benchmarking reports, or CbC reporting filing</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52CECF7" wp14:editId="278B67D2">
            <wp:extent cx="763905" cy="763905"/>
            <wp:effectExtent l="0" t="0" r="0" b="0"/>
            <wp:docPr id="295" name="Picture 29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1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737" w:name="_Toc187624072"/>
      <w:bookmarkStart w:id="738" w:name="_Toc187630792"/>
      <w:bookmarkStart w:id="739" w:name="_Toc187660971"/>
      <w:bookmarkStart w:id="740" w:name="_Toc187662050"/>
      <w:r w:rsidRPr="009C5151">
        <w:rPr>
          <w:rStyle w:val="Strong"/>
          <w:b/>
          <w:bCs/>
          <w:sz w:val="24"/>
          <w:szCs w:val="24"/>
        </w:rPr>
        <w:t>Assistance with Agreement Templates, Benchmarking Reports, and CbC Reporting Filing</w:t>
      </w:r>
      <w:bookmarkEnd w:id="737"/>
      <w:bookmarkEnd w:id="738"/>
      <w:bookmarkEnd w:id="739"/>
      <w:bookmarkEnd w:id="740"/>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4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41" w:name="_Toc187624073"/>
      <w:bookmarkStart w:id="742" w:name="_Toc187630793"/>
      <w:bookmarkStart w:id="743" w:name="_Toc187660972"/>
      <w:bookmarkStart w:id="744" w:name="_Toc187662051"/>
      <w:r w:rsidRPr="009C5151">
        <w:rPr>
          <w:rStyle w:val="Strong"/>
          <w:b/>
          <w:bCs/>
          <w:sz w:val="24"/>
          <w:szCs w:val="24"/>
        </w:rPr>
        <w:t>I. Agreement Templates</w:t>
      </w:r>
      <w:bookmarkEnd w:id="741"/>
      <w:bookmarkEnd w:id="742"/>
      <w:bookmarkEnd w:id="743"/>
      <w:bookmarkEnd w:id="744"/>
    </w:p>
    <w:p w:rsidR="00A056B6" w:rsidRPr="009C5151" w:rsidRDefault="00A056B6" w:rsidP="00743A5F">
      <w:pPr>
        <w:pStyle w:val="Heading4"/>
        <w:spacing w:before="0" w:beforeAutospacing="0"/>
      </w:pPr>
      <w:r w:rsidRPr="009C5151">
        <w:rPr>
          <w:rStyle w:val="Strong"/>
          <w:b/>
          <w:bCs/>
        </w:rPr>
        <w:t>1. Licensing Agreement for Royalty Payments</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Licensing Agreement</w:t>
      </w:r>
      <w:r w:rsidRPr="009C5151">
        <w:br/>
        <w:t>This Agreement is made on [Date]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TechGlobal Pvt. Ltd.</w:t>
      </w:r>
      <w:r w:rsidRPr="009C5151">
        <w:rPr>
          <w:rFonts w:ascii="Times New Roman" w:hAnsi="Times New Roman" w:cs="Times New Roman"/>
          <w:sz w:val="24"/>
          <w:szCs w:val="24"/>
        </w:rPr>
        <w:t xml:space="preserve"> ("Licensee"), having its principal office at [Address],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InnovateTech Singapore Pte Ltd.</w:t>
      </w:r>
      <w:r w:rsidRPr="009C5151">
        <w:rPr>
          <w:rFonts w:ascii="Times New Roman" w:hAnsi="Times New Roman" w:cs="Times New Roman"/>
          <w:sz w:val="24"/>
          <w:szCs w:val="24"/>
        </w:rPr>
        <w:t xml:space="preserve"> ("Licensor"), having its principal office at [Address].</w:t>
      </w:r>
    </w:p>
    <w:p w:rsidR="00A056B6" w:rsidRPr="009C5151" w:rsidRDefault="00A056B6" w:rsidP="00743A5F">
      <w:pPr>
        <w:pStyle w:val="NormalWeb"/>
        <w:spacing w:before="0" w:beforeAutospacing="0"/>
      </w:pPr>
      <w:r w:rsidRPr="009C5151">
        <w:rPr>
          <w:rStyle w:val="Strong"/>
        </w:rPr>
        <w:t>Recitals</w:t>
      </w:r>
      <w:r w:rsidRPr="009C5151">
        <w:t>:</w:t>
      </w:r>
      <w:r w:rsidRPr="009C5151">
        <w:br/>
        <w:t>The Licensor owns proprietary software for IT solutions, which the Licensee intends to license for use in India.</w:t>
      </w:r>
    </w:p>
    <w:p w:rsidR="00A056B6" w:rsidRPr="009C5151" w:rsidRDefault="00A056B6" w:rsidP="00743A5F">
      <w:pPr>
        <w:pStyle w:val="NormalWeb"/>
        <w:spacing w:before="0" w:beforeAutospacing="0"/>
      </w:pPr>
      <w:r w:rsidRPr="009C5151">
        <w:rPr>
          <w:rStyle w:val="Strong"/>
        </w:rPr>
        <w:t>Terms and Conditions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Grant of License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Licensor grants Licensee a non-exclusive, non-transferable license to use the software within India.</w:t>
      </w:r>
    </w:p>
    <w:p w:rsidR="00A056B6" w:rsidRPr="009C5151" w:rsidRDefault="00A056B6" w:rsidP="00743A5F">
      <w:pPr>
        <w:pStyle w:val="NormalWeb"/>
        <w:tabs>
          <w:tab w:val="num" w:pos="720"/>
        </w:tabs>
        <w:spacing w:before="0" w:beforeAutospacing="0"/>
        <w:ind w:left="720" w:hanging="360"/>
      </w:pPr>
      <w:r w:rsidRPr="009C5151">
        <w:rPr>
          <w:rStyle w:val="Strong"/>
        </w:rPr>
        <w:t>Royalty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 xml:space="preserve">Licensee agrees to pay a royalty of </w:t>
      </w:r>
      <w:r w:rsidRPr="009C5151">
        <w:rPr>
          <w:rStyle w:val="Strong"/>
          <w:rFonts w:ascii="Times New Roman" w:hAnsi="Times New Roman" w:cs="Times New Roman"/>
          <w:sz w:val="24"/>
          <w:szCs w:val="24"/>
        </w:rPr>
        <w:t>6% of net revenue</w:t>
      </w:r>
      <w:r w:rsidRPr="009C5151">
        <w:rPr>
          <w:rFonts w:ascii="Times New Roman" w:hAnsi="Times New Roman" w:cs="Times New Roman"/>
          <w:sz w:val="24"/>
          <w:szCs w:val="24"/>
        </w:rPr>
        <w:t xml:space="preserve"> derived from the licensed software.</w:t>
      </w:r>
    </w:p>
    <w:p w:rsidR="00A056B6" w:rsidRPr="009C5151" w:rsidRDefault="00A056B6" w:rsidP="00743A5F">
      <w:pPr>
        <w:pStyle w:val="NormalWeb"/>
        <w:tabs>
          <w:tab w:val="num" w:pos="720"/>
        </w:tabs>
        <w:spacing w:before="0" w:beforeAutospacing="0"/>
        <w:ind w:left="720" w:hanging="360"/>
      </w:pPr>
      <w:r w:rsidRPr="009C5151">
        <w:rPr>
          <w:rStyle w:val="Strong"/>
        </w:rPr>
        <w:t>Payment Terms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Payments will be made quarterly within </w:t>
      </w:r>
      <w:r w:rsidRPr="009C5151">
        <w:rPr>
          <w:rStyle w:val="Strong"/>
          <w:rFonts w:ascii="Times New Roman" w:hAnsi="Times New Roman" w:cs="Times New Roman"/>
          <w:sz w:val="24"/>
          <w:szCs w:val="24"/>
        </w:rPr>
        <w:t>30 days</w:t>
      </w:r>
      <w:r w:rsidRPr="009C5151">
        <w:rPr>
          <w:rFonts w:ascii="Times New Roman" w:hAnsi="Times New Roman" w:cs="Times New Roman"/>
          <w:sz w:val="24"/>
          <w:szCs w:val="24"/>
        </w:rPr>
        <w:t xml:space="preserve"> of the end of each quarter.</w:t>
      </w:r>
    </w:p>
    <w:p w:rsidR="00A056B6" w:rsidRPr="009C5151" w:rsidRDefault="00A056B6" w:rsidP="00743A5F">
      <w:pPr>
        <w:pStyle w:val="NormalWeb"/>
        <w:tabs>
          <w:tab w:val="num" w:pos="720"/>
        </w:tabs>
        <w:spacing w:before="0" w:beforeAutospacing="0"/>
        <w:ind w:left="720" w:hanging="360"/>
      </w:pPr>
      <w:r w:rsidRPr="009C5151">
        <w:rPr>
          <w:rStyle w:val="Strong"/>
        </w:rPr>
        <w:t>Tax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Royalties are subject to </w:t>
      </w:r>
      <w:r w:rsidRPr="009C5151">
        <w:rPr>
          <w:rStyle w:val="Strong"/>
          <w:rFonts w:ascii="Times New Roman" w:hAnsi="Times New Roman" w:cs="Times New Roman"/>
          <w:sz w:val="24"/>
          <w:szCs w:val="24"/>
        </w:rPr>
        <w:t>10% WHT</w:t>
      </w:r>
      <w:r w:rsidRPr="009C5151">
        <w:rPr>
          <w:rFonts w:ascii="Times New Roman" w:hAnsi="Times New Roman" w:cs="Times New Roman"/>
          <w:sz w:val="24"/>
          <w:szCs w:val="24"/>
        </w:rPr>
        <w:t xml:space="preserve"> under the India-Singapore DTAA.</w:t>
      </w:r>
    </w:p>
    <w:p w:rsidR="00A056B6" w:rsidRPr="009C5151" w:rsidRDefault="00A056B6" w:rsidP="00743A5F">
      <w:pPr>
        <w:pStyle w:val="NormalWeb"/>
        <w:tabs>
          <w:tab w:val="num" w:pos="720"/>
        </w:tabs>
        <w:spacing w:before="0" w:beforeAutospacing="0"/>
        <w:ind w:left="720" w:hanging="360"/>
      </w:pPr>
      <w:r w:rsidRPr="009C5151">
        <w:rPr>
          <w:rStyle w:val="Strong"/>
        </w:rPr>
        <w:t>Confidentiality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Both parties agree to maintain confidentiality of the software and agreement terms.</w:t>
      </w:r>
    </w:p>
    <w:p w:rsidR="00A056B6" w:rsidRPr="009C5151" w:rsidRDefault="00A056B6" w:rsidP="00743A5F">
      <w:pPr>
        <w:pStyle w:val="NormalWeb"/>
        <w:spacing w:before="0" w:beforeAutospacing="0"/>
      </w:pPr>
      <w:r w:rsidRPr="009C5151">
        <w:rPr>
          <w:rStyle w:val="Strong"/>
        </w:rPr>
        <w:t>Signatures</w:t>
      </w:r>
      <w:r w:rsidRPr="009C5151">
        <w:t>:</w:t>
      </w:r>
      <w:r w:rsidRPr="009C5151">
        <w:br/>
        <w:t>For TechGlobal Pvt. Ltd. | For InnovateTech Singapore Pte Ltd.</w:t>
      </w:r>
      <w:r w:rsidRPr="009C5151">
        <w:br/>
        <w:t>_________________________ | _________________________</w:t>
      </w:r>
      <w:r w:rsidRPr="009C5151">
        <w:br/>
        <w:t>Authorized Signatory | Authorized Signatory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4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Loan Agreement for Interest Payments</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Loan Agreement</w:t>
      </w:r>
      <w:r w:rsidRPr="009C5151">
        <w:br/>
        <w:t>This Agreement is made on [Date]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TechGlobal Pvt. Ltd.</w:t>
      </w:r>
      <w:r w:rsidRPr="009C5151">
        <w:rPr>
          <w:rFonts w:ascii="Times New Roman" w:hAnsi="Times New Roman" w:cs="Times New Roman"/>
          <w:sz w:val="24"/>
          <w:szCs w:val="24"/>
        </w:rPr>
        <w:t xml:space="preserve"> ("Borrower"), having its principal office at [Address],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FinanceChina Ltd.</w:t>
      </w:r>
      <w:r w:rsidRPr="009C5151">
        <w:rPr>
          <w:rFonts w:ascii="Times New Roman" w:hAnsi="Times New Roman" w:cs="Times New Roman"/>
          <w:sz w:val="24"/>
          <w:szCs w:val="24"/>
        </w:rPr>
        <w:t xml:space="preserve"> ("Lender"), having its principal office at [Address].</w:t>
      </w:r>
    </w:p>
    <w:p w:rsidR="00A056B6" w:rsidRPr="009C5151" w:rsidRDefault="00A056B6" w:rsidP="00743A5F">
      <w:pPr>
        <w:pStyle w:val="NormalWeb"/>
        <w:spacing w:before="0" w:beforeAutospacing="0"/>
      </w:pPr>
      <w:r w:rsidRPr="009C5151">
        <w:rPr>
          <w:rStyle w:val="Strong"/>
        </w:rPr>
        <w:t>Terms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Loan Amount</w:t>
      </w:r>
      <w:r w:rsidRPr="009C5151">
        <w:rPr>
          <w:rFonts w:ascii="Times New Roman" w:hAnsi="Times New Roman" w:cs="Times New Roman"/>
          <w:sz w:val="24"/>
          <w:szCs w:val="24"/>
        </w:rPr>
        <w:t>: ₹100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Interest Rate</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6% per annum</w:t>
      </w:r>
      <w:r w:rsidRPr="009C5151">
        <w:rPr>
          <w:rFonts w:ascii="Times New Roman" w:hAnsi="Times New Roman" w:cs="Times New Roman"/>
          <w:sz w:val="24"/>
          <w:szCs w:val="24"/>
        </w:rPr>
        <w:t xml:space="preserve"> (aligned with market rates).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Repayment Terms</w:t>
      </w:r>
      <w:r w:rsidRPr="009C5151">
        <w:rPr>
          <w:rFonts w:ascii="Times New Roman" w:hAnsi="Times New Roman" w:cs="Times New Roman"/>
          <w:sz w:val="24"/>
          <w:szCs w:val="24"/>
        </w:rPr>
        <w:t>: Quarterly installments starting [Start Date].</w:t>
      </w:r>
    </w:p>
    <w:p w:rsidR="00A056B6" w:rsidRPr="009C5151" w:rsidRDefault="00A056B6" w:rsidP="00743A5F">
      <w:pPr>
        <w:pStyle w:val="NormalWeb"/>
        <w:spacing w:before="0" w:beforeAutospacing="0"/>
      </w:pPr>
      <w:r w:rsidRPr="009C5151">
        <w:rPr>
          <w:rStyle w:val="Strong"/>
        </w:rPr>
        <w:t>Tax Compliance</w:t>
      </w:r>
      <w:r w:rsidRPr="009C5151">
        <w:t>:</w:t>
      </w:r>
      <w:r w:rsidRPr="009C5151">
        <w:br/>
        <w:t xml:space="preserve">Interest payments will be subject to </w:t>
      </w:r>
      <w:r w:rsidRPr="009C5151">
        <w:rPr>
          <w:rStyle w:val="Strong"/>
        </w:rPr>
        <w:t>10% WHT</w:t>
      </w:r>
      <w:r w:rsidRPr="009C5151">
        <w:t xml:space="preserve"> under the India-China DTAA.</w:t>
      </w:r>
    </w:p>
    <w:p w:rsidR="00A056B6" w:rsidRPr="009C5151" w:rsidRDefault="00A056B6" w:rsidP="00743A5F">
      <w:pPr>
        <w:pStyle w:val="NormalWeb"/>
        <w:spacing w:before="0" w:beforeAutospacing="0"/>
      </w:pPr>
      <w:r w:rsidRPr="009C5151">
        <w:rPr>
          <w:rStyle w:val="Strong"/>
        </w:rPr>
        <w:t>Signatures</w:t>
      </w:r>
      <w:r w:rsidRPr="009C5151">
        <w:t>:</w:t>
      </w:r>
      <w:r w:rsidRPr="009C5151">
        <w:br/>
        <w:t>For TechGlobal Pvt. Ltd. | For FinanceChina Ltd.</w:t>
      </w:r>
      <w:r w:rsidRPr="009C5151">
        <w:br/>
        <w:t>_________________________ | _________________________</w:t>
      </w:r>
      <w:r w:rsidRPr="009C5151">
        <w:br/>
        <w:t>Authorized Signatory | Authorized Signatory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44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Service Agreement for Fee for Technical Services</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Technical Services Agreement</w:t>
      </w:r>
      <w:r w:rsidRPr="009C5151">
        <w:br/>
        <w:t>This Agreement is entered into on [Date] by and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TechGlobal Pvt. Ltd.</w:t>
      </w:r>
      <w:r w:rsidRPr="009C5151">
        <w:rPr>
          <w:rFonts w:ascii="Times New Roman" w:hAnsi="Times New Roman" w:cs="Times New Roman"/>
          <w:sz w:val="24"/>
          <w:szCs w:val="24"/>
        </w:rPr>
        <w:t xml:space="preserve"> ("Client"),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CloudConsult GmbH</w:t>
      </w:r>
      <w:r w:rsidRPr="009C5151">
        <w:rPr>
          <w:rFonts w:ascii="Times New Roman" w:hAnsi="Times New Roman" w:cs="Times New Roman"/>
          <w:sz w:val="24"/>
          <w:szCs w:val="24"/>
        </w:rPr>
        <w:t xml:space="preserve"> ("Service Provider").</w:t>
      </w:r>
    </w:p>
    <w:p w:rsidR="00A056B6" w:rsidRPr="009C5151" w:rsidRDefault="00A056B6" w:rsidP="00743A5F">
      <w:pPr>
        <w:pStyle w:val="NormalWeb"/>
        <w:spacing w:before="0" w:beforeAutospacing="0"/>
      </w:pPr>
      <w:r w:rsidRPr="009C5151">
        <w:rPr>
          <w:rStyle w:val="Strong"/>
        </w:rPr>
        <w:t>Scope</w:t>
      </w:r>
      <w:r w:rsidRPr="009C5151">
        <w:t>:</w:t>
      </w:r>
      <w:r w:rsidRPr="009C5151">
        <w:br/>
        <w:t>The Service Provider shall deliver consultancy for cloud architecture and scalability, including: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Infrastructure design.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Cloud deployment strategies.</w:t>
      </w:r>
    </w:p>
    <w:p w:rsidR="00A056B6" w:rsidRPr="009C5151" w:rsidRDefault="00A056B6" w:rsidP="00743A5F">
      <w:pPr>
        <w:pStyle w:val="NormalWeb"/>
        <w:spacing w:before="0" w:beforeAutospacing="0"/>
      </w:pPr>
      <w:r w:rsidRPr="009C5151">
        <w:rPr>
          <w:rStyle w:val="Strong"/>
        </w:rPr>
        <w:t>Service Fee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Fixed fee: ₹30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Payment Schedule: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50% upon signing.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50% upon project completion.</w:t>
      </w:r>
    </w:p>
    <w:p w:rsidR="00A056B6" w:rsidRPr="009C5151" w:rsidRDefault="00A056B6" w:rsidP="00743A5F">
      <w:pPr>
        <w:pStyle w:val="NormalWeb"/>
        <w:spacing w:before="0" w:beforeAutospacing="0"/>
      </w:pPr>
      <w:r w:rsidRPr="009C5151">
        <w:rPr>
          <w:rStyle w:val="Strong"/>
        </w:rPr>
        <w:t>Tax Compliance</w:t>
      </w:r>
      <w:r w:rsidRPr="009C5151">
        <w:t>:</w:t>
      </w:r>
      <w:r w:rsidRPr="009C5151">
        <w:br/>
        <w:t xml:space="preserve">Payments are subject to </w:t>
      </w:r>
      <w:r w:rsidRPr="009C5151">
        <w:rPr>
          <w:rStyle w:val="Strong"/>
        </w:rPr>
        <w:t>10% WHT</w:t>
      </w:r>
      <w:r w:rsidRPr="009C5151">
        <w:t xml:space="preserve"> under the India-Germany DTAA.</w:t>
      </w:r>
    </w:p>
    <w:p w:rsidR="00A056B6" w:rsidRPr="009C5151" w:rsidRDefault="00A056B6" w:rsidP="00743A5F">
      <w:pPr>
        <w:pStyle w:val="NormalWeb"/>
        <w:spacing w:before="0" w:beforeAutospacing="0"/>
      </w:pPr>
      <w:r w:rsidRPr="009C5151">
        <w:rPr>
          <w:rStyle w:val="Strong"/>
        </w:rPr>
        <w:t>Signatures</w:t>
      </w:r>
      <w:r w:rsidRPr="009C5151">
        <w:t>:</w:t>
      </w:r>
      <w:r w:rsidRPr="009C5151">
        <w:br/>
        <w:t>For TechGlobal Pvt. Ltd. | For CloudConsult GmbH</w:t>
      </w:r>
      <w:r w:rsidRPr="009C5151">
        <w:br/>
        <w:t>_________________________ | _________________________</w:t>
      </w:r>
      <w:r w:rsidRPr="009C5151">
        <w:br/>
        <w:t>Authorized Signatory | Authorized Signatory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49"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5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45" w:name="_Toc187624074"/>
      <w:bookmarkStart w:id="746" w:name="_Toc187630794"/>
      <w:bookmarkStart w:id="747" w:name="_Toc187660973"/>
      <w:bookmarkStart w:id="748" w:name="_Toc187662052"/>
      <w:r w:rsidRPr="009C5151">
        <w:rPr>
          <w:rStyle w:val="Strong"/>
          <w:b/>
          <w:bCs/>
          <w:sz w:val="24"/>
          <w:szCs w:val="24"/>
        </w:rPr>
        <w:t>II. Benchmarking Report</w:t>
      </w:r>
      <w:bookmarkEnd w:id="745"/>
      <w:bookmarkEnd w:id="746"/>
      <w:bookmarkEnd w:id="747"/>
      <w:bookmarkEnd w:id="748"/>
    </w:p>
    <w:p w:rsidR="00A056B6" w:rsidRPr="009C5151" w:rsidRDefault="00A056B6" w:rsidP="00743A5F">
      <w:pPr>
        <w:pStyle w:val="Heading4"/>
        <w:spacing w:before="0" w:beforeAutospacing="0"/>
      </w:pPr>
      <w:r w:rsidRPr="009C5151">
        <w:rPr>
          <w:rStyle w:val="Strong"/>
          <w:b/>
          <w:bCs/>
        </w:rPr>
        <w:t>1. Executive Summary</w:t>
      </w:r>
    </w:p>
    <w:p w:rsidR="00A056B6" w:rsidRPr="009C5151" w:rsidRDefault="00A056B6" w:rsidP="00743A5F">
      <w:pPr>
        <w:pStyle w:val="NormalWeb"/>
        <w:spacing w:before="0" w:beforeAutospacing="0"/>
      </w:pPr>
      <w:r w:rsidRPr="009C5151">
        <w:rPr>
          <w:rStyle w:val="Strong"/>
        </w:rPr>
        <w:t>Objective</w:t>
      </w:r>
      <w:r w:rsidRPr="009C5151">
        <w:t>: To analyze whether the international transactions of TechGlobal Pvt. Ltd. comply with the arm’s length principle as per Indian Transfer Pricing (TP) regulations.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Export of Software Products: ₹900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₹60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₹30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₹25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5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Export of Software Products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Companies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TechSoft Ltd.: 13% margin.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CloudEdge Solutions: 14% margin.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CodeCraft Inc.: 12% margin.</w:t>
      </w:r>
    </w:p>
    <w:p w:rsidR="00A056B6" w:rsidRPr="009C5151" w:rsidRDefault="00A056B6" w:rsidP="00743A5F">
      <w:pPr>
        <w:pStyle w:val="NormalWeb"/>
        <w:spacing w:before="0" w:beforeAutospacing="0"/>
      </w:pPr>
      <w:r w:rsidRPr="009C5151">
        <w:rPr>
          <w:rStyle w:val="Strong"/>
        </w:rPr>
        <w:t>Benchmark Range</w:t>
      </w:r>
      <w:r w:rsidRPr="009C5151">
        <w:t>: 12%-14%.</w:t>
      </w:r>
      <w:r w:rsidRPr="009C5151">
        <w:br/>
      </w:r>
      <w:r w:rsidRPr="009C5151">
        <w:rPr>
          <w:rStyle w:val="Strong"/>
        </w:rPr>
        <w:t>Actual Margin</w:t>
      </w:r>
      <w:r w:rsidRPr="009C5151">
        <w:t>: 14% (within range).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5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Royalty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Licensing Agreements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Agreement A: 5.5%.</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Agreement B: 6.0%.</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Agreement C: 7.0%.</w:t>
      </w:r>
    </w:p>
    <w:p w:rsidR="00A056B6" w:rsidRPr="009C5151" w:rsidRDefault="00A056B6" w:rsidP="00743A5F">
      <w:pPr>
        <w:pStyle w:val="NormalWeb"/>
        <w:spacing w:before="0" w:beforeAutospacing="0"/>
      </w:pPr>
      <w:r w:rsidRPr="009C5151">
        <w:rPr>
          <w:rStyle w:val="Strong"/>
        </w:rPr>
        <w:t>Benchmark Range</w:t>
      </w:r>
      <w:r w:rsidRPr="009C5151">
        <w:t>: 5.5%-7.0%.</w:t>
      </w:r>
      <w:r w:rsidRPr="009C5151">
        <w:br/>
      </w:r>
      <w:r w:rsidRPr="009C5151">
        <w:rPr>
          <w:rStyle w:val="Strong"/>
        </w:rPr>
        <w:t>Actual Payment</w:t>
      </w:r>
      <w:r w:rsidRPr="009C5151">
        <w:t>: 6% (within range).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5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Fee for Technical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Markups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Provider A: 12%.</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Provider B: 15%.</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Provider C: 14%.</w:t>
      </w:r>
    </w:p>
    <w:p w:rsidR="00A056B6" w:rsidRPr="009C5151" w:rsidRDefault="00A056B6" w:rsidP="00743A5F">
      <w:pPr>
        <w:pStyle w:val="NormalWeb"/>
        <w:spacing w:before="0" w:beforeAutospacing="0"/>
      </w:pPr>
      <w:r w:rsidRPr="009C5151">
        <w:rPr>
          <w:rStyle w:val="Strong"/>
        </w:rPr>
        <w:t>Benchmark Range</w:t>
      </w:r>
      <w:r w:rsidRPr="009C5151">
        <w:t>: 12%-15%.</w:t>
      </w:r>
      <w:r w:rsidRPr="009C5151">
        <w:br/>
      </w:r>
      <w:r w:rsidRPr="009C5151">
        <w:rPr>
          <w:rStyle w:val="Strong"/>
        </w:rPr>
        <w:t>Actual Markup</w:t>
      </w:r>
      <w:r w:rsidRPr="009C5151">
        <w:t>: ₹6 crore ÷ ₹24 crore = 13% (within range).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5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Interest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Interest Rates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Loan A: LIBOR + 2% = 4.5%.</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Loan B: LIBOR + 3% = 5.5%.</w:t>
      </w:r>
    </w:p>
    <w:p w:rsidR="00A056B6" w:rsidRPr="009C5151" w:rsidRDefault="00A056B6" w:rsidP="00743A5F">
      <w:pPr>
        <w:pStyle w:val="NormalWeb"/>
        <w:spacing w:before="0" w:beforeAutospacing="0"/>
      </w:pPr>
      <w:r w:rsidRPr="009C5151">
        <w:rPr>
          <w:rStyle w:val="Strong"/>
        </w:rPr>
        <w:t>Benchmark Range</w:t>
      </w:r>
      <w:r w:rsidRPr="009C5151">
        <w:t>: 4.5%-5.5%.</w:t>
      </w:r>
      <w:r w:rsidRPr="009C5151">
        <w:br/>
      </w:r>
      <w:r w:rsidRPr="009C5151">
        <w:rPr>
          <w:rStyle w:val="Strong"/>
        </w:rPr>
        <w:t>Actual Interest Rate</w:t>
      </w:r>
      <w:r w:rsidRPr="009C5151">
        <w:t>: 6% (justifiable for risk premium).</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55"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5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49" w:name="_Toc187624075"/>
      <w:bookmarkStart w:id="750" w:name="_Toc187630795"/>
      <w:bookmarkStart w:id="751" w:name="_Toc187660974"/>
      <w:bookmarkStart w:id="752" w:name="_Toc187662053"/>
      <w:r w:rsidRPr="009C5151">
        <w:rPr>
          <w:rStyle w:val="Strong"/>
          <w:b/>
          <w:bCs/>
          <w:sz w:val="24"/>
          <w:szCs w:val="24"/>
        </w:rPr>
        <w:t>III. Filing Compliance for CbC Reporting</w:t>
      </w:r>
      <w:bookmarkEnd w:id="749"/>
      <w:bookmarkEnd w:id="750"/>
      <w:bookmarkEnd w:id="751"/>
      <w:bookmarkEnd w:id="752"/>
    </w:p>
    <w:p w:rsidR="00A056B6" w:rsidRPr="009C5151" w:rsidRDefault="00A056B6" w:rsidP="00743A5F">
      <w:pPr>
        <w:pStyle w:val="Heading4"/>
        <w:spacing w:before="0" w:beforeAutospacing="0"/>
      </w:pPr>
      <w:r w:rsidRPr="009C5151">
        <w:rPr>
          <w:rStyle w:val="Strong"/>
          <w:b/>
          <w:bCs/>
        </w:rPr>
        <w:t>1. Filing Requirements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Threshold</w:t>
      </w:r>
      <w:r w:rsidRPr="009C5151">
        <w:rPr>
          <w:rFonts w:ascii="Times New Roman" w:hAnsi="Times New Roman" w:cs="Times New Roman"/>
          <w:sz w:val="24"/>
          <w:szCs w:val="24"/>
        </w:rPr>
        <w:t>: Applicable as group revenue exceeds ₹6,400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Due Date</w:t>
      </w:r>
      <w:r w:rsidRPr="009C5151">
        <w:rPr>
          <w:rFonts w:ascii="Times New Roman" w:hAnsi="Times New Roman" w:cs="Times New Roman"/>
          <w:sz w:val="24"/>
          <w:szCs w:val="24"/>
        </w:rPr>
        <w:t xml:space="preserve">: File within </w:t>
      </w:r>
      <w:r w:rsidRPr="009C5151">
        <w:rPr>
          <w:rStyle w:val="Strong"/>
          <w:rFonts w:ascii="Times New Roman" w:hAnsi="Times New Roman" w:cs="Times New Roman"/>
          <w:sz w:val="24"/>
          <w:szCs w:val="24"/>
        </w:rPr>
        <w:t>12 months</w:t>
      </w:r>
      <w:r w:rsidRPr="009C5151">
        <w:rPr>
          <w:rFonts w:ascii="Times New Roman" w:hAnsi="Times New Roman" w:cs="Times New Roman"/>
          <w:sz w:val="24"/>
          <w:szCs w:val="24"/>
        </w:rPr>
        <w:t xml:space="preserve"> from the end of the financial year.</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5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CbC Reporting Template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1280"/>
        <w:gridCol w:w="1000"/>
        <w:gridCol w:w="1327"/>
        <w:gridCol w:w="1167"/>
        <w:gridCol w:w="2135"/>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Profit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Paid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Employees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Key Functions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Sales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Distribution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Technical Consulting</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IP Management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Mauritius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Holding Company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China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Financing, Support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5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lastRenderedPageBreak/>
        <w:t>3. Portal Filing Steps</w:t>
      </w:r>
    </w:p>
    <w:p w:rsidR="00A056B6" w:rsidRPr="009C5151" w:rsidRDefault="00A056B6" w:rsidP="00743A5F">
      <w:pPr>
        <w:pStyle w:val="NormalWeb"/>
        <w:tabs>
          <w:tab w:val="num" w:pos="720"/>
        </w:tabs>
        <w:spacing w:before="0" w:beforeAutospacing="0"/>
        <w:ind w:left="720" w:hanging="360"/>
      </w:pPr>
      <w:r w:rsidRPr="009C5151">
        <w:rPr>
          <w:rStyle w:val="Strong"/>
        </w:rPr>
        <w:t>Log in to the Income Tax Portal</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Navigate to </w:t>
      </w:r>
      <w:r w:rsidRPr="009C5151">
        <w:rPr>
          <w:rStyle w:val="Strong"/>
          <w:rFonts w:ascii="Times New Roman" w:hAnsi="Times New Roman" w:cs="Times New Roman"/>
          <w:sz w:val="24"/>
          <w:szCs w:val="24"/>
        </w:rPr>
        <w:t>e-File → Income Tax Forms → File CbC Report</w:t>
      </w:r>
      <w:r w:rsidRPr="009C5151">
        <w:rPr>
          <w:rFonts w:ascii="Times New Roman" w:hAnsi="Times New Roman" w:cs="Times New Roman"/>
          <w:sz w:val="24"/>
          <w:szCs w:val="24"/>
        </w:rPr>
        <w:t>.</w:t>
      </w:r>
    </w:p>
    <w:p w:rsidR="00A056B6" w:rsidRPr="009C5151" w:rsidRDefault="00A056B6" w:rsidP="00743A5F">
      <w:pPr>
        <w:pStyle w:val="NormalWeb"/>
        <w:tabs>
          <w:tab w:val="num" w:pos="720"/>
        </w:tabs>
        <w:spacing w:before="0" w:beforeAutospacing="0"/>
        <w:ind w:left="720" w:hanging="360"/>
      </w:pPr>
      <w:r w:rsidRPr="009C5151">
        <w:rPr>
          <w:rStyle w:val="Strong"/>
        </w:rPr>
        <w:t>Prepare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Upload the CbC template with jurisdiction-wise details.</w:t>
      </w:r>
    </w:p>
    <w:p w:rsidR="00A056B6" w:rsidRPr="009C5151" w:rsidRDefault="00A056B6" w:rsidP="00743A5F">
      <w:pPr>
        <w:pStyle w:val="NormalWeb"/>
        <w:tabs>
          <w:tab w:val="num" w:pos="720"/>
        </w:tabs>
        <w:spacing w:before="0" w:beforeAutospacing="0"/>
        <w:ind w:left="720" w:hanging="360"/>
      </w:pPr>
      <w:r w:rsidRPr="009C5151">
        <w:rPr>
          <w:rStyle w:val="Strong"/>
        </w:rPr>
        <w:t>Verify and Submit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Verify the form using a </w:t>
      </w:r>
      <w:r w:rsidRPr="009C5151">
        <w:rPr>
          <w:rStyle w:val="Strong"/>
          <w:rFonts w:ascii="Times New Roman" w:hAnsi="Times New Roman" w:cs="Times New Roman"/>
          <w:sz w:val="24"/>
          <w:szCs w:val="24"/>
        </w:rPr>
        <w:t>Digital Signature Certificate (DSC)</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59" style="width:0;height:1.5pt" o:hralign="center" o:hrstd="t" o:hr="t" fillcolor="#a0a0a0" stroked="f"/>
        </w:pict>
      </w:r>
    </w:p>
    <w:p w:rsidR="00A056B6" w:rsidRPr="009C5151" w:rsidRDefault="00A056B6" w:rsidP="00743A5F">
      <w:pPr>
        <w:pStyle w:val="NormalWeb"/>
        <w:spacing w:before="0" w:beforeAutospacing="0"/>
      </w:pPr>
      <w:r w:rsidRPr="009C5151">
        <w:t xml:space="preserve">Would you like </w:t>
      </w:r>
      <w:r w:rsidRPr="009C5151">
        <w:rPr>
          <w:rStyle w:val="Strong"/>
        </w:rPr>
        <w:t>editable templates</w:t>
      </w:r>
      <w:r w:rsidRPr="009C5151">
        <w:t xml:space="preserve"> for the above agreements and reports or additional guidance on </w:t>
      </w:r>
      <w:r w:rsidRPr="009C5151">
        <w:rPr>
          <w:rStyle w:val="Strong"/>
        </w:rPr>
        <w:t>portal-specific steps for compliance</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17 th example of different set of issues and problem and suggested solutions by a CA to a Company including a detailed discussion on the various topics covered under suggestions and Conclusion. Please include in addition to the above transactions like Withholding tax, CbC reporting, Mutual Agreement procedure, DTAA with countries like USA, UK, Germany, Singapore, Mauritius, China, Russia and Germany; equalization levy; Please first list down the case, issues, documents and CA advise, Dividend and Interest, Royalty and Fee for Technical Services; applicability of GAAR; applicability of PE; Inter group transactions; computation of taxable income of the Tested Party with assumed numbers for the AY 2024-25; what kind of a PE the tested party may have by considering relevant provisions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A1A9D96" wp14:editId="5A1C431B">
            <wp:extent cx="763905" cy="763905"/>
            <wp:effectExtent l="0" t="0" r="0" b="0"/>
            <wp:docPr id="294" name="Picture 29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3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753" w:name="_Toc187624076"/>
      <w:bookmarkStart w:id="754" w:name="_Toc187630796"/>
      <w:bookmarkStart w:id="755" w:name="_Toc187660975"/>
      <w:bookmarkStart w:id="756" w:name="_Toc187662054"/>
      <w:r w:rsidRPr="009C5151">
        <w:rPr>
          <w:rStyle w:val="Strong"/>
          <w:b/>
          <w:bCs/>
          <w:sz w:val="24"/>
          <w:szCs w:val="24"/>
        </w:rPr>
        <w:t>Case Study: Tax and Compliance Challenges for GlobalEdge Pvt. Ltd.</w:t>
      </w:r>
      <w:bookmarkEnd w:id="753"/>
      <w:bookmarkEnd w:id="754"/>
      <w:bookmarkEnd w:id="755"/>
      <w:bookmarkEnd w:id="756"/>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6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57" w:name="_Toc187624077"/>
      <w:bookmarkStart w:id="758" w:name="_Toc187630797"/>
      <w:bookmarkStart w:id="759" w:name="_Toc187660976"/>
      <w:bookmarkStart w:id="760" w:name="_Toc187662055"/>
      <w:r w:rsidRPr="009C5151">
        <w:rPr>
          <w:rStyle w:val="Strong"/>
          <w:b/>
          <w:bCs/>
          <w:sz w:val="24"/>
          <w:szCs w:val="24"/>
        </w:rPr>
        <w:t>Background</w:t>
      </w:r>
      <w:bookmarkEnd w:id="757"/>
      <w:bookmarkEnd w:id="758"/>
      <w:bookmarkEnd w:id="759"/>
      <w:bookmarkEnd w:id="760"/>
    </w:p>
    <w:p w:rsidR="00A056B6" w:rsidRPr="009C5151" w:rsidRDefault="00A056B6" w:rsidP="00743A5F">
      <w:pPr>
        <w:pStyle w:val="NormalWeb"/>
        <w:spacing w:before="0" w:beforeAutospacing="0"/>
      </w:pPr>
      <w:r w:rsidRPr="009C5151">
        <w:rPr>
          <w:rStyle w:val="Strong"/>
        </w:rPr>
        <w:t>GlobalEdge Pvt. Ltd.</w:t>
      </w:r>
      <w:r w:rsidRPr="009C5151">
        <w:t xml:space="preserve">, an Indian multinational corporation specializing in advanced electronics and software solutions, operates in </w:t>
      </w:r>
      <w:r w:rsidRPr="009C5151">
        <w:rPr>
          <w:rStyle w:val="Strong"/>
        </w:rPr>
        <w:t>USA, UK, Germany, Singapore, Mauritius, China, and Russia</w:t>
      </w:r>
      <w:r w:rsidRPr="009C5151">
        <w:t xml:space="preserve">. It engages in diverse transactions such as </w:t>
      </w:r>
      <w:r w:rsidRPr="009C5151">
        <w:rPr>
          <w:rStyle w:val="Strong"/>
        </w:rPr>
        <w:t>exports</w:t>
      </w:r>
      <w:r w:rsidRPr="009C5151">
        <w:t xml:space="preserve">, </w:t>
      </w:r>
      <w:r w:rsidRPr="009C5151">
        <w:rPr>
          <w:rStyle w:val="Strong"/>
        </w:rPr>
        <w:t>royalty payments</w:t>
      </w:r>
      <w:r w:rsidRPr="009C5151">
        <w:t xml:space="preserve">, </w:t>
      </w:r>
      <w:r w:rsidRPr="009C5151">
        <w:rPr>
          <w:rStyle w:val="Strong"/>
        </w:rPr>
        <w:t>interest payments</w:t>
      </w:r>
      <w:r w:rsidRPr="009C5151">
        <w:t xml:space="preserve">, </w:t>
      </w:r>
      <w:r w:rsidRPr="009C5151">
        <w:rPr>
          <w:rStyle w:val="Strong"/>
        </w:rPr>
        <w:t>fee for technical services (FTS)</w:t>
      </w:r>
      <w:r w:rsidRPr="009C5151">
        <w:t xml:space="preserve">, </w:t>
      </w:r>
      <w:r w:rsidRPr="009C5151">
        <w:rPr>
          <w:rStyle w:val="Strong"/>
        </w:rPr>
        <w:t>dividends</w:t>
      </w:r>
      <w:r w:rsidRPr="009C5151">
        <w:t xml:space="preserve">, and </w:t>
      </w:r>
      <w:r w:rsidRPr="009C5151">
        <w:rPr>
          <w:rStyle w:val="Strong"/>
        </w:rPr>
        <w:t>inter-group transactions</w:t>
      </w:r>
      <w:r w:rsidRPr="009C5151">
        <w:t xml:space="preserve">. The company faces additional scrutiny regarding </w:t>
      </w:r>
      <w:r w:rsidRPr="009C5151">
        <w:rPr>
          <w:rStyle w:val="Strong"/>
        </w:rPr>
        <w:t>Permanent Establishment (PE)</w:t>
      </w:r>
      <w:r w:rsidRPr="009C5151">
        <w:t xml:space="preserve">, </w:t>
      </w:r>
      <w:r w:rsidRPr="009C5151">
        <w:rPr>
          <w:rStyle w:val="Strong"/>
        </w:rPr>
        <w:t>GAAR (General Anti-Avoidance Rules)</w:t>
      </w:r>
      <w:r w:rsidRPr="009C5151">
        <w:t xml:space="preserve">, and </w:t>
      </w:r>
      <w:r w:rsidRPr="009C5151">
        <w:rPr>
          <w:rStyle w:val="Strong"/>
        </w:rPr>
        <w:t>taxable income computation</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46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61" w:name="_Toc187624078"/>
      <w:bookmarkStart w:id="762" w:name="_Toc187630798"/>
      <w:bookmarkStart w:id="763" w:name="_Toc187660977"/>
      <w:bookmarkStart w:id="764" w:name="_Toc187662056"/>
      <w:r w:rsidRPr="009C5151">
        <w:rPr>
          <w:rStyle w:val="Strong"/>
          <w:b/>
          <w:bCs/>
          <w:sz w:val="24"/>
          <w:szCs w:val="24"/>
        </w:rPr>
        <w:t>Transactions</w:t>
      </w:r>
      <w:bookmarkEnd w:id="761"/>
      <w:bookmarkEnd w:id="762"/>
      <w:bookmarkEnd w:id="763"/>
      <w:bookmarkEnd w:id="764"/>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Electronic Components</w:t>
      </w:r>
      <w:r w:rsidRPr="009C5151">
        <w:t>:</w:t>
      </w:r>
      <w:r w:rsidRPr="009C5151">
        <w:br/>
        <w:t>Exported ₹1,200 crore worth of components to AEs in USA, UK, and Germany.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r w:rsidRPr="009C5151">
        <w:br/>
        <w:t>Paid ₹80 crore to Singapore AE for technology licensing.</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r w:rsidRPr="009C5151">
        <w:br/>
        <w:t>Paid ₹40 crore to a German AE for consultancy on product optimization.</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r w:rsidRPr="009C5151">
        <w:br/>
        <w:t>Paid ₹30 crore to a Russian AE on a long-term loan.</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w:t>
      </w:r>
      <w:r w:rsidRPr="009C5151">
        <w:br/>
        <w:t>Paid ₹60 crore in dividends to its Mauritius parent company.</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r w:rsidRPr="009C5151">
        <w:br/>
        <w:t>Paid ₹20 crore to a USA-based platform for product promotions.</w:t>
      </w:r>
    </w:p>
    <w:p w:rsidR="00A056B6" w:rsidRPr="009C5151" w:rsidRDefault="00A056B6" w:rsidP="00743A5F">
      <w:pPr>
        <w:pStyle w:val="NormalWeb"/>
        <w:tabs>
          <w:tab w:val="num" w:pos="720"/>
        </w:tabs>
        <w:spacing w:before="0" w:beforeAutospacing="0"/>
        <w:ind w:left="720" w:hanging="360"/>
      </w:pPr>
      <w:r w:rsidRPr="009C5151">
        <w:rPr>
          <w:rStyle w:val="Strong"/>
        </w:rPr>
        <w:t>Inter-Group Transactions</w:t>
      </w:r>
      <w:r w:rsidRPr="009C5151">
        <w:t>:</w:t>
      </w:r>
      <w:r w:rsidRPr="009C5151">
        <w:br/>
        <w:t>Management fees of ₹25 crore paid to Singapore AE for global administrative support.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6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r w:rsidRPr="009C5151">
        <w:br/>
        <w:t>Paid ₹15 crore to an Indian AE for shared HR and IT infrastructure.</w:t>
      </w:r>
    </w:p>
    <w:p w:rsidR="00A056B6" w:rsidRPr="009C5151" w:rsidRDefault="00A056B6" w:rsidP="00743A5F">
      <w:pPr>
        <w:pStyle w:val="NormalWeb"/>
        <w:tabs>
          <w:tab w:val="num" w:pos="720"/>
        </w:tabs>
        <w:spacing w:before="0" w:beforeAutospacing="0"/>
        <w:ind w:left="720" w:hanging="360"/>
      </w:pPr>
      <w:r w:rsidRPr="009C5151">
        <w:rPr>
          <w:rStyle w:val="Strong"/>
        </w:rPr>
        <w:t>Leasing of Manufacturing Equipment</w:t>
      </w:r>
      <w:r w:rsidRPr="009C5151">
        <w:t>:</w:t>
      </w:r>
      <w:r w:rsidRPr="009C5151">
        <w:br/>
        <w:t>Leased ₹25 crore worth of equipment to another domestic AE.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63"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6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65" w:name="_Toc187624079"/>
      <w:bookmarkStart w:id="766" w:name="_Toc187630799"/>
      <w:bookmarkStart w:id="767" w:name="_Toc187660978"/>
      <w:bookmarkStart w:id="768" w:name="_Toc187662057"/>
      <w:r w:rsidRPr="009C5151">
        <w:rPr>
          <w:rStyle w:val="Strong"/>
          <w:b/>
          <w:bCs/>
          <w:sz w:val="24"/>
          <w:szCs w:val="24"/>
        </w:rPr>
        <w:t>Key Issues</w:t>
      </w:r>
      <w:bookmarkEnd w:id="765"/>
      <w:bookmarkEnd w:id="766"/>
      <w:bookmarkEnd w:id="767"/>
      <w:bookmarkEnd w:id="768"/>
    </w:p>
    <w:p w:rsidR="00A056B6" w:rsidRPr="009C5151" w:rsidRDefault="00A056B6" w:rsidP="00743A5F">
      <w:pPr>
        <w:pStyle w:val="Heading4"/>
        <w:spacing w:before="0" w:beforeAutospacing="0"/>
      </w:pPr>
      <w:r w:rsidRPr="009C5151">
        <w:rPr>
          <w:rStyle w:val="Strong"/>
          <w:b/>
          <w:bCs/>
        </w:rPr>
        <w:t>1. 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₹1,200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₹80 crore royalty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₹40 crore FTS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₹30 crore interest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₹25 crore management fees.</w: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Ensuring proper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(10% under India-Russia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to Mauritius (0% WHT under DTAA).</w: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₹20 crore digital advertising payments.</w:t>
      </w:r>
    </w:p>
    <w:p w:rsidR="00A056B6" w:rsidRPr="009C5151" w:rsidRDefault="00A056B6" w:rsidP="00743A5F">
      <w:pPr>
        <w:pStyle w:val="Heading4"/>
        <w:spacing w:before="0" w:beforeAutospacing="0"/>
      </w:pPr>
      <w:r w:rsidRPr="009C5151">
        <w:rPr>
          <w:rStyle w:val="Strong"/>
          <w:b/>
          <w:bCs/>
        </w:rPr>
        <w:t>4. Applicability of GAAR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GAAR provisions triggered due to potential treaty shopping involving the Mauritius parent company.</w:t>
      </w:r>
    </w:p>
    <w:p w:rsidR="00A056B6" w:rsidRPr="009C5151" w:rsidRDefault="00A056B6" w:rsidP="00743A5F">
      <w:pPr>
        <w:pStyle w:val="Heading4"/>
        <w:spacing w:before="0" w:beforeAutospacing="0"/>
      </w:pPr>
      <w:r w:rsidRPr="009C5151">
        <w:rPr>
          <w:rStyle w:val="Strong"/>
          <w:b/>
          <w:bCs/>
        </w:rPr>
        <w:t>5. Permanent Establishment (PE) Concerns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Potential PE issues 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USA: Dependent agent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Germany: Fixed place PE due to R&amp;D facilities.</w:t>
      </w:r>
    </w:p>
    <w:p w:rsidR="00A056B6" w:rsidRPr="009C5151" w:rsidRDefault="00A056B6" w:rsidP="00743A5F">
      <w:pPr>
        <w:pStyle w:val="Heading4"/>
        <w:spacing w:before="0" w:beforeAutospacing="0"/>
      </w:pPr>
      <w:r w:rsidRPr="009C5151">
        <w:rPr>
          <w:rStyle w:val="Strong"/>
          <w:b/>
          <w:bCs/>
        </w:rPr>
        <w:t>6. Country-by-Country (CbC) Reporting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Required as group revenue exceeds ₹6,400 crore.</w:t>
      </w:r>
    </w:p>
    <w:p w:rsidR="00A056B6" w:rsidRPr="009C5151" w:rsidRDefault="00A056B6" w:rsidP="00743A5F">
      <w:pPr>
        <w:pStyle w:val="Heading4"/>
        <w:spacing w:before="0" w:beforeAutospacing="0"/>
      </w:pPr>
      <w:r w:rsidRPr="009C5151">
        <w:rPr>
          <w:rStyle w:val="Strong"/>
          <w:b/>
          <w:bCs/>
        </w:rPr>
        <w:t>7. Mutual Agreement Procedure (MAP)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Potential double taxation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₹80 crore royalty payments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₹40 crore FTS payments (India-Germany DTAA).</w:t>
      </w:r>
    </w:p>
    <w:p w:rsidR="00A056B6" w:rsidRPr="009C5151" w:rsidRDefault="00A056B6" w:rsidP="00743A5F">
      <w:pPr>
        <w:pStyle w:val="Heading4"/>
        <w:spacing w:before="0" w:beforeAutospacing="0"/>
      </w:pPr>
      <w:r w:rsidRPr="009C5151">
        <w:rPr>
          <w:rStyle w:val="Strong"/>
          <w:b/>
          <w:bCs/>
        </w:rPr>
        <w:t>8. Taxable Income Computation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Need to compute taxable income for AY 2024-25, incorporating TP adjustments and disallowed expenses.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65"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6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69" w:name="_Toc187624080"/>
      <w:bookmarkStart w:id="770" w:name="_Toc187630800"/>
      <w:bookmarkStart w:id="771" w:name="_Toc187660979"/>
      <w:bookmarkStart w:id="772" w:name="_Toc187662058"/>
      <w:r w:rsidRPr="009C5151">
        <w:rPr>
          <w:rStyle w:val="Strong"/>
          <w:b/>
          <w:bCs/>
          <w:sz w:val="24"/>
          <w:szCs w:val="24"/>
        </w:rPr>
        <w:t>Documents Required</w:t>
      </w:r>
      <w:bookmarkEnd w:id="769"/>
      <w:bookmarkEnd w:id="770"/>
      <w:bookmarkEnd w:id="771"/>
      <w:bookmarkEnd w:id="772"/>
    </w:p>
    <w:p w:rsidR="00A056B6" w:rsidRPr="009C5151" w:rsidRDefault="00A056B6" w:rsidP="00743A5F">
      <w:pPr>
        <w:pStyle w:val="NormalWeb"/>
        <w:tabs>
          <w:tab w:val="num" w:pos="720"/>
        </w:tabs>
        <w:spacing w:before="0" w:beforeAutospacing="0"/>
        <w:ind w:left="720" w:hanging="360"/>
      </w:pPr>
      <w:r w:rsidRPr="009C5151">
        <w:rPr>
          <w:rStyle w:val="Strong"/>
        </w:rPr>
        <w:t>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Contracts for exports, royalties, FTS, loans, dividends, and management fees.</w:t>
      </w:r>
    </w:p>
    <w:p w:rsidR="00A056B6" w:rsidRPr="009C5151" w:rsidRDefault="00A056B6" w:rsidP="00743A5F">
      <w:pPr>
        <w:pStyle w:val="NormalWeb"/>
        <w:tabs>
          <w:tab w:val="num" w:pos="720"/>
        </w:tabs>
        <w:spacing w:before="0" w:beforeAutospacing="0"/>
        <w:ind w:left="720" w:hanging="360"/>
      </w:pPr>
      <w:r w:rsidRPr="009C5151">
        <w:rPr>
          <w:rStyle w:val="Strong"/>
        </w:rPr>
        <w:t>Invoices and Payment Proofs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Supporting documents for all transactions.</w:t>
      </w:r>
    </w:p>
    <w:p w:rsidR="00A056B6" w:rsidRPr="009C5151" w:rsidRDefault="00A056B6" w:rsidP="00743A5F">
      <w:pPr>
        <w:pStyle w:val="NormalWeb"/>
        <w:tabs>
          <w:tab w:val="num" w:pos="720"/>
        </w:tabs>
        <w:spacing w:before="0" w:beforeAutospacing="0"/>
        <w:ind w:left="720" w:hanging="360"/>
      </w:pPr>
      <w:r w:rsidRPr="009C5151">
        <w:rPr>
          <w:rStyle w:val="Strong"/>
        </w:rPr>
        <w:t>Tax Residency Certificates (TRC)</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TRCs for Mauritius, Singapore, Germany, and Russia AEs.</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Allocation of roles, functions, and risks among AEs.</w:t>
      </w:r>
    </w:p>
    <w:p w:rsidR="00A056B6" w:rsidRPr="009C5151" w:rsidRDefault="00A056B6" w:rsidP="00743A5F">
      <w:pPr>
        <w:pStyle w:val="NormalWeb"/>
        <w:tabs>
          <w:tab w:val="num" w:pos="720"/>
        </w:tabs>
        <w:spacing w:before="0" w:beforeAutospacing="0"/>
        <w:ind w:left="720" w:hanging="360"/>
      </w:pPr>
      <w:r w:rsidRPr="009C5151">
        <w:rPr>
          <w:rStyle w:val="Strong"/>
        </w:rPr>
        <w:t>CbC Reporting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Consolidated financials and profit allocation data.</w:t>
      </w:r>
    </w:p>
    <w:p w:rsidR="00A056B6" w:rsidRPr="009C5151" w:rsidRDefault="00A056B6" w:rsidP="00743A5F">
      <w:pPr>
        <w:pStyle w:val="NormalWeb"/>
        <w:tabs>
          <w:tab w:val="num" w:pos="720"/>
        </w:tabs>
        <w:spacing w:before="0" w:beforeAutospacing="0"/>
        <w:ind w:left="720" w:hanging="360"/>
      </w:pPr>
      <w:r w:rsidRPr="009C5151">
        <w:rPr>
          <w:rStyle w:val="Strong"/>
        </w:rPr>
        <w:t>MAP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Evidence for filing Form 34F for MAP proceedings.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67"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6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73" w:name="_Toc187624081"/>
      <w:bookmarkStart w:id="774" w:name="_Toc187630801"/>
      <w:bookmarkStart w:id="775" w:name="_Toc187660980"/>
      <w:bookmarkStart w:id="776" w:name="_Toc187662059"/>
      <w:r w:rsidRPr="009C5151">
        <w:rPr>
          <w:rStyle w:val="Strong"/>
          <w:b/>
          <w:bCs/>
          <w:sz w:val="24"/>
          <w:szCs w:val="24"/>
        </w:rPr>
        <w:t>Proposed Solutions</w:t>
      </w:r>
      <w:bookmarkEnd w:id="773"/>
      <w:bookmarkEnd w:id="774"/>
      <w:bookmarkEnd w:id="775"/>
      <w:bookmarkEnd w:id="776"/>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Export of Electronic Components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TNMM</w:t>
      </w:r>
      <w:r w:rsidRPr="009C5151">
        <w:rPr>
          <w:rFonts w:ascii="Times New Roman" w:hAnsi="Times New Roman" w:cs="Times New Roman"/>
          <w:sz w:val="24"/>
          <w:szCs w:val="24"/>
        </w:rPr>
        <w:t xml:space="preserve"> to benchmark ₹1,200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operating margins with global electronics manufacturers.</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benchmark ₹80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the royalty rate (5%-7%).</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FTS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CPM</w:t>
      </w:r>
      <w:r w:rsidRPr="009C5151">
        <w:rPr>
          <w:rFonts w:ascii="Times New Roman" w:hAnsi="Times New Roman" w:cs="Times New Roman"/>
          <w:sz w:val="24"/>
          <w:szCs w:val="24"/>
        </w:rPr>
        <w:t xml:space="preserve"> to benchmark ₹40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markup with independent consultancy providers.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Ensure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(interest deduction capped at 30% of EBITDA).</w:t>
      </w:r>
    </w:p>
    <w:p w:rsidR="00A056B6" w:rsidRPr="009C5151" w:rsidRDefault="00A056B6" w:rsidP="00743A5F">
      <w:pPr>
        <w:pStyle w:val="NormalWeb"/>
        <w:tabs>
          <w:tab w:val="num" w:pos="720"/>
        </w:tabs>
        <w:spacing w:before="0" w:beforeAutospacing="0"/>
        <w:ind w:left="720" w:hanging="360"/>
      </w:pPr>
      <w:r w:rsidRPr="009C5151">
        <w:rPr>
          <w:rStyle w:val="Strong"/>
        </w:rPr>
        <w:t>Inter-Group Transactions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validate ₹25 crore management fees.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6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₹80 crore × 10% = ₹8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₹40 crore × 10% = ₹4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₹30 crore × 10% = ₹3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7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Levy at 6% on ₹20 crore digital advertising payments = ₹1.2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7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GAAR Applicability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Justify economic substance of the Mauritius parent company (e.g., local employees, business operations).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Maintain TRC and Form 10F to support DTAA benefits.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7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Permanent Establishment (PE) Analysis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USA PE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Dependent agent PE due to contractual obligations handled by a USA subsidiary.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Germany PE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Fixed place PE due to R&amp;D facilities.</w:t>
      </w:r>
    </w:p>
    <w:p w:rsidR="00A056B6" w:rsidRPr="009C5151" w:rsidRDefault="00A056B6" w:rsidP="00743A5F">
      <w:pPr>
        <w:pStyle w:val="NormalWeb"/>
        <w:spacing w:before="0" w:beforeAutospacing="0"/>
      </w:pPr>
      <w:r w:rsidRPr="009C5151">
        <w:rPr>
          <w:rStyle w:val="Strong"/>
        </w:rPr>
        <w:lastRenderedPageBreak/>
        <w:t>Mitigation</w:t>
      </w:r>
      <w:r w:rsidRPr="009C5151">
        <w:t>: Ensure proper allocation of profits to the PE jurisdictions.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7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Taxable Income Computation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88"/>
        <w:gridCol w:w="212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Particulars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 in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Revenue (Exports)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Domestic Revenue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Less: Allowable Expenses: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Royalty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FTS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Interest (allowable under 94B)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Employee and Admin Expenses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Depreciation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Taxable Income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550</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7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7. CbC Reporting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with:</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Revenue, profits, and taxes paid in all jurisdictions.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Functions performed by each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7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8. MAP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Form 34F to resolve double taxation issues for royalties and FTS payments.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76"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7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77" w:name="_Toc187624082"/>
      <w:bookmarkStart w:id="778" w:name="_Toc187630802"/>
      <w:bookmarkStart w:id="779" w:name="_Toc187660981"/>
      <w:bookmarkStart w:id="780" w:name="_Toc187662060"/>
      <w:r w:rsidRPr="009C5151">
        <w:rPr>
          <w:rStyle w:val="Strong"/>
          <w:b/>
          <w:bCs/>
          <w:sz w:val="24"/>
          <w:szCs w:val="24"/>
        </w:rPr>
        <w:t>Conclusion</w:t>
      </w:r>
      <w:bookmarkEnd w:id="777"/>
      <w:bookmarkEnd w:id="778"/>
      <w:bookmarkEnd w:id="779"/>
      <w:bookmarkEnd w:id="780"/>
    </w:p>
    <w:p w:rsidR="00A056B6" w:rsidRPr="009C5151" w:rsidRDefault="00A056B6" w:rsidP="00743A5F">
      <w:pPr>
        <w:pStyle w:val="NormalWeb"/>
        <w:tabs>
          <w:tab w:val="num" w:pos="720"/>
        </w:tabs>
        <w:spacing w:before="0" w:beforeAutospacing="0"/>
        <w:ind w:left="720" w:hanging="360"/>
      </w:pPr>
      <w:r w:rsidRPr="009C5151">
        <w:rPr>
          <w:rStyle w:val="Strong"/>
        </w:rPr>
        <w:t>Transfer Pricing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transactions using TNMM, CUP, and CPM.</w:t>
      </w:r>
    </w:p>
    <w:p w:rsidR="00A056B6" w:rsidRPr="009C5151" w:rsidRDefault="00A056B6" w:rsidP="00743A5F">
      <w:pPr>
        <w:pStyle w:val="NormalWeb"/>
        <w:tabs>
          <w:tab w:val="num" w:pos="720"/>
        </w:tabs>
        <w:spacing w:before="0" w:beforeAutospacing="0"/>
        <w:ind w:left="720" w:hanging="360"/>
      </w:pPr>
      <w:r w:rsidRPr="009C5151">
        <w:rPr>
          <w:rStyle w:val="Strong"/>
        </w:rPr>
        <w:t>Withholding Tax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WHT per DTAAs and remit on time.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GAAR Mitigation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Prove economic substance for Mauritius entity to avoid GAAR scrutiny.</w:t>
      </w:r>
    </w:p>
    <w:p w:rsidR="00A056B6" w:rsidRPr="009C5151" w:rsidRDefault="00A056B6" w:rsidP="00743A5F">
      <w:pPr>
        <w:pStyle w:val="NormalWeb"/>
        <w:tabs>
          <w:tab w:val="num" w:pos="720"/>
        </w:tabs>
        <w:spacing w:before="0" w:beforeAutospacing="0"/>
        <w:ind w:left="720" w:hanging="360"/>
      </w:pPr>
      <w:r w:rsidRPr="009C5151">
        <w:rPr>
          <w:rStyle w:val="Strong"/>
        </w:rPr>
        <w:t>PE Risk Mitigation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Allocate profits to USA and Germany PEs and maintain proper documentation.</w:t>
      </w:r>
    </w:p>
    <w:p w:rsidR="00A056B6" w:rsidRPr="009C5151" w:rsidRDefault="00A056B6" w:rsidP="00743A5F">
      <w:pPr>
        <w:pStyle w:val="NormalWeb"/>
        <w:tabs>
          <w:tab w:val="num" w:pos="720"/>
        </w:tabs>
        <w:spacing w:before="0" w:beforeAutospacing="0"/>
        <w:ind w:left="720" w:hanging="360"/>
      </w:pPr>
      <w:r w:rsidRPr="009C5151">
        <w:rPr>
          <w:rStyle w:val="Strong"/>
        </w:rPr>
        <w:t>Taxable Income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all deductions comply with Section 94B and TP regulations.</w:t>
      </w:r>
    </w:p>
    <w:p w:rsidR="00A056B6" w:rsidRPr="009C5151" w:rsidRDefault="00A056B6" w:rsidP="00743A5F">
      <w:pPr>
        <w:pStyle w:val="NormalWeb"/>
        <w:tabs>
          <w:tab w:val="num" w:pos="720"/>
        </w:tabs>
        <w:spacing w:before="0" w:beforeAutospacing="0"/>
        <w:ind w:left="720" w:hanging="360"/>
      </w:pPr>
      <w:r w:rsidRPr="009C5151">
        <w:rPr>
          <w:rStyle w:val="Strong"/>
        </w:rPr>
        <w:t>Equalization Levy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Comply with EL requirements for advertising payments.</w:t>
      </w:r>
    </w:p>
    <w:p w:rsidR="00A056B6" w:rsidRPr="009C5151" w:rsidRDefault="00A056B6" w:rsidP="00743A5F">
      <w:pPr>
        <w:pStyle w:val="NormalWeb"/>
        <w:spacing w:before="0" w:beforeAutospacing="0"/>
      </w:pPr>
      <w:r w:rsidRPr="009C5151">
        <w:t xml:space="preserve">Would you like assistance with </w:t>
      </w:r>
      <w:r w:rsidRPr="009C5151">
        <w:rPr>
          <w:rStyle w:val="Strong"/>
        </w:rPr>
        <w:t>detailed agreement templates</w:t>
      </w:r>
      <w:r w:rsidRPr="009C5151">
        <w:t xml:space="preserve">, </w:t>
      </w:r>
      <w:r w:rsidRPr="009C5151">
        <w:rPr>
          <w:rStyle w:val="Strong"/>
        </w:rPr>
        <w:t>benchmarking reports</w:t>
      </w:r>
      <w:r w:rsidRPr="009C5151">
        <w:t xml:space="preserve">, or </w:t>
      </w:r>
      <w:r w:rsidRPr="009C5151">
        <w:rPr>
          <w:rStyle w:val="Strong"/>
        </w:rPr>
        <w:t>PE risk mitigation plans</w:t>
      </w:r>
      <w:r w:rsidRPr="009C5151">
        <w:t>?</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detailed agreement templates, benchmarking reports, or PE risk mitigation plans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94744D2" wp14:editId="0E27CFE2">
            <wp:extent cx="763905" cy="763905"/>
            <wp:effectExtent l="0" t="0" r="0" b="0"/>
            <wp:docPr id="293" name="Picture 29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5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781" w:name="_Toc187624083"/>
      <w:bookmarkStart w:id="782" w:name="_Toc187630803"/>
      <w:bookmarkStart w:id="783" w:name="_Toc187660982"/>
      <w:bookmarkStart w:id="784" w:name="_Toc187662061"/>
      <w:r w:rsidRPr="009C5151">
        <w:rPr>
          <w:rStyle w:val="Strong"/>
          <w:b/>
          <w:bCs/>
          <w:sz w:val="24"/>
          <w:szCs w:val="24"/>
        </w:rPr>
        <w:t>Detailed Assistance: Agreement Templates, Benchmarking Reports, and PE Risk Mitigation Plans</w:t>
      </w:r>
      <w:bookmarkEnd w:id="781"/>
      <w:bookmarkEnd w:id="782"/>
      <w:bookmarkEnd w:id="783"/>
      <w:bookmarkEnd w:id="784"/>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7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85" w:name="_Toc187624084"/>
      <w:bookmarkStart w:id="786" w:name="_Toc187630804"/>
      <w:bookmarkStart w:id="787" w:name="_Toc187660983"/>
      <w:bookmarkStart w:id="788" w:name="_Toc187662062"/>
      <w:r w:rsidRPr="009C5151">
        <w:rPr>
          <w:rStyle w:val="Strong"/>
          <w:b/>
          <w:bCs/>
          <w:sz w:val="24"/>
          <w:szCs w:val="24"/>
        </w:rPr>
        <w:t>I. Detailed Agreement Templates</w:t>
      </w:r>
      <w:bookmarkEnd w:id="785"/>
      <w:bookmarkEnd w:id="786"/>
      <w:bookmarkEnd w:id="787"/>
      <w:bookmarkEnd w:id="788"/>
    </w:p>
    <w:p w:rsidR="00A056B6" w:rsidRPr="009C5151" w:rsidRDefault="00A056B6" w:rsidP="00743A5F">
      <w:pPr>
        <w:pStyle w:val="Heading4"/>
        <w:spacing w:before="0" w:beforeAutospacing="0"/>
      </w:pPr>
      <w:r w:rsidRPr="009C5151">
        <w:rPr>
          <w:rStyle w:val="Strong"/>
          <w:b/>
          <w:bCs/>
        </w:rPr>
        <w:t>1. Licensing Agreement for Royalty Payments</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Licensing Agreement</w:t>
      </w:r>
      <w:r w:rsidRPr="009C5151">
        <w:br/>
        <w:t>This Agreement is made on [Date]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GlobalEdge Pvt. Ltd.</w:t>
      </w:r>
      <w:r w:rsidRPr="009C5151">
        <w:rPr>
          <w:rFonts w:ascii="Times New Roman" w:hAnsi="Times New Roman" w:cs="Times New Roman"/>
          <w:sz w:val="24"/>
          <w:szCs w:val="24"/>
        </w:rPr>
        <w:t xml:space="preserve"> ("Licensee"), having its registered office at [Address],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Innovate Solutions Singapore Pte Ltd.</w:t>
      </w:r>
      <w:r w:rsidRPr="009C5151">
        <w:rPr>
          <w:rFonts w:ascii="Times New Roman" w:hAnsi="Times New Roman" w:cs="Times New Roman"/>
          <w:sz w:val="24"/>
          <w:szCs w:val="24"/>
        </w:rPr>
        <w:t xml:space="preserve"> ("Licensor"), having its principal office at [Address].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7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lastRenderedPageBreak/>
        <w:t>Recitals</w:t>
      </w:r>
      <w:r w:rsidRPr="009C5151">
        <w:t>:</w:t>
      </w:r>
      <w:r w:rsidRPr="009C5151">
        <w:br/>
        <w:t>The Licensor owns proprietary technology that is integral to the Licensee’s business operations. The Licensee seeks to license this technology for commercial purposes in India.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80"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Terms and Conditions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Scope of License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Licensor grants a non-exclusive, non-transferable right to use the proprietary technology within India for commercial purposes.</w:t>
      </w:r>
    </w:p>
    <w:p w:rsidR="00A056B6" w:rsidRPr="009C5151" w:rsidRDefault="00A056B6" w:rsidP="00743A5F">
      <w:pPr>
        <w:pStyle w:val="NormalWeb"/>
        <w:tabs>
          <w:tab w:val="num" w:pos="720"/>
        </w:tabs>
        <w:spacing w:before="0" w:beforeAutospacing="0"/>
        <w:ind w:left="720" w:hanging="360"/>
      </w:pPr>
      <w:r w:rsidRPr="009C5151">
        <w:rPr>
          <w:rStyle w:val="Strong"/>
        </w:rPr>
        <w:t>Royalty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The Licensee agrees to pay </w:t>
      </w:r>
      <w:r w:rsidRPr="009C5151">
        <w:rPr>
          <w:rStyle w:val="Strong"/>
          <w:rFonts w:ascii="Times New Roman" w:hAnsi="Times New Roman" w:cs="Times New Roman"/>
          <w:sz w:val="24"/>
          <w:szCs w:val="24"/>
        </w:rPr>
        <w:t>6% of net revenue</w:t>
      </w:r>
      <w:r w:rsidRPr="009C5151">
        <w:rPr>
          <w:rFonts w:ascii="Times New Roman" w:hAnsi="Times New Roman" w:cs="Times New Roman"/>
          <w:sz w:val="24"/>
          <w:szCs w:val="24"/>
        </w:rPr>
        <w:t xml:space="preserve"> generated from products utilizing the licensed technology.</w:t>
      </w:r>
    </w:p>
    <w:p w:rsidR="00A056B6" w:rsidRPr="009C5151" w:rsidRDefault="00A056B6" w:rsidP="00743A5F">
      <w:pPr>
        <w:pStyle w:val="NormalWeb"/>
        <w:tabs>
          <w:tab w:val="num" w:pos="720"/>
        </w:tabs>
        <w:spacing w:before="0" w:beforeAutospacing="0"/>
        <w:ind w:left="720" w:hanging="360"/>
      </w:pPr>
      <w:r w:rsidRPr="009C5151">
        <w:rPr>
          <w:rStyle w:val="Strong"/>
        </w:rPr>
        <w:t>Payment Terms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Royalties will be paid quarterly within 30 days of the end of the quarter.</w:t>
      </w:r>
    </w:p>
    <w:p w:rsidR="00A056B6" w:rsidRPr="009C5151" w:rsidRDefault="00A056B6" w:rsidP="00743A5F">
      <w:pPr>
        <w:pStyle w:val="NormalWeb"/>
        <w:tabs>
          <w:tab w:val="num" w:pos="720"/>
        </w:tabs>
        <w:spacing w:before="0" w:beforeAutospacing="0"/>
        <w:ind w:left="720" w:hanging="360"/>
      </w:pPr>
      <w:r w:rsidRPr="009C5151">
        <w:rPr>
          <w:rStyle w:val="Strong"/>
        </w:rPr>
        <w:t>Tax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Payments are subject to a </w:t>
      </w:r>
      <w:r w:rsidRPr="009C5151">
        <w:rPr>
          <w:rStyle w:val="Strong"/>
          <w:rFonts w:ascii="Times New Roman" w:hAnsi="Times New Roman" w:cs="Times New Roman"/>
          <w:sz w:val="24"/>
          <w:szCs w:val="24"/>
        </w:rPr>
        <w:t>10% withholding tax</w:t>
      </w:r>
      <w:r w:rsidRPr="009C5151">
        <w:rPr>
          <w:rFonts w:ascii="Times New Roman" w:hAnsi="Times New Roman" w:cs="Times New Roman"/>
          <w:sz w:val="24"/>
          <w:szCs w:val="24"/>
        </w:rPr>
        <w:t xml:space="preserve"> under the India-Singapore DTAA.</w:t>
      </w:r>
    </w:p>
    <w:p w:rsidR="00A056B6" w:rsidRPr="009C5151" w:rsidRDefault="00A056B6" w:rsidP="00743A5F">
      <w:pPr>
        <w:pStyle w:val="NormalWeb"/>
        <w:tabs>
          <w:tab w:val="num" w:pos="720"/>
        </w:tabs>
        <w:spacing w:before="0" w:beforeAutospacing="0"/>
        <w:ind w:left="720" w:hanging="360"/>
      </w:pPr>
      <w:r w:rsidRPr="009C5151">
        <w:rPr>
          <w:rStyle w:val="Strong"/>
        </w:rPr>
        <w:t>Confidentiality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Both parties agree to maintain the confidentiality of all technical and financial information exchanged under this Agreement.</w:t>
      </w:r>
    </w:p>
    <w:p w:rsidR="00A056B6" w:rsidRPr="009C5151" w:rsidRDefault="00A056B6" w:rsidP="00743A5F">
      <w:pPr>
        <w:pStyle w:val="NormalWeb"/>
        <w:tabs>
          <w:tab w:val="num" w:pos="720"/>
        </w:tabs>
        <w:spacing w:before="0" w:beforeAutospacing="0"/>
        <w:ind w:left="720" w:hanging="360"/>
      </w:pPr>
      <w:r w:rsidRPr="009C5151">
        <w:rPr>
          <w:rStyle w:val="Strong"/>
        </w:rPr>
        <w:t>Termination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Either party may terminate the agreement upon 90 days' prior written notice.</w:t>
      </w:r>
    </w:p>
    <w:p w:rsidR="00A056B6" w:rsidRPr="009C5151" w:rsidRDefault="00A056B6" w:rsidP="00743A5F">
      <w:pPr>
        <w:pStyle w:val="NormalWeb"/>
        <w:spacing w:before="0" w:beforeAutospacing="0"/>
      </w:pPr>
      <w:r w:rsidRPr="009C5151">
        <w:rPr>
          <w:rStyle w:val="Strong"/>
        </w:rPr>
        <w:t>Signatures</w:t>
      </w:r>
      <w:r w:rsidRPr="009C5151">
        <w:t>:</w:t>
      </w:r>
      <w:r w:rsidRPr="009C5151">
        <w:br/>
        <w:t>For GlobalEdge Pvt. Ltd. | For Innovate Solutions Singapore Pte Ltd.</w:t>
      </w:r>
      <w:r w:rsidRPr="009C5151">
        <w:br/>
        <w:t>_________________________ | _________________________</w:t>
      </w:r>
      <w:r w:rsidRPr="009C5151">
        <w:br/>
        <w:t>Authorized Signatory | Authorized Signatory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8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Loan Agreement for Interest Payments</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Loan Agreement</w:t>
      </w:r>
      <w:r w:rsidRPr="009C5151">
        <w:br/>
        <w:t>This Agreement is made on [Date]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GlobalEdge Pvt. Ltd.</w:t>
      </w:r>
      <w:r w:rsidRPr="009C5151">
        <w:rPr>
          <w:rFonts w:ascii="Times New Roman" w:hAnsi="Times New Roman" w:cs="Times New Roman"/>
          <w:sz w:val="24"/>
          <w:szCs w:val="24"/>
        </w:rPr>
        <w:t xml:space="preserve"> ("Borrower"), having its registered office at [Address],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FinanceChina Ltd.</w:t>
      </w:r>
      <w:r w:rsidRPr="009C5151">
        <w:rPr>
          <w:rFonts w:ascii="Times New Roman" w:hAnsi="Times New Roman" w:cs="Times New Roman"/>
          <w:sz w:val="24"/>
          <w:szCs w:val="24"/>
        </w:rPr>
        <w:t xml:space="preserve"> ("Lender"), having its principal office at [Address].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82"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Terms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Loan Amount</w:t>
      </w:r>
      <w:r w:rsidRPr="009C5151">
        <w:t>: ₹150 crore.</w:t>
      </w:r>
    </w:p>
    <w:p w:rsidR="00A056B6" w:rsidRPr="009C5151" w:rsidRDefault="00A056B6" w:rsidP="00743A5F">
      <w:pPr>
        <w:pStyle w:val="NormalWeb"/>
        <w:tabs>
          <w:tab w:val="num" w:pos="720"/>
        </w:tabs>
        <w:spacing w:before="0" w:beforeAutospacing="0"/>
        <w:ind w:left="720" w:hanging="360"/>
      </w:pPr>
      <w:r w:rsidRPr="009C5151">
        <w:rPr>
          <w:rStyle w:val="Strong"/>
        </w:rPr>
        <w:t>Interest Rate</w:t>
      </w:r>
      <w:r w:rsidRPr="009C5151">
        <w:t xml:space="preserve">: </w:t>
      </w:r>
      <w:r w:rsidRPr="009C5151">
        <w:rPr>
          <w:rStyle w:val="Strong"/>
        </w:rPr>
        <w:t>6% per annum</w:t>
      </w:r>
      <w:r w:rsidRPr="009C5151">
        <w:t xml:space="preserve"> (aligned with market rates).</w:t>
      </w:r>
    </w:p>
    <w:p w:rsidR="00A056B6" w:rsidRPr="009C5151" w:rsidRDefault="00A056B6" w:rsidP="00743A5F">
      <w:pPr>
        <w:pStyle w:val="NormalWeb"/>
        <w:tabs>
          <w:tab w:val="num" w:pos="720"/>
        </w:tabs>
        <w:spacing w:before="0" w:beforeAutospacing="0"/>
        <w:ind w:left="720" w:hanging="360"/>
      </w:pPr>
      <w:r w:rsidRPr="009C5151">
        <w:rPr>
          <w:rStyle w:val="Strong"/>
        </w:rPr>
        <w:t>Repayment Terms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to be paid quarterly starting [Start Date].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Principal repayment in five annual installments.</w:t>
      </w:r>
    </w:p>
    <w:p w:rsidR="00A056B6" w:rsidRPr="009C5151" w:rsidRDefault="00A056B6" w:rsidP="00743A5F">
      <w:pPr>
        <w:pStyle w:val="NormalWeb"/>
        <w:tabs>
          <w:tab w:val="num" w:pos="720"/>
        </w:tabs>
        <w:spacing w:before="0" w:beforeAutospacing="0"/>
        <w:ind w:left="720" w:hanging="360"/>
      </w:pPr>
      <w:r w:rsidRPr="009C5151">
        <w:rPr>
          <w:rStyle w:val="Strong"/>
        </w:rPr>
        <w:t>Tax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Interest payments will be subject to </w:t>
      </w:r>
      <w:r w:rsidRPr="009C5151">
        <w:rPr>
          <w:rStyle w:val="Strong"/>
          <w:rFonts w:ascii="Times New Roman" w:hAnsi="Times New Roman" w:cs="Times New Roman"/>
          <w:sz w:val="24"/>
          <w:szCs w:val="24"/>
        </w:rPr>
        <w:t>10% WHT</w:t>
      </w:r>
      <w:r w:rsidRPr="009C5151">
        <w:rPr>
          <w:rFonts w:ascii="Times New Roman" w:hAnsi="Times New Roman" w:cs="Times New Roman"/>
          <w:sz w:val="24"/>
          <w:szCs w:val="24"/>
        </w:rPr>
        <w:t xml:space="preserve"> under the India-China DTAA.</w:t>
      </w:r>
    </w:p>
    <w:p w:rsidR="00A056B6" w:rsidRPr="009C5151" w:rsidRDefault="00A056B6" w:rsidP="00743A5F">
      <w:pPr>
        <w:pStyle w:val="NormalWeb"/>
        <w:tabs>
          <w:tab w:val="num" w:pos="720"/>
        </w:tabs>
        <w:spacing w:before="0" w:beforeAutospacing="0"/>
        <w:ind w:left="720" w:hanging="360"/>
      </w:pPr>
      <w:r w:rsidRPr="009C5151">
        <w:rPr>
          <w:rStyle w:val="Strong"/>
        </w:rPr>
        <w:t>Default Clause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 case of default, a penalty of 2% per month on the overdue amount will apply.</w:t>
      </w:r>
    </w:p>
    <w:p w:rsidR="00A056B6" w:rsidRPr="009C5151" w:rsidRDefault="00A056B6" w:rsidP="00743A5F">
      <w:pPr>
        <w:pStyle w:val="NormalWeb"/>
        <w:spacing w:before="0" w:beforeAutospacing="0"/>
      </w:pPr>
      <w:r w:rsidRPr="009C5151">
        <w:rPr>
          <w:rStyle w:val="Strong"/>
        </w:rPr>
        <w:t>Signatures</w:t>
      </w:r>
      <w:r w:rsidRPr="009C5151">
        <w:t>:</w:t>
      </w:r>
      <w:r w:rsidRPr="009C5151">
        <w:br/>
        <w:t>For GlobalEdge Pvt. Ltd. | For FinanceChina Ltd.</w:t>
      </w:r>
      <w:r w:rsidRPr="009C5151">
        <w:br/>
        <w:t>_________________________ | _________________________</w:t>
      </w:r>
      <w:r w:rsidRPr="009C5151">
        <w:br/>
        <w:t>Authorized Signatory | Authorized Signatory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8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Service Agreement for Fee for Technical Services</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Technical Services Agreement</w:t>
      </w:r>
      <w:r w:rsidRPr="009C5151">
        <w:br/>
        <w:t>This Agreement is entered into on [Date] by and between: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GlobalEdge Pvt. Ltd.</w:t>
      </w:r>
      <w:r w:rsidRPr="009C5151">
        <w:rPr>
          <w:rFonts w:ascii="Times New Roman" w:hAnsi="Times New Roman" w:cs="Times New Roman"/>
          <w:sz w:val="24"/>
          <w:szCs w:val="24"/>
        </w:rPr>
        <w:t xml:space="preserve"> ("Client"), and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CloudTech GmbH</w:t>
      </w:r>
      <w:r w:rsidRPr="009C5151">
        <w:rPr>
          <w:rFonts w:ascii="Times New Roman" w:hAnsi="Times New Roman" w:cs="Times New Roman"/>
          <w:sz w:val="24"/>
          <w:szCs w:val="24"/>
        </w:rPr>
        <w:t xml:space="preserve"> ("Service Provider").</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8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Scope of Services</w:t>
      </w:r>
      <w:r w:rsidRPr="009C5151">
        <w:t>:</w:t>
      </w:r>
      <w:r w:rsidRPr="009C5151">
        <w:br/>
        <w:t>The Service Provider shall deliver consultancy on product optimization, including: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Software architecture improvements.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Efficiency testing and reporting.</w:t>
      </w:r>
    </w:p>
    <w:p w:rsidR="00A056B6" w:rsidRPr="009C5151" w:rsidRDefault="00A056B6" w:rsidP="00743A5F">
      <w:pPr>
        <w:pStyle w:val="NormalWeb"/>
        <w:spacing w:before="0" w:beforeAutospacing="0"/>
      </w:pPr>
      <w:r w:rsidRPr="009C5151">
        <w:rPr>
          <w:rStyle w:val="Strong"/>
        </w:rPr>
        <w:t>Service Fee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Fixed Fee: ₹40 crore.</w:t>
      </w:r>
    </w:p>
    <w:p w:rsidR="00A056B6" w:rsidRPr="009C5151" w:rsidRDefault="00A056B6" w:rsidP="00743A5F">
      <w:pPr>
        <w:pStyle w:val="NormalWeb"/>
        <w:spacing w:before="0" w:beforeAutospacing="0"/>
      </w:pPr>
      <w:r w:rsidRPr="009C5151">
        <w:rPr>
          <w:rStyle w:val="Strong"/>
        </w:rPr>
        <w:t>Payment Schedule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40% upon commencement.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60% upon project completion.</w:t>
      </w:r>
    </w:p>
    <w:p w:rsidR="00A056B6" w:rsidRPr="009C5151" w:rsidRDefault="00A056B6" w:rsidP="00743A5F">
      <w:pPr>
        <w:pStyle w:val="NormalWeb"/>
        <w:spacing w:before="0" w:beforeAutospacing="0"/>
      </w:pPr>
      <w:r w:rsidRPr="009C5151">
        <w:rPr>
          <w:rStyle w:val="Strong"/>
        </w:rPr>
        <w:t>Tax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Payments will be subject to </w:t>
      </w:r>
      <w:r w:rsidRPr="009C5151">
        <w:rPr>
          <w:rStyle w:val="Strong"/>
          <w:rFonts w:ascii="Times New Roman" w:hAnsi="Times New Roman" w:cs="Times New Roman"/>
          <w:sz w:val="24"/>
          <w:szCs w:val="24"/>
        </w:rPr>
        <w:t>10% WHT</w:t>
      </w:r>
      <w:r w:rsidRPr="009C5151">
        <w:rPr>
          <w:rFonts w:ascii="Times New Roman" w:hAnsi="Times New Roman" w:cs="Times New Roman"/>
          <w:sz w:val="24"/>
          <w:szCs w:val="24"/>
        </w:rPr>
        <w:t xml:space="preserve"> under the India-Germany DTAA.</w:t>
      </w:r>
    </w:p>
    <w:p w:rsidR="00A056B6" w:rsidRPr="009C5151" w:rsidRDefault="00A056B6" w:rsidP="00743A5F">
      <w:pPr>
        <w:pStyle w:val="NormalWeb"/>
        <w:spacing w:before="0" w:beforeAutospacing="0"/>
      </w:pPr>
      <w:r w:rsidRPr="009C5151">
        <w:rPr>
          <w:rStyle w:val="Strong"/>
        </w:rPr>
        <w:t>Signatures</w:t>
      </w:r>
      <w:r w:rsidRPr="009C5151">
        <w:t>:</w:t>
      </w:r>
      <w:r w:rsidRPr="009C5151">
        <w:br/>
        <w:t>For GlobalEdge Pvt. Ltd. | For CloudTech GmbH</w:t>
      </w:r>
      <w:r w:rsidRPr="009C5151">
        <w:br/>
        <w:t>_________________________ | _________________________</w:t>
      </w:r>
      <w:r w:rsidRPr="009C5151">
        <w:br/>
        <w:t>Authorized Signatory | Authorized Signatory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85"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8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89" w:name="_Toc187624085"/>
      <w:bookmarkStart w:id="790" w:name="_Toc187630805"/>
      <w:bookmarkStart w:id="791" w:name="_Toc187660984"/>
      <w:bookmarkStart w:id="792" w:name="_Toc187662063"/>
      <w:r w:rsidRPr="009C5151">
        <w:rPr>
          <w:rStyle w:val="Strong"/>
          <w:b/>
          <w:bCs/>
          <w:sz w:val="24"/>
          <w:szCs w:val="24"/>
        </w:rPr>
        <w:t>II. Detailed Benchmarking Report</w:t>
      </w:r>
      <w:bookmarkEnd w:id="789"/>
      <w:bookmarkEnd w:id="790"/>
      <w:bookmarkEnd w:id="791"/>
      <w:bookmarkEnd w:id="792"/>
    </w:p>
    <w:p w:rsidR="00A056B6" w:rsidRPr="009C5151" w:rsidRDefault="00A056B6" w:rsidP="00743A5F">
      <w:pPr>
        <w:pStyle w:val="Heading4"/>
        <w:spacing w:before="0" w:beforeAutospacing="0"/>
      </w:pPr>
      <w:r w:rsidRPr="009C5151">
        <w:rPr>
          <w:rStyle w:val="Strong"/>
          <w:b/>
          <w:bCs/>
        </w:rPr>
        <w:t>1. Royalty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Licensing Agreements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Licensing Agreement A: Royalty rate 5.5%.</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Licensing Agreement B: Royalty rate 6.5%.</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Licensing Agreement C: Royalty rate 6.0%.</w:t>
      </w:r>
    </w:p>
    <w:p w:rsidR="00A056B6" w:rsidRPr="009C5151" w:rsidRDefault="00A056B6" w:rsidP="00743A5F">
      <w:pPr>
        <w:pStyle w:val="NormalWeb"/>
        <w:spacing w:before="0" w:beforeAutospacing="0"/>
      </w:pPr>
      <w:r w:rsidRPr="009C5151">
        <w:rPr>
          <w:rStyle w:val="Strong"/>
        </w:rPr>
        <w:t>Benchmark Range</w:t>
      </w:r>
      <w:r w:rsidRPr="009C5151">
        <w:t>: 5.5%-6.5%.</w:t>
      </w:r>
      <w:r w:rsidRPr="009C5151">
        <w:br/>
      </w:r>
      <w:r w:rsidRPr="009C5151">
        <w:rPr>
          <w:rStyle w:val="Strong"/>
        </w:rPr>
        <w:t>Actual Royalty Rate</w:t>
      </w:r>
      <w:r w:rsidRPr="009C5151">
        <w:t>: 6% (within range).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8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Export of Electronic Components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Companies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ElectronicsHub Ltd.: 13% operating margin.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PrecisionTech Solutions: 14% operating margin.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CircuitMasters Pvt. Ltd.: 12% operating margin.</w:t>
      </w:r>
    </w:p>
    <w:p w:rsidR="00A056B6" w:rsidRPr="009C5151" w:rsidRDefault="00A056B6" w:rsidP="00743A5F">
      <w:pPr>
        <w:pStyle w:val="NormalWeb"/>
        <w:spacing w:before="0" w:beforeAutospacing="0"/>
      </w:pPr>
      <w:r w:rsidRPr="009C5151">
        <w:rPr>
          <w:rStyle w:val="Strong"/>
        </w:rPr>
        <w:lastRenderedPageBreak/>
        <w:t>Benchmark Range</w:t>
      </w:r>
      <w:r w:rsidRPr="009C5151">
        <w:t>: 12%-14%.</w:t>
      </w:r>
      <w:r w:rsidRPr="009C5151">
        <w:br/>
      </w:r>
      <w:r w:rsidRPr="009C5151">
        <w:rPr>
          <w:rStyle w:val="Strong"/>
        </w:rPr>
        <w:t>Actual Margin for GlobalEdge</w:t>
      </w:r>
      <w:r w:rsidRPr="009C5151">
        <w:t>: 14% (within range).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8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Fee for Technical Services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Markups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Provider A: 12%.</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Provider B: 14%.</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Provider C: 15%.</w:t>
      </w:r>
    </w:p>
    <w:p w:rsidR="00A056B6" w:rsidRPr="009C5151" w:rsidRDefault="00A056B6" w:rsidP="00743A5F">
      <w:pPr>
        <w:pStyle w:val="NormalWeb"/>
        <w:spacing w:before="0" w:beforeAutospacing="0"/>
      </w:pPr>
      <w:r w:rsidRPr="009C5151">
        <w:rPr>
          <w:rStyle w:val="Strong"/>
        </w:rPr>
        <w:t>Benchmark Range</w:t>
      </w:r>
      <w:r w:rsidRPr="009C5151">
        <w:t>: 12%-15%.</w:t>
      </w:r>
      <w:r w:rsidRPr="009C5151">
        <w:br/>
      </w:r>
      <w:r w:rsidRPr="009C5151">
        <w:rPr>
          <w:rStyle w:val="Strong"/>
        </w:rPr>
        <w:t>Actual Markup</w:t>
      </w:r>
      <w:r w:rsidRPr="009C5151">
        <w:t>: ₹5 crore ÷ ₹35 crore = 14.3% (within range).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8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Interest Payments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Method Used</w:t>
      </w:r>
      <w:r w:rsidRPr="009C5151">
        <w:rPr>
          <w:rFonts w:ascii="Times New Roman" w:hAnsi="Times New Roman" w:cs="Times New Roman"/>
          <w:sz w:val="24"/>
          <w:szCs w:val="24"/>
        </w:rPr>
        <w:t xml:space="preserve">: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Comparable Interest Rates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Loan A: LIBOR + 2% (4.5%).</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Loan B: LIBOR + 3% (5.5%).</w:t>
      </w:r>
    </w:p>
    <w:p w:rsidR="00A056B6" w:rsidRPr="009C5151" w:rsidRDefault="00A056B6" w:rsidP="00743A5F">
      <w:pPr>
        <w:pStyle w:val="NormalWeb"/>
        <w:spacing w:before="0" w:beforeAutospacing="0"/>
      </w:pPr>
      <w:r w:rsidRPr="009C5151">
        <w:rPr>
          <w:rStyle w:val="Strong"/>
        </w:rPr>
        <w:t>Benchmark Range</w:t>
      </w:r>
      <w:r w:rsidRPr="009C5151">
        <w:t>: 4.5%-5.5%.</w:t>
      </w:r>
      <w:r w:rsidRPr="009C5151">
        <w:br/>
      </w:r>
      <w:r w:rsidRPr="009C5151">
        <w:rPr>
          <w:rStyle w:val="Strong"/>
        </w:rPr>
        <w:t>Actual Interest Rate</w:t>
      </w:r>
      <w:r w:rsidRPr="009C5151">
        <w:t>: 6% (justifiable for credit risk).</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90"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9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793" w:name="_Toc187624086"/>
      <w:bookmarkStart w:id="794" w:name="_Toc187630806"/>
      <w:bookmarkStart w:id="795" w:name="_Toc187660985"/>
      <w:bookmarkStart w:id="796" w:name="_Toc187662064"/>
      <w:r w:rsidRPr="009C5151">
        <w:rPr>
          <w:rStyle w:val="Strong"/>
          <w:b/>
          <w:bCs/>
          <w:sz w:val="24"/>
          <w:szCs w:val="24"/>
        </w:rPr>
        <w:t>III. PE Risk Mitigation Plan</w:t>
      </w:r>
      <w:bookmarkEnd w:id="793"/>
      <w:bookmarkEnd w:id="794"/>
      <w:bookmarkEnd w:id="795"/>
      <w:bookmarkEnd w:id="796"/>
    </w:p>
    <w:p w:rsidR="00A056B6" w:rsidRPr="009C5151" w:rsidRDefault="00A056B6" w:rsidP="00743A5F">
      <w:pPr>
        <w:pStyle w:val="Heading4"/>
        <w:spacing w:before="0" w:beforeAutospacing="0"/>
      </w:pPr>
      <w:r w:rsidRPr="009C5151">
        <w:rPr>
          <w:rStyle w:val="Strong"/>
          <w:b/>
          <w:bCs/>
        </w:rPr>
        <w:t>1. PE Risks Identified</w:t>
      </w:r>
    </w:p>
    <w:p w:rsidR="00A056B6" w:rsidRPr="009C5151" w:rsidRDefault="00A056B6" w:rsidP="00743A5F">
      <w:pPr>
        <w:pStyle w:val="NormalWeb"/>
        <w:tabs>
          <w:tab w:val="num" w:pos="720"/>
        </w:tabs>
        <w:spacing w:before="0" w:beforeAutospacing="0"/>
        <w:ind w:left="720" w:hanging="360"/>
      </w:pPr>
      <w:r w:rsidRPr="009C5151">
        <w:rPr>
          <w:rStyle w:val="Strong"/>
        </w:rPr>
        <w:t>USA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Risk</w:t>
      </w:r>
      <w:r w:rsidRPr="009C5151">
        <w:rPr>
          <w:rFonts w:ascii="Times New Roman" w:hAnsi="Times New Roman" w:cs="Times New Roman"/>
          <w:sz w:val="24"/>
          <w:szCs w:val="24"/>
        </w:rPr>
        <w:t>: Dependent agent PE due to significant activities performed by a USA subsidiary on behalf of GlobalEdge.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Mitigation</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Avoid concluding contracts through the USA entity.</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lastRenderedPageBreak/>
        <w:t>Limit subsidiary’s authority to negotiate terms on behalf of the Indian parent.</w:t>
      </w:r>
    </w:p>
    <w:p w:rsidR="00A056B6" w:rsidRPr="009C5151" w:rsidRDefault="00A056B6" w:rsidP="00743A5F">
      <w:pPr>
        <w:pStyle w:val="NormalWeb"/>
        <w:tabs>
          <w:tab w:val="num" w:pos="720"/>
        </w:tabs>
        <w:spacing w:before="0" w:beforeAutospacing="0"/>
        <w:ind w:left="720" w:hanging="360"/>
      </w:pPr>
      <w:r w:rsidRPr="009C5151">
        <w:rPr>
          <w:rStyle w:val="Strong"/>
        </w:rPr>
        <w:t>Germany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Risk</w:t>
      </w:r>
      <w:r w:rsidRPr="009C5151">
        <w:rPr>
          <w:rFonts w:ascii="Times New Roman" w:hAnsi="Times New Roman" w:cs="Times New Roman"/>
          <w:sz w:val="24"/>
          <w:szCs w:val="24"/>
        </w:rPr>
        <w:t>: Fixed place PE due to R&amp;D facilities operating in Germany.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Mitigation</w:t>
      </w:r>
      <w:r w:rsidRPr="009C5151">
        <w:rPr>
          <w:rFonts w:ascii="Times New Roman" w:hAnsi="Times New Roman" w:cs="Times New Roman"/>
          <w:sz w:val="24"/>
          <w:szCs w:val="24"/>
        </w:rPr>
        <w: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Segregate roles and revenues attributed to the R&amp;D facility.</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 xml:space="preserve">Allocate profits to the German PE based on </w:t>
      </w:r>
      <w:r w:rsidRPr="009C5151">
        <w:rPr>
          <w:rStyle w:val="Strong"/>
          <w:rFonts w:ascii="Times New Roman" w:hAnsi="Times New Roman" w:cs="Times New Roman"/>
          <w:sz w:val="24"/>
          <w:szCs w:val="24"/>
        </w:rPr>
        <w:t>Authorized OECD Approach (AOA)</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9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Mitigation Action Plan</w:t>
      </w:r>
    </w:p>
    <w:p w:rsidR="00A056B6" w:rsidRPr="009C5151" w:rsidRDefault="00A056B6" w:rsidP="00743A5F">
      <w:pPr>
        <w:pStyle w:val="NormalWeb"/>
        <w:tabs>
          <w:tab w:val="num" w:pos="720"/>
        </w:tabs>
        <w:spacing w:before="0" w:beforeAutospacing="0"/>
        <w:ind w:left="720" w:hanging="360"/>
      </w:pPr>
      <w:r w:rsidRPr="009C5151">
        <w:rPr>
          <w:rStyle w:val="Strong"/>
        </w:rPr>
        <w:t>Contracts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that contracts with customers are concluded in India to avoid triggering PE in foreign jurisdictions.</w:t>
      </w:r>
    </w:p>
    <w:p w:rsidR="00A056B6" w:rsidRPr="009C5151" w:rsidRDefault="00A056B6" w:rsidP="00743A5F">
      <w:pPr>
        <w:pStyle w:val="NormalWeb"/>
        <w:tabs>
          <w:tab w:val="num" w:pos="720"/>
        </w:tabs>
        <w:spacing w:before="0" w:beforeAutospacing="0"/>
        <w:ind w:left="720" w:hanging="360"/>
      </w:pPr>
      <w:r w:rsidRPr="009C5151">
        <w:rPr>
          <w:rStyle w:val="Strong"/>
        </w:rPr>
        <w:t>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robust inter-company agreements to document the roles and responsibilities of overseas subsidiaries.</w:t>
      </w:r>
    </w:p>
    <w:p w:rsidR="00A056B6" w:rsidRPr="009C5151" w:rsidRDefault="00A056B6" w:rsidP="00743A5F">
      <w:pPr>
        <w:pStyle w:val="NormalWeb"/>
        <w:tabs>
          <w:tab w:val="num" w:pos="720"/>
        </w:tabs>
        <w:spacing w:before="0" w:beforeAutospacing="0"/>
        <w:ind w:left="720" w:hanging="360"/>
      </w:pPr>
      <w:r w:rsidRPr="009C5151">
        <w:rPr>
          <w:rStyle w:val="Strong"/>
        </w:rPr>
        <w:t>Profit Attribution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Allocate profits to PEs based on the </w:t>
      </w:r>
      <w:r w:rsidRPr="009C5151">
        <w:rPr>
          <w:rStyle w:val="Strong"/>
          <w:rFonts w:ascii="Times New Roman" w:hAnsi="Times New Roman" w:cs="Times New Roman"/>
          <w:sz w:val="24"/>
          <w:szCs w:val="24"/>
        </w:rPr>
        <w:t>functions performed, assets used, and risks assumed</w:t>
      </w:r>
      <w:r w:rsidRPr="009C5151">
        <w:rPr>
          <w:rFonts w:ascii="Times New Roman" w:hAnsi="Times New Roman" w:cs="Times New Roman"/>
          <w:sz w:val="24"/>
          <w:szCs w:val="24"/>
        </w:rPr>
        <w:t xml:space="preserve"> in respective jurisdictions.</w:t>
      </w:r>
    </w:p>
    <w:p w:rsidR="00A056B6" w:rsidRPr="009C5151" w:rsidRDefault="00A056B6" w:rsidP="00743A5F">
      <w:pPr>
        <w:pStyle w:val="NormalWeb"/>
        <w:tabs>
          <w:tab w:val="num" w:pos="720"/>
        </w:tabs>
        <w:spacing w:before="0" w:beforeAutospacing="0"/>
        <w:ind w:left="720" w:hanging="360"/>
      </w:pPr>
      <w:r w:rsidRPr="009C5151">
        <w:rPr>
          <w:rStyle w:val="Strong"/>
        </w:rPr>
        <w:t>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tax returns in the respective jurisdictions for declared PEs.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proper tax payments to avoid penalties.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93" style="width:0;height:1.5pt" o:hralign="center" o:hrstd="t" o:hr="t" fillcolor="#a0a0a0" stroked="f"/>
        </w:pict>
      </w:r>
    </w:p>
    <w:p w:rsidR="00A056B6" w:rsidRPr="009C5151" w:rsidRDefault="00A056B6" w:rsidP="00743A5F">
      <w:pPr>
        <w:pStyle w:val="NormalWeb"/>
        <w:spacing w:before="0" w:beforeAutospacing="0"/>
      </w:pPr>
      <w:r w:rsidRPr="009C5151">
        <w:t xml:space="preserve">Would you like further assistance in preparing </w:t>
      </w:r>
      <w:r w:rsidRPr="009C5151">
        <w:rPr>
          <w:rStyle w:val="Strong"/>
        </w:rPr>
        <w:t>specific PE documentation</w:t>
      </w:r>
      <w:r w:rsidRPr="009C5151">
        <w:t xml:space="preserve">, </w:t>
      </w:r>
      <w:r w:rsidRPr="009C5151">
        <w:rPr>
          <w:rStyle w:val="Strong"/>
        </w:rPr>
        <w:t>CbC reports</w:t>
      </w:r>
      <w:r w:rsidRPr="009C5151">
        <w:t xml:space="preserve">, or </w:t>
      </w:r>
      <w:r w:rsidRPr="009C5151">
        <w:rPr>
          <w:rStyle w:val="Strong"/>
        </w:rPr>
        <w:t>compliance templates</w:t>
      </w:r>
      <w:r w:rsidRPr="009C5151">
        <w:t>?</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further assistance in preparing specific PE documentation, CbC reports, or compliance templates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285ECF4B" wp14:editId="584340F1">
            <wp:extent cx="763905" cy="763905"/>
            <wp:effectExtent l="0" t="0" r="0" b="0"/>
            <wp:docPr id="292" name="Picture 29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7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797" w:name="_Toc187624087"/>
      <w:bookmarkStart w:id="798" w:name="_Toc187630807"/>
      <w:bookmarkStart w:id="799" w:name="_Toc187660986"/>
      <w:bookmarkStart w:id="800" w:name="_Toc187662065"/>
      <w:r w:rsidRPr="009C5151">
        <w:rPr>
          <w:rStyle w:val="Strong"/>
          <w:b/>
          <w:bCs/>
          <w:sz w:val="24"/>
          <w:szCs w:val="24"/>
        </w:rPr>
        <w:t>Further Assistance: Specific PE Documentation, CbC Reports, and Compliance Templates</w:t>
      </w:r>
      <w:bookmarkEnd w:id="797"/>
      <w:bookmarkEnd w:id="798"/>
      <w:bookmarkEnd w:id="799"/>
      <w:bookmarkEnd w:id="800"/>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9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01" w:name="_Toc187624088"/>
      <w:bookmarkStart w:id="802" w:name="_Toc187630808"/>
      <w:bookmarkStart w:id="803" w:name="_Toc187660987"/>
      <w:bookmarkStart w:id="804" w:name="_Toc187662066"/>
      <w:r w:rsidRPr="009C5151">
        <w:rPr>
          <w:rStyle w:val="Strong"/>
          <w:b/>
          <w:bCs/>
          <w:sz w:val="24"/>
          <w:szCs w:val="24"/>
        </w:rPr>
        <w:t>I. Specific PE Documentation</w:t>
      </w:r>
      <w:bookmarkEnd w:id="801"/>
      <w:bookmarkEnd w:id="802"/>
      <w:bookmarkEnd w:id="803"/>
      <w:bookmarkEnd w:id="804"/>
    </w:p>
    <w:p w:rsidR="00A056B6" w:rsidRPr="009C5151" w:rsidRDefault="00A056B6" w:rsidP="00743A5F">
      <w:pPr>
        <w:pStyle w:val="Heading4"/>
        <w:spacing w:before="0" w:beforeAutospacing="0"/>
      </w:pPr>
      <w:r w:rsidRPr="009C5151">
        <w:rPr>
          <w:rStyle w:val="Strong"/>
          <w:b/>
          <w:bCs/>
        </w:rPr>
        <w:t>1. Permanent Establishment (PE) Documentation</w:t>
      </w:r>
    </w:p>
    <w:p w:rsidR="00A056B6" w:rsidRPr="009C5151" w:rsidRDefault="00A056B6" w:rsidP="00743A5F">
      <w:pPr>
        <w:pStyle w:val="NormalWeb"/>
        <w:spacing w:before="0" w:beforeAutospacing="0"/>
      </w:pPr>
      <w:r w:rsidRPr="009C5151">
        <w:t>PE documentation is critical to demonstrate that the activities conducted in foreign jurisdictions either do or do not give rise to a PE under the relevant DTAA. Below is a comprehensive template for PE documentation.</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95"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Template: PE Documentation for GlobalEdge Pvt. Ltd.</w:t>
      </w:r>
    </w:p>
    <w:p w:rsidR="00A056B6" w:rsidRPr="009C5151" w:rsidRDefault="00A056B6" w:rsidP="00743A5F">
      <w:pPr>
        <w:pStyle w:val="NormalWeb"/>
        <w:spacing w:before="0" w:beforeAutospacing="0"/>
      </w:pPr>
      <w:r w:rsidRPr="009C5151">
        <w:rPr>
          <w:rStyle w:val="Strong"/>
        </w:rPr>
        <w:t>A. Overview of Foreign Activities</w:t>
      </w:r>
    </w:p>
    <w:p w:rsidR="00A056B6" w:rsidRPr="009C5151" w:rsidRDefault="00A056B6" w:rsidP="00743A5F">
      <w:pPr>
        <w:pStyle w:val="NormalWeb"/>
        <w:tabs>
          <w:tab w:val="num" w:pos="720"/>
        </w:tabs>
        <w:spacing w:before="0" w:beforeAutospacing="0"/>
        <w:ind w:left="720" w:hanging="360"/>
      </w:pPr>
      <w:r w:rsidRPr="009C5151">
        <w:rPr>
          <w:rStyle w:val="Strong"/>
        </w:rPr>
        <w:t>Country</w:t>
      </w:r>
      <w:r w:rsidRPr="009C5151">
        <w:t>: USA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Nature of Activity</w:t>
      </w:r>
      <w:r w:rsidRPr="009C5151">
        <w:rPr>
          <w:rFonts w:ascii="Times New Roman" w:hAnsi="Times New Roman" w:cs="Times New Roman"/>
          <w:sz w:val="24"/>
          <w:szCs w:val="24"/>
        </w:rPr>
        <w:t>: Marketing and distribution through a subsidiary.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Risk</w:t>
      </w:r>
      <w:r w:rsidRPr="009C5151">
        <w:rPr>
          <w:rFonts w:ascii="Times New Roman" w:hAnsi="Times New Roman" w:cs="Times New Roman"/>
          <w:sz w:val="24"/>
          <w:szCs w:val="24"/>
        </w:rPr>
        <w:t>: Dependent Agent PE (Article 5(5) of the India-USA DTAA).</w:t>
      </w:r>
    </w:p>
    <w:p w:rsidR="00A056B6" w:rsidRPr="009C5151" w:rsidRDefault="00A056B6" w:rsidP="00743A5F">
      <w:pPr>
        <w:pStyle w:val="NormalWeb"/>
        <w:tabs>
          <w:tab w:val="num" w:pos="720"/>
        </w:tabs>
        <w:spacing w:before="0" w:beforeAutospacing="0"/>
        <w:ind w:left="720" w:hanging="360"/>
      </w:pPr>
      <w:r w:rsidRPr="009C5151">
        <w:rPr>
          <w:rStyle w:val="Strong"/>
        </w:rPr>
        <w:t>Country</w:t>
      </w:r>
      <w:r w:rsidRPr="009C5151">
        <w:t>: Germany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Nature of Activity</w:t>
      </w:r>
      <w:r w:rsidRPr="009C5151">
        <w:rPr>
          <w:rFonts w:ascii="Times New Roman" w:hAnsi="Times New Roman" w:cs="Times New Roman"/>
          <w:sz w:val="24"/>
          <w:szCs w:val="24"/>
        </w:rPr>
        <w:t>: R&amp;D support through a fixed facility.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Risk</w:t>
      </w:r>
      <w:r w:rsidRPr="009C5151">
        <w:rPr>
          <w:rFonts w:ascii="Times New Roman" w:hAnsi="Times New Roman" w:cs="Times New Roman"/>
          <w:sz w:val="24"/>
          <w:szCs w:val="24"/>
        </w:rPr>
        <w:t>: Fixed Place PE (Article 5(1) of the India-Germany DTAA).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96"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B. Functional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5"/>
        <w:gridCol w:w="3199"/>
        <w:gridCol w:w="3454"/>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Indian Entity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Foreign Entity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Contract Conclusion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All contracts concluded in 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 authority to conclude contracts.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Limited to promoting products.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Full authority.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Operations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Strategic planning.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Execution of local R&amp;D projects.</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97"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C. Mitigation Measures</w:t>
      </w:r>
    </w:p>
    <w:p w:rsidR="00A056B6" w:rsidRPr="009C5151" w:rsidRDefault="00A056B6" w:rsidP="00743A5F">
      <w:pPr>
        <w:pStyle w:val="NormalWeb"/>
        <w:tabs>
          <w:tab w:val="num" w:pos="720"/>
        </w:tabs>
        <w:spacing w:before="0" w:beforeAutospacing="0"/>
        <w:ind w:left="720" w:hanging="360"/>
      </w:pPr>
      <w:r w:rsidRPr="009C5151">
        <w:t xml:space="preserve">For </w:t>
      </w:r>
      <w:r w:rsidRPr="009C5151">
        <w:rPr>
          <w:rStyle w:val="Strong"/>
        </w:rPr>
        <w:t>USA</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Ensure the USA entity does not conclude contracts.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Provide clear inter-company agreements limiting authority.</w:t>
      </w:r>
    </w:p>
    <w:p w:rsidR="00A056B6" w:rsidRPr="009C5151" w:rsidRDefault="00A056B6" w:rsidP="00743A5F">
      <w:pPr>
        <w:pStyle w:val="NormalWeb"/>
        <w:tabs>
          <w:tab w:val="num" w:pos="720"/>
        </w:tabs>
        <w:spacing w:before="0" w:beforeAutospacing="0"/>
        <w:ind w:left="720" w:hanging="360"/>
      </w:pPr>
      <w:r w:rsidRPr="009C5151">
        <w:t xml:space="preserve">For </w:t>
      </w:r>
      <w:r w:rsidRPr="009C5151">
        <w:rPr>
          <w:rStyle w:val="Strong"/>
        </w:rPr>
        <w:t>Germany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Attribute profits to the German R&amp;D facility based on functions performed.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the </w:t>
      </w:r>
      <w:r w:rsidRPr="009C5151">
        <w:rPr>
          <w:rStyle w:val="Strong"/>
          <w:rFonts w:ascii="Times New Roman" w:hAnsi="Times New Roman" w:cs="Times New Roman"/>
          <w:sz w:val="24"/>
          <w:szCs w:val="24"/>
        </w:rPr>
        <w:t>Authorized OECD Approach (AOA)</w:t>
      </w:r>
      <w:r w:rsidRPr="009C5151">
        <w:rPr>
          <w:rFonts w:ascii="Times New Roman" w:hAnsi="Times New Roman" w:cs="Times New Roman"/>
          <w:sz w:val="24"/>
          <w:szCs w:val="24"/>
        </w:rPr>
        <w:t xml:space="preserve"> for profit allocation.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498"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 Profit Attribution to PE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
        <w:gridCol w:w="2866"/>
        <w:gridCol w:w="1347"/>
        <w:gridCol w:w="2355"/>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from Activities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Expenses (₹)</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Attributable Profit (₹)</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180 crore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 crore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499"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0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05" w:name="_Toc187624089"/>
      <w:bookmarkStart w:id="806" w:name="_Toc187630809"/>
      <w:bookmarkStart w:id="807" w:name="_Toc187660988"/>
      <w:bookmarkStart w:id="808" w:name="_Toc187662067"/>
      <w:r w:rsidRPr="009C5151">
        <w:rPr>
          <w:rStyle w:val="Strong"/>
          <w:b/>
          <w:bCs/>
          <w:sz w:val="24"/>
          <w:szCs w:val="24"/>
        </w:rPr>
        <w:t>II. Country-by-Country (CbC) Report</w:t>
      </w:r>
      <w:bookmarkEnd w:id="805"/>
      <w:bookmarkEnd w:id="806"/>
      <w:bookmarkEnd w:id="807"/>
      <w:bookmarkEnd w:id="808"/>
    </w:p>
    <w:p w:rsidR="00A056B6" w:rsidRPr="009C5151" w:rsidRDefault="00A056B6" w:rsidP="00743A5F">
      <w:pPr>
        <w:pStyle w:val="NormalWeb"/>
        <w:spacing w:before="0" w:beforeAutospacing="0"/>
      </w:pPr>
      <w:r w:rsidRPr="009C5151">
        <w:t xml:space="preserve">The </w:t>
      </w:r>
      <w:r w:rsidRPr="009C5151">
        <w:rPr>
          <w:rStyle w:val="Strong"/>
        </w:rPr>
        <w:t>CbC Report</w:t>
      </w:r>
      <w:r w:rsidRPr="009C5151">
        <w:t xml:space="preserve"> provides jurisdiction-wise financial information about the multinational group. Below is a detailed template for CbC reporting.</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01"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Template: CbC Reporting for GlobalEdge Pvt. Ltd.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1411"/>
        <w:gridCol w:w="1144"/>
        <w:gridCol w:w="1307"/>
        <w:gridCol w:w="1750"/>
        <w:gridCol w:w="211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Paid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Number of Employees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Key Functions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 R&amp;D</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Distribution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Licensing, IP Management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Mauritius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Holding Company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China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Financing</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02"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Filing Steps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Prepare the CbC Report</w:t>
      </w:r>
      <w:r w:rsidRPr="009C5151">
        <w:rPr>
          <w:rFonts w:ascii="Times New Roman" w:hAnsi="Times New Roman" w:cs="Times New Roman"/>
          <w:sz w:val="24"/>
          <w:szCs w:val="24"/>
        </w:rPr>
        <w:t>: Use the above template to summarize jurisdiction-wise financial data.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Log in to the Income Tax Portal</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Navigate to </w:t>
      </w:r>
      <w:r w:rsidRPr="009C5151">
        <w:rPr>
          <w:rStyle w:val="Strong"/>
          <w:rFonts w:ascii="Times New Roman" w:hAnsi="Times New Roman" w:cs="Times New Roman"/>
          <w:sz w:val="24"/>
          <w:szCs w:val="24"/>
        </w:rPr>
        <w:t>e-File → Income Tax Forms → File CbC Report</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Upload the Report</w:t>
      </w:r>
      <w:r w:rsidRPr="009C5151">
        <w:rPr>
          <w:rFonts w:ascii="Times New Roman" w:hAnsi="Times New Roman" w:cs="Times New Roman"/>
          <w:sz w:val="24"/>
          <w:szCs w:val="24"/>
        </w:rPr>
        <w:t>: Attach the CbC template in the prescribed format.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Verify Using DSC</w:t>
      </w:r>
      <w:r w:rsidRPr="009C5151">
        <w:rPr>
          <w:rFonts w:ascii="Times New Roman" w:hAnsi="Times New Roman" w:cs="Times New Roman"/>
          <w:sz w:val="24"/>
          <w:szCs w:val="24"/>
        </w:rPr>
        <w:t>: Ensure the report is digitally signed before submission.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03"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0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09" w:name="_Toc187624090"/>
      <w:bookmarkStart w:id="810" w:name="_Toc187630810"/>
      <w:bookmarkStart w:id="811" w:name="_Toc187660989"/>
      <w:bookmarkStart w:id="812" w:name="_Toc187662068"/>
      <w:r w:rsidRPr="009C5151">
        <w:rPr>
          <w:rStyle w:val="Strong"/>
          <w:b/>
          <w:bCs/>
          <w:sz w:val="24"/>
          <w:szCs w:val="24"/>
        </w:rPr>
        <w:t>III. Compliance Templates</w:t>
      </w:r>
      <w:bookmarkEnd w:id="809"/>
      <w:bookmarkEnd w:id="810"/>
      <w:bookmarkEnd w:id="811"/>
      <w:bookmarkEnd w:id="812"/>
    </w:p>
    <w:p w:rsidR="00A056B6" w:rsidRPr="009C5151" w:rsidRDefault="00A056B6" w:rsidP="00743A5F">
      <w:pPr>
        <w:pStyle w:val="Heading4"/>
        <w:spacing w:before="0" w:beforeAutospacing="0"/>
      </w:pPr>
      <w:r w:rsidRPr="009C5151">
        <w:rPr>
          <w:rStyle w:val="Strong"/>
          <w:b/>
          <w:bCs/>
        </w:rPr>
        <w:t>1. Withholding Tax (WHT) Compliance Template</w:t>
      </w:r>
    </w:p>
    <w:p w:rsidR="00A056B6" w:rsidRPr="009C5151" w:rsidRDefault="00A056B6" w:rsidP="00743A5F">
      <w:pPr>
        <w:pStyle w:val="NormalWeb"/>
        <w:spacing w:before="0" w:beforeAutospacing="0"/>
      </w:pPr>
      <w:r w:rsidRPr="009C5151">
        <w:rPr>
          <w:rStyle w:val="Strong"/>
        </w:rPr>
        <w:t>Template: WHT Calculation Summary for GlobalEdge Pvt. Ltd.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3"/>
        <w:gridCol w:w="2072"/>
        <w:gridCol w:w="873"/>
        <w:gridCol w:w="1566"/>
        <w:gridCol w:w="1133"/>
        <w:gridCol w:w="1729"/>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Due Date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Remarks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DTAA-compliant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DTAA-compliant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(China)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Compliant under Sec. 94B</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Dividend (Mauritius)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DTAA-compliant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0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Equalization Levy (EL) Compliance Template</w:t>
      </w:r>
    </w:p>
    <w:p w:rsidR="00A056B6" w:rsidRPr="009C5151" w:rsidRDefault="00A056B6" w:rsidP="00743A5F">
      <w:pPr>
        <w:pStyle w:val="NormalWeb"/>
        <w:spacing w:before="0" w:beforeAutospacing="0"/>
      </w:pPr>
      <w:r w:rsidRPr="009C5151">
        <w:rPr>
          <w:rStyle w:val="Strong"/>
        </w:rPr>
        <w:t>Template: EL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3"/>
        <w:gridCol w:w="2584"/>
        <w:gridCol w:w="804"/>
        <w:gridCol w:w="1952"/>
        <w:gridCol w:w="1453"/>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EL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Levy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Due Date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Digital Advertising (USA)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r>
    </w:tbl>
    <w:p w:rsidR="00A056B6" w:rsidRPr="009C5151" w:rsidRDefault="00A056B6" w:rsidP="00743A5F">
      <w:pPr>
        <w:pStyle w:val="NormalWeb"/>
        <w:spacing w:before="0" w:beforeAutospacing="0"/>
      </w:pPr>
      <w:r w:rsidRPr="009C5151">
        <w:rPr>
          <w:rStyle w:val="Strong"/>
        </w:rPr>
        <w:t>Steps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Remit the Levy</w:t>
      </w:r>
      <w:r w:rsidRPr="009C5151">
        <w:rPr>
          <w:rFonts w:ascii="Times New Roman" w:hAnsi="Times New Roman" w:cs="Times New Roman"/>
          <w:sz w:val="24"/>
          <w:szCs w:val="24"/>
        </w:rPr>
        <w:t xml:space="preserve">: Use Challan </w:t>
      </w:r>
      <w:r w:rsidRPr="009C5151">
        <w:rPr>
          <w:rStyle w:val="Strong"/>
          <w:rFonts w:ascii="Times New Roman" w:hAnsi="Times New Roman" w:cs="Times New Roman"/>
          <w:sz w:val="24"/>
          <w:szCs w:val="24"/>
        </w:rPr>
        <w:t>ITNS 285</w:t>
      </w:r>
      <w:r w:rsidRPr="009C5151">
        <w:rPr>
          <w:rFonts w:ascii="Times New Roman" w:hAnsi="Times New Roman" w:cs="Times New Roman"/>
          <w:sz w:val="24"/>
          <w:szCs w:val="24"/>
        </w:rPr>
        <w:t xml:space="preserve"> to pay the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File Annual EL Return</w:t>
      </w:r>
      <w:r w:rsidRPr="009C5151">
        <w:rPr>
          <w:rFonts w:ascii="Times New Roman" w:hAnsi="Times New Roman" w:cs="Times New Roman"/>
          <w:sz w:val="24"/>
          <w:szCs w:val="24"/>
        </w:rPr>
        <w:t xml:space="preserve">: File </w:t>
      </w:r>
      <w:r w:rsidRPr="009C5151">
        <w:rPr>
          <w:rStyle w:val="Strong"/>
          <w:rFonts w:ascii="Times New Roman" w:hAnsi="Times New Roman" w:cs="Times New Roman"/>
          <w:sz w:val="24"/>
          <w:szCs w:val="24"/>
        </w:rPr>
        <w:t>Form 1</w:t>
      </w:r>
      <w:r w:rsidRPr="009C5151">
        <w:rPr>
          <w:rFonts w:ascii="Times New Roman" w:hAnsi="Times New Roman" w:cs="Times New Roman"/>
          <w:sz w:val="24"/>
          <w:szCs w:val="24"/>
        </w:rPr>
        <w:t xml:space="preserve"> by </w:t>
      </w:r>
      <w:r w:rsidRPr="009C5151">
        <w:rPr>
          <w:rStyle w:val="Strong"/>
          <w:rFonts w:ascii="Times New Roman" w:hAnsi="Times New Roman" w:cs="Times New Roman"/>
          <w:sz w:val="24"/>
          <w:szCs w:val="24"/>
        </w:rPr>
        <w:t>30th June 2025</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50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Profit Attribution Template</w:t>
      </w:r>
    </w:p>
    <w:p w:rsidR="00A056B6" w:rsidRPr="009C5151" w:rsidRDefault="00A056B6" w:rsidP="00743A5F">
      <w:pPr>
        <w:pStyle w:val="NormalWeb"/>
        <w:spacing w:before="0" w:beforeAutospacing="0"/>
      </w:pPr>
      <w:r w:rsidRPr="009C5151">
        <w:rPr>
          <w:rStyle w:val="Strong"/>
        </w:rPr>
        <w:t>Template: PE Profit Attribution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9"/>
        <w:gridCol w:w="1929"/>
        <w:gridCol w:w="1505"/>
        <w:gridCol w:w="2185"/>
        <w:gridCol w:w="782"/>
        <w:gridCol w:w="1656"/>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from PE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Expenses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Attributable 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180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07" style="width:0;height:1.5pt" o:hralign="center" o:hrstd="t" o:hr="t" fillcolor="#a0a0a0" stroked="f"/>
        </w:pict>
      </w:r>
    </w:p>
    <w:p w:rsidR="00A056B6" w:rsidRPr="009C5151" w:rsidRDefault="00A056B6" w:rsidP="00743A5F">
      <w:pPr>
        <w:pStyle w:val="NormalWeb"/>
        <w:spacing w:before="0" w:beforeAutospacing="0"/>
      </w:pPr>
      <w:r w:rsidRPr="009C5151">
        <w:t xml:space="preserve">Would you like </w:t>
      </w:r>
      <w:r w:rsidRPr="009C5151">
        <w:rPr>
          <w:rStyle w:val="Strong"/>
        </w:rPr>
        <w:t>editable templates for PE documentation</w:t>
      </w:r>
      <w:r w:rsidRPr="009C5151">
        <w:t xml:space="preserve">, </w:t>
      </w:r>
      <w:r w:rsidRPr="009C5151">
        <w:rPr>
          <w:rStyle w:val="Strong"/>
        </w:rPr>
        <w:t>CbC filing formats</w:t>
      </w:r>
      <w:r w:rsidRPr="009C5151">
        <w:t xml:space="preserve">, or further </w:t>
      </w:r>
      <w:r w:rsidRPr="009C5151">
        <w:rPr>
          <w:rStyle w:val="Strong"/>
        </w:rPr>
        <w:t>compliance filing guidance</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17 th example of different set of issues and problem and suggested solutions by a CA to a Company including a detailed discussion on the various topics covered under suggestions and Conclusion. Please include in addition to the above transactions like Withholding tax, CbC reporting, Mutual Agreement procedure, DTAA with countries like USA, UK, Germany, Singapore, Mauritius, China, Russia and Germany; equalization levy; Please first list down the case, issues, documents and CA advise, Dividend and Interest, Royalty and Fee for Technical Services; applicability of GAAR; applicability of PE; Inter group transactions; computation of taxable income of the Tested Party with assumed numbers for the AY 2024-25; what kind of a PE the tested party may have by considering relevant provisions; Tax Information Exchange Agreement; the ruling of Board for Advance Ruling; the obligations and compute the liability (if any) of the tested party; sale of its manufacturing unit located in India as per UN Model Convention.</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71F4F72" wp14:editId="77377F7C">
            <wp:extent cx="763905" cy="763905"/>
            <wp:effectExtent l="0" t="0" r="0" b="0"/>
            <wp:docPr id="291" name="Picture 29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8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813" w:name="_Toc187624091"/>
      <w:bookmarkStart w:id="814" w:name="_Toc187630811"/>
      <w:bookmarkStart w:id="815" w:name="_Toc187660990"/>
      <w:bookmarkStart w:id="816" w:name="_Toc187662069"/>
      <w:r w:rsidRPr="009C5151">
        <w:rPr>
          <w:rStyle w:val="Strong"/>
          <w:b/>
          <w:bCs/>
          <w:sz w:val="24"/>
          <w:szCs w:val="24"/>
        </w:rPr>
        <w:t>Case Study: Tax and Compliance Challenges for GreenEdge Pvt. Ltd.</w:t>
      </w:r>
      <w:bookmarkEnd w:id="813"/>
      <w:bookmarkEnd w:id="814"/>
      <w:bookmarkEnd w:id="815"/>
      <w:bookmarkEnd w:id="816"/>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0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17" w:name="_Toc187624092"/>
      <w:bookmarkStart w:id="818" w:name="_Toc187630812"/>
      <w:bookmarkStart w:id="819" w:name="_Toc187660991"/>
      <w:bookmarkStart w:id="820" w:name="_Toc187662070"/>
      <w:r w:rsidRPr="009C5151">
        <w:rPr>
          <w:rStyle w:val="Strong"/>
          <w:b/>
          <w:bCs/>
          <w:sz w:val="24"/>
          <w:szCs w:val="24"/>
        </w:rPr>
        <w:t>Background</w:t>
      </w:r>
      <w:bookmarkEnd w:id="817"/>
      <w:bookmarkEnd w:id="818"/>
      <w:bookmarkEnd w:id="819"/>
      <w:bookmarkEnd w:id="820"/>
    </w:p>
    <w:p w:rsidR="00A056B6" w:rsidRPr="009C5151" w:rsidRDefault="00A056B6" w:rsidP="00743A5F">
      <w:pPr>
        <w:pStyle w:val="NormalWeb"/>
        <w:spacing w:before="0" w:beforeAutospacing="0"/>
      </w:pPr>
      <w:r w:rsidRPr="009C5151">
        <w:rPr>
          <w:rStyle w:val="Strong"/>
        </w:rPr>
        <w:t>GreenEdge Pvt. Ltd.</w:t>
      </w:r>
      <w:r w:rsidRPr="009C5151">
        <w:t xml:space="preserve">, an Indian company specializing in renewable energy solutions, operates in </w:t>
      </w:r>
      <w:r w:rsidRPr="009C5151">
        <w:rPr>
          <w:rStyle w:val="Strong"/>
        </w:rPr>
        <w:t>USA, UK, Germany, Singapore, Mauritius, China, and Russia</w:t>
      </w:r>
      <w:r w:rsidRPr="009C5151">
        <w:t xml:space="preserve">. The company is engaged in diverse transactions such as </w:t>
      </w:r>
      <w:r w:rsidRPr="009C5151">
        <w:rPr>
          <w:rStyle w:val="Strong"/>
        </w:rPr>
        <w:t>exports</w:t>
      </w:r>
      <w:r w:rsidRPr="009C5151">
        <w:t xml:space="preserve">, </w:t>
      </w:r>
      <w:r w:rsidRPr="009C5151">
        <w:rPr>
          <w:rStyle w:val="Strong"/>
        </w:rPr>
        <w:t>royalty payments</w:t>
      </w:r>
      <w:r w:rsidRPr="009C5151">
        <w:t xml:space="preserve">, </w:t>
      </w:r>
      <w:r w:rsidRPr="009C5151">
        <w:rPr>
          <w:rStyle w:val="Strong"/>
        </w:rPr>
        <w:t>interest payments</w:t>
      </w:r>
      <w:r w:rsidRPr="009C5151">
        <w:t xml:space="preserve">, </w:t>
      </w:r>
      <w:r w:rsidRPr="009C5151">
        <w:rPr>
          <w:rStyle w:val="Strong"/>
        </w:rPr>
        <w:t>fee for technical services (FTS)</w:t>
      </w:r>
      <w:r w:rsidRPr="009C5151">
        <w:t xml:space="preserve">, </w:t>
      </w:r>
      <w:r w:rsidRPr="009C5151">
        <w:rPr>
          <w:rStyle w:val="Strong"/>
        </w:rPr>
        <w:t>dividends</w:t>
      </w:r>
      <w:r w:rsidRPr="009C5151">
        <w:t xml:space="preserve">, </w:t>
      </w:r>
      <w:r w:rsidRPr="009C5151">
        <w:rPr>
          <w:rStyle w:val="Strong"/>
        </w:rPr>
        <w:t>inter-group transactions</w:t>
      </w:r>
      <w:r w:rsidRPr="009C5151">
        <w:t xml:space="preserve">, and the </w:t>
      </w:r>
      <w:r w:rsidRPr="009C5151">
        <w:rPr>
          <w:rStyle w:val="Strong"/>
        </w:rPr>
        <w:t>sale of a manufacturing unit located in India</w:t>
      </w:r>
      <w:r w:rsidRPr="009C5151">
        <w:t xml:space="preserve">. The company faces additional compliance challenges under </w:t>
      </w:r>
      <w:r w:rsidRPr="009C5151">
        <w:rPr>
          <w:rStyle w:val="Strong"/>
        </w:rPr>
        <w:t>GAAR</w:t>
      </w:r>
      <w:r w:rsidRPr="009C5151">
        <w:t xml:space="preserve">, </w:t>
      </w:r>
      <w:r w:rsidRPr="009C5151">
        <w:rPr>
          <w:rStyle w:val="Strong"/>
        </w:rPr>
        <w:t>Permanent Establishment (PE)</w:t>
      </w:r>
      <w:r w:rsidRPr="009C5151">
        <w:t xml:space="preserve"> rules, </w:t>
      </w:r>
      <w:r w:rsidRPr="009C5151">
        <w:rPr>
          <w:rStyle w:val="Strong"/>
        </w:rPr>
        <w:t>Tax Information Exchange Agreements (TIEAs)</w:t>
      </w:r>
      <w:r w:rsidRPr="009C5151">
        <w:t xml:space="preserve">, and the </w:t>
      </w:r>
      <w:r w:rsidRPr="009C5151">
        <w:rPr>
          <w:rStyle w:val="Strong"/>
        </w:rPr>
        <w:t>UN Model Convention</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50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21" w:name="_Toc187624093"/>
      <w:bookmarkStart w:id="822" w:name="_Toc187630813"/>
      <w:bookmarkStart w:id="823" w:name="_Toc187660992"/>
      <w:bookmarkStart w:id="824" w:name="_Toc187662071"/>
      <w:r w:rsidRPr="009C5151">
        <w:rPr>
          <w:rStyle w:val="Strong"/>
          <w:b/>
          <w:bCs/>
          <w:sz w:val="24"/>
          <w:szCs w:val="24"/>
        </w:rPr>
        <w:t>Transactions</w:t>
      </w:r>
      <w:bookmarkEnd w:id="821"/>
      <w:bookmarkEnd w:id="822"/>
      <w:bookmarkEnd w:id="823"/>
      <w:bookmarkEnd w:id="824"/>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Solar Technology</w:t>
      </w:r>
      <w:r w:rsidRPr="009C5151">
        <w:t>:</w:t>
      </w:r>
      <w:r w:rsidRPr="009C5151">
        <w:br/>
        <w:t>Exported ₹1,000 crore worth of products to AEs in USA, UK, and Germany.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r w:rsidRPr="009C5151">
        <w:br/>
        <w:t>Paid ₹50 crore to a Singapore AE for IP licensing.</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r w:rsidRPr="009C5151">
        <w:br/>
        <w:t>Paid ₹30 crore to a German AE for renewable energy project consultancy.</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r w:rsidRPr="009C5151">
        <w:br/>
        <w:t>Paid ₹20 crore to a Russian AE on a long-term loan.</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w:t>
      </w:r>
      <w:r w:rsidRPr="009C5151">
        <w:br/>
        <w:t>Paid ₹40 crore in dividends to its Mauritius parent company.</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r w:rsidRPr="009C5151">
        <w:br/>
        <w:t>Paid ₹12 crore to a USA-based platform for global promotions.</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r w:rsidRPr="009C5151">
        <w:br/>
        <w:t>Sold its manufacturing unit located in India to a UK-based AE for ₹300 crore.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1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r w:rsidRPr="009C5151">
        <w:br/>
        <w:t>Paid ₹15 crore to an Indian AE for shared IT and HR services.</w:t>
      </w:r>
    </w:p>
    <w:p w:rsidR="00A056B6" w:rsidRPr="009C5151" w:rsidRDefault="00A056B6" w:rsidP="00743A5F">
      <w:pPr>
        <w:pStyle w:val="NormalWeb"/>
        <w:tabs>
          <w:tab w:val="num" w:pos="720"/>
        </w:tabs>
        <w:spacing w:before="0" w:beforeAutospacing="0"/>
        <w:ind w:left="720" w:hanging="360"/>
      </w:pPr>
      <w:r w:rsidRPr="009C5151">
        <w:rPr>
          <w:rStyle w:val="Strong"/>
        </w:rPr>
        <w:t>Leasing of Construction Equipment</w:t>
      </w:r>
      <w:r w:rsidRPr="009C5151">
        <w:t>:</w:t>
      </w:r>
      <w:r w:rsidRPr="009C5151">
        <w:br/>
        <w:t>Leased ₹20 crore worth of equipment to a domestic AE.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11"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1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25" w:name="_Toc187624094"/>
      <w:bookmarkStart w:id="826" w:name="_Toc187630814"/>
      <w:bookmarkStart w:id="827" w:name="_Toc187660993"/>
      <w:bookmarkStart w:id="828" w:name="_Toc187662072"/>
      <w:r w:rsidRPr="009C5151">
        <w:rPr>
          <w:rStyle w:val="Strong"/>
          <w:b/>
          <w:bCs/>
          <w:sz w:val="24"/>
          <w:szCs w:val="24"/>
        </w:rPr>
        <w:t>Key Issues</w:t>
      </w:r>
      <w:bookmarkEnd w:id="825"/>
      <w:bookmarkEnd w:id="826"/>
      <w:bookmarkEnd w:id="827"/>
      <w:bookmarkEnd w:id="828"/>
    </w:p>
    <w:p w:rsidR="00A056B6" w:rsidRPr="009C5151" w:rsidRDefault="00A056B6" w:rsidP="00743A5F">
      <w:pPr>
        <w:pStyle w:val="Heading4"/>
        <w:spacing w:before="0" w:beforeAutospacing="0"/>
      </w:pPr>
      <w:r w:rsidRPr="009C5151">
        <w:rPr>
          <w:rStyle w:val="Strong"/>
          <w:b/>
          <w:bCs/>
        </w:rPr>
        <w:t>1. 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₹1,000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₹50 crore royalty payments to Singapore AE.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₹30 crore FTS payments to German AE.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₹20 crore interest payments to Russian AE.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₹300 crore sale of the manufacturing unit.</w: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Deducting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(10% under India-Russia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to Mauritius (0% WHT under DTAA).</w: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₹12 crore advertising payments.</w:t>
      </w:r>
    </w:p>
    <w:p w:rsidR="00A056B6" w:rsidRPr="009C5151" w:rsidRDefault="00A056B6" w:rsidP="00743A5F">
      <w:pPr>
        <w:pStyle w:val="Heading4"/>
        <w:spacing w:before="0" w:beforeAutospacing="0"/>
      </w:pPr>
      <w:r w:rsidRPr="009C5151">
        <w:rPr>
          <w:rStyle w:val="Strong"/>
          <w:b/>
          <w:bCs/>
        </w:rPr>
        <w:t>4. Applicability of GAAR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GAAR scrutiny due to potential treaty shopping via the Mauritius entity.</w:t>
      </w:r>
    </w:p>
    <w:p w:rsidR="00A056B6" w:rsidRPr="009C5151" w:rsidRDefault="00A056B6" w:rsidP="00743A5F">
      <w:pPr>
        <w:pStyle w:val="Heading4"/>
        <w:spacing w:before="0" w:beforeAutospacing="0"/>
      </w:pPr>
      <w:r w:rsidRPr="009C5151">
        <w:rPr>
          <w:rStyle w:val="Strong"/>
          <w:b/>
          <w:bCs/>
        </w:rPr>
        <w:t>5. Permanent Establishment (PE) Concerns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Potential PE 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USA</w:t>
      </w:r>
      <w:r w:rsidRPr="009C5151">
        <w:rPr>
          <w:rFonts w:ascii="Times New Roman" w:hAnsi="Times New Roman" w:cs="Times New Roman"/>
          <w:sz w:val="24"/>
          <w:szCs w:val="24"/>
        </w:rPr>
        <w:t>: Dependent agent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Germany</w:t>
      </w:r>
      <w:r w:rsidRPr="009C5151">
        <w:rPr>
          <w:rFonts w:ascii="Times New Roman" w:hAnsi="Times New Roman" w:cs="Times New Roman"/>
          <w:sz w:val="24"/>
          <w:szCs w:val="24"/>
        </w:rPr>
        <w:t>: Fixed place PE (due to consultancy projects).</w:t>
      </w:r>
    </w:p>
    <w:p w:rsidR="00A056B6" w:rsidRPr="009C5151" w:rsidRDefault="00A056B6" w:rsidP="00743A5F">
      <w:pPr>
        <w:pStyle w:val="Heading4"/>
        <w:spacing w:before="0" w:beforeAutospacing="0"/>
      </w:pPr>
      <w:r w:rsidRPr="009C5151">
        <w:rPr>
          <w:rStyle w:val="Strong"/>
          <w:b/>
          <w:bCs/>
        </w:rPr>
        <w:t>6. Tax Information Exchange Agreement (TIEA)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Information requested under TIEA from Russia regarding interest payments.</w:t>
      </w:r>
    </w:p>
    <w:p w:rsidR="00A056B6" w:rsidRPr="009C5151" w:rsidRDefault="00A056B6" w:rsidP="00743A5F">
      <w:pPr>
        <w:pStyle w:val="Heading4"/>
        <w:spacing w:before="0" w:beforeAutospacing="0"/>
      </w:pPr>
      <w:r w:rsidRPr="009C5151">
        <w:rPr>
          <w:rStyle w:val="Strong"/>
          <w:b/>
          <w:bCs/>
        </w:rPr>
        <w:t>7. Ruling of Board for Advance Rulings (AAR)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Advance Ruling sought for the taxability of the sale of the manufacturing unit in India under the UN Model Convention.</w:t>
      </w:r>
    </w:p>
    <w:p w:rsidR="00A056B6" w:rsidRPr="009C5151" w:rsidRDefault="00A056B6" w:rsidP="00743A5F">
      <w:pPr>
        <w:pStyle w:val="Heading4"/>
        <w:spacing w:before="0" w:beforeAutospacing="0"/>
      </w:pPr>
      <w:r w:rsidRPr="009C5151">
        <w:rPr>
          <w:rStyle w:val="Strong"/>
          <w:b/>
          <w:bCs/>
        </w:rPr>
        <w:t>8. Taxable Income Computation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Need to compute taxable income for AY 2024-25, incorporating TP adjustments and disallowed expenses.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13"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1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29" w:name="_Toc187624095"/>
      <w:bookmarkStart w:id="830" w:name="_Toc187630815"/>
      <w:bookmarkStart w:id="831" w:name="_Toc187660994"/>
      <w:bookmarkStart w:id="832" w:name="_Toc187662073"/>
      <w:r w:rsidRPr="009C5151">
        <w:rPr>
          <w:rStyle w:val="Strong"/>
          <w:b/>
          <w:bCs/>
          <w:sz w:val="24"/>
          <w:szCs w:val="24"/>
        </w:rPr>
        <w:t>Documents Required</w:t>
      </w:r>
      <w:bookmarkEnd w:id="829"/>
      <w:bookmarkEnd w:id="830"/>
      <w:bookmarkEnd w:id="831"/>
      <w:bookmarkEnd w:id="832"/>
    </w:p>
    <w:p w:rsidR="00A056B6" w:rsidRPr="009C5151" w:rsidRDefault="00A056B6" w:rsidP="00743A5F">
      <w:pPr>
        <w:pStyle w:val="NormalWeb"/>
        <w:tabs>
          <w:tab w:val="num" w:pos="720"/>
        </w:tabs>
        <w:spacing w:before="0" w:beforeAutospacing="0"/>
        <w:ind w:left="720" w:hanging="360"/>
      </w:pPr>
      <w:r w:rsidRPr="009C5151">
        <w:rPr>
          <w:rStyle w:val="Strong"/>
        </w:rPr>
        <w:lastRenderedPageBreak/>
        <w:t>Inter-Company 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Contracts for exports, royalties, FTS, loans, dividends, and unit sale.</w:t>
      </w:r>
    </w:p>
    <w:p w:rsidR="00A056B6" w:rsidRPr="009C5151" w:rsidRDefault="00A056B6" w:rsidP="00743A5F">
      <w:pPr>
        <w:pStyle w:val="NormalWeb"/>
        <w:tabs>
          <w:tab w:val="num" w:pos="720"/>
        </w:tabs>
        <w:spacing w:before="0" w:beforeAutospacing="0"/>
        <w:ind w:left="720" w:hanging="360"/>
      </w:pPr>
      <w:r w:rsidRPr="009C5151">
        <w:rPr>
          <w:rStyle w:val="Strong"/>
        </w:rPr>
        <w:t>Invoices and Payment Proofs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For all transactions.</w:t>
      </w:r>
    </w:p>
    <w:p w:rsidR="00A056B6" w:rsidRPr="009C5151" w:rsidRDefault="00A056B6" w:rsidP="00743A5F">
      <w:pPr>
        <w:pStyle w:val="NormalWeb"/>
        <w:tabs>
          <w:tab w:val="num" w:pos="720"/>
        </w:tabs>
        <w:spacing w:before="0" w:beforeAutospacing="0"/>
        <w:ind w:left="720" w:hanging="360"/>
      </w:pPr>
      <w:r w:rsidRPr="009C5151">
        <w:rPr>
          <w:rStyle w:val="Strong"/>
        </w:rPr>
        <w:t>Tax Residency Certificates (TRC)</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TRCs for Mauritius, Singapore, Germany, and Russia.</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Allocation of roles, functions, and risks among AEs.</w:t>
      </w:r>
    </w:p>
    <w:p w:rsidR="00A056B6" w:rsidRPr="009C5151" w:rsidRDefault="00A056B6" w:rsidP="00743A5F">
      <w:pPr>
        <w:pStyle w:val="NormalWeb"/>
        <w:tabs>
          <w:tab w:val="num" w:pos="720"/>
        </w:tabs>
        <w:spacing w:before="0" w:beforeAutospacing="0"/>
        <w:ind w:left="720" w:hanging="360"/>
      </w:pPr>
      <w:r w:rsidRPr="009C5151">
        <w:rPr>
          <w:rStyle w:val="Strong"/>
        </w:rPr>
        <w:t>Valuation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For the sale of the manufacturing unit.</w:t>
      </w:r>
    </w:p>
    <w:p w:rsidR="00A056B6" w:rsidRPr="009C5151" w:rsidRDefault="00A056B6" w:rsidP="00743A5F">
      <w:pPr>
        <w:pStyle w:val="NormalWeb"/>
        <w:tabs>
          <w:tab w:val="num" w:pos="720"/>
        </w:tabs>
        <w:spacing w:before="0" w:beforeAutospacing="0"/>
        <w:ind w:left="720" w:hanging="360"/>
      </w:pPr>
      <w:r w:rsidRPr="009C5151">
        <w:rPr>
          <w:rStyle w:val="Strong"/>
        </w:rPr>
        <w:t>Board for Advance Rulings (AAR) Submission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Application and supporting documents for tax treatment of the unit sale.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15"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1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33" w:name="_Toc187624096"/>
      <w:bookmarkStart w:id="834" w:name="_Toc187630816"/>
      <w:bookmarkStart w:id="835" w:name="_Toc187660995"/>
      <w:bookmarkStart w:id="836" w:name="_Toc187662074"/>
      <w:r w:rsidRPr="009C5151">
        <w:rPr>
          <w:rStyle w:val="Strong"/>
          <w:b/>
          <w:bCs/>
          <w:sz w:val="24"/>
          <w:szCs w:val="24"/>
        </w:rPr>
        <w:t>Proposed Solutions</w:t>
      </w:r>
      <w:bookmarkEnd w:id="833"/>
      <w:bookmarkEnd w:id="834"/>
      <w:bookmarkEnd w:id="835"/>
      <w:bookmarkEnd w:id="836"/>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Export of Solar Technology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TNMM</w:t>
      </w:r>
      <w:r w:rsidRPr="009C5151">
        <w:rPr>
          <w:rFonts w:ascii="Times New Roman" w:hAnsi="Times New Roman" w:cs="Times New Roman"/>
          <w:sz w:val="24"/>
          <w:szCs w:val="24"/>
        </w:rPr>
        <w:t xml:space="preserve"> to benchmark ₹1,000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operating margins with renewable energy solution providers globally.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benchmark ₹50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royalty rate (5%-7%).</w:t>
      </w:r>
    </w:p>
    <w:p w:rsidR="00A056B6" w:rsidRPr="009C5151" w:rsidRDefault="00A056B6" w:rsidP="00743A5F">
      <w:pPr>
        <w:pStyle w:val="NormalWeb"/>
        <w:tabs>
          <w:tab w:val="num" w:pos="720"/>
        </w:tabs>
        <w:spacing w:before="0" w:beforeAutospacing="0"/>
        <w:ind w:left="720" w:hanging="360"/>
      </w:pPr>
      <w:r w:rsidRPr="009C5151">
        <w:rPr>
          <w:rStyle w:val="Strong"/>
        </w:rPr>
        <w:t>FTS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CPM</w:t>
      </w:r>
      <w:r w:rsidRPr="009C5151">
        <w:rPr>
          <w:rFonts w:ascii="Times New Roman" w:hAnsi="Times New Roman" w:cs="Times New Roman"/>
          <w:sz w:val="24"/>
          <w:szCs w:val="24"/>
        </w:rPr>
        <w:t xml:space="preserve"> to benchmark ₹30 crore consultancy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markup with similar service providers.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 xml:space="preserve">Ensure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(deduction capped at 30% of EBITDA).</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valuation method</w:t>
      </w:r>
      <w:r w:rsidRPr="009C5151">
        <w:rPr>
          <w:rFonts w:ascii="Times New Roman" w:hAnsi="Times New Roman" w:cs="Times New Roman"/>
          <w:sz w:val="24"/>
          <w:szCs w:val="24"/>
        </w:rPr>
        <w:t xml:space="preserve"> to benchmark the ₹300 crore sale.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Obtain valuation from independent experts for tax compliance.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1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₹50 crore × 10% = ₹5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₹30 crore × 10% = ₹3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₹20 crore × 10% = ₹2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1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Levy at 6% on ₹12 crore advertising payments = ₹72 lakh.</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1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GAAR Applicability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Mitigation: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Demonstrate economic substance of the Mauritius parent company (e.g., local staff, business operations).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TRC and Form 10F for DTAA benefits.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2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Permanent Establishment (PE) Analysis</w:t>
      </w:r>
    </w:p>
    <w:p w:rsidR="00A056B6" w:rsidRPr="009C5151" w:rsidRDefault="00A056B6" w:rsidP="00743A5F">
      <w:pPr>
        <w:pStyle w:val="NormalWeb"/>
        <w:tabs>
          <w:tab w:val="num" w:pos="720"/>
        </w:tabs>
        <w:spacing w:before="0" w:beforeAutospacing="0"/>
        <w:ind w:left="720" w:hanging="360"/>
      </w:pPr>
      <w:r w:rsidRPr="009C5151">
        <w:rPr>
          <w:rStyle w:val="Strong"/>
        </w:rPr>
        <w:t>USA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Mitigation: Limit authority of the USA subsidiary to conclude contracts.</w:t>
      </w:r>
    </w:p>
    <w:p w:rsidR="00A056B6" w:rsidRPr="009C5151" w:rsidRDefault="00A056B6" w:rsidP="00743A5F">
      <w:pPr>
        <w:pStyle w:val="NormalWeb"/>
        <w:tabs>
          <w:tab w:val="num" w:pos="720"/>
        </w:tabs>
        <w:spacing w:before="0" w:beforeAutospacing="0"/>
        <w:ind w:left="720" w:hanging="360"/>
      </w:pPr>
      <w:r w:rsidRPr="009C5151">
        <w:rPr>
          <w:rStyle w:val="Strong"/>
        </w:rPr>
        <w:t>Germany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Mitigation: Allocate profits to PE using </w:t>
      </w:r>
      <w:r w:rsidRPr="009C5151">
        <w:rPr>
          <w:rStyle w:val="Strong"/>
          <w:rFonts w:ascii="Times New Roman" w:hAnsi="Times New Roman" w:cs="Times New Roman"/>
          <w:sz w:val="24"/>
          <w:szCs w:val="24"/>
        </w:rPr>
        <w:t>Authorized OECD Approach (AOA)</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2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Taxable Income Computation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4"/>
        <w:gridCol w:w="186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lastRenderedPageBreak/>
              <w:t>Particulars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Revenue (Exports)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Domestic Revenue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Less: Expenses: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Royalty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FTS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Interest (allowable under 94B)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Depreciation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Gain on Sale of Unit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Taxable Income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1,180</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2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7. Tax Information Exchange Agreement (TIEA)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Provide interest-related details to Russian tax authorities under TIEA obligations.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2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8. Advance Ruling (AAR)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Ruling obtained for sale of manufacturing unit under </w:t>
      </w:r>
      <w:r w:rsidRPr="009C5151">
        <w:rPr>
          <w:rStyle w:val="Strong"/>
          <w:rFonts w:ascii="Times New Roman" w:hAnsi="Times New Roman" w:cs="Times New Roman"/>
          <w:sz w:val="24"/>
          <w:szCs w:val="24"/>
        </w:rPr>
        <w:t>Article 13 of the UN Model Convention</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Capital gains taxable in India as the asset is located in India.</w:t>
      </w:r>
    </w:p>
    <w:p w:rsidR="00A056B6" w:rsidRPr="009C5151" w:rsidRDefault="00A056B6" w:rsidP="00743A5F">
      <w:pPr>
        <w:pStyle w:val="NormalWeb"/>
        <w:spacing w:before="0" w:beforeAutospacing="0"/>
      </w:pPr>
      <w:r w:rsidRPr="009C5151">
        <w:rPr>
          <w:rStyle w:val="Strong"/>
        </w:rPr>
        <w:t>Tax Implication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Tax at 20% on ₹300 crore = ₹60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24"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2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37" w:name="_Toc187624097"/>
      <w:bookmarkStart w:id="838" w:name="_Toc187630817"/>
      <w:bookmarkStart w:id="839" w:name="_Toc187660996"/>
      <w:bookmarkStart w:id="840" w:name="_Toc187662075"/>
      <w:r w:rsidRPr="009C5151">
        <w:rPr>
          <w:rStyle w:val="Strong"/>
          <w:b/>
          <w:bCs/>
          <w:sz w:val="24"/>
          <w:szCs w:val="24"/>
        </w:rPr>
        <w:t>Conclusion</w:t>
      </w:r>
      <w:bookmarkEnd w:id="837"/>
      <w:bookmarkEnd w:id="838"/>
      <w:bookmarkEnd w:id="839"/>
      <w:bookmarkEnd w:id="840"/>
    </w:p>
    <w:p w:rsidR="00A056B6" w:rsidRPr="009C5151" w:rsidRDefault="00A056B6" w:rsidP="00743A5F">
      <w:pPr>
        <w:pStyle w:val="NormalWeb"/>
        <w:tabs>
          <w:tab w:val="num" w:pos="720"/>
        </w:tabs>
        <w:spacing w:before="0" w:beforeAutospacing="0"/>
        <w:ind w:left="720" w:hanging="360"/>
      </w:pPr>
      <w:r w:rsidRPr="009C5151">
        <w:rPr>
          <w:rStyle w:val="Strong"/>
        </w:rPr>
        <w:t>Transfer Pricing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transactions using TNMM, CUP, or CPM.</w:t>
      </w:r>
    </w:p>
    <w:p w:rsidR="00A056B6" w:rsidRPr="009C5151" w:rsidRDefault="00A056B6" w:rsidP="00743A5F">
      <w:pPr>
        <w:pStyle w:val="NormalWeb"/>
        <w:tabs>
          <w:tab w:val="num" w:pos="720"/>
        </w:tabs>
        <w:spacing w:before="0" w:beforeAutospacing="0"/>
        <w:ind w:left="720" w:hanging="360"/>
      </w:pPr>
      <w:r w:rsidRPr="009C5151">
        <w:rPr>
          <w:rStyle w:val="Strong"/>
        </w:rPr>
        <w:t>Withholding Tax</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and remit WHT on royalties, FTS, and interest under DTAAs.</w:t>
      </w:r>
    </w:p>
    <w:p w:rsidR="00A056B6" w:rsidRPr="009C5151" w:rsidRDefault="00A056B6" w:rsidP="00743A5F">
      <w:pPr>
        <w:pStyle w:val="NormalWeb"/>
        <w:tabs>
          <w:tab w:val="num" w:pos="720"/>
        </w:tabs>
        <w:spacing w:before="0" w:beforeAutospacing="0"/>
        <w:ind w:left="720" w:hanging="360"/>
      </w:pPr>
      <w:r w:rsidRPr="009C5151">
        <w:rPr>
          <w:rStyle w:val="Strong"/>
        </w:rPr>
        <w:t>GAAR</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Justify economic substance of the Mauritius entity to avoid GAAR applicability.</w:t>
      </w:r>
    </w:p>
    <w:p w:rsidR="00A056B6" w:rsidRPr="009C5151" w:rsidRDefault="00A056B6" w:rsidP="00743A5F">
      <w:pPr>
        <w:pStyle w:val="NormalWeb"/>
        <w:tabs>
          <w:tab w:val="num" w:pos="720"/>
        </w:tabs>
        <w:spacing w:before="0" w:beforeAutospacing="0"/>
        <w:ind w:left="720" w:hanging="360"/>
      </w:pPr>
      <w:r w:rsidRPr="009C5151">
        <w:rPr>
          <w:rStyle w:val="Strong"/>
        </w:rPr>
        <w:t>PE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Mitigate USA and Germany PE risks through proper documentation and profit allocation.</w:t>
      </w:r>
    </w:p>
    <w:p w:rsidR="00A056B6" w:rsidRPr="009C5151" w:rsidRDefault="00A056B6" w:rsidP="00743A5F">
      <w:pPr>
        <w:pStyle w:val="NormalWeb"/>
        <w:tabs>
          <w:tab w:val="num" w:pos="720"/>
        </w:tabs>
        <w:spacing w:before="0" w:beforeAutospacing="0"/>
        <w:ind w:left="720" w:hanging="360"/>
      </w:pPr>
      <w:r w:rsidRPr="009C5151">
        <w:rPr>
          <w:rStyle w:val="Strong"/>
        </w:rPr>
        <w:t>Taxable Income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proper adjustments and include the capital gains from the sale of the unit.</w:t>
      </w:r>
    </w:p>
    <w:p w:rsidR="00A056B6" w:rsidRPr="009C5151" w:rsidRDefault="00A056B6" w:rsidP="00743A5F">
      <w:pPr>
        <w:pStyle w:val="NormalWeb"/>
        <w:tabs>
          <w:tab w:val="num" w:pos="720"/>
        </w:tabs>
        <w:spacing w:before="0" w:beforeAutospacing="0"/>
        <w:ind w:left="720" w:hanging="360"/>
      </w:pPr>
      <w:r w:rsidRPr="009C5151">
        <w:rPr>
          <w:rStyle w:val="Strong"/>
        </w:rPr>
        <w:t>AAR Guidance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Follow the ruling for taxing the manufacturing unit sale under Article 13.</w:t>
      </w:r>
    </w:p>
    <w:p w:rsidR="00A056B6" w:rsidRPr="009C5151" w:rsidRDefault="00A056B6" w:rsidP="00743A5F">
      <w:pPr>
        <w:pStyle w:val="NormalWeb"/>
        <w:spacing w:before="0" w:beforeAutospacing="0"/>
      </w:pPr>
      <w:r w:rsidRPr="009C5151">
        <w:t xml:space="preserve">Would you like assistance with </w:t>
      </w:r>
      <w:r w:rsidRPr="009C5151">
        <w:rPr>
          <w:rStyle w:val="Strong"/>
        </w:rPr>
        <w:t>AAR applications</w:t>
      </w:r>
      <w:r w:rsidRPr="009C5151">
        <w:t xml:space="preserve">, </w:t>
      </w:r>
      <w:r w:rsidRPr="009C5151">
        <w:rPr>
          <w:rStyle w:val="Strong"/>
        </w:rPr>
        <w:t>valuation reports</w:t>
      </w:r>
      <w:r w:rsidRPr="009C5151">
        <w:t xml:space="preserve">, or </w:t>
      </w:r>
      <w:r w:rsidRPr="009C5151">
        <w:rPr>
          <w:rStyle w:val="Strong"/>
        </w:rPr>
        <w:t>compliance templates for PE or TIEA</w:t>
      </w:r>
      <w:r w:rsidRPr="009C5151">
        <w:t>? Let me know!</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AAR applications, valuation reports, or compliance templates for PE or TIEA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722A54B" wp14:editId="772C01CA">
            <wp:extent cx="763905" cy="763905"/>
            <wp:effectExtent l="0" t="0" r="0" b="0"/>
            <wp:docPr id="290" name="Picture 29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0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841" w:name="_Toc187624098"/>
      <w:bookmarkStart w:id="842" w:name="_Toc187630818"/>
      <w:bookmarkStart w:id="843" w:name="_Toc187660997"/>
      <w:bookmarkStart w:id="844" w:name="_Toc187662076"/>
      <w:r w:rsidRPr="009C5151">
        <w:rPr>
          <w:rStyle w:val="Strong"/>
          <w:b/>
          <w:bCs/>
          <w:sz w:val="24"/>
          <w:szCs w:val="24"/>
        </w:rPr>
        <w:t>Assistance with AAR Applications, Valuation Reports, and Compliance Templates for PE and TIEA</w:t>
      </w:r>
      <w:bookmarkEnd w:id="841"/>
      <w:bookmarkEnd w:id="842"/>
      <w:bookmarkEnd w:id="843"/>
      <w:bookmarkEnd w:id="844"/>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2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45" w:name="_Toc187624099"/>
      <w:bookmarkStart w:id="846" w:name="_Toc187630819"/>
      <w:bookmarkStart w:id="847" w:name="_Toc187660998"/>
      <w:bookmarkStart w:id="848" w:name="_Toc187662077"/>
      <w:r w:rsidRPr="009C5151">
        <w:rPr>
          <w:rStyle w:val="Strong"/>
          <w:b/>
          <w:bCs/>
          <w:sz w:val="24"/>
          <w:szCs w:val="24"/>
        </w:rPr>
        <w:t>I. AAR Application Assistance</w:t>
      </w:r>
      <w:bookmarkEnd w:id="845"/>
      <w:bookmarkEnd w:id="846"/>
      <w:bookmarkEnd w:id="847"/>
      <w:bookmarkEnd w:id="848"/>
    </w:p>
    <w:p w:rsidR="00A056B6" w:rsidRPr="009C5151" w:rsidRDefault="00A056B6" w:rsidP="00743A5F">
      <w:pPr>
        <w:pStyle w:val="NormalWeb"/>
        <w:spacing w:before="0" w:beforeAutospacing="0"/>
      </w:pPr>
      <w:r w:rsidRPr="009C5151">
        <w:t xml:space="preserve">The </w:t>
      </w:r>
      <w:r w:rsidRPr="009C5151">
        <w:rPr>
          <w:rStyle w:val="Strong"/>
        </w:rPr>
        <w:t>Authority for Advance Rulings (AAR)</w:t>
      </w:r>
      <w:r w:rsidRPr="009C5151">
        <w:t xml:space="preserve"> allows a taxpayer to seek clarity on taxability and compliance for specific transactions. Below is a detailed template for filing an AAR application.</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2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Template: AAR Application for Sale of Manufacturing Unit</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To,</w:t>
      </w:r>
      <w:r w:rsidRPr="009C5151">
        <w:br/>
        <w:t>The Secretary,</w:t>
      </w:r>
      <w:r w:rsidRPr="009C5151">
        <w:br/>
        <w:t>Authority for Advance Rulings,</w:t>
      </w:r>
      <w:r w:rsidRPr="009C5151">
        <w:br/>
      </w:r>
      <w:r w:rsidRPr="009C5151">
        <w:lastRenderedPageBreak/>
        <w:t>Income Tax Department,</w:t>
      </w:r>
      <w:r w:rsidRPr="009C5151">
        <w:br/>
        <w:t>[Address], India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28"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Subject</w:t>
      </w:r>
      <w:r w:rsidRPr="009C5151">
        <w:t>: Application for Advance Ruling Under Section 245Q of the Income-tax Act, 1961</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2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Details of the Applicant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Name</w:t>
      </w:r>
      <w:r w:rsidRPr="009C5151">
        <w:rPr>
          <w:rFonts w:ascii="Times New Roman" w:hAnsi="Times New Roman" w:cs="Times New Roman"/>
          <w:sz w:val="24"/>
          <w:szCs w:val="24"/>
        </w:rPr>
        <w:t>: GreenEdge Pvt.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PAN</w:t>
      </w:r>
      <w:r w:rsidRPr="009C5151">
        <w:rPr>
          <w:rFonts w:ascii="Times New Roman" w:hAnsi="Times New Roman" w:cs="Times New Roman"/>
          <w:sz w:val="24"/>
          <w:szCs w:val="24"/>
        </w:rPr>
        <w:t>: XXXXX1234X</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Address</w:t>
      </w:r>
      <w:r w:rsidRPr="009C5151">
        <w:rPr>
          <w:rFonts w:ascii="Times New Roman" w:hAnsi="Times New Roman" w:cs="Times New Roman"/>
          <w:sz w:val="24"/>
          <w:szCs w:val="24"/>
        </w:rPr>
        <w:t>: [Address of the Applicant]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30"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Transaction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Nature of Transaction</w:t>
      </w:r>
      <w:r w:rsidRPr="009C5151">
        <w:rPr>
          <w:rFonts w:ascii="Times New Roman" w:hAnsi="Times New Roman" w:cs="Times New Roman"/>
          <w:sz w:val="24"/>
          <w:szCs w:val="24"/>
        </w:rPr>
        <w:t>: Sale of a manufacturing unit located in India to GreenEdge UK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Amount</w:t>
      </w:r>
      <w:r w:rsidRPr="009C5151">
        <w:rPr>
          <w:rFonts w:ascii="Times New Roman" w:hAnsi="Times New Roman" w:cs="Times New Roman"/>
          <w:sz w:val="24"/>
          <w:szCs w:val="24"/>
        </w:rPr>
        <w:t>: ₹300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31"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Query for Ruling</w:t>
      </w:r>
      <w:r w:rsidRPr="009C5151">
        <w:t>:</w:t>
      </w:r>
      <w:r w:rsidRPr="009C5151">
        <w:br/>
        <w:t>We seek clarity on the following aspects: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Taxability of capital gains from the sale of the manufacturing unit under </w:t>
      </w:r>
      <w:r w:rsidRPr="009C5151">
        <w:rPr>
          <w:rStyle w:val="Strong"/>
          <w:rFonts w:ascii="Times New Roman" w:hAnsi="Times New Roman" w:cs="Times New Roman"/>
          <w:sz w:val="24"/>
          <w:szCs w:val="24"/>
        </w:rPr>
        <w:t>Article 13 of the UN Model Convention</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provisions under Section 9 of the Income-tax Act, 1961, concerning the location of the asset in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gains are exempt under any DTAA provisions.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32"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Supporting Documents Attached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Sale Agreement.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Valuation Report.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Tax Residency Certificate (TRC) of GreenEdge UK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Functional and Risk Analysis.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3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Declaration</w:t>
      </w:r>
      <w:r w:rsidRPr="009C5151">
        <w:t>:</w:t>
      </w:r>
      <w:r w:rsidRPr="009C5151">
        <w:br/>
        <w:t>We declare that the facts stated above are true and correct to the best of our knowledge.</w:t>
      </w:r>
    </w:p>
    <w:p w:rsidR="00A056B6" w:rsidRPr="009C5151" w:rsidRDefault="00A056B6" w:rsidP="00743A5F">
      <w:pPr>
        <w:pStyle w:val="NormalWeb"/>
        <w:spacing w:before="0" w:beforeAutospacing="0"/>
      </w:pPr>
      <w:r w:rsidRPr="009C5151">
        <w:rPr>
          <w:rStyle w:val="Strong"/>
        </w:rPr>
        <w:lastRenderedPageBreak/>
        <w:t>Signed</w:t>
      </w:r>
      <w:r w:rsidRPr="009C5151">
        <w:t>:</w:t>
      </w:r>
      <w:r w:rsidRPr="009C5151">
        <w:br/>
        <w:t>For GreenEdge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34" style="width:0;height:1.5pt" o:hralign="center" o:hrstd="t" o:hr="t" fillcolor="#a0a0a0" stroked="f"/>
        </w:pict>
      </w:r>
    </w:p>
    <w:p w:rsidR="00A056B6" w:rsidRPr="009C5151" w:rsidRDefault="00A056B6" w:rsidP="00743A5F">
      <w:pPr>
        <w:pStyle w:val="NormalWeb"/>
        <w:spacing w:before="0" w:beforeAutospacing="0"/>
      </w:pPr>
      <w:r w:rsidRPr="009C5151">
        <w:t>Authorized Signatory</w:t>
      </w:r>
    </w:p>
    <w:p w:rsidR="00A056B6" w:rsidRPr="009C5151" w:rsidRDefault="00A056B6" w:rsidP="00743A5F">
      <w:pPr>
        <w:pStyle w:val="NormalWeb"/>
        <w:spacing w:before="0" w:beforeAutospacing="0"/>
      </w:pPr>
      <w:r w:rsidRPr="009C5151">
        <w:t>Date: [Date]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35"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3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49" w:name="_Toc187624100"/>
      <w:bookmarkStart w:id="850" w:name="_Toc187630820"/>
      <w:bookmarkStart w:id="851" w:name="_Toc187660999"/>
      <w:bookmarkStart w:id="852" w:name="_Toc187662078"/>
      <w:r w:rsidRPr="009C5151">
        <w:rPr>
          <w:rStyle w:val="Strong"/>
          <w:b/>
          <w:bCs/>
          <w:sz w:val="24"/>
          <w:szCs w:val="24"/>
        </w:rPr>
        <w:t>II. Valuation Report Template</w:t>
      </w:r>
      <w:bookmarkEnd w:id="849"/>
      <w:bookmarkEnd w:id="850"/>
      <w:bookmarkEnd w:id="851"/>
      <w:bookmarkEnd w:id="852"/>
    </w:p>
    <w:p w:rsidR="00A056B6" w:rsidRPr="009C5151" w:rsidRDefault="00A056B6" w:rsidP="00743A5F">
      <w:pPr>
        <w:pStyle w:val="Heading4"/>
        <w:spacing w:before="0" w:beforeAutospacing="0"/>
      </w:pPr>
      <w:r w:rsidRPr="009C5151">
        <w:rPr>
          <w:rStyle w:val="Strong"/>
          <w:b/>
          <w:bCs/>
        </w:rPr>
        <w:t>Template: Valuation Report for Sale of Manufacturing Unit</w:t>
      </w:r>
    </w:p>
    <w:p w:rsidR="00A056B6" w:rsidRPr="009C5151" w:rsidRDefault="00A056B6" w:rsidP="00743A5F">
      <w:pPr>
        <w:pStyle w:val="NormalWeb"/>
        <w:spacing w:before="0" w:beforeAutospacing="0"/>
      </w:pPr>
      <w:r w:rsidRPr="009C5151">
        <w:rPr>
          <w:rStyle w:val="Strong"/>
        </w:rPr>
        <w:t>Valuation Report</w:t>
      </w:r>
      <w:r w:rsidRPr="009C5151">
        <w:br/>
      </w:r>
      <w:r w:rsidRPr="009C5151">
        <w:rPr>
          <w:rStyle w:val="Strong"/>
        </w:rPr>
        <w:t>Prepared by: [Valuer Name/Company]</w:t>
      </w:r>
      <w:r w:rsidRPr="009C5151">
        <w:br/>
      </w:r>
      <w:r w:rsidRPr="009C5151">
        <w:rPr>
          <w:rStyle w:val="Strong"/>
        </w:rPr>
        <w:t>Date of Report</w:t>
      </w:r>
      <w:r w:rsidRPr="009C5151">
        <w:t>: [Date]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37"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1. Asset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Property Description</w:t>
      </w:r>
      <w:r w:rsidRPr="009C5151">
        <w:rPr>
          <w:rFonts w:ascii="Times New Roman" w:hAnsi="Times New Roman" w:cs="Times New Roman"/>
          <w:sz w:val="24"/>
          <w:szCs w:val="24"/>
        </w:rPr>
        <w:t>: Manufacturing unit located at [Address].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Total Area</w:t>
      </w:r>
      <w:r w:rsidRPr="009C5151">
        <w:rPr>
          <w:rFonts w:ascii="Times New Roman" w:hAnsi="Times New Roman" w:cs="Times New Roman"/>
          <w:sz w:val="24"/>
          <w:szCs w:val="24"/>
        </w:rPr>
        <w:t>: [Area in sq. ft.].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Buildings and Infrastructure</w:t>
      </w:r>
      <w:r w:rsidRPr="009C5151">
        <w:rPr>
          <w:rFonts w:ascii="Times New Roman" w:hAnsi="Times New Roman" w:cs="Times New Roman"/>
          <w:sz w:val="24"/>
          <w:szCs w:val="24"/>
        </w:rPr>
        <w:t>: Includes manufacturing plant, administrative office, and warehouses.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38"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2. Valuation Methodology</w:t>
      </w:r>
      <w:r w:rsidRPr="009C5151">
        <w:t>:</w:t>
      </w:r>
      <w:r w:rsidRPr="009C5151">
        <w:br/>
        <w:t>The following methods were considered: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Cost Approach</w:t>
      </w:r>
      <w:r w:rsidRPr="009C5151">
        <w:rPr>
          <w:rFonts w:ascii="Times New Roman" w:hAnsi="Times New Roman" w:cs="Times New Roman"/>
          <w:sz w:val="24"/>
          <w:szCs w:val="24"/>
        </w:rPr>
        <w:t>: Assessing the cost of building a similar facility today.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Income Approach</w:t>
      </w:r>
      <w:r w:rsidRPr="009C5151">
        <w:rPr>
          <w:rFonts w:ascii="Times New Roman" w:hAnsi="Times New Roman" w:cs="Times New Roman"/>
          <w:sz w:val="24"/>
          <w:szCs w:val="24"/>
        </w:rPr>
        <w:t>: Discounted cash flow (DCF) analysis of future earnings.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Market Approach</w:t>
      </w:r>
      <w:r w:rsidRPr="009C5151">
        <w:rPr>
          <w:rFonts w:ascii="Times New Roman" w:hAnsi="Times New Roman" w:cs="Times New Roman"/>
          <w:sz w:val="24"/>
          <w:szCs w:val="24"/>
        </w:rPr>
        <w:t>: Comparing similar transactions in the region.</w:t>
      </w:r>
    </w:p>
    <w:p w:rsidR="00A056B6" w:rsidRPr="009C5151" w:rsidRDefault="00A056B6" w:rsidP="00743A5F">
      <w:pPr>
        <w:pStyle w:val="NormalWeb"/>
        <w:spacing w:before="0" w:beforeAutospacing="0"/>
      </w:pPr>
      <w:r w:rsidRPr="009C5151">
        <w:rPr>
          <w:rStyle w:val="Strong"/>
        </w:rPr>
        <w:t>Final Valuation</w:t>
      </w:r>
      <w:r w:rsidRPr="009C5151">
        <w:t xml:space="preserve">: Based on the above methods, the fair market value is assessed at </w:t>
      </w:r>
      <w:r w:rsidRPr="009C5151">
        <w:rPr>
          <w:rStyle w:val="Strong"/>
        </w:rPr>
        <w:t>₹300 crore</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3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3. Detailed Calculation</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Income Approach (DCF)</w:t>
      </w:r>
      <w:r w:rsidRPr="009C5151">
        <w:rPr>
          <w:rFonts w:ascii="Times New Roman" w:hAnsi="Times New Roman" w:cs="Times New Roman"/>
          <w:sz w:val="24"/>
          <w:szCs w:val="24"/>
        </w:rPr>
        <w:t>: ₹280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Market Comparables</w:t>
      </w:r>
      <w:r w:rsidRPr="009C5151">
        <w:rPr>
          <w:rFonts w:ascii="Times New Roman" w:hAnsi="Times New Roman" w:cs="Times New Roman"/>
          <w:sz w:val="24"/>
          <w:szCs w:val="24"/>
        </w:rPr>
        <w:t>: ₹310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Final Value (Weighted Average)</w:t>
      </w:r>
      <w:r w:rsidRPr="009C5151">
        <w:rPr>
          <w:rFonts w:ascii="Times New Roman" w:hAnsi="Times New Roman" w:cs="Times New Roman"/>
          <w:sz w:val="24"/>
          <w:szCs w:val="24"/>
        </w:rPr>
        <w:t>: ₹300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40"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4. Certification</w:t>
      </w:r>
      <w:r w:rsidRPr="009C5151">
        <w:t>:</w:t>
      </w:r>
      <w:r w:rsidRPr="009C5151">
        <w:br/>
        <w:t>This valuation has been prepared following the standards prescribed by the Institute of Valuers and applicable tax laws.</w:t>
      </w:r>
    </w:p>
    <w:p w:rsidR="00A056B6" w:rsidRPr="009C5151" w:rsidRDefault="00A056B6" w:rsidP="00743A5F">
      <w:pPr>
        <w:pStyle w:val="NormalWeb"/>
        <w:spacing w:before="0" w:beforeAutospacing="0"/>
      </w:pPr>
      <w:r w:rsidRPr="009C5151">
        <w:rPr>
          <w:rStyle w:val="Strong"/>
        </w:rPr>
        <w:t>Signed</w:t>
      </w:r>
      <w:r w:rsidRPr="009C5151">
        <w:t>:</w:t>
      </w:r>
      <w:r w:rsidRPr="009C5151">
        <w:br/>
        <w:t>[Name of Valuer]</w:t>
      </w:r>
      <w:r w:rsidRPr="009C5151">
        <w:br/>
        <w:t>Registration Number: [Number]</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41"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4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53" w:name="_Toc187624101"/>
      <w:bookmarkStart w:id="854" w:name="_Toc187630821"/>
      <w:bookmarkStart w:id="855" w:name="_Toc187661000"/>
      <w:bookmarkStart w:id="856" w:name="_Toc187662079"/>
      <w:r w:rsidRPr="009C5151">
        <w:rPr>
          <w:rStyle w:val="Strong"/>
          <w:b/>
          <w:bCs/>
          <w:sz w:val="24"/>
          <w:szCs w:val="24"/>
        </w:rPr>
        <w:t>III. Compliance Templates for PE and TIEA</w:t>
      </w:r>
      <w:bookmarkEnd w:id="853"/>
      <w:bookmarkEnd w:id="854"/>
      <w:bookmarkEnd w:id="855"/>
      <w:bookmarkEnd w:id="856"/>
    </w:p>
    <w:p w:rsidR="00A056B6" w:rsidRPr="009C5151" w:rsidRDefault="00A056B6" w:rsidP="00743A5F">
      <w:pPr>
        <w:pStyle w:val="Heading4"/>
        <w:spacing w:before="0" w:beforeAutospacing="0"/>
      </w:pPr>
      <w:r w:rsidRPr="009C5151">
        <w:rPr>
          <w:rStyle w:val="Strong"/>
          <w:b/>
          <w:bCs/>
        </w:rPr>
        <w:t>1. Permanent Establishment (PE) Compliance Template</w:t>
      </w:r>
    </w:p>
    <w:p w:rsidR="00A056B6" w:rsidRPr="009C5151" w:rsidRDefault="00A056B6" w:rsidP="00743A5F">
      <w:pPr>
        <w:pStyle w:val="NormalWeb"/>
        <w:spacing w:before="0" w:beforeAutospacing="0"/>
      </w:pPr>
      <w:r w:rsidRPr="009C5151">
        <w:rPr>
          <w:rStyle w:val="Strong"/>
        </w:rPr>
        <w:t>Template: PE Documentation for GreenEdge Pvt. Ltd.</w:t>
      </w:r>
    </w:p>
    <w:p w:rsidR="00A056B6" w:rsidRPr="009C5151" w:rsidRDefault="00A056B6" w:rsidP="00743A5F">
      <w:pPr>
        <w:pStyle w:val="NormalWeb"/>
        <w:spacing w:before="0" w:beforeAutospacing="0"/>
      </w:pPr>
      <w:r w:rsidRPr="009C5151">
        <w:rPr>
          <w:rStyle w:val="Strong"/>
        </w:rPr>
        <w:t>Overview of PE Risks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Country</w:t>
      </w:r>
      <w:r w:rsidRPr="009C5151">
        <w:t>: USA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Activity</w:t>
      </w:r>
      <w:r w:rsidRPr="009C5151">
        <w:rPr>
          <w:rFonts w:ascii="Times New Roman" w:hAnsi="Times New Roman" w:cs="Times New Roman"/>
          <w:sz w:val="24"/>
          <w:szCs w:val="24"/>
        </w:rPr>
        <w:t>: Marketing and distribution through a dependent agent.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Risk</w:t>
      </w:r>
      <w:r w:rsidRPr="009C5151">
        <w:rPr>
          <w:rFonts w:ascii="Times New Roman" w:hAnsi="Times New Roman" w:cs="Times New Roman"/>
          <w:sz w:val="24"/>
          <w:szCs w:val="24"/>
        </w:rPr>
        <w:t>: Dependent Agent PE under Article 5(5) of the India-USA DTAA.</w:t>
      </w:r>
    </w:p>
    <w:p w:rsidR="00A056B6" w:rsidRPr="009C5151" w:rsidRDefault="00A056B6" w:rsidP="00743A5F">
      <w:pPr>
        <w:pStyle w:val="NormalWeb"/>
        <w:tabs>
          <w:tab w:val="num" w:pos="720"/>
        </w:tabs>
        <w:spacing w:before="0" w:beforeAutospacing="0"/>
        <w:ind w:left="720" w:hanging="360"/>
      </w:pPr>
      <w:r w:rsidRPr="009C5151">
        <w:rPr>
          <w:rStyle w:val="Strong"/>
        </w:rPr>
        <w:t>Country</w:t>
      </w:r>
      <w:r w:rsidRPr="009C5151">
        <w:t>: Germany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Activity</w:t>
      </w:r>
      <w:r w:rsidRPr="009C5151">
        <w:rPr>
          <w:rFonts w:ascii="Times New Roman" w:hAnsi="Times New Roman" w:cs="Times New Roman"/>
          <w:sz w:val="24"/>
          <w:szCs w:val="24"/>
        </w:rPr>
        <w:t>: Renewable energy consultancy services via fixed facilities.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Risk</w:t>
      </w:r>
      <w:r w:rsidRPr="009C5151">
        <w:rPr>
          <w:rFonts w:ascii="Times New Roman" w:hAnsi="Times New Roman" w:cs="Times New Roman"/>
          <w:sz w:val="24"/>
          <w:szCs w:val="24"/>
        </w:rPr>
        <w:t>: Fixed Place PE under Article 5(1) of the India-Germany DTAA.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4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PE Mitigation Measures</w:t>
      </w:r>
      <w:r w:rsidRPr="009C5151">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
        <w:gridCol w:w="2087"/>
        <w:gridCol w:w="4914"/>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Risk Identified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Mitigation Action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Dependent Agent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 subsidiary’s authority to conclude contracts.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Fixed Place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Attribute profits based on functions performed.</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4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Profit Attribution to PE</w:t>
      </w:r>
      <w:r w:rsidRPr="009C5151">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
        <w:gridCol w:w="2819"/>
        <w:gridCol w:w="1953"/>
        <w:gridCol w:w="2961"/>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from PE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Expenses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Attributable Profit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180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4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TIEA Compliance Template</w:t>
      </w:r>
    </w:p>
    <w:p w:rsidR="00A056B6" w:rsidRPr="009C5151" w:rsidRDefault="00A056B6" w:rsidP="00743A5F">
      <w:pPr>
        <w:pStyle w:val="NormalWeb"/>
        <w:spacing w:before="0" w:beforeAutospacing="0"/>
      </w:pPr>
      <w:r w:rsidRPr="009C5151">
        <w:rPr>
          <w:rStyle w:val="Strong"/>
        </w:rPr>
        <w:t>Template: Response to Tax Information Exchange Request</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To,</w:t>
      </w:r>
      <w:r w:rsidRPr="009C5151">
        <w:br/>
        <w:t>The Tax Authority of India,</w:t>
      </w:r>
      <w:r w:rsidRPr="009C5151">
        <w:br/>
        <w:t>[Address],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46"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Subject</w:t>
      </w:r>
      <w:r w:rsidRPr="009C5151">
        <w:t>: Response to Tax Information Exchange Agreement (TIEA) Request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47"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Details of Request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Requested By</w:t>
      </w:r>
      <w:r w:rsidRPr="009C5151">
        <w:rPr>
          <w:rFonts w:ascii="Times New Roman" w:hAnsi="Times New Roman" w:cs="Times New Roman"/>
          <w:sz w:val="24"/>
          <w:szCs w:val="24"/>
        </w:rPr>
        <w:t>: Russian Tax Authority.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Reference Number</w:t>
      </w:r>
      <w:r w:rsidRPr="009C5151">
        <w:rPr>
          <w:rFonts w:ascii="Times New Roman" w:hAnsi="Times New Roman" w:cs="Times New Roman"/>
          <w:sz w:val="24"/>
          <w:szCs w:val="24"/>
        </w:rPr>
        <w:t>: [Reference No.].</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Nature of Request</w:t>
      </w:r>
      <w:r w:rsidRPr="009C5151">
        <w:rPr>
          <w:rFonts w:ascii="Times New Roman" w:hAnsi="Times New Roman" w:cs="Times New Roman"/>
          <w:sz w:val="24"/>
          <w:szCs w:val="24"/>
        </w:rPr>
        <w:t>: Details of interest payments made to Russian AE during FY 2023-24.</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48"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Response</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Transaction Details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Amount</w:t>
      </w:r>
      <w:r w:rsidRPr="009C5151">
        <w:rPr>
          <w:rFonts w:ascii="Times New Roman" w:hAnsi="Times New Roman" w:cs="Times New Roman"/>
          <w:sz w:val="24"/>
          <w:szCs w:val="24"/>
        </w:rPr>
        <w:t>: ₹20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Nature</w:t>
      </w:r>
      <w:r w:rsidRPr="009C5151">
        <w:rPr>
          <w:rFonts w:ascii="Times New Roman" w:hAnsi="Times New Roman" w:cs="Times New Roman"/>
          <w:sz w:val="24"/>
          <w:szCs w:val="24"/>
        </w:rPr>
        <w:t>: Interest on inter-company loan.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Date of Payment</w:t>
      </w:r>
      <w:r w:rsidRPr="009C5151">
        <w:rPr>
          <w:rFonts w:ascii="Times New Roman" w:hAnsi="Times New Roman" w:cs="Times New Roman"/>
          <w:sz w:val="24"/>
          <w:szCs w:val="24"/>
        </w:rPr>
        <w:t>: [Dates].</w:t>
      </w:r>
    </w:p>
    <w:p w:rsidR="00A056B6" w:rsidRPr="009C5151" w:rsidRDefault="00A056B6" w:rsidP="00743A5F">
      <w:pPr>
        <w:pStyle w:val="NormalWeb"/>
        <w:tabs>
          <w:tab w:val="num" w:pos="720"/>
        </w:tabs>
        <w:spacing w:before="0" w:beforeAutospacing="0"/>
        <w:ind w:left="720" w:hanging="360"/>
      </w:pPr>
      <w:r w:rsidRPr="009C5151">
        <w:rPr>
          <w:rStyle w:val="Strong"/>
        </w:rPr>
        <w:t>Withholding Tax Deducted</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Rate</w:t>
      </w:r>
      <w:r w:rsidRPr="009C5151">
        <w:rPr>
          <w:rFonts w:ascii="Times New Roman" w:hAnsi="Times New Roman" w:cs="Times New Roman"/>
          <w:sz w:val="24"/>
          <w:szCs w:val="24"/>
        </w:rPr>
        <w:t>: 10% under the India-Russia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Tax Deducted</w:t>
      </w:r>
      <w:r w:rsidRPr="009C5151">
        <w:rPr>
          <w:rFonts w:ascii="Times New Roman" w:hAnsi="Times New Roman" w:cs="Times New Roman"/>
          <w:sz w:val="24"/>
          <w:szCs w:val="24"/>
        </w:rPr>
        <w:t>: ₹2 crore.</w:t>
      </w:r>
    </w:p>
    <w:p w:rsidR="00A056B6" w:rsidRPr="009C5151" w:rsidRDefault="00A056B6" w:rsidP="00743A5F">
      <w:pPr>
        <w:pStyle w:val="NormalWeb"/>
        <w:tabs>
          <w:tab w:val="num" w:pos="720"/>
        </w:tabs>
        <w:spacing w:before="0" w:beforeAutospacing="0"/>
        <w:ind w:left="720" w:hanging="360"/>
      </w:pPr>
      <w:r w:rsidRPr="009C5151">
        <w:rPr>
          <w:rStyle w:val="Strong"/>
        </w:rPr>
        <w:t>Supporting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Loan Agreement.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Bank Transfer Proof.</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Tax Residency Certificate (TRC) of Russian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4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Declaration</w:t>
      </w:r>
      <w:r w:rsidRPr="009C5151">
        <w:t>:</w:t>
      </w:r>
      <w:r w:rsidRPr="009C5151">
        <w:br/>
        <w:t>We confirm that the above details are true and complete.</w:t>
      </w:r>
    </w:p>
    <w:p w:rsidR="00A056B6" w:rsidRPr="009C5151" w:rsidRDefault="00A056B6" w:rsidP="00743A5F">
      <w:pPr>
        <w:pStyle w:val="NormalWeb"/>
        <w:spacing w:before="0" w:beforeAutospacing="0"/>
      </w:pPr>
      <w:r w:rsidRPr="009C5151">
        <w:rPr>
          <w:rStyle w:val="Strong"/>
        </w:rPr>
        <w:t>Signed</w:t>
      </w:r>
      <w:r w:rsidRPr="009C5151">
        <w:t>:</w:t>
      </w:r>
      <w:r w:rsidRPr="009C5151">
        <w:br/>
        <w:t>For GreenEdge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50" style="width:0;height:1.5pt" o:hralign="center" o:hrstd="t" o:hr="t" fillcolor="#a0a0a0" stroked="f"/>
        </w:pict>
      </w:r>
    </w:p>
    <w:p w:rsidR="00A056B6" w:rsidRPr="009C5151" w:rsidRDefault="00A056B6" w:rsidP="00743A5F">
      <w:pPr>
        <w:pStyle w:val="NormalWeb"/>
        <w:spacing w:before="0" w:beforeAutospacing="0"/>
      </w:pPr>
      <w:r w:rsidRPr="009C5151">
        <w:t>Authorized Signatory</w:t>
      </w:r>
    </w:p>
    <w:p w:rsidR="00A056B6" w:rsidRPr="009C5151" w:rsidRDefault="00A056B6" w:rsidP="00743A5F">
      <w:pPr>
        <w:pStyle w:val="NormalWeb"/>
        <w:spacing w:before="0" w:beforeAutospacing="0"/>
      </w:pPr>
      <w:r w:rsidRPr="009C5151">
        <w:t>Date: [Date]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5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57" w:name="_Toc187624102"/>
      <w:bookmarkStart w:id="858" w:name="_Toc187630822"/>
      <w:bookmarkStart w:id="859" w:name="_Toc187661001"/>
      <w:bookmarkStart w:id="860" w:name="_Toc187662080"/>
      <w:r w:rsidRPr="009C5151">
        <w:rPr>
          <w:rStyle w:val="Strong"/>
          <w:b/>
          <w:bCs/>
          <w:sz w:val="24"/>
          <w:szCs w:val="24"/>
        </w:rPr>
        <w:t>Would you like further assistance with document finalization, AAR submission steps, or PE-specific compliance?</w:t>
      </w:r>
      <w:bookmarkEnd w:id="857"/>
      <w:bookmarkEnd w:id="858"/>
      <w:bookmarkEnd w:id="859"/>
      <w:bookmarkEnd w:id="860"/>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yes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E4D9086" wp14:editId="30AE657C">
            <wp:extent cx="763905" cy="763905"/>
            <wp:effectExtent l="0" t="0" r="0" b="0"/>
            <wp:docPr id="289" name="Picture 28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3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861" w:name="_Toc187624103"/>
      <w:bookmarkStart w:id="862" w:name="_Toc187630823"/>
      <w:bookmarkStart w:id="863" w:name="_Toc187661002"/>
      <w:bookmarkStart w:id="864" w:name="_Toc187662081"/>
      <w:r w:rsidRPr="009C5151">
        <w:rPr>
          <w:rStyle w:val="Strong"/>
          <w:b/>
          <w:bCs/>
          <w:sz w:val="24"/>
          <w:szCs w:val="24"/>
        </w:rPr>
        <w:t>Detailed Assistance: Document Finalization, AAR Submission Steps, and PE-Specific Compliance</w:t>
      </w:r>
      <w:bookmarkEnd w:id="861"/>
      <w:bookmarkEnd w:id="862"/>
      <w:bookmarkEnd w:id="863"/>
      <w:bookmarkEnd w:id="864"/>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5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65" w:name="_Toc187624104"/>
      <w:bookmarkStart w:id="866" w:name="_Toc187630824"/>
      <w:bookmarkStart w:id="867" w:name="_Toc187661003"/>
      <w:bookmarkStart w:id="868" w:name="_Toc187662082"/>
      <w:r w:rsidRPr="009C5151">
        <w:rPr>
          <w:rStyle w:val="Strong"/>
          <w:b/>
          <w:bCs/>
          <w:sz w:val="24"/>
          <w:szCs w:val="24"/>
        </w:rPr>
        <w:t>I. Finalizing Documents</w:t>
      </w:r>
      <w:bookmarkEnd w:id="865"/>
      <w:bookmarkEnd w:id="866"/>
      <w:bookmarkEnd w:id="867"/>
      <w:bookmarkEnd w:id="868"/>
    </w:p>
    <w:p w:rsidR="00A056B6" w:rsidRPr="009C5151" w:rsidRDefault="00A056B6" w:rsidP="00743A5F">
      <w:pPr>
        <w:pStyle w:val="Heading4"/>
        <w:spacing w:before="0" w:beforeAutospacing="0"/>
      </w:pPr>
      <w:r w:rsidRPr="009C5151">
        <w:rPr>
          <w:rStyle w:val="Strong"/>
          <w:b/>
          <w:bCs/>
        </w:rPr>
        <w:t>1. Advance Ruling (AAR) Application Finalization</w:t>
      </w:r>
    </w:p>
    <w:p w:rsidR="00A056B6" w:rsidRPr="009C5151" w:rsidRDefault="00A056B6" w:rsidP="00743A5F">
      <w:pPr>
        <w:pStyle w:val="NormalWeb"/>
        <w:tabs>
          <w:tab w:val="num" w:pos="720"/>
        </w:tabs>
        <w:spacing w:before="0" w:beforeAutospacing="0"/>
        <w:ind w:left="720" w:hanging="360"/>
      </w:pPr>
      <w:r w:rsidRPr="009C5151">
        <w:rPr>
          <w:rStyle w:val="Strong"/>
        </w:rPr>
        <w:t>Ensure Completeness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Verify that all mandatory details are included, such as: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Applicant’s name, PAN, and address.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Full transaction details (e.g., sale of manufacturing unit).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Specific tax queries (e.g., capital gains applicability under Article 13 of the UN Model Convention).</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Attachments Checklist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Sale Agreement.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Independent Valuation Report.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 and Form 10F of GreenEdge UK Ltd.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Board Resolution approving the sale.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Functional and Risk Analysis report.</w:t>
      </w:r>
    </w:p>
    <w:p w:rsidR="00A056B6" w:rsidRPr="009C5151" w:rsidRDefault="00A056B6" w:rsidP="00743A5F">
      <w:pPr>
        <w:pStyle w:val="NormalWeb"/>
        <w:tabs>
          <w:tab w:val="num" w:pos="720"/>
        </w:tabs>
        <w:spacing w:before="0" w:beforeAutospacing="0"/>
        <w:ind w:left="720" w:hanging="360"/>
      </w:pPr>
      <w:r w:rsidRPr="009C5151">
        <w:rPr>
          <w:rStyle w:val="Strong"/>
        </w:rPr>
        <w:t>Submission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File the completed application with the </w:t>
      </w:r>
      <w:r w:rsidRPr="009C5151">
        <w:rPr>
          <w:rStyle w:val="Strong"/>
          <w:rFonts w:ascii="Times New Roman" w:hAnsi="Times New Roman" w:cs="Times New Roman"/>
          <w:sz w:val="24"/>
          <w:szCs w:val="24"/>
        </w:rPr>
        <w:t>AAR Secretariat</w:t>
      </w:r>
      <w:r w:rsidRPr="009C5151">
        <w:rPr>
          <w:rFonts w:ascii="Times New Roman" w:hAnsi="Times New Roman" w:cs="Times New Roman"/>
          <w:sz w:val="24"/>
          <w:szCs w:val="24"/>
        </w:rPr>
        <w:t xml:space="preserve"> located in New Delhi or other regional offices.</w:t>
      </w:r>
    </w:p>
    <w:p w:rsidR="00A056B6" w:rsidRPr="009C5151" w:rsidRDefault="00A056B6" w:rsidP="00743A5F">
      <w:pPr>
        <w:pStyle w:val="NormalWeb"/>
        <w:tabs>
          <w:tab w:val="num" w:pos="720"/>
        </w:tabs>
        <w:spacing w:before="0" w:beforeAutospacing="0"/>
        <w:ind w:left="720" w:hanging="360"/>
      </w:pPr>
      <w:r w:rsidRPr="009C5151">
        <w:rPr>
          <w:rStyle w:val="Strong"/>
        </w:rPr>
        <w:t>Application Fee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Pay the prescribed fee (₹10,000 for international transactions).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5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Valuation Report Finalization</w:t>
      </w:r>
    </w:p>
    <w:p w:rsidR="00A056B6" w:rsidRPr="009C5151" w:rsidRDefault="00A056B6" w:rsidP="00743A5F">
      <w:pPr>
        <w:pStyle w:val="NormalWeb"/>
        <w:tabs>
          <w:tab w:val="num" w:pos="720"/>
        </w:tabs>
        <w:spacing w:before="0" w:beforeAutospacing="0"/>
        <w:ind w:left="720" w:hanging="360"/>
      </w:pPr>
      <w:r w:rsidRPr="009C5151">
        <w:rPr>
          <w:rStyle w:val="Strong"/>
        </w:rPr>
        <w:t>Key Components to Include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Description of the manufacturing unit (e.g., size, assets).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Rationale for selected valuation methods (cost, income, or market approach).</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Detailed calculation tables.</w:t>
      </w:r>
    </w:p>
    <w:p w:rsidR="00A056B6" w:rsidRPr="009C5151" w:rsidRDefault="00A056B6" w:rsidP="00743A5F">
      <w:pPr>
        <w:pStyle w:val="NormalWeb"/>
        <w:tabs>
          <w:tab w:val="num" w:pos="720"/>
        </w:tabs>
        <w:spacing w:before="0" w:beforeAutospacing="0"/>
        <w:ind w:left="720" w:hanging="360"/>
      </w:pPr>
      <w:r w:rsidRPr="009C5151">
        <w:rPr>
          <w:rStyle w:val="Strong"/>
        </w:rPr>
        <w:t>Validation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the report is certified by a registered valuer with appropriate credentials.</w:t>
      </w:r>
    </w:p>
    <w:p w:rsidR="00A056B6" w:rsidRPr="009C5151" w:rsidRDefault="00A056B6" w:rsidP="00743A5F">
      <w:pPr>
        <w:pStyle w:val="NormalWeb"/>
        <w:tabs>
          <w:tab w:val="num" w:pos="720"/>
        </w:tabs>
        <w:spacing w:before="0" w:beforeAutospacing="0"/>
        <w:ind w:left="720" w:hanging="360"/>
      </w:pPr>
      <w:r w:rsidRPr="009C5151">
        <w:rPr>
          <w:rStyle w:val="Strong"/>
        </w:rPr>
        <w:t>Presentation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professional formatting with clear headings and summary tables for readability.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5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PE Documentation Finalization</w:t>
      </w:r>
    </w:p>
    <w:p w:rsidR="00A056B6" w:rsidRPr="009C5151" w:rsidRDefault="00A056B6" w:rsidP="00743A5F">
      <w:pPr>
        <w:pStyle w:val="NormalWeb"/>
        <w:tabs>
          <w:tab w:val="num" w:pos="720"/>
        </w:tabs>
        <w:spacing w:before="0" w:beforeAutospacing="0"/>
        <w:ind w:left="720" w:hanging="360"/>
      </w:pPr>
      <w:r w:rsidRPr="009C5151">
        <w:rPr>
          <w:rStyle w:val="Strong"/>
        </w:rPr>
        <w:t>Details to Include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Nature of activities conducted in each jurisdiction.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Contracts showing the limited role of subsidiaries in concluding agreements.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Revenue and cost breakdowns for PE attribution.</w:t>
      </w:r>
    </w:p>
    <w:p w:rsidR="00A056B6" w:rsidRPr="009C5151" w:rsidRDefault="00A056B6" w:rsidP="00743A5F">
      <w:pPr>
        <w:pStyle w:val="NormalWeb"/>
        <w:tabs>
          <w:tab w:val="num" w:pos="720"/>
        </w:tabs>
        <w:spacing w:before="0" w:beforeAutospacing="0"/>
        <w:ind w:left="720" w:hanging="360"/>
      </w:pPr>
      <w:r w:rsidRPr="009C5151">
        <w:rPr>
          <w:rStyle w:val="Strong"/>
        </w:rPr>
        <w:t>Mitigation Plans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Include inter-company agreements that limit subsidiaries’ authority.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Highlight measures to allocate profits in compliance with </w:t>
      </w:r>
      <w:r w:rsidRPr="009C5151">
        <w:rPr>
          <w:rStyle w:val="Strong"/>
          <w:rFonts w:ascii="Times New Roman" w:hAnsi="Times New Roman" w:cs="Times New Roman"/>
          <w:sz w:val="24"/>
          <w:szCs w:val="24"/>
        </w:rPr>
        <w:t>OECD Guidelines</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55"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5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69" w:name="_Toc187624105"/>
      <w:bookmarkStart w:id="870" w:name="_Toc187630825"/>
      <w:bookmarkStart w:id="871" w:name="_Toc187661004"/>
      <w:bookmarkStart w:id="872" w:name="_Toc187662083"/>
      <w:r w:rsidRPr="009C5151">
        <w:rPr>
          <w:rStyle w:val="Strong"/>
          <w:b/>
          <w:bCs/>
          <w:sz w:val="24"/>
          <w:szCs w:val="24"/>
        </w:rPr>
        <w:t>II. Steps for AAR Submission</w:t>
      </w:r>
      <w:bookmarkEnd w:id="869"/>
      <w:bookmarkEnd w:id="870"/>
      <w:bookmarkEnd w:id="871"/>
      <w:bookmarkEnd w:id="872"/>
    </w:p>
    <w:p w:rsidR="00A056B6" w:rsidRPr="009C5151" w:rsidRDefault="00A056B6" w:rsidP="00743A5F">
      <w:pPr>
        <w:pStyle w:val="Heading4"/>
        <w:spacing w:before="0" w:beforeAutospacing="0"/>
      </w:pPr>
      <w:r w:rsidRPr="009C5151">
        <w:rPr>
          <w:rStyle w:val="Strong"/>
          <w:b/>
          <w:bCs/>
        </w:rPr>
        <w:t>1. Preparation of Documents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Compile all documents listed in the </w:t>
      </w:r>
      <w:r w:rsidRPr="009C5151">
        <w:rPr>
          <w:rStyle w:val="Strong"/>
          <w:rFonts w:ascii="Times New Roman" w:hAnsi="Times New Roman" w:cs="Times New Roman"/>
          <w:sz w:val="24"/>
          <w:szCs w:val="24"/>
        </w:rPr>
        <w:t>AAR Application Template</w:t>
      </w:r>
      <w:r w:rsidRPr="009C5151">
        <w:rPr>
          <w:rFonts w:ascii="Times New Roman" w:hAnsi="Times New Roman" w:cs="Times New Roman"/>
          <w:sz w:val="24"/>
          <w:szCs w:val="24"/>
        </w:rPr>
        <w:t xml:space="preserve"> provided above.</w:t>
      </w:r>
    </w:p>
    <w:p w:rsidR="00A056B6" w:rsidRPr="009C5151" w:rsidRDefault="00A056B6" w:rsidP="00743A5F">
      <w:pPr>
        <w:pStyle w:val="Heading4"/>
        <w:spacing w:before="0" w:beforeAutospacing="0"/>
      </w:pPr>
      <w:r w:rsidRPr="009C5151">
        <w:rPr>
          <w:rStyle w:val="Strong"/>
          <w:b/>
          <w:bCs/>
        </w:rPr>
        <w:t>2. Online Submission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Visit the official </w:t>
      </w:r>
      <w:r w:rsidRPr="009C5151">
        <w:rPr>
          <w:rStyle w:val="Strong"/>
          <w:rFonts w:ascii="Times New Roman" w:hAnsi="Times New Roman" w:cs="Times New Roman"/>
          <w:sz w:val="24"/>
          <w:szCs w:val="24"/>
        </w:rPr>
        <w:t>Income Tax e-Filing Portal</w:t>
      </w:r>
      <w:r w:rsidRPr="009C5151">
        <w:rPr>
          <w:rFonts w:ascii="Times New Roman" w:hAnsi="Times New Roman" w:cs="Times New Roman"/>
          <w:sz w:val="24"/>
          <w:szCs w:val="24"/>
        </w:rPr>
        <w:t xml:space="preserve"> (</w:t>
      </w:r>
      <w:hyperlink r:id="rId11" w:tgtFrame="_new" w:history="1">
        <w:r w:rsidRPr="009C5151">
          <w:rPr>
            <w:rStyle w:val="Hyperlink"/>
            <w:rFonts w:ascii="Times New Roman" w:hAnsi="Times New Roman" w:cs="Times New Roman"/>
            <w:sz w:val="24"/>
            <w:szCs w:val="24"/>
          </w:rPr>
          <w:t>Link</w:t>
        </w:r>
      </w:hyperlink>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Log in with the company PAN.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Navigate to </w:t>
      </w:r>
      <w:r w:rsidRPr="009C5151">
        <w:rPr>
          <w:rStyle w:val="Strong"/>
          <w:rFonts w:ascii="Times New Roman" w:hAnsi="Times New Roman" w:cs="Times New Roman"/>
          <w:sz w:val="24"/>
          <w:szCs w:val="24"/>
        </w:rPr>
        <w:t>e-File → File AAR Application</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Upload the application form and supporting documents.</w:t>
      </w:r>
    </w:p>
    <w:p w:rsidR="00A056B6" w:rsidRPr="009C5151" w:rsidRDefault="00A056B6" w:rsidP="00743A5F">
      <w:pPr>
        <w:pStyle w:val="Heading4"/>
        <w:spacing w:before="0" w:beforeAutospacing="0"/>
      </w:pPr>
      <w:r w:rsidRPr="009C5151">
        <w:rPr>
          <w:rStyle w:val="Strong"/>
          <w:b/>
          <w:bCs/>
        </w:rPr>
        <w:t>3. Offline Submission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Submit a hard copy of the application and documents to the nearest AAR office.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Retain the acknowledgment receipt for records.</w:t>
      </w:r>
    </w:p>
    <w:p w:rsidR="00A056B6" w:rsidRPr="009C5151" w:rsidRDefault="00A056B6" w:rsidP="00743A5F">
      <w:pPr>
        <w:pStyle w:val="Heading4"/>
        <w:spacing w:before="0" w:beforeAutospacing="0"/>
      </w:pPr>
      <w:r w:rsidRPr="009C5151">
        <w:rPr>
          <w:rStyle w:val="Strong"/>
          <w:b/>
          <w:bCs/>
        </w:rPr>
        <w:t>4. Post-Submission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Track the status of the application through the AAR office or e-Filing portal.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Respond promptly to any queries raised by the AAR office.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57"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5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73" w:name="_Toc187624106"/>
      <w:bookmarkStart w:id="874" w:name="_Toc187630826"/>
      <w:bookmarkStart w:id="875" w:name="_Toc187661005"/>
      <w:bookmarkStart w:id="876" w:name="_Toc187662084"/>
      <w:r w:rsidRPr="009C5151">
        <w:rPr>
          <w:rStyle w:val="Strong"/>
          <w:b/>
          <w:bCs/>
          <w:sz w:val="24"/>
          <w:szCs w:val="24"/>
        </w:rPr>
        <w:t>III. PE-Specific Compliance</w:t>
      </w:r>
      <w:bookmarkEnd w:id="873"/>
      <w:bookmarkEnd w:id="874"/>
      <w:bookmarkEnd w:id="875"/>
      <w:bookmarkEnd w:id="876"/>
    </w:p>
    <w:p w:rsidR="00A056B6" w:rsidRPr="009C5151" w:rsidRDefault="00A056B6" w:rsidP="00743A5F">
      <w:pPr>
        <w:pStyle w:val="Heading4"/>
        <w:spacing w:before="0" w:beforeAutospacing="0"/>
      </w:pPr>
      <w:r w:rsidRPr="009C5151">
        <w:rPr>
          <w:rStyle w:val="Strong"/>
          <w:b/>
          <w:bCs/>
        </w:rPr>
        <w:t>1. Compliance for PE in USA</w:t>
      </w:r>
    </w:p>
    <w:p w:rsidR="00A056B6" w:rsidRPr="009C5151" w:rsidRDefault="00A056B6" w:rsidP="00743A5F">
      <w:pPr>
        <w:pStyle w:val="NormalWeb"/>
        <w:tabs>
          <w:tab w:val="num" w:pos="720"/>
        </w:tabs>
        <w:spacing w:before="0" w:beforeAutospacing="0"/>
        <w:ind w:left="720" w:hanging="360"/>
      </w:pPr>
      <w:r w:rsidRPr="009C5151">
        <w:rPr>
          <w:rStyle w:val="Strong"/>
        </w:rPr>
        <w:t>Dependent Agent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contracts with customers are concluded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Document the subsidiary’s limited role in sales activities (e.g., only marketing or support).</w:t>
      </w:r>
    </w:p>
    <w:p w:rsidR="00A056B6" w:rsidRPr="009C5151" w:rsidRDefault="00A056B6" w:rsidP="00743A5F">
      <w:pPr>
        <w:pStyle w:val="NormalWeb"/>
        <w:tabs>
          <w:tab w:val="num" w:pos="720"/>
        </w:tabs>
        <w:spacing w:before="0" w:beforeAutospacing="0"/>
        <w:ind w:left="720" w:hanging="360"/>
      </w:pPr>
      <w:r w:rsidRPr="009C5151">
        <w:rPr>
          <w:rStyle w:val="Strong"/>
        </w:rPr>
        <w:t>Profit Attribution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a functional analysis to allocate profits based on the subsidiary’s role.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Example: Allocate 10% of revenue generated from USA activities if the subsidiary is limited to marketing functions.</w:t>
      </w:r>
    </w:p>
    <w:p w:rsidR="00A056B6" w:rsidRPr="009C5151" w:rsidRDefault="00A056B6" w:rsidP="00743A5F">
      <w:pPr>
        <w:pStyle w:val="Heading4"/>
        <w:spacing w:before="0" w:beforeAutospacing="0"/>
      </w:pPr>
      <w:r w:rsidRPr="009C5151">
        <w:rPr>
          <w:rStyle w:val="Strong"/>
          <w:b/>
          <w:bCs/>
        </w:rPr>
        <w:t>2. Compliance for PE in Germany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Fixed Place PE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Attribute profits to the PE based on the R&amp;D or consultancy activities performed.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Example: If the German PE manages R&amp;D generating ₹200 crore in revenue and incurs ₹180 crore in expenses, attribute ₹20 crore as profit for German taxation.</w:t>
      </w:r>
    </w:p>
    <w:p w:rsidR="00A056B6" w:rsidRPr="009C5151" w:rsidRDefault="00A056B6" w:rsidP="00743A5F">
      <w:pPr>
        <w:pStyle w:val="Heading4"/>
        <w:spacing w:before="0" w:beforeAutospacing="0"/>
      </w:pPr>
      <w:r w:rsidRPr="009C5151">
        <w:rPr>
          <w:rStyle w:val="Strong"/>
          <w:b/>
          <w:bCs/>
        </w:rPr>
        <w:t>3. Documentation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Maintain the following: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Inter-company agreements limiting the authority of subsidiaries.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Functional and risk analysis detailing roles of Indian HQ vs. subsidiaries.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Profit allocation worksheets.</w:t>
      </w:r>
    </w:p>
    <w:p w:rsidR="00A056B6" w:rsidRPr="009C5151" w:rsidRDefault="00A056B6" w:rsidP="00743A5F">
      <w:pPr>
        <w:pStyle w:val="Heading4"/>
        <w:spacing w:before="0" w:beforeAutospacing="0"/>
      </w:pPr>
      <w:r w:rsidRPr="009C5151">
        <w:rPr>
          <w:rStyle w:val="Strong"/>
          <w:b/>
          <w:bCs/>
        </w:rPr>
        <w:t>4. Filing PE Tax Returns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separate tax returns in the USA and Germany for income attributed to the PE.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59"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6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77" w:name="_Toc187624107"/>
      <w:bookmarkStart w:id="878" w:name="_Toc187630827"/>
      <w:bookmarkStart w:id="879" w:name="_Toc187661006"/>
      <w:bookmarkStart w:id="880" w:name="_Toc187662085"/>
      <w:r w:rsidRPr="009C5151">
        <w:rPr>
          <w:rStyle w:val="Strong"/>
          <w:b/>
          <w:bCs/>
          <w:sz w:val="24"/>
          <w:szCs w:val="24"/>
        </w:rPr>
        <w:t>IV. TIEA Compliance</w:t>
      </w:r>
      <w:bookmarkEnd w:id="877"/>
      <w:bookmarkEnd w:id="878"/>
      <w:bookmarkEnd w:id="879"/>
      <w:bookmarkEnd w:id="880"/>
    </w:p>
    <w:p w:rsidR="00A056B6" w:rsidRPr="009C5151" w:rsidRDefault="00A056B6" w:rsidP="00743A5F">
      <w:pPr>
        <w:pStyle w:val="Heading4"/>
        <w:spacing w:before="0" w:beforeAutospacing="0"/>
      </w:pPr>
      <w:r w:rsidRPr="009C5151">
        <w:rPr>
          <w:rStyle w:val="Strong"/>
          <w:b/>
          <w:bCs/>
        </w:rPr>
        <w:t>Steps for Responding to a TIEA Request</w:t>
      </w:r>
    </w:p>
    <w:p w:rsidR="00A056B6" w:rsidRPr="009C5151" w:rsidRDefault="00A056B6" w:rsidP="00743A5F">
      <w:pPr>
        <w:pStyle w:val="NormalWeb"/>
        <w:tabs>
          <w:tab w:val="num" w:pos="720"/>
        </w:tabs>
        <w:spacing w:before="0" w:beforeAutospacing="0"/>
        <w:ind w:left="720" w:hanging="360"/>
      </w:pPr>
      <w:r w:rsidRPr="009C5151">
        <w:rPr>
          <w:rStyle w:val="Strong"/>
        </w:rPr>
        <w:t>Document Compilation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Gather all relevant documents, including:</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Loan Agreement.</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Payment proofs (bank transfers).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TRC and Form 10F for the Russian AE.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Draft a Response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the </w:t>
      </w:r>
      <w:r w:rsidRPr="009C5151">
        <w:rPr>
          <w:rStyle w:val="Strong"/>
          <w:rFonts w:ascii="Times New Roman" w:hAnsi="Times New Roman" w:cs="Times New Roman"/>
          <w:sz w:val="24"/>
          <w:szCs w:val="24"/>
        </w:rPr>
        <w:t>TIEA Response Template</w:t>
      </w:r>
      <w:r w:rsidRPr="009C5151">
        <w:rPr>
          <w:rFonts w:ascii="Times New Roman" w:hAnsi="Times New Roman" w:cs="Times New Roman"/>
          <w:sz w:val="24"/>
          <w:szCs w:val="24"/>
        </w:rPr>
        <w:t xml:space="preserve"> provided above.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clarity and completeness in details (e.g., nature, date, and amount of transactions).</w:t>
      </w:r>
    </w:p>
    <w:p w:rsidR="00A056B6" w:rsidRPr="009C5151" w:rsidRDefault="00A056B6" w:rsidP="00743A5F">
      <w:pPr>
        <w:pStyle w:val="NormalWeb"/>
        <w:tabs>
          <w:tab w:val="num" w:pos="720"/>
        </w:tabs>
        <w:spacing w:before="0" w:beforeAutospacing="0"/>
        <w:ind w:left="720" w:hanging="360"/>
      </w:pPr>
      <w:r w:rsidRPr="009C5151">
        <w:rPr>
          <w:rStyle w:val="Strong"/>
        </w:rPr>
        <w:t>Submission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Submit the response to the </w:t>
      </w:r>
      <w:r w:rsidRPr="009C5151">
        <w:rPr>
          <w:rStyle w:val="Strong"/>
          <w:rFonts w:ascii="Times New Roman" w:hAnsi="Times New Roman" w:cs="Times New Roman"/>
          <w:sz w:val="24"/>
          <w:szCs w:val="24"/>
        </w:rPr>
        <w:t>Indian tax authority</w:t>
      </w:r>
      <w:r w:rsidRPr="009C5151">
        <w:rPr>
          <w:rFonts w:ascii="Times New Roman" w:hAnsi="Times New Roman" w:cs="Times New Roman"/>
          <w:sz w:val="24"/>
          <w:szCs w:val="24"/>
        </w:rPr>
        <w:t xml:space="preserve"> as directed.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Retain proof of submission for future reference.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6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81" w:name="_Toc187624108"/>
      <w:bookmarkStart w:id="882" w:name="_Toc187630828"/>
      <w:bookmarkStart w:id="883" w:name="_Toc187661007"/>
      <w:bookmarkStart w:id="884" w:name="_Toc187662086"/>
      <w:r w:rsidRPr="009C5151">
        <w:rPr>
          <w:rStyle w:val="Strong"/>
          <w:b/>
          <w:bCs/>
          <w:sz w:val="24"/>
          <w:szCs w:val="24"/>
        </w:rPr>
        <w:t>Would you like detailed assistance in drafting any specific document or a review of completed drafts?</w:t>
      </w:r>
      <w:r w:rsidRPr="009C5151">
        <w:rPr>
          <w:sz w:val="24"/>
          <w:szCs w:val="24"/>
        </w:rPr>
        <w:t xml:space="preserve"> Let me know!</w:t>
      </w:r>
      <w:bookmarkEnd w:id="881"/>
      <w:bookmarkEnd w:id="882"/>
      <w:bookmarkEnd w:id="883"/>
      <w:bookmarkEnd w:id="884"/>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Yes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D7802D1" wp14:editId="7010CB50">
            <wp:extent cx="763905" cy="763905"/>
            <wp:effectExtent l="0" t="0" r="0" b="0"/>
            <wp:docPr id="288" name="Picture 28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4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885" w:name="_Toc187624109"/>
      <w:bookmarkStart w:id="886" w:name="_Toc187630829"/>
      <w:bookmarkStart w:id="887" w:name="_Toc187661008"/>
      <w:bookmarkStart w:id="888" w:name="_Toc187662087"/>
      <w:r w:rsidRPr="009C5151">
        <w:rPr>
          <w:rStyle w:val="Strong"/>
          <w:b/>
          <w:bCs/>
          <w:sz w:val="24"/>
          <w:szCs w:val="24"/>
        </w:rPr>
        <w:t>Detailed Assistance: Drafting and Reviewing Specific Documents</w:t>
      </w:r>
      <w:bookmarkEnd w:id="885"/>
      <w:bookmarkEnd w:id="886"/>
      <w:bookmarkEnd w:id="887"/>
      <w:bookmarkEnd w:id="888"/>
    </w:p>
    <w:p w:rsidR="00A056B6" w:rsidRPr="009C5151" w:rsidRDefault="00A056B6" w:rsidP="00743A5F">
      <w:pPr>
        <w:pStyle w:val="NormalWeb"/>
        <w:spacing w:before="0" w:beforeAutospacing="0"/>
      </w:pPr>
      <w:r w:rsidRPr="009C5151">
        <w:t>Here’s a step-by-step guide to drafting and finalizing the specific documents you mentioned. I’ll also provide ready-to-use templates and review tips.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6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89" w:name="_Toc187624110"/>
      <w:bookmarkStart w:id="890" w:name="_Toc187630830"/>
      <w:bookmarkStart w:id="891" w:name="_Toc187661009"/>
      <w:bookmarkStart w:id="892" w:name="_Toc187662088"/>
      <w:r w:rsidRPr="009C5151">
        <w:rPr>
          <w:rStyle w:val="Strong"/>
          <w:b/>
          <w:bCs/>
          <w:sz w:val="24"/>
          <w:szCs w:val="24"/>
        </w:rPr>
        <w:t>I. Drafting Specific Documents</w:t>
      </w:r>
      <w:bookmarkEnd w:id="889"/>
      <w:bookmarkEnd w:id="890"/>
      <w:bookmarkEnd w:id="891"/>
      <w:bookmarkEnd w:id="892"/>
    </w:p>
    <w:p w:rsidR="00A056B6" w:rsidRPr="009C5151" w:rsidRDefault="00A056B6" w:rsidP="00743A5F">
      <w:pPr>
        <w:pStyle w:val="Heading4"/>
        <w:spacing w:before="0" w:beforeAutospacing="0"/>
      </w:pPr>
      <w:r w:rsidRPr="009C5151">
        <w:rPr>
          <w:rStyle w:val="Strong"/>
          <w:b/>
          <w:bCs/>
        </w:rPr>
        <w:t>1. Advance Ruling (AAR) Application for Sale of Manufacturing Unit</w:t>
      </w:r>
    </w:p>
    <w:p w:rsidR="00A056B6" w:rsidRPr="009C5151" w:rsidRDefault="00A056B6" w:rsidP="00743A5F">
      <w:pPr>
        <w:pStyle w:val="NormalWeb"/>
        <w:spacing w:before="0" w:beforeAutospacing="0"/>
      </w:pPr>
      <w:r w:rsidRPr="009C5151">
        <w:rPr>
          <w:rStyle w:val="Strong"/>
        </w:rPr>
        <w:t>Key Points to Address: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Full Transaction Disclosure</w:t>
      </w:r>
      <w:r w:rsidRPr="009C5151">
        <w:rPr>
          <w:rFonts w:ascii="Times New Roman" w:hAnsi="Times New Roman" w:cs="Times New Roman"/>
          <w:sz w:val="24"/>
          <w:szCs w:val="24"/>
        </w:rPr>
        <w:t>: Clearly describe the nature of the sale, transaction value, and parties involved.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Tax Queries</w:t>
      </w:r>
      <w:r w:rsidRPr="009C5151">
        <w:rPr>
          <w:rFonts w:ascii="Times New Roman" w:hAnsi="Times New Roman" w:cs="Times New Roman"/>
          <w:sz w:val="24"/>
          <w:szCs w:val="24"/>
        </w:rPr>
        <w:t>: Focus on specific aspects, such as capital gains tax applicability under the UN Model Convention.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Supporting Documents</w:t>
      </w:r>
      <w:r w:rsidRPr="009C5151">
        <w:rPr>
          <w:rFonts w:ascii="Times New Roman" w:hAnsi="Times New Roman" w:cs="Times New Roman"/>
          <w:sz w:val="24"/>
          <w:szCs w:val="24"/>
        </w:rPr>
        <w:t>: Attach documents to substantiate your claim (sale agreement, valuation report, TRC, etc.).</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6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lastRenderedPageBreak/>
        <w:t>Template: Advance Ruling (AAR) Application</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To,</w:t>
      </w:r>
      <w:r w:rsidRPr="009C5151">
        <w:br/>
        <w:t>The Secretary,</w:t>
      </w:r>
      <w:r w:rsidRPr="009C5151">
        <w:br/>
        <w:t>Authority for Advance Rulings,</w:t>
      </w:r>
      <w:r w:rsidRPr="009C5151">
        <w:br/>
        <w:t>Income Tax Department,</w:t>
      </w:r>
      <w:r w:rsidRPr="009C5151">
        <w:br/>
        <w:t>[Address], India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6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Subject</w:t>
      </w:r>
      <w:r w:rsidRPr="009C5151">
        <w:t>: Application for Advance Ruling Under Section 245Q of the Income-tax Act, 1961</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65"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Details of the Applicant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Name</w:t>
      </w:r>
      <w:r w:rsidRPr="009C5151">
        <w:rPr>
          <w:rFonts w:ascii="Times New Roman" w:hAnsi="Times New Roman" w:cs="Times New Roman"/>
          <w:sz w:val="24"/>
          <w:szCs w:val="24"/>
        </w:rPr>
        <w:t>: GreenEdge Pvt.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PAN</w:t>
      </w:r>
      <w:r w:rsidRPr="009C5151">
        <w:rPr>
          <w:rFonts w:ascii="Times New Roman" w:hAnsi="Times New Roman" w:cs="Times New Roman"/>
          <w:sz w:val="24"/>
          <w:szCs w:val="24"/>
        </w:rPr>
        <w:t>: XXXXX1234X</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Address</w:t>
      </w:r>
      <w:r w:rsidRPr="009C5151">
        <w:rPr>
          <w:rFonts w:ascii="Times New Roman" w:hAnsi="Times New Roman" w:cs="Times New Roman"/>
          <w:sz w:val="24"/>
          <w:szCs w:val="24"/>
        </w:rPr>
        <w:t>: [Address]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66"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Transaction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w:t>
      </w:r>
      <w:r w:rsidRPr="009C5151">
        <w:rPr>
          <w:rFonts w:ascii="Times New Roman" w:hAnsi="Times New Roman" w:cs="Times New Roman"/>
          <w:sz w:val="24"/>
          <w:szCs w:val="24"/>
        </w:rPr>
        <w:t>: Sale of manufacturing unit located in [Location].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Sale Value</w:t>
      </w:r>
      <w:r w:rsidRPr="009C5151">
        <w:rPr>
          <w:rFonts w:ascii="Times New Roman" w:hAnsi="Times New Roman" w:cs="Times New Roman"/>
          <w:sz w:val="24"/>
          <w:szCs w:val="24"/>
        </w:rPr>
        <w:t>: ₹300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Buyer</w:t>
      </w:r>
      <w:r w:rsidRPr="009C5151">
        <w:rPr>
          <w:rFonts w:ascii="Times New Roman" w:hAnsi="Times New Roman" w:cs="Times New Roman"/>
          <w:sz w:val="24"/>
          <w:szCs w:val="24"/>
        </w:rPr>
        <w:t>: GreenEdge UK Ltd., a related party incorporated in the UK.</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67"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Queries for Ruling</w:t>
      </w:r>
      <w:r w:rsidRPr="009C5151">
        <w:t>:</w:t>
      </w:r>
      <w:r w:rsidRPr="009C5151">
        <w:br/>
        <w:t>We seek clarity on the following: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gains from the sale of the manufacturing unit are taxable in India under Section 9 of the Income-tax Act, 1961.</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Article 13 (Capital Gains) of the UN Model Convention.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DTAA benefits with the UK can exempt such gains.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68"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Supporting Documents Attached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Sale Agreement.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Valuation Report (certified by a registered valuer).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TRC and Form 10F of GreenEdge UK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Functional and Risk Analysis report for the manufacturing unit.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6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Declaration</w:t>
      </w:r>
      <w:r w:rsidRPr="009C5151">
        <w:t>:</w:t>
      </w:r>
      <w:r w:rsidRPr="009C5151">
        <w:br/>
        <w:t>I declare that the information provided above is accurate and true to the best of my knowledge.</w:t>
      </w:r>
    </w:p>
    <w:p w:rsidR="00A056B6" w:rsidRPr="009C5151" w:rsidRDefault="00A056B6" w:rsidP="00743A5F">
      <w:pPr>
        <w:pStyle w:val="NormalWeb"/>
        <w:spacing w:before="0" w:beforeAutospacing="0"/>
      </w:pPr>
      <w:r w:rsidRPr="009C5151">
        <w:rPr>
          <w:rStyle w:val="Strong"/>
        </w:rPr>
        <w:t>Signed</w:t>
      </w:r>
      <w:r w:rsidRPr="009C5151">
        <w:t>:</w:t>
      </w:r>
      <w:r w:rsidRPr="009C5151">
        <w:br/>
        <w:t>For GreenEdge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70" style="width:0;height:1.5pt" o:hralign="center" o:hrstd="t" o:hr="t" fillcolor="#a0a0a0" stroked="f"/>
        </w:pict>
      </w:r>
    </w:p>
    <w:p w:rsidR="00A056B6" w:rsidRPr="009C5151" w:rsidRDefault="00A056B6" w:rsidP="00743A5F">
      <w:pPr>
        <w:pStyle w:val="NormalWeb"/>
        <w:spacing w:before="0" w:beforeAutospacing="0"/>
      </w:pPr>
      <w:r w:rsidRPr="009C5151">
        <w:t>Authorized Signatory</w:t>
      </w:r>
    </w:p>
    <w:p w:rsidR="00A056B6" w:rsidRPr="009C5151" w:rsidRDefault="00A056B6" w:rsidP="00743A5F">
      <w:pPr>
        <w:pStyle w:val="NormalWeb"/>
        <w:spacing w:before="0" w:beforeAutospacing="0"/>
      </w:pPr>
      <w:r w:rsidRPr="009C5151">
        <w:t>Date: [Date]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71"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7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Valuation Report</w:t>
      </w:r>
    </w:p>
    <w:p w:rsidR="00A056B6" w:rsidRPr="009C5151" w:rsidRDefault="00A056B6" w:rsidP="00743A5F">
      <w:pPr>
        <w:pStyle w:val="NormalWeb"/>
        <w:spacing w:before="0" w:beforeAutospacing="0"/>
      </w:pPr>
      <w:r w:rsidRPr="009C5151">
        <w:rPr>
          <w:rStyle w:val="Strong"/>
        </w:rPr>
        <w:t>Key Considerations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Basis of Valuation</w:t>
      </w:r>
      <w:r w:rsidRPr="009C5151">
        <w:rPr>
          <w:rFonts w:ascii="Times New Roman" w:hAnsi="Times New Roman" w:cs="Times New Roman"/>
          <w:sz w:val="24"/>
          <w:szCs w:val="24"/>
        </w:rPr>
        <w:t>: Select a suitable methodology (e.g., cost, market, or income approach).</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Clear Explanation</w:t>
      </w:r>
      <w:r w:rsidRPr="009C5151">
        <w:rPr>
          <w:rFonts w:ascii="Times New Roman" w:hAnsi="Times New Roman" w:cs="Times New Roman"/>
          <w:sz w:val="24"/>
          <w:szCs w:val="24"/>
        </w:rPr>
        <w:t>: Provide a step-by-step explanation of the calculations.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7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Template: Valuation Report</w:t>
      </w:r>
    </w:p>
    <w:p w:rsidR="00A056B6" w:rsidRPr="009C5151" w:rsidRDefault="00A056B6" w:rsidP="00743A5F">
      <w:pPr>
        <w:pStyle w:val="NormalWeb"/>
        <w:spacing w:before="0" w:beforeAutospacing="0"/>
      </w:pPr>
      <w:r w:rsidRPr="009C5151">
        <w:rPr>
          <w:rStyle w:val="Strong"/>
        </w:rPr>
        <w:t>[Prepared by: Registered Valuer Name/Company]</w:t>
      </w:r>
    </w:p>
    <w:p w:rsidR="00A056B6" w:rsidRPr="009C5151" w:rsidRDefault="00A056B6" w:rsidP="00743A5F">
      <w:pPr>
        <w:pStyle w:val="NormalWeb"/>
        <w:spacing w:before="0" w:beforeAutospacing="0"/>
      </w:pPr>
      <w:r w:rsidRPr="009C5151">
        <w:rPr>
          <w:rStyle w:val="Strong"/>
        </w:rPr>
        <w:t>Valuation Report for Sale of Manufacturing Unit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7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 Asset Description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Name of Asset</w:t>
      </w:r>
      <w:r w:rsidRPr="009C5151">
        <w:rPr>
          <w:rFonts w:ascii="Times New Roman" w:hAnsi="Times New Roman" w:cs="Times New Roman"/>
          <w:sz w:val="24"/>
          <w:szCs w:val="24"/>
        </w:rPr>
        <w:t>: Manufacturing unit at [Location].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Components</w:t>
      </w:r>
      <w:r w:rsidRPr="009C5151">
        <w:rPr>
          <w:rFonts w:ascii="Times New Roman" w:hAnsi="Times New Roman" w:cs="Times New Roman"/>
          <w:sz w:val="24"/>
          <w:szCs w:val="24"/>
        </w:rPr>
        <w:t>: Land, building, machinery, and other facilities.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75"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B. Valuation Methodology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Cost Approach</w:t>
      </w:r>
      <w:r w:rsidRPr="009C5151">
        <w:rPr>
          <w:rFonts w:ascii="Times New Roman" w:hAnsi="Times New Roman" w:cs="Times New Roman"/>
          <w:sz w:val="24"/>
          <w:szCs w:val="24"/>
        </w:rPr>
        <w:t>: Rebuilding cost of similar facilities.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Example: ₹250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Market Approach</w:t>
      </w:r>
      <w:r w:rsidRPr="009C5151">
        <w:rPr>
          <w:rFonts w:ascii="Times New Roman" w:hAnsi="Times New Roman" w:cs="Times New Roman"/>
          <w:sz w:val="24"/>
          <w:szCs w:val="24"/>
        </w:rPr>
        <w:t>: Comparable recent sales.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Example: ₹310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Income Approach</w:t>
      </w:r>
      <w:r w:rsidRPr="009C5151">
        <w:rPr>
          <w:rFonts w:ascii="Times New Roman" w:hAnsi="Times New Roman" w:cs="Times New Roman"/>
          <w:sz w:val="24"/>
          <w:szCs w:val="24"/>
        </w:rPr>
        <w:t>: Discounted cash flow (DCF) of projected income.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Example: ₹300 crore.</w:t>
      </w:r>
    </w:p>
    <w:p w:rsidR="00A056B6" w:rsidRPr="009C5151" w:rsidRDefault="00A056B6" w:rsidP="00743A5F">
      <w:pPr>
        <w:pStyle w:val="NormalWeb"/>
        <w:spacing w:before="0" w:beforeAutospacing="0"/>
      </w:pPr>
      <w:r w:rsidRPr="009C5151">
        <w:rPr>
          <w:rStyle w:val="Strong"/>
        </w:rPr>
        <w:t>Final Valuation (Weighted Average)</w:t>
      </w:r>
      <w:r w:rsidRPr="009C5151">
        <w:t>: ₹300 crore.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76"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C. Certification</w:t>
      </w:r>
      <w:r w:rsidRPr="009C5151">
        <w:br/>
        <w:t>This valuation has been prepared based on the available data and standards prescribed by the relevant authorities.</w:t>
      </w:r>
    </w:p>
    <w:p w:rsidR="00A056B6" w:rsidRPr="009C5151" w:rsidRDefault="00A056B6" w:rsidP="00743A5F">
      <w:pPr>
        <w:pStyle w:val="NormalWeb"/>
        <w:spacing w:before="0" w:beforeAutospacing="0"/>
      </w:pPr>
      <w:r w:rsidRPr="009C5151">
        <w:rPr>
          <w:rStyle w:val="Strong"/>
        </w:rPr>
        <w:t>Signed</w:t>
      </w:r>
      <w:r w:rsidRPr="009C5151">
        <w:t>:</w:t>
      </w:r>
      <w:r w:rsidRPr="009C5151">
        <w:br/>
        <w:t>[Name of Valuer]</w:t>
      </w:r>
      <w:r w:rsidRPr="009C5151">
        <w:br/>
        <w:t>Registration Number: [XXXXXX]</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77"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7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Permanent Establishment (PE) Documentation</w:t>
      </w:r>
    </w:p>
    <w:p w:rsidR="00A056B6" w:rsidRPr="009C5151" w:rsidRDefault="00A056B6" w:rsidP="00743A5F">
      <w:pPr>
        <w:pStyle w:val="NormalWeb"/>
        <w:spacing w:before="0" w:beforeAutospacing="0"/>
      </w:pPr>
      <w:r w:rsidRPr="009C5151">
        <w:rPr>
          <w:rStyle w:val="Strong"/>
        </w:rPr>
        <w:t>Key Elements to Include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Functional Analysis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Activities performed by subsidiaries in USA and Germany.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Profit Attribution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OECD’s AOA guidelines.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7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Template: PE Documentation</w:t>
      </w:r>
    </w:p>
    <w:p w:rsidR="00A056B6" w:rsidRPr="009C5151" w:rsidRDefault="00A056B6" w:rsidP="00743A5F">
      <w:pPr>
        <w:pStyle w:val="NormalWeb"/>
        <w:spacing w:before="0" w:beforeAutospacing="0"/>
      </w:pPr>
      <w:r w:rsidRPr="009C5151">
        <w:rPr>
          <w:rStyle w:val="Strong"/>
        </w:rPr>
        <w:t>PE Analysis for GreenEdge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80"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 Functional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5"/>
        <w:gridCol w:w="2253"/>
        <w:gridCol w:w="1868"/>
        <w:gridCol w:w="2768"/>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India (HQ)</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USA (Subsidiary)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Germany (Subsidiary)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Contract Conclusion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All contracts finalized.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only.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and support activities.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Strategic planning.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Local execution.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Limited involvement.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81"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B. Profit Attribution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2815"/>
        <w:gridCol w:w="1951"/>
        <w:gridCol w:w="2958"/>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from PE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Expenses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Attributable Profit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360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180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r>
    </w:tbl>
    <w:p w:rsidR="00A056B6" w:rsidRPr="009C5151" w:rsidRDefault="00A056B6" w:rsidP="00743A5F">
      <w:pPr>
        <w:pStyle w:val="NormalWeb"/>
        <w:spacing w:before="0" w:beforeAutospacing="0"/>
      </w:pPr>
      <w:r w:rsidRPr="009C5151">
        <w:rPr>
          <w:rStyle w:val="Strong"/>
        </w:rPr>
        <w:t>Mitigation</w:t>
      </w:r>
      <w:r w:rsidRPr="009C5151">
        <w:t>: Avoid concluding contracts or expanding R&amp;D roles beyond initial agreements.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82"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8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TIEA Response for Russian Interest Payments</w:t>
      </w:r>
    </w:p>
    <w:p w:rsidR="00A056B6" w:rsidRPr="009C5151" w:rsidRDefault="00A056B6" w:rsidP="00743A5F">
      <w:pPr>
        <w:pStyle w:val="NormalWeb"/>
        <w:spacing w:before="0" w:beforeAutospacing="0"/>
      </w:pPr>
      <w:r w:rsidRPr="009C5151">
        <w:rPr>
          <w:rStyle w:val="Strong"/>
        </w:rPr>
        <w:t>Key Components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Provide requested data, such as transaction amounts and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Attach relevant documents (loan agreement, TRC, etc.).</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8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Template: TIEA Response</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To,</w:t>
      </w:r>
      <w:r w:rsidRPr="009C5151">
        <w:br/>
        <w:t>The Tax Authority of India,</w:t>
      </w:r>
      <w:r w:rsidRPr="009C5151">
        <w:br/>
        <w:t>[Address],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85"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Subject</w:t>
      </w:r>
      <w:r w:rsidRPr="009C5151">
        <w:t>: Response to Tax Information Exchange Agreement (TIEA) Request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86"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Details of Request</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Requested By</w:t>
      </w:r>
      <w:r w:rsidRPr="009C5151">
        <w:rPr>
          <w:rFonts w:ascii="Times New Roman" w:hAnsi="Times New Roman" w:cs="Times New Roman"/>
          <w:sz w:val="24"/>
          <w:szCs w:val="24"/>
        </w:rPr>
        <w:t>: Russian Tax Authority.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Reference Number</w:t>
      </w:r>
      <w:r w:rsidRPr="009C5151">
        <w:rPr>
          <w:rFonts w:ascii="Times New Roman" w:hAnsi="Times New Roman" w:cs="Times New Roman"/>
          <w:sz w:val="24"/>
          <w:szCs w:val="24"/>
        </w:rPr>
        <w:t>: [Reference No.].</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Nature of Request</w:t>
      </w:r>
      <w:r w:rsidRPr="009C5151">
        <w:rPr>
          <w:rFonts w:ascii="Times New Roman" w:hAnsi="Times New Roman" w:cs="Times New Roman"/>
          <w:sz w:val="24"/>
          <w:szCs w:val="24"/>
        </w:rPr>
        <w:t>: Interest payments made to FinanceRussia LLC.</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87"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lastRenderedPageBreak/>
        <w:t>Transaction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Amount</w:t>
      </w:r>
      <w:r w:rsidRPr="009C5151">
        <w:rPr>
          <w:rFonts w:ascii="Times New Roman" w:hAnsi="Times New Roman" w:cs="Times New Roman"/>
          <w:sz w:val="24"/>
          <w:szCs w:val="24"/>
        </w:rPr>
        <w:t>: ₹20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Nature</w:t>
      </w:r>
      <w:r w:rsidRPr="009C5151">
        <w:rPr>
          <w:rFonts w:ascii="Times New Roman" w:hAnsi="Times New Roman" w:cs="Times New Roman"/>
          <w:sz w:val="24"/>
          <w:szCs w:val="24"/>
        </w:rPr>
        <w:t>: Interest on inter-company loan.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Payment Dates</w:t>
      </w:r>
      <w:r w:rsidRPr="009C5151">
        <w:rPr>
          <w:rFonts w:ascii="Times New Roman" w:hAnsi="Times New Roman" w:cs="Times New Roman"/>
          <w:sz w:val="24"/>
          <w:szCs w:val="24"/>
        </w:rPr>
        <w:t>: [Dates].</w:t>
      </w:r>
    </w:p>
    <w:p w:rsidR="00A056B6" w:rsidRPr="009C5151" w:rsidRDefault="00A056B6" w:rsidP="00743A5F">
      <w:pPr>
        <w:pStyle w:val="NormalWeb"/>
        <w:spacing w:before="0" w:beforeAutospacing="0"/>
      </w:pPr>
      <w:r w:rsidRPr="009C5151">
        <w:rPr>
          <w:rStyle w:val="Strong"/>
        </w:rPr>
        <w:t>Tax Compliance</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Withholding Tax Rate: 10% under India-Russia DTAA.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Tax Deducted: ₹2 crore.</w:t>
      </w:r>
    </w:p>
    <w:p w:rsidR="00A056B6" w:rsidRPr="009C5151" w:rsidRDefault="00A056B6" w:rsidP="00743A5F">
      <w:pPr>
        <w:pStyle w:val="NormalWeb"/>
        <w:spacing w:before="0" w:beforeAutospacing="0"/>
      </w:pPr>
      <w:r w:rsidRPr="009C5151">
        <w:rPr>
          <w:rStyle w:val="Strong"/>
        </w:rPr>
        <w:t>Supporting Documents Attached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Loan Agreement.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TRC of FinanceRussia LLC.</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Payment Proofs (Bank Statements).</w:t>
      </w:r>
    </w:p>
    <w:p w:rsidR="00A056B6" w:rsidRPr="009C5151" w:rsidRDefault="00A056B6" w:rsidP="00743A5F">
      <w:pPr>
        <w:pStyle w:val="NormalWeb"/>
        <w:spacing w:before="0" w:beforeAutospacing="0"/>
      </w:pPr>
      <w:r w:rsidRPr="009C5151">
        <w:rPr>
          <w:rStyle w:val="Strong"/>
        </w:rPr>
        <w:t>Declaration</w:t>
      </w:r>
      <w:r w:rsidRPr="009C5151">
        <w:t>:</w:t>
      </w:r>
      <w:r w:rsidRPr="009C5151">
        <w:br/>
        <w:t>The above information is true to the best of our knowledge.</w:t>
      </w:r>
    </w:p>
    <w:p w:rsidR="00A056B6" w:rsidRPr="009C5151" w:rsidRDefault="00A056B6" w:rsidP="00743A5F">
      <w:pPr>
        <w:pStyle w:val="NormalWeb"/>
        <w:spacing w:before="0" w:beforeAutospacing="0"/>
      </w:pPr>
      <w:r w:rsidRPr="009C5151">
        <w:rPr>
          <w:rStyle w:val="Strong"/>
        </w:rPr>
        <w:t>Signed</w:t>
      </w:r>
      <w:r w:rsidRPr="009C5151">
        <w:t>:</w:t>
      </w:r>
      <w:r w:rsidRPr="009C5151">
        <w:br/>
        <w:t>For GreenEdge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88" style="width:0;height:1.5pt" o:hralign="center" o:hrstd="t" o:hr="t" fillcolor="#a0a0a0" stroked="f"/>
        </w:pict>
      </w:r>
    </w:p>
    <w:p w:rsidR="00A056B6" w:rsidRPr="009C5151" w:rsidRDefault="00A056B6" w:rsidP="00743A5F">
      <w:pPr>
        <w:pStyle w:val="NormalWeb"/>
        <w:spacing w:before="0" w:beforeAutospacing="0"/>
      </w:pPr>
      <w:r w:rsidRPr="009C5151">
        <w:t>Authorized Signatory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89"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9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893" w:name="_Toc187624111"/>
      <w:bookmarkStart w:id="894" w:name="_Toc187630831"/>
      <w:bookmarkStart w:id="895" w:name="_Toc187661010"/>
      <w:bookmarkStart w:id="896" w:name="_Toc187662089"/>
      <w:r w:rsidRPr="009C5151">
        <w:rPr>
          <w:rStyle w:val="Strong"/>
          <w:b/>
          <w:bCs/>
          <w:sz w:val="24"/>
          <w:szCs w:val="24"/>
        </w:rPr>
        <w:t>IV. Review Steps</w:t>
      </w:r>
      <w:bookmarkEnd w:id="893"/>
      <w:bookmarkEnd w:id="894"/>
      <w:bookmarkEnd w:id="895"/>
      <w:bookmarkEnd w:id="896"/>
    </w:p>
    <w:p w:rsidR="00A056B6" w:rsidRPr="009C5151" w:rsidRDefault="00A056B6" w:rsidP="00743A5F">
      <w:pPr>
        <w:pStyle w:val="Heading4"/>
        <w:spacing w:before="0" w:beforeAutospacing="0"/>
      </w:pPr>
      <w:r w:rsidRPr="009C5151">
        <w:rPr>
          <w:rStyle w:val="Strong"/>
          <w:b/>
          <w:bCs/>
        </w:rPr>
        <w:t>1. Internal Review</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Cross-check calculations in the </w:t>
      </w:r>
      <w:r w:rsidRPr="009C5151">
        <w:rPr>
          <w:rStyle w:val="Strong"/>
          <w:rFonts w:ascii="Times New Roman" w:hAnsi="Times New Roman" w:cs="Times New Roman"/>
          <w:sz w:val="24"/>
          <w:szCs w:val="24"/>
        </w:rPr>
        <w:t>valuation report</w:t>
      </w:r>
      <w:r w:rsidRPr="009C5151">
        <w:rPr>
          <w:rFonts w:ascii="Times New Roman" w:hAnsi="Times New Roman" w:cs="Times New Roman"/>
          <w:sz w:val="24"/>
          <w:szCs w:val="24"/>
        </w:rPr>
        <w:t xml:space="preserve"> for accuracy.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alignment of AAR application queries with attached documents.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Verify consistency in functional analysis across PE documentation.</w:t>
      </w:r>
    </w:p>
    <w:p w:rsidR="00A056B6" w:rsidRPr="009C5151" w:rsidRDefault="00A056B6" w:rsidP="00743A5F">
      <w:pPr>
        <w:pStyle w:val="Heading4"/>
        <w:spacing w:before="0" w:beforeAutospacing="0"/>
      </w:pPr>
      <w:r w:rsidRPr="009C5151">
        <w:rPr>
          <w:rStyle w:val="Strong"/>
          <w:b/>
          <w:bCs/>
        </w:rPr>
        <w:t>2. Professional Review</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Engage a CA or legal expert for a </w:t>
      </w:r>
      <w:r w:rsidRPr="009C5151">
        <w:rPr>
          <w:rStyle w:val="Strong"/>
          <w:rFonts w:ascii="Times New Roman" w:hAnsi="Times New Roman" w:cs="Times New Roman"/>
          <w:sz w:val="24"/>
          <w:szCs w:val="24"/>
        </w:rPr>
        <w:t>final review</w:t>
      </w:r>
      <w:r w:rsidRPr="009C5151">
        <w:rPr>
          <w:rFonts w:ascii="Times New Roman" w:hAnsi="Times New Roman" w:cs="Times New Roman"/>
          <w:sz w:val="24"/>
          <w:szCs w:val="24"/>
        </w:rPr>
        <w:t xml:space="preserve"> of all documents, ensuring compliance with tax regulations and treaties.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591" style="width:0;height:1.5pt" o:hralign="center" o:hrstd="t" o:hr="t" fillcolor="#a0a0a0" stroked="f"/>
        </w:pict>
      </w:r>
    </w:p>
    <w:p w:rsidR="00A056B6" w:rsidRPr="009C5151" w:rsidRDefault="00A056B6" w:rsidP="00743A5F">
      <w:pPr>
        <w:pStyle w:val="NormalWeb"/>
        <w:spacing w:before="0" w:beforeAutospacing="0"/>
      </w:pPr>
      <w:r w:rsidRPr="009C5151">
        <w:t>Would you like help submitting these documents online or customizing the templates further?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18 th example of different set of issues and problem and suggested solutions by a CA to a Company including a detailed discussion on the various topics covered under suggestions and Conclusion. Please include in addition to the above transactions like Withholding tax, CbC reporting, Mutual Agreement procedure, DTAA with countries like USA, UK, Germany, Singapore, Mauritius, China, Russia and Germany; equalization levy; Please first list down the case, issues, documents and CA advise, Dividend and Interest, Royalty and Fee for Technical Services; applicability of GAAR; applicability of PE; Inter group transactions; computation of taxable income of the Tested Party with assumed numbers for the AY 2024-25; what kind of a PE the tested party may have by considering relevant provisions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F54AF87" wp14:editId="7EDEA46F">
            <wp:extent cx="763905" cy="763905"/>
            <wp:effectExtent l="0" t="0" r="0" b="0"/>
            <wp:docPr id="287" name="Picture 28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7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897" w:name="_Toc187624112"/>
      <w:bookmarkStart w:id="898" w:name="_Toc187630832"/>
      <w:bookmarkStart w:id="899" w:name="_Toc187661011"/>
      <w:bookmarkStart w:id="900" w:name="_Toc187662090"/>
      <w:r w:rsidRPr="009C5151">
        <w:rPr>
          <w:rStyle w:val="Strong"/>
          <w:b/>
          <w:bCs/>
          <w:sz w:val="24"/>
          <w:szCs w:val="24"/>
        </w:rPr>
        <w:t>Case Study: Tax and Compliance Challenges for BrightPower Pvt. Ltd.</w:t>
      </w:r>
      <w:bookmarkEnd w:id="897"/>
      <w:bookmarkEnd w:id="898"/>
      <w:bookmarkEnd w:id="899"/>
      <w:bookmarkEnd w:id="900"/>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9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01" w:name="_Toc187624113"/>
      <w:bookmarkStart w:id="902" w:name="_Toc187630833"/>
      <w:bookmarkStart w:id="903" w:name="_Toc187661012"/>
      <w:bookmarkStart w:id="904" w:name="_Toc187662091"/>
      <w:r w:rsidRPr="009C5151">
        <w:rPr>
          <w:rStyle w:val="Strong"/>
          <w:b/>
          <w:bCs/>
          <w:sz w:val="24"/>
          <w:szCs w:val="24"/>
        </w:rPr>
        <w:t>Background</w:t>
      </w:r>
      <w:bookmarkEnd w:id="901"/>
      <w:bookmarkEnd w:id="902"/>
      <w:bookmarkEnd w:id="903"/>
      <w:bookmarkEnd w:id="904"/>
    </w:p>
    <w:p w:rsidR="00A056B6" w:rsidRPr="009C5151" w:rsidRDefault="00A056B6" w:rsidP="00743A5F">
      <w:pPr>
        <w:pStyle w:val="NormalWeb"/>
        <w:spacing w:before="0" w:beforeAutospacing="0"/>
      </w:pPr>
      <w:r w:rsidRPr="009C5151">
        <w:t xml:space="preserve">BrightPower Pvt. Ltd., an Indian multinational corporation specializing in energy-efficient solutions, operates in </w:t>
      </w:r>
      <w:r w:rsidRPr="009C5151">
        <w:rPr>
          <w:rStyle w:val="Strong"/>
        </w:rPr>
        <w:t>USA, UK, Germany, Singapore, Mauritius, China, and Russia</w:t>
      </w:r>
      <w:r w:rsidRPr="009C5151">
        <w:t xml:space="preserve">. It is engaged in transactions such as </w:t>
      </w:r>
      <w:r w:rsidRPr="009C5151">
        <w:rPr>
          <w:rStyle w:val="Strong"/>
        </w:rPr>
        <w:t>exports</w:t>
      </w:r>
      <w:r w:rsidRPr="009C5151">
        <w:t xml:space="preserve">, </w:t>
      </w:r>
      <w:r w:rsidRPr="009C5151">
        <w:rPr>
          <w:rStyle w:val="Strong"/>
        </w:rPr>
        <w:t>royalty payments</w:t>
      </w:r>
      <w:r w:rsidRPr="009C5151">
        <w:t xml:space="preserve">, </w:t>
      </w:r>
      <w:r w:rsidRPr="009C5151">
        <w:rPr>
          <w:rStyle w:val="Strong"/>
        </w:rPr>
        <w:t>interest payments</w:t>
      </w:r>
      <w:r w:rsidRPr="009C5151">
        <w:t xml:space="preserve">, </w:t>
      </w:r>
      <w:r w:rsidRPr="009C5151">
        <w:rPr>
          <w:rStyle w:val="Strong"/>
        </w:rPr>
        <w:t>fee for technical services (FTS)</w:t>
      </w:r>
      <w:r w:rsidRPr="009C5151">
        <w:t xml:space="preserve">, </w:t>
      </w:r>
      <w:r w:rsidRPr="009C5151">
        <w:rPr>
          <w:rStyle w:val="Strong"/>
        </w:rPr>
        <w:t>dividends</w:t>
      </w:r>
      <w:r w:rsidRPr="009C5151">
        <w:t xml:space="preserve">, and </w:t>
      </w:r>
      <w:r w:rsidRPr="009C5151">
        <w:rPr>
          <w:rStyle w:val="Strong"/>
        </w:rPr>
        <w:t>inter-group transactions</w:t>
      </w:r>
      <w:r w:rsidRPr="009C5151">
        <w:t xml:space="preserve">. The company also deals with </w:t>
      </w:r>
      <w:r w:rsidRPr="009C5151">
        <w:rPr>
          <w:rStyle w:val="Strong"/>
        </w:rPr>
        <w:t>withholding tax (WHT)</w:t>
      </w:r>
      <w:r w:rsidRPr="009C5151">
        <w:t xml:space="preserve">, </w:t>
      </w:r>
      <w:r w:rsidRPr="009C5151">
        <w:rPr>
          <w:rStyle w:val="Strong"/>
        </w:rPr>
        <w:t>Country-by-Country (CbC) Reporting</w:t>
      </w:r>
      <w:r w:rsidRPr="009C5151">
        <w:t xml:space="preserve">, </w:t>
      </w:r>
      <w:r w:rsidRPr="009C5151">
        <w:rPr>
          <w:rStyle w:val="Strong"/>
        </w:rPr>
        <w:t>Mutual Agreement Procedure (MAP)</w:t>
      </w:r>
      <w:r w:rsidRPr="009C5151">
        <w:t xml:space="preserve">, and faces concerns related to </w:t>
      </w:r>
      <w:r w:rsidRPr="009C5151">
        <w:rPr>
          <w:rStyle w:val="Strong"/>
        </w:rPr>
        <w:t>GAAR</w:t>
      </w:r>
      <w:r w:rsidRPr="009C5151">
        <w:t xml:space="preserve">, </w:t>
      </w:r>
      <w:r w:rsidRPr="009C5151">
        <w:rPr>
          <w:rStyle w:val="Strong"/>
        </w:rPr>
        <w:t>Permanent Establishment (PE)</w:t>
      </w:r>
      <w:r w:rsidRPr="009C5151">
        <w:t xml:space="preserve">, and </w:t>
      </w:r>
      <w:r w:rsidRPr="009C5151">
        <w:rPr>
          <w:rStyle w:val="Strong"/>
        </w:rPr>
        <w:t>profit allocation</w:t>
      </w:r>
      <w:r w:rsidRPr="009C5151">
        <w:t xml:space="preserve"> under DTAAs.</w:t>
      </w:r>
    </w:p>
    <w:p w:rsidR="00A056B6" w:rsidRPr="009C5151" w:rsidRDefault="00A056B6" w:rsidP="00743A5F">
      <w:pPr>
        <w:pStyle w:val="NormalWeb"/>
        <w:spacing w:before="0" w:beforeAutospacing="0"/>
      </w:pPr>
      <w:r w:rsidRPr="009C5151">
        <w:t xml:space="preserve">For AY 2024-25, BrightPower has also sold a division of its Indian operations to a related entity in </w:t>
      </w:r>
      <w:r w:rsidRPr="009C5151">
        <w:rPr>
          <w:rStyle w:val="Strong"/>
        </w:rPr>
        <w:t>Germany</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9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05" w:name="_Toc187624114"/>
      <w:bookmarkStart w:id="906" w:name="_Toc187630834"/>
      <w:bookmarkStart w:id="907" w:name="_Toc187661013"/>
      <w:bookmarkStart w:id="908" w:name="_Toc187662092"/>
      <w:r w:rsidRPr="009C5151">
        <w:rPr>
          <w:rStyle w:val="Strong"/>
          <w:b/>
          <w:bCs/>
          <w:sz w:val="24"/>
          <w:szCs w:val="24"/>
        </w:rPr>
        <w:t>Transactions</w:t>
      </w:r>
      <w:bookmarkEnd w:id="905"/>
      <w:bookmarkEnd w:id="906"/>
      <w:bookmarkEnd w:id="907"/>
      <w:bookmarkEnd w:id="908"/>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Energy Solutions</w:t>
      </w:r>
      <w:r w:rsidRPr="009C5151">
        <w:t>:</w:t>
      </w:r>
      <w:r w:rsidRPr="009C5151">
        <w:br/>
        <w:t>Exported ₹1,500 crore worth of solutions to AEs in USA, UK, and Singapore.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Royalty Payments</w:t>
      </w:r>
      <w:r w:rsidRPr="009C5151">
        <w:t>:</w:t>
      </w:r>
      <w:r w:rsidRPr="009C5151">
        <w:br/>
        <w:t>Paid ₹70 crore to a Singapore AE for patented technology.</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r w:rsidRPr="009C5151">
        <w:br/>
        <w:t>Paid ₹40 crore to a German AE for consulting on smart grid technology.</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r w:rsidRPr="009C5151">
        <w:br/>
        <w:t>Paid ₹25 crore to a Russian AE for loans used for business expansion.</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w:t>
      </w:r>
      <w:r w:rsidRPr="009C5151">
        <w:br/>
        <w:t>Paid ₹50 crore to the Mauritius parent company.</w:t>
      </w:r>
    </w:p>
    <w:p w:rsidR="00A056B6" w:rsidRPr="009C5151" w:rsidRDefault="00A056B6" w:rsidP="00743A5F">
      <w:pPr>
        <w:pStyle w:val="NormalWeb"/>
        <w:tabs>
          <w:tab w:val="num" w:pos="720"/>
        </w:tabs>
        <w:spacing w:before="0" w:beforeAutospacing="0"/>
        <w:ind w:left="720" w:hanging="360"/>
      </w:pPr>
      <w:r w:rsidRPr="009C5151">
        <w:rPr>
          <w:rStyle w:val="Strong"/>
        </w:rPr>
        <w:t>Sale of Division</w:t>
      </w:r>
      <w:r w:rsidRPr="009C5151">
        <w:t>:</w:t>
      </w:r>
      <w:r w:rsidRPr="009C5151">
        <w:br/>
        <w:t>Sold a division of its Indian operations to BrightPower Germany GmbH for ₹500 crore.</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r w:rsidRPr="009C5151">
        <w:br/>
        <w:t>Paid ₹15 crore to a USA-based platform for online marketing.</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9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r w:rsidRPr="009C5151">
        <w:br/>
        <w:t>Paid ₹20 crore to an Indian AE for HR, IT, and finance support.</w:t>
      </w:r>
    </w:p>
    <w:p w:rsidR="00A056B6" w:rsidRPr="009C5151" w:rsidRDefault="00A056B6" w:rsidP="00743A5F">
      <w:pPr>
        <w:pStyle w:val="NormalWeb"/>
        <w:tabs>
          <w:tab w:val="num" w:pos="720"/>
        </w:tabs>
        <w:spacing w:before="0" w:beforeAutospacing="0"/>
        <w:ind w:left="720" w:hanging="360"/>
      </w:pPr>
      <w:r w:rsidRPr="009C5151">
        <w:rPr>
          <w:rStyle w:val="Strong"/>
        </w:rPr>
        <w:t>Leasing of Equipment</w:t>
      </w:r>
      <w:r w:rsidRPr="009C5151">
        <w:t>:</w:t>
      </w:r>
      <w:r w:rsidRPr="009C5151">
        <w:br/>
        <w:t>Leased ₹30 crore worth of equipment to another domestic AE.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95"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9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09" w:name="_Toc187624115"/>
      <w:bookmarkStart w:id="910" w:name="_Toc187630835"/>
      <w:bookmarkStart w:id="911" w:name="_Toc187661014"/>
      <w:bookmarkStart w:id="912" w:name="_Toc187662093"/>
      <w:r w:rsidRPr="009C5151">
        <w:rPr>
          <w:rStyle w:val="Strong"/>
          <w:b/>
          <w:bCs/>
          <w:sz w:val="24"/>
          <w:szCs w:val="24"/>
        </w:rPr>
        <w:t>Key Issues</w:t>
      </w:r>
      <w:bookmarkEnd w:id="909"/>
      <w:bookmarkEnd w:id="910"/>
      <w:bookmarkEnd w:id="911"/>
      <w:bookmarkEnd w:id="912"/>
    </w:p>
    <w:p w:rsidR="00A056B6" w:rsidRPr="009C5151" w:rsidRDefault="00A056B6" w:rsidP="00743A5F">
      <w:pPr>
        <w:pStyle w:val="Heading4"/>
        <w:spacing w:before="0" w:beforeAutospacing="0"/>
      </w:pPr>
      <w:r w:rsidRPr="009C5151">
        <w:rPr>
          <w:rStyle w:val="Strong"/>
          <w:b/>
          <w:bCs/>
        </w:rPr>
        <w:t>1. 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₹1,500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₹70 crore royalty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₹40 crore FTS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₹25 crore interest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₹500 crore sale of the Indian division.</w: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Ensuring WHT compliance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(10% under India-Russia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to Mauritius (0% under DTAA).</w:t>
      </w:r>
    </w:p>
    <w:p w:rsidR="00A056B6" w:rsidRPr="009C5151" w:rsidRDefault="00A056B6" w:rsidP="00743A5F">
      <w:pPr>
        <w:pStyle w:val="Heading4"/>
        <w:spacing w:before="0" w:beforeAutospacing="0"/>
      </w:pPr>
      <w:r w:rsidRPr="009C5151">
        <w:rPr>
          <w:rStyle w:val="Strong"/>
          <w:b/>
          <w:bCs/>
        </w:rPr>
        <w:t>3. Equalization Levy (EL)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₹15 crore advertising payments to USA platform.</w:t>
      </w:r>
    </w:p>
    <w:p w:rsidR="00A056B6" w:rsidRPr="009C5151" w:rsidRDefault="00A056B6" w:rsidP="00743A5F">
      <w:pPr>
        <w:pStyle w:val="Heading4"/>
        <w:spacing w:before="0" w:beforeAutospacing="0"/>
      </w:pPr>
      <w:r w:rsidRPr="009C5151">
        <w:rPr>
          <w:rStyle w:val="Strong"/>
          <w:b/>
          <w:bCs/>
        </w:rPr>
        <w:t>4. Applicability of GAAR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GAAR scrutiny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Treaty benefits availed through Mauritius for dividend distribution.</w:t>
      </w:r>
    </w:p>
    <w:p w:rsidR="00A056B6" w:rsidRPr="009C5151" w:rsidRDefault="00A056B6" w:rsidP="00743A5F">
      <w:pPr>
        <w:pStyle w:val="Heading4"/>
        <w:spacing w:before="0" w:beforeAutospacing="0"/>
      </w:pPr>
      <w:r w:rsidRPr="009C5151">
        <w:rPr>
          <w:rStyle w:val="Strong"/>
          <w:b/>
          <w:bCs/>
        </w:rPr>
        <w:t>5. Permanent Establishment (PE) Concerns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Potential PEs 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USA (Dependent Agent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Germany (Fixed Place PE).</w:t>
      </w:r>
    </w:p>
    <w:p w:rsidR="00A056B6" w:rsidRPr="009C5151" w:rsidRDefault="00A056B6" w:rsidP="00743A5F">
      <w:pPr>
        <w:pStyle w:val="Heading4"/>
        <w:spacing w:before="0" w:beforeAutospacing="0"/>
      </w:pPr>
      <w:r w:rsidRPr="009C5151">
        <w:rPr>
          <w:rStyle w:val="Strong"/>
          <w:b/>
          <w:bCs/>
        </w:rPr>
        <w:t>6. Taxable Income Computation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Determining taxable income for AY 2024-25, considering TP adjustments and sale gains.</w:t>
      </w:r>
    </w:p>
    <w:p w:rsidR="00A056B6" w:rsidRPr="009C5151" w:rsidRDefault="00A056B6" w:rsidP="00743A5F">
      <w:pPr>
        <w:pStyle w:val="Heading4"/>
        <w:spacing w:before="0" w:beforeAutospacing="0"/>
      </w:pPr>
      <w:r w:rsidRPr="009C5151">
        <w:rPr>
          <w:rStyle w:val="Strong"/>
          <w:b/>
          <w:bCs/>
        </w:rPr>
        <w:t>7. Mutual Agreement Procedure (MAP)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MAP application to resolve double taxation issues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₹70 crore royalty payments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₹40 crore FTS payments under India-Germany DTAA.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97"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59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13" w:name="_Toc187624116"/>
      <w:bookmarkStart w:id="914" w:name="_Toc187630836"/>
      <w:bookmarkStart w:id="915" w:name="_Toc187661015"/>
      <w:bookmarkStart w:id="916" w:name="_Toc187662094"/>
      <w:r w:rsidRPr="009C5151">
        <w:rPr>
          <w:rStyle w:val="Strong"/>
          <w:b/>
          <w:bCs/>
          <w:sz w:val="24"/>
          <w:szCs w:val="24"/>
        </w:rPr>
        <w:t>Documents Required</w:t>
      </w:r>
      <w:bookmarkEnd w:id="913"/>
      <w:bookmarkEnd w:id="914"/>
      <w:bookmarkEnd w:id="915"/>
      <w:bookmarkEnd w:id="916"/>
    </w:p>
    <w:p w:rsidR="00A056B6" w:rsidRPr="009C5151" w:rsidRDefault="00A056B6" w:rsidP="00743A5F">
      <w:pPr>
        <w:pStyle w:val="NormalWeb"/>
        <w:tabs>
          <w:tab w:val="num" w:pos="720"/>
        </w:tabs>
        <w:spacing w:before="0" w:beforeAutospacing="0"/>
        <w:ind w:left="720" w:hanging="360"/>
      </w:pPr>
      <w:r w:rsidRPr="009C5151">
        <w:rPr>
          <w:rStyle w:val="Strong"/>
        </w:rPr>
        <w:t>Transaction 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Agreements for exports, royalties, FTS, loans, and the division sale.</w:t>
      </w:r>
    </w:p>
    <w:p w:rsidR="00A056B6" w:rsidRPr="009C5151" w:rsidRDefault="00A056B6" w:rsidP="00743A5F">
      <w:pPr>
        <w:pStyle w:val="NormalWeb"/>
        <w:tabs>
          <w:tab w:val="num" w:pos="720"/>
        </w:tabs>
        <w:spacing w:before="0" w:beforeAutospacing="0"/>
        <w:ind w:left="720" w:hanging="360"/>
      </w:pPr>
      <w:r w:rsidRPr="009C5151">
        <w:rPr>
          <w:rStyle w:val="Strong"/>
        </w:rPr>
        <w:t>Valuation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For the sale of the division.</w:t>
      </w:r>
    </w:p>
    <w:p w:rsidR="00A056B6" w:rsidRPr="009C5151" w:rsidRDefault="00A056B6" w:rsidP="00743A5F">
      <w:pPr>
        <w:pStyle w:val="NormalWeb"/>
        <w:tabs>
          <w:tab w:val="num" w:pos="720"/>
        </w:tabs>
        <w:spacing w:before="0" w:beforeAutospacing="0"/>
        <w:ind w:left="720" w:hanging="360"/>
      </w:pPr>
      <w:r w:rsidRPr="009C5151">
        <w:rPr>
          <w:rStyle w:val="Strong"/>
        </w:rPr>
        <w:t>Tax Residency Certificates (TRC)</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TRCs for Mauritius, Singapore, Germany, and Russia.</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Allocation of roles and risks among AEs.</w:t>
      </w:r>
    </w:p>
    <w:p w:rsidR="00A056B6" w:rsidRPr="009C5151" w:rsidRDefault="00A056B6" w:rsidP="00743A5F">
      <w:pPr>
        <w:pStyle w:val="NormalWeb"/>
        <w:tabs>
          <w:tab w:val="num" w:pos="720"/>
        </w:tabs>
        <w:spacing w:before="0" w:beforeAutospacing="0"/>
        <w:ind w:left="720" w:hanging="360"/>
      </w:pPr>
      <w:r w:rsidRPr="009C5151">
        <w:rPr>
          <w:rStyle w:val="Strong"/>
        </w:rPr>
        <w:t>CbC Reporting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Consolidated global financial and operational data.</w:t>
      </w:r>
    </w:p>
    <w:p w:rsidR="00A056B6" w:rsidRPr="009C5151" w:rsidRDefault="00A056B6" w:rsidP="00743A5F">
      <w:pPr>
        <w:pStyle w:val="NormalWeb"/>
        <w:tabs>
          <w:tab w:val="num" w:pos="720"/>
        </w:tabs>
        <w:spacing w:before="0" w:beforeAutospacing="0"/>
        <w:ind w:left="720" w:hanging="360"/>
      </w:pPr>
      <w:r w:rsidRPr="009C5151">
        <w:rPr>
          <w:rStyle w:val="Strong"/>
        </w:rPr>
        <w:t>MAP Submission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Copies of agreements, payment proofs, and benchmarking reports.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599"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0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17" w:name="_Toc187624117"/>
      <w:bookmarkStart w:id="918" w:name="_Toc187630837"/>
      <w:bookmarkStart w:id="919" w:name="_Toc187661016"/>
      <w:bookmarkStart w:id="920" w:name="_Toc187662095"/>
      <w:r w:rsidRPr="009C5151">
        <w:rPr>
          <w:rStyle w:val="Strong"/>
          <w:b/>
          <w:bCs/>
          <w:sz w:val="24"/>
          <w:szCs w:val="24"/>
        </w:rPr>
        <w:t>Proposed Solutions</w:t>
      </w:r>
      <w:bookmarkEnd w:id="917"/>
      <w:bookmarkEnd w:id="918"/>
      <w:bookmarkEnd w:id="919"/>
      <w:bookmarkEnd w:id="920"/>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Export of Energy Solutions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Transactional Net Margin Method (TNMM)</w:t>
      </w:r>
      <w:r w:rsidRPr="009C5151">
        <w:rPr>
          <w:rFonts w:ascii="Times New Roman" w:hAnsi="Times New Roman" w:cs="Times New Roman"/>
          <w:sz w:val="24"/>
          <w:szCs w:val="24"/>
        </w:rPr>
        <w:t xml:space="preserve"> to benchmark ₹1,500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operating margins with comparable renewable energy solution providers globally.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Comparable Uncontrolled Price (CUP)</w:t>
      </w:r>
      <w:r w:rsidRPr="009C5151">
        <w:rPr>
          <w:rFonts w:ascii="Times New Roman" w:hAnsi="Times New Roman" w:cs="Times New Roman"/>
          <w:sz w:val="24"/>
          <w:szCs w:val="24"/>
        </w:rPr>
        <w:t xml:space="preserve"> to benchmark ₹70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royalty rate (5%-7%).</w:t>
      </w:r>
    </w:p>
    <w:p w:rsidR="00A056B6" w:rsidRPr="009C5151" w:rsidRDefault="00A056B6" w:rsidP="00743A5F">
      <w:pPr>
        <w:pStyle w:val="NormalWeb"/>
        <w:tabs>
          <w:tab w:val="num" w:pos="720"/>
        </w:tabs>
        <w:spacing w:before="0" w:beforeAutospacing="0"/>
        <w:ind w:left="720" w:hanging="360"/>
      </w:pPr>
      <w:r w:rsidRPr="009C5151">
        <w:rPr>
          <w:rStyle w:val="Strong"/>
        </w:rPr>
        <w:t>FTS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Cost Plus Method (CPM)</w:t>
      </w:r>
      <w:r w:rsidRPr="009C5151">
        <w:rPr>
          <w:rFonts w:ascii="Times New Roman" w:hAnsi="Times New Roman" w:cs="Times New Roman"/>
          <w:sz w:val="24"/>
          <w:szCs w:val="24"/>
        </w:rPr>
        <w:t xml:space="preserve"> to benchmark ₹40 crore consulting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markup with independent service providers.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Ensure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(deduction capped at 30% of EBITDA).</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Sale of Division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valuation method</w:t>
      </w:r>
      <w:r w:rsidRPr="009C5151">
        <w:rPr>
          <w:rFonts w:ascii="Times New Roman" w:hAnsi="Times New Roman" w:cs="Times New Roman"/>
          <w:sz w:val="24"/>
          <w:szCs w:val="24"/>
        </w:rPr>
        <w:t xml:space="preserve"> to benchmark the ₹500 crore transaction.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0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₹70 crore × 10% = ₹7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₹40 crore × 10% = ₹4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₹25 crore × 10% = ₹2.5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0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Levy at 6% on ₹15 crore advertising payments = ₹90 lakh.</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0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GAAR Applicability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Mitigation: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Prove economic substance of the Mauritius entity by demonstrating operational activities, local staff, and compliance with local regulations.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0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Permanent Establishment (PE) Analysis</w:t>
      </w:r>
    </w:p>
    <w:p w:rsidR="00A056B6" w:rsidRPr="009C5151" w:rsidRDefault="00A056B6" w:rsidP="00743A5F">
      <w:pPr>
        <w:pStyle w:val="NormalWeb"/>
        <w:tabs>
          <w:tab w:val="num" w:pos="720"/>
        </w:tabs>
        <w:spacing w:before="0" w:beforeAutospacing="0"/>
        <w:ind w:left="720" w:hanging="360"/>
      </w:pPr>
      <w:r w:rsidRPr="009C5151">
        <w:rPr>
          <w:rStyle w:val="Strong"/>
        </w:rPr>
        <w:t>USA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Risk</w:t>
      </w:r>
      <w:r w:rsidRPr="009C5151">
        <w:rPr>
          <w:rFonts w:ascii="Times New Roman" w:hAnsi="Times New Roman" w:cs="Times New Roman"/>
          <w:sz w:val="24"/>
          <w:szCs w:val="24"/>
        </w:rPr>
        <w:t>: Dependent Agent PE due to the USA subsidiary’s marketing role.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Mitigation</w:t>
      </w:r>
      <w:r w:rsidRPr="009C5151">
        <w:rPr>
          <w:rFonts w:ascii="Times New Roman" w:hAnsi="Times New Roman" w:cs="Times New Roman"/>
          <w:sz w:val="24"/>
          <w:szCs w:val="24"/>
        </w:rPr>
        <w:t>: Limit the authority of the USA subsidiary to conclude contracts.</w:t>
      </w:r>
    </w:p>
    <w:p w:rsidR="00A056B6" w:rsidRPr="009C5151" w:rsidRDefault="00A056B6" w:rsidP="00743A5F">
      <w:pPr>
        <w:pStyle w:val="NormalWeb"/>
        <w:tabs>
          <w:tab w:val="num" w:pos="720"/>
        </w:tabs>
        <w:spacing w:before="0" w:beforeAutospacing="0"/>
        <w:ind w:left="720" w:hanging="360"/>
      </w:pPr>
      <w:r w:rsidRPr="009C5151">
        <w:rPr>
          <w:rStyle w:val="Strong"/>
        </w:rPr>
        <w:t>Germany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Risk</w:t>
      </w:r>
      <w:r w:rsidRPr="009C5151">
        <w:rPr>
          <w:rFonts w:ascii="Times New Roman" w:hAnsi="Times New Roman" w:cs="Times New Roman"/>
          <w:sz w:val="24"/>
          <w:szCs w:val="24"/>
        </w:rPr>
        <w:t>: Fixed Place PE due to physical presence for smart grid consultancy.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Mitigation</w:t>
      </w:r>
      <w:r w:rsidRPr="009C5151">
        <w:rPr>
          <w:rFonts w:ascii="Times New Roman" w:hAnsi="Times New Roman" w:cs="Times New Roman"/>
          <w:sz w:val="24"/>
          <w:szCs w:val="24"/>
        </w:rPr>
        <w:t>: Attribute profits based on the functions performed, risks borne, and assets used.</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0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Taxable Income Computation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4"/>
        <w:gridCol w:w="186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lastRenderedPageBreak/>
              <w:t>Particulars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Revenue (Exports)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Domestic Revenue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Less: Expenses: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Royalty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FTS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Interest (allowable under 94B)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Depreciation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Gain on Sale of Division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Taxable Income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1,820</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0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7. Mutual Agreement Procedure (MAP)</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File Form 34F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₹70 crore royalty payments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₹40 crore FTS payments (India-Germany DTAA).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07"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0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21" w:name="_Toc187624118"/>
      <w:bookmarkStart w:id="922" w:name="_Toc187630838"/>
      <w:bookmarkStart w:id="923" w:name="_Toc187661017"/>
      <w:bookmarkStart w:id="924" w:name="_Toc187662096"/>
      <w:r w:rsidRPr="009C5151">
        <w:rPr>
          <w:rStyle w:val="Strong"/>
          <w:b/>
          <w:bCs/>
          <w:sz w:val="24"/>
          <w:szCs w:val="24"/>
        </w:rPr>
        <w:t>Conclusion</w:t>
      </w:r>
      <w:bookmarkEnd w:id="921"/>
      <w:bookmarkEnd w:id="922"/>
      <w:bookmarkEnd w:id="923"/>
      <w:bookmarkEnd w:id="924"/>
    </w:p>
    <w:p w:rsidR="00A056B6" w:rsidRPr="009C5151" w:rsidRDefault="00A056B6" w:rsidP="00743A5F">
      <w:pPr>
        <w:pStyle w:val="NormalWeb"/>
        <w:tabs>
          <w:tab w:val="num" w:pos="720"/>
        </w:tabs>
        <w:spacing w:before="0" w:beforeAutospacing="0"/>
        <w:ind w:left="720" w:hanging="360"/>
      </w:pPr>
      <w:r w:rsidRPr="009C5151">
        <w:rPr>
          <w:rStyle w:val="Strong"/>
        </w:rPr>
        <w:t>Transfer Pricing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transactions using appropriate methods (TNMM, CUP, or CPM).</w:t>
      </w:r>
    </w:p>
    <w:p w:rsidR="00A056B6" w:rsidRPr="009C5151" w:rsidRDefault="00A056B6" w:rsidP="00743A5F">
      <w:pPr>
        <w:pStyle w:val="NormalWeb"/>
        <w:tabs>
          <w:tab w:val="num" w:pos="720"/>
        </w:tabs>
        <w:spacing w:before="0" w:beforeAutospacing="0"/>
        <w:ind w:left="720" w:hanging="360"/>
      </w:pPr>
      <w:r w:rsidRPr="009C5151">
        <w:rPr>
          <w:rStyle w:val="Strong"/>
        </w:rPr>
        <w:t>Withholding Tax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Deduct and remit WHT per applicable DTAAs.</w:t>
      </w:r>
    </w:p>
    <w:p w:rsidR="00A056B6" w:rsidRPr="009C5151" w:rsidRDefault="00A056B6" w:rsidP="00743A5F">
      <w:pPr>
        <w:pStyle w:val="NormalWeb"/>
        <w:tabs>
          <w:tab w:val="num" w:pos="720"/>
        </w:tabs>
        <w:spacing w:before="0" w:beforeAutospacing="0"/>
        <w:ind w:left="720" w:hanging="360"/>
      </w:pPr>
      <w:r w:rsidRPr="009C5151">
        <w:rPr>
          <w:rStyle w:val="Strong"/>
        </w:rPr>
        <w:t>PE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Address USA and Germany PE risks through proper documentation and profit allocation.</w:t>
      </w:r>
    </w:p>
    <w:p w:rsidR="00A056B6" w:rsidRPr="009C5151" w:rsidRDefault="00A056B6" w:rsidP="00743A5F">
      <w:pPr>
        <w:pStyle w:val="NormalWeb"/>
        <w:tabs>
          <w:tab w:val="num" w:pos="720"/>
        </w:tabs>
        <w:spacing w:before="0" w:beforeAutospacing="0"/>
        <w:ind w:left="720" w:hanging="360"/>
      </w:pPr>
      <w:r w:rsidRPr="009C5151">
        <w:rPr>
          <w:rStyle w:val="Strong"/>
        </w:rPr>
        <w:t>Taxable Income Computation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accurate income adjustments for gains and disallowed expenses.</w:t>
      </w:r>
    </w:p>
    <w:p w:rsidR="00A056B6" w:rsidRPr="009C5151" w:rsidRDefault="00A056B6" w:rsidP="00743A5F">
      <w:pPr>
        <w:pStyle w:val="NormalWeb"/>
        <w:tabs>
          <w:tab w:val="num" w:pos="720"/>
        </w:tabs>
        <w:spacing w:before="0" w:beforeAutospacing="0"/>
        <w:ind w:left="720" w:hanging="360"/>
      </w:pPr>
      <w:r w:rsidRPr="009C5151">
        <w:rPr>
          <w:rStyle w:val="Strong"/>
        </w:rPr>
        <w:t>GAAR Mitigation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Demonstrate the economic substance of the Mauritius entity to avoid scrutiny.</w:t>
      </w:r>
    </w:p>
    <w:p w:rsidR="00A056B6" w:rsidRPr="009C5151" w:rsidRDefault="00A056B6" w:rsidP="00743A5F">
      <w:pPr>
        <w:pStyle w:val="NormalWeb"/>
        <w:tabs>
          <w:tab w:val="num" w:pos="720"/>
        </w:tabs>
        <w:spacing w:before="0" w:beforeAutospacing="0"/>
        <w:ind w:left="720" w:hanging="360"/>
      </w:pPr>
      <w:r w:rsidRPr="009C5151">
        <w:rPr>
          <w:rStyle w:val="Strong"/>
        </w:rPr>
        <w:t>CbC Reporting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accurate jurisdiction-wise financial data.</w:t>
      </w:r>
    </w:p>
    <w:p w:rsidR="00A056B6" w:rsidRPr="009C5151" w:rsidRDefault="00A056B6" w:rsidP="00743A5F">
      <w:pPr>
        <w:pStyle w:val="NormalWeb"/>
        <w:spacing w:before="0" w:beforeAutospacing="0"/>
      </w:pPr>
      <w:r w:rsidRPr="009C5151">
        <w:t xml:space="preserve">Would you like assistance with </w:t>
      </w:r>
      <w:r w:rsidRPr="009C5151">
        <w:rPr>
          <w:rStyle w:val="Strong"/>
        </w:rPr>
        <w:t>CbC filing formats</w:t>
      </w:r>
      <w:r w:rsidRPr="009C5151">
        <w:t xml:space="preserve">, </w:t>
      </w:r>
      <w:r w:rsidRPr="009C5151">
        <w:rPr>
          <w:rStyle w:val="Strong"/>
        </w:rPr>
        <w:t>PE-specific compliance templates</w:t>
      </w:r>
      <w:r w:rsidRPr="009C5151">
        <w:t>, or further customization of these documents?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assistance with CbC filing formats, PE-specific compliance templates, or further customization of these documents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3E5720B9" wp14:editId="2F8F305A">
            <wp:extent cx="763905" cy="763905"/>
            <wp:effectExtent l="0" t="0" r="0" b="0"/>
            <wp:docPr id="286" name="Picture 28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9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925" w:name="_Toc187624119"/>
      <w:bookmarkStart w:id="926" w:name="_Toc187630839"/>
      <w:bookmarkStart w:id="927" w:name="_Toc187661018"/>
      <w:bookmarkStart w:id="928" w:name="_Toc187662097"/>
      <w:r w:rsidRPr="009C5151">
        <w:rPr>
          <w:rStyle w:val="Strong"/>
          <w:b/>
          <w:bCs/>
          <w:sz w:val="24"/>
          <w:szCs w:val="24"/>
        </w:rPr>
        <w:t>Assistance with CbC Filing Formats, PE-Specific Compliance Templates, and Document Customization</w:t>
      </w:r>
      <w:bookmarkEnd w:id="925"/>
      <w:bookmarkEnd w:id="926"/>
      <w:bookmarkEnd w:id="927"/>
      <w:bookmarkEnd w:id="928"/>
    </w:p>
    <w:p w:rsidR="00A056B6" w:rsidRPr="009C5151" w:rsidRDefault="00A056B6" w:rsidP="00743A5F">
      <w:pPr>
        <w:pStyle w:val="NormalWeb"/>
        <w:spacing w:before="0" w:beforeAutospacing="0"/>
      </w:pPr>
      <w:r w:rsidRPr="009C5151">
        <w:t xml:space="preserve">Here’s a detailed guide, including templates and filing steps for </w:t>
      </w:r>
      <w:r w:rsidRPr="009C5151">
        <w:rPr>
          <w:rStyle w:val="Strong"/>
        </w:rPr>
        <w:t>Country-by-Country (CbC) Reporting</w:t>
      </w:r>
      <w:r w:rsidRPr="009C5151">
        <w:t xml:space="preserve">, </w:t>
      </w:r>
      <w:r w:rsidRPr="009C5151">
        <w:rPr>
          <w:rStyle w:val="Strong"/>
        </w:rPr>
        <w:t>Permanent Establishment (PE) compliance</w:t>
      </w:r>
      <w:r w:rsidRPr="009C5151">
        <w:t>, and further customization of related documents.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0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29" w:name="_Toc187624120"/>
      <w:bookmarkStart w:id="930" w:name="_Toc187630840"/>
      <w:bookmarkStart w:id="931" w:name="_Toc187661019"/>
      <w:bookmarkStart w:id="932" w:name="_Toc187662098"/>
      <w:r w:rsidRPr="009C5151">
        <w:rPr>
          <w:rStyle w:val="Strong"/>
          <w:b/>
          <w:bCs/>
          <w:sz w:val="24"/>
          <w:szCs w:val="24"/>
        </w:rPr>
        <w:t>I. CbC Filing Formats</w:t>
      </w:r>
      <w:bookmarkEnd w:id="929"/>
      <w:bookmarkEnd w:id="930"/>
      <w:bookmarkEnd w:id="931"/>
      <w:bookmarkEnd w:id="932"/>
    </w:p>
    <w:p w:rsidR="00A056B6" w:rsidRPr="009C5151" w:rsidRDefault="00A056B6" w:rsidP="00743A5F">
      <w:pPr>
        <w:pStyle w:val="Heading4"/>
        <w:spacing w:before="0" w:beforeAutospacing="0"/>
      </w:pPr>
      <w:r w:rsidRPr="009C5151">
        <w:rPr>
          <w:rStyle w:val="Strong"/>
          <w:b/>
          <w:bCs/>
        </w:rPr>
        <w:t>1. Overview of CbC Reporting</w:t>
      </w:r>
    </w:p>
    <w:p w:rsidR="00A056B6" w:rsidRPr="009C5151" w:rsidRDefault="00A056B6" w:rsidP="00743A5F">
      <w:pPr>
        <w:pStyle w:val="NormalWeb"/>
        <w:spacing w:before="0" w:beforeAutospacing="0"/>
      </w:pPr>
      <w:r w:rsidRPr="009C5151">
        <w:t>Country-by-Country (CbC) Reporting requires multinational entities to disclose jurisdiction-wise financial information. The information must align with global transfer pricing documentation and BEPS Action Plan 13.</w:t>
      </w:r>
    </w:p>
    <w:p w:rsidR="00A056B6" w:rsidRPr="009C5151" w:rsidRDefault="00A056B6" w:rsidP="00743A5F">
      <w:pPr>
        <w:pStyle w:val="Heading4"/>
        <w:spacing w:before="0" w:beforeAutospacing="0"/>
      </w:pPr>
      <w:r w:rsidRPr="009C5151">
        <w:rPr>
          <w:rStyle w:val="Strong"/>
          <w:b/>
          <w:bCs/>
        </w:rPr>
        <w:t>2. CbC Reporting Template</w:t>
      </w:r>
    </w:p>
    <w:p w:rsidR="00A056B6" w:rsidRPr="009C5151" w:rsidRDefault="00A056B6" w:rsidP="00743A5F">
      <w:pPr>
        <w:pStyle w:val="NormalWeb"/>
        <w:spacing w:before="0" w:beforeAutospacing="0"/>
      </w:pPr>
      <w:r w:rsidRPr="009C5151">
        <w:rPr>
          <w:rStyle w:val="Strong"/>
        </w:rPr>
        <w:t>Template: CbC Report for BrightPower Pvt. Ltd.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3"/>
        <w:gridCol w:w="1541"/>
        <w:gridCol w:w="1271"/>
        <w:gridCol w:w="1479"/>
        <w:gridCol w:w="1167"/>
        <w:gridCol w:w="2265"/>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Paid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Employees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Key Functions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 R&amp;D</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Distribution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Consultancy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IP Licensing, Management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Mauritius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Holding Company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Russia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Financing</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Distribution, Support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1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Steps for Filing CbC Report</w:t>
      </w:r>
    </w:p>
    <w:p w:rsidR="00A056B6" w:rsidRPr="009C5151" w:rsidRDefault="00A056B6" w:rsidP="00743A5F">
      <w:pPr>
        <w:pStyle w:val="NormalWeb"/>
        <w:tabs>
          <w:tab w:val="num" w:pos="720"/>
        </w:tabs>
        <w:spacing w:before="0" w:beforeAutospacing="0"/>
        <w:ind w:left="720" w:hanging="360"/>
      </w:pPr>
      <w:r w:rsidRPr="009C5151">
        <w:rPr>
          <w:rStyle w:val="Strong"/>
        </w:rPr>
        <w:t>Prepare CbC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Consolidate financial data for all jurisdictions in the prescribed format.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consistency with local TP documentation.</w:t>
      </w:r>
    </w:p>
    <w:p w:rsidR="00A056B6" w:rsidRPr="009C5151" w:rsidRDefault="00A056B6" w:rsidP="00743A5F">
      <w:pPr>
        <w:pStyle w:val="NormalWeb"/>
        <w:tabs>
          <w:tab w:val="num" w:pos="720"/>
        </w:tabs>
        <w:spacing w:before="0" w:beforeAutospacing="0"/>
        <w:ind w:left="720" w:hanging="360"/>
      </w:pPr>
      <w:r w:rsidRPr="009C5151">
        <w:rPr>
          <w:rStyle w:val="Strong"/>
        </w:rPr>
        <w:t>File via Income Tax Portal</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Log in to the </w:t>
      </w:r>
      <w:r w:rsidRPr="009C5151">
        <w:rPr>
          <w:rStyle w:val="Strong"/>
          <w:rFonts w:ascii="Times New Roman" w:hAnsi="Times New Roman" w:cs="Times New Roman"/>
          <w:sz w:val="24"/>
          <w:szCs w:val="24"/>
        </w:rPr>
        <w:t>e-Filing Portal</w:t>
      </w:r>
      <w:r w:rsidRPr="009C5151">
        <w:rPr>
          <w:rFonts w:ascii="Times New Roman" w:hAnsi="Times New Roman" w:cs="Times New Roman"/>
          <w:sz w:val="24"/>
          <w:szCs w:val="24"/>
        </w:rPr>
        <w:t xml:space="preserve"> (</w:t>
      </w:r>
      <w:hyperlink r:id="rId12" w:tgtFrame="_new" w:history="1">
        <w:r w:rsidRPr="009C5151">
          <w:rPr>
            <w:rStyle w:val="Hyperlink"/>
            <w:rFonts w:ascii="Times New Roman" w:hAnsi="Times New Roman" w:cs="Times New Roman"/>
            <w:sz w:val="24"/>
            <w:szCs w:val="24"/>
          </w:rPr>
          <w:t>Link</w:t>
        </w:r>
      </w:hyperlink>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Navigate to </w:t>
      </w:r>
      <w:r w:rsidRPr="009C5151">
        <w:rPr>
          <w:rStyle w:val="Strong"/>
          <w:rFonts w:ascii="Times New Roman" w:hAnsi="Times New Roman" w:cs="Times New Roman"/>
          <w:sz w:val="24"/>
          <w:szCs w:val="24"/>
        </w:rPr>
        <w:t>e-File → Income Tax Forms → File CbC Report</w:t>
      </w:r>
      <w:r w:rsidRPr="009C5151">
        <w:rPr>
          <w:rFonts w:ascii="Times New Roman" w:hAnsi="Times New Roman" w:cs="Times New Roman"/>
          <w:sz w:val="24"/>
          <w:szCs w:val="24"/>
        </w:rPr>
        <w:t>.</w:t>
      </w:r>
    </w:p>
    <w:p w:rsidR="00A056B6" w:rsidRPr="009C5151" w:rsidRDefault="00A056B6" w:rsidP="00743A5F">
      <w:pPr>
        <w:pStyle w:val="NormalWeb"/>
        <w:tabs>
          <w:tab w:val="num" w:pos="720"/>
        </w:tabs>
        <w:spacing w:before="0" w:beforeAutospacing="0"/>
        <w:ind w:left="720" w:hanging="360"/>
      </w:pPr>
      <w:r w:rsidRPr="009C5151">
        <w:rPr>
          <w:rStyle w:val="Strong"/>
        </w:rPr>
        <w:t>Upload and Verify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Upload the completed CbC report template.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Verify using </w:t>
      </w:r>
      <w:r w:rsidRPr="009C5151">
        <w:rPr>
          <w:rStyle w:val="Strong"/>
          <w:rFonts w:ascii="Times New Roman" w:hAnsi="Times New Roman" w:cs="Times New Roman"/>
          <w:sz w:val="24"/>
          <w:szCs w:val="24"/>
        </w:rPr>
        <w:t>Digital Signature Certificate (DSC)</w:t>
      </w:r>
      <w:r w:rsidRPr="009C5151">
        <w:rPr>
          <w:rFonts w:ascii="Times New Roman" w:hAnsi="Times New Roman" w:cs="Times New Roman"/>
          <w:sz w:val="24"/>
          <w:szCs w:val="24"/>
        </w:rPr>
        <w:t>.</w:t>
      </w:r>
    </w:p>
    <w:p w:rsidR="00A056B6" w:rsidRPr="009C5151" w:rsidRDefault="00A056B6" w:rsidP="00743A5F">
      <w:pPr>
        <w:pStyle w:val="NormalWeb"/>
        <w:tabs>
          <w:tab w:val="num" w:pos="720"/>
        </w:tabs>
        <w:spacing w:before="0" w:beforeAutospacing="0"/>
        <w:ind w:left="720" w:hanging="360"/>
      </w:pPr>
      <w:r w:rsidRPr="009C5151">
        <w:rPr>
          <w:rStyle w:val="Strong"/>
        </w:rPr>
        <w:t>Submission Deadline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File within </w:t>
      </w:r>
      <w:r w:rsidRPr="009C5151">
        <w:rPr>
          <w:rStyle w:val="Strong"/>
          <w:rFonts w:ascii="Times New Roman" w:hAnsi="Times New Roman" w:cs="Times New Roman"/>
          <w:sz w:val="24"/>
          <w:szCs w:val="24"/>
        </w:rPr>
        <w:t>12 months</w:t>
      </w:r>
      <w:r w:rsidRPr="009C5151">
        <w:rPr>
          <w:rFonts w:ascii="Times New Roman" w:hAnsi="Times New Roman" w:cs="Times New Roman"/>
          <w:sz w:val="24"/>
          <w:szCs w:val="24"/>
        </w:rPr>
        <w:t xml:space="preserve"> from the end of the reporting fiscal year.</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1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33" w:name="_Toc187624121"/>
      <w:bookmarkStart w:id="934" w:name="_Toc187630841"/>
      <w:bookmarkStart w:id="935" w:name="_Toc187661020"/>
      <w:bookmarkStart w:id="936" w:name="_Toc187662099"/>
      <w:r w:rsidRPr="009C5151">
        <w:rPr>
          <w:rStyle w:val="Strong"/>
          <w:b/>
          <w:bCs/>
          <w:sz w:val="24"/>
          <w:szCs w:val="24"/>
        </w:rPr>
        <w:t>II. Permanent Establishment (PE) Compliance Templates</w:t>
      </w:r>
      <w:bookmarkEnd w:id="933"/>
      <w:bookmarkEnd w:id="934"/>
      <w:bookmarkEnd w:id="935"/>
      <w:bookmarkEnd w:id="936"/>
    </w:p>
    <w:p w:rsidR="00A056B6" w:rsidRPr="009C5151" w:rsidRDefault="00A056B6" w:rsidP="00743A5F">
      <w:pPr>
        <w:pStyle w:val="Heading4"/>
        <w:spacing w:before="0" w:beforeAutospacing="0"/>
      </w:pPr>
      <w:r w:rsidRPr="009C5151">
        <w:rPr>
          <w:rStyle w:val="Strong"/>
          <w:b/>
          <w:bCs/>
        </w:rPr>
        <w:t>1. Template: PE Documentation</w:t>
      </w:r>
    </w:p>
    <w:p w:rsidR="00A056B6" w:rsidRPr="009C5151" w:rsidRDefault="00A056B6" w:rsidP="00743A5F">
      <w:pPr>
        <w:pStyle w:val="NormalWeb"/>
        <w:spacing w:before="0" w:beforeAutospacing="0"/>
      </w:pPr>
      <w:r w:rsidRPr="009C5151">
        <w:rPr>
          <w:rStyle w:val="Strong"/>
        </w:rPr>
        <w:t>PE Analysis for BrightPower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12"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 PE Overview by Jurisdiction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
        <w:gridCol w:w="2866"/>
        <w:gridCol w:w="2087"/>
        <w:gridCol w:w="2648"/>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lastRenderedPageBreak/>
              <w:t>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Activity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Risk of 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Relevant Article (DTAA)</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and distribution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Dependent Agent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Article 5(5)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facility for consultancy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Fixed Place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Article 5(1)</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1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B. Functional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3"/>
        <w:gridCol w:w="2635"/>
        <w:gridCol w:w="4348"/>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Indian HQ</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Foreign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Contract Conclusion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Concluded in 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Subsidiaries have no authority.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Strategic planning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Execution of plans locally.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Core research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Limited execution of client-specific projects.</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1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C. Profit Attribution to PE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2815"/>
        <w:gridCol w:w="1951"/>
        <w:gridCol w:w="2958"/>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from PE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Expenses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Attributable Profit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360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15"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 Mitigation Steps</w:t>
      </w:r>
    </w:p>
    <w:p w:rsidR="00A056B6" w:rsidRPr="009C5151" w:rsidRDefault="00A056B6" w:rsidP="00743A5F">
      <w:pPr>
        <w:pStyle w:val="NormalWeb"/>
        <w:tabs>
          <w:tab w:val="num" w:pos="720"/>
        </w:tabs>
        <w:spacing w:before="0" w:beforeAutospacing="0"/>
        <w:ind w:left="720" w:hanging="360"/>
      </w:pPr>
      <w:r w:rsidRPr="009C5151">
        <w:t xml:space="preserve">For </w:t>
      </w:r>
      <w:r w:rsidRPr="009C5151">
        <w:rPr>
          <w:rStyle w:val="Strong"/>
        </w:rPr>
        <w:t>USA</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Limit subsidiary authority to negotiate or conclude contracts.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clear inter-company agreements.</w:t>
      </w:r>
    </w:p>
    <w:p w:rsidR="00A056B6" w:rsidRPr="009C5151" w:rsidRDefault="00A056B6" w:rsidP="00743A5F">
      <w:pPr>
        <w:pStyle w:val="NormalWeb"/>
        <w:tabs>
          <w:tab w:val="num" w:pos="720"/>
        </w:tabs>
        <w:spacing w:before="0" w:beforeAutospacing="0"/>
        <w:ind w:left="720" w:hanging="360"/>
      </w:pPr>
      <w:r w:rsidRPr="009C5151">
        <w:t xml:space="preserve">For </w:t>
      </w:r>
      <w:r w:rsidRPr="009C5151">
        <w:rPr>
          <w:rStyle w:val="Strong"/>
        </w:rPr>
        <w:t>Germany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Attribute profits based on functions performed, risks assumed, and assets used.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the </w:t>
      </w:r>
      <w:r w:rsidRPr="009C5151">
        <w:rPr>
          <w:rStyle w:val="Strong"/>
          <w:rFonts w:ascii="Times New Roman" w:hAnsi="Times New Roman" w:cs="Times New Roman"/>
          <w:sz w:val="24"/>
          <w:szCs w:val="24"/>
        </w:rPr>
        <w:t>Authorized OECD Approach (AOA)</w:t>
      </w:r>
      <w:r w:rsidRPr="009C5151">
        <w:rPr>
          <w:rFonts w:ascii="Times New Roman" w:hAnsi="Times New Roman" w:cs="Times New Roman"/>
          <w:sz w:val="24"/>
          <w:szCs w:val="24"/>
        </w:rPr>
        <w:t xml:space="preserve"> for profit allocation.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16"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1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37" w:name="_Toc187624122"/>
      <w:bookmarkStart w:id="938" w:name="_Toc187630842"/>
      <w:bookmarkStart w:id="939" w:name="_Toc187661021"/>
      <w:bookmarkStart w:id="940" w:name="_Toc187662100"/>
      <w:r w:rsidRPr="009C5151">
        <w:rPr>
          <w:rStyle w:val="Strong"/>
          <w:b/>
          <w:bCs/>
          <w:sz w:val="24"/>
          <w:szCs w:val="24"/>
        </w:rPr>
        <w:t>III. Customization of Documents</w:t>
      </w:r>
      <w:bookmarkEnd w:id="937"/>
      <w:bookmarkEnd w:id="938"/>
      <w:bookmarkEnd w:id="939"/>
      <w:bookmarkEnd w:id="940"/>
    </w:p>
    <w:p w:rsidR="00A056B6" w:rsidRPr="009C5151" w:rsidRDefault="00A056B6" w:rsidP="00743A5F">
      <w:pPr>
        <w:pStyle w:val="Heading4"/>
        <w:spacing w:before="0" w:beforeAutospacing="0"/>
      </w:pPr>
      <w:r w:rsidRPr="009C5151">
        <w:rPr>
          <w:rStyle w:val="Strong"/>
          <w:b/>
          <w:bCs/>
        </w:rPr>
        <w:lastRenderedPageBreak/>
        <w:t>1. Sale of Division Documentation</w:t>
      </w:r>
    </w:p>
    <w:p w:rsidR="00A056B6" w:rsidRPr="009C5151" w:rsidRDefault="00A056B6" w:rsidP="00743A5F">
      <w:pPr>
        <w:pStyle w:val="NormalWeb"/>
        <w:spacing w:before="0" w:beforeAutospacing="0"/>
      </w:pPr>
      <w:r w:rsidRPr="009C5151">
        <w:rPr>
          <w:rStyle w:val="Strong"/>
        </w:rPr>
        <w:t>Template: Sale Agreement</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Sale of Business Division Agreement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18"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Parties Involved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Seller</w:t>
      </w:r>
      <w:r w:rsidRPr="009C5151">
        <w:rPr>
          <w:rFonts w:ascii="Times New Roman" w:hAnsi="Times New Roman" w:cs="Times New Roman"/>
          <w:sz w:val="24"/>
          <w:szCs w:val="24"/>
        </w:rPr>
        <w:t>: BrightPower Pvt. Ltd.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Buyer</w:t>
      </w:r>
      <w:r w:rsidRPr="009C5151">
        <w:rPr>
          <w:rFonts w:ascii="Times New Roman" w:hAnsi="Times New Roman" w:cs="Times New Roman"/>
          <w:sz w:val="24"/>
          <w:szCs w:val="24"/>
        </w:rPr>
        <w:t>: BrightPower Germany GmbH.</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1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Key Terms</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Description of Division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Business division specializing in [Division Name].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Includes land, machinery, and intangible assets like patents.</w:t>
      </w:r>
    </w:p>
    <w:p w:rsidR="00A056B6" w:rsidRPr="009C5151" w:rsidRDefault="00A056B6" w:rsidP="00743A5F">
      <w:pPr>
        <w:pStyle w:val="NormalWeb"/>
        <w:tabs>
          <w:tab w:val="num" w:pos="720"/>
        </w:tabs>
        <w:spacing w:before="0" w:beforeAutospacing="0"/>
        <w:ind w:left="720" w:hanging="360"/>
      </w:pPr>
      <w:r w:rsidRPr="009C5151">
        <w:rPr>
          <w:rStyle w:val="Strong"/>
        </w:rPr>
        <w:t>Sale Price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₹500 crore, based on independent valuation.</w:t>
      </w:r>
    </w:p>
    <w:p w:rsidR="00A056B6" w:rsidRPr="009C5151" w:rsidRDefault="00A056B6" w:rsidP="00743A5F">
      <w:pPr>
        <w:pStyle w:val="NormalWeb"/>
        <w:tabs>
          <w:tab w:val="num" w:pos="720"/>
        </w:tabs>
        <w:spacing w:before="0" w:beforeAutospacing="0"/>
        <w:ind w:left="720" w:hanging="360"/>
      </w:pPr>
      <w:r w:rsidRPr="009C5151">
        <w:rPr>
          <w:rStyle w:val="Strong"/>
        </w:rPr>
        <w:t>Tax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Gains taxable in India under Section 9 of the Income-tax Act, 1961.</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Buyer to comply with German tax obligations.</w:t>
      </w:r>
    </w:p>
    <w:p w:rsidR="00A056B6" w:rsidRPr="009C5151" w:rsidRDefault="00A056B6" w:rsidP="00743A5F">
      <w:pPr>
        <w:pStyle w:val="NormalWeb"/>
        <w:tabs>
          <w:tab w:val="num" w:pos="720"/>
        </w:tabs>
        <w:spacing w:before="0" w:beforeAutospacing="0"/>
        <w:ind w:left="720" w:hanging="360"/>
      </w:pPr>
      <w:r w:rsidRPr="009C5151">
        <w:rPr>
          <w:rStyle w:val="Strong"/>
        </w:rPr>
        <w:t>Payment Terms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Lump sum payment within 30 days of agreement execution.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20"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Signatures</w:t>
      </w:r>
      <w:r w:rsidRPr="009C5151">
        <w:t>:</w:t>
      </w:r>
      <w:r w:rsidRPr="009C5151">
        <w:br/>
        <w:t>For BrightPower Pvt. Ltd. | For BrightPower Germany GmbH</w:t>
      </w:r>
      <w:r w:rsidRPr="009C5151">
        <w:br/>
        <w:t>_________________________ | _________________________</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2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GAAR Justification</w:t>
      </w:r>
    </w:p>
    <w:p w:rsidR="00A056B6" w:rsidRPr="009C5151" w:rsidRDefault="00A056B6" w:rsidP="00743A5F">
      <w:pPr>
        <w:pStyle w:val="NormalWeb"/>
        <w:tabs>
          <w:tab w:val="num" w:pos="720"/>
        </w:tabs>
        <w:spacing w:before="0" w:beforeAutospacing="0"/>
        <w:ind w:left="720" w:hanging="360"/>
      </w:pPr>
      <w:r w:rsidRPr="009C5151">
        <w:rPr>
          <w:rStyle w:val="Strong"/>
        </w:rPr>
        <w:t>Substance Test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Prove the Mauritius entity has operational substance (local employees, office premises, compliance with local regulations).</w:t>
      </w:r>
    </w:p>
    <w:p w:rsidR="00A056B6" w:rsidRPr="009C5151" w:rsidRDefault="00A056B6" w:rsidP="00743A5F">
      <w:pPr>
        <w:pStyle w:val="NormalWeb"/>
        <w:tabs>
          <w:tab w:val="num" w:pos="720"/>
        </w:tabs>
        <w:spacing w:before="0" w:beforeAutospacing="0"/>
        <w:ind w:left="720" w:hanging="360"/>
      </w:pPr>
      <w:r w:rsidRPr="009C5151">
        <w:rPr>
          <w:rStyle w:val="Strong"/>
        </w:rPr>
        <w:t>Supporting Evidence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 and Form 10F.</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Board minutes and financial statements of Mauritius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2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Withholding Tax Documentation</w:t>
      </w:r>
    </w:p>
    <w:p w:rsidR="00A056B6" w:rsidRPr="009C5151" w:rsidRDefault="00A056B6" w:rsidP="00743A5F">
      <w:pPr>
        <w:pStyle w:val="NormalWeb"/>
        <w:spacing w:before="0" w:beforeAutospacing="0"/>
      </w:pPr>
      <w:r w:rsidRPr="009C5151">
        <w:rPr>
          <w:rStyle w:val="Strong"/>
        </w:rPr>
        <w:t>Template: WHT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4"/>
        <w:gridCol w:w="2662"/>
        <w:gridCol w:w="1045"/>
        <w:gridCol w:w="2075"/>
        <w:gridCol w:w="1500"/>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Due Date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23" style="width:0;height:1.5pt" o:hralign="center" o:hrstd="t" o:hr="t" fillcolor="#a0a0a0" stroked="f"/>
        </w:pict>
      </w:r>
    </w:p>
    <w:p w:rsidR="00A056B6" w:rsidRPr="009C5151" w:rsidRDefault="00A056B6" w:rsidP="00743A5F">
      <w:pPr>
        <w:pStyle w:val="NormalWeb"/>
        <w:spacing w:before="0" w:beforeAutospacing="0"/>
      </w:pPr>
      <w:r w:rsidRPr="009C5151">
        <w:t xml:space="preserve">Would you like help finalizing the </w:t>
      </w:r>
      <w:r w:rsidRPr="009C5151">
        <w:rPr>
          <w:rStyle w:val="Strong"/>
        </w:rPr>
        <w:t>templates</w:t>
      </w:r>
      <w:r w:rsidRPr="009C5151">
        <w:t xml:space="preserve">, </w:t>
      </w:r>
      <w:r w:rsidRPr="009C5151">
        <w:rPr>
          <w:rStyle w:val="Strong"/>
        </w:rPr>
        <w:t>CbC filing</w:t>
      </w:r>
      <w:r w:rsidRPr="009C5151">
        <w:t xml:space="preserve">, or </w:t>
      </w:r>
      <w:r w:rsidRPr="009C5151">
        <w:rPr>
          <w:rStyle w:val="Strong"/>
        </w:rPr>
        <w:t>specific PE documentation for submission to tax authorities</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19 th example of different set of issues and problem and suggested solutions by a CA to a Company including a detailed discussion on the various topics covered under suggestions and Conclusion. Please include in addition to the above transactions like Withholding tax, CbC reporting, Mutual Agreement procedure, DTAA with countries like USA, UK, Germany, Singapore, Mauritius, China, Russia and Germany; equalization levy; Please first list down the case, issues, documents and CA advise, Dividend and Interest, Royalty and Fee for Technical Services; applicability of GAAR; applicability of PE; Inter group transactions; computation of taxable income of the Tested Party with assumed numbers for the AY 2024-25; what kind of a PE the tested party may have by considering relevant provisions; Tax Information Exchange Agreement; the ruling of Board for Advance Ruling; the obligations and compute the liability (if any) of the tested party; sale of its manufacturing unit located in India as per UN Model Convention. Please consider Tested Party's subsidiary and transactions between them, shifting the subsidiary to another nation with which India has DTAA, LOB clause and other relevant aspects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233EA9B0" wp14:editId="3600993C">
            <wp:extent cx="763905" cy="763905"/>
            <wp:effectExtent l="0" t="0" r="0" b="0"/>
            <wp:docPr id="285" name="Picture 28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0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941" w:name="_Toc187624123"/>
      <w:bookmarkStart w:id="942" w:name="_Toc187630843"/>
      <w:bookmarkStart w:id="943" w:name="_Toc187661022"/>
      <w:bookmarkStart w:id="944" w:name="_Toc187662101"/>
      <w:r w:rsidRPr="009C5151">
        <w:rPr>
          <w:rStyle w:val="Strong"/>
          <w:b/>
          <w:bCs/>
          <w:sz w:val="24"/>
          <w:szCs w:val="24"/>
        </w:rPr>
        <w:t>Case Study: Tax and Compliance Challenges for SolarBright Pvt. Ltd.</w:t>
      </w:r>
      <w:bookmarkEnd w:id="941"/>
      <w:bookmarkEnd w:id="942"/>
      <w:bookmarkEnd w:id="943"/>
      <w:bookmarkEnd w:id="944"/>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2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45" w:name="_Toc187624124"/>
      <w:bookmarkStart w:id="946" w:name="_Toc187630844"/>
      <w:bookmarkStart w:id="947" w:name="_Toc187661023"/>
      <w:bookmarkStart w:id="948" w:name="_Toc187662102"/>
      <w:r w:rsidRPr="009C5151">
        <w:rPr>
          <w:rStyle w:val="Strong"/>
          <w:b/>
          <w:bCs/>
          <w:sz w:val="24"/>
          <w:szCs w:val="24"/>
        </w:rPr>
        <w:t>Background</w:t>
      </w:r>
      <w:bookmarkEnd w:id="945"/>
      <w:bookmarkEnd w:id="946"/>
      <w:bookmarkEnd w:id="947"/>
      <w:bookmarkEnd w:id="948"/>
    </w:p>
    <w:p w:rsidR="00A056B6" w:rsidRPr="009C5151" w:rsidRDefault="00A056B6" w:rsidP="00743A5F">
      <w:pPr>
        <w:pStyle w:val="NormalWeb"/>
        <w:spacing w:before="0" w:beforeAutospacing="0"/>
      </w:pPr>
      <w:r w:rsidRPr="009C5151">
        <w:t xml:space="preserve">SolarBright Pvt. Ltd., an Indian company specializing in solar technology solutions, operates in </w:t>
      </w:r>
      <w:r w:rsidRPr="009C5151">
        <w:rPr>
          <w:rStyle w:val="Strong"/>
        </w:rPr>
        <w:t>USA, UK, Germany, Singapore, Mauritius, China, and Russia</w:t>
      </w:r>
      <w:r w:rsidRPr="009C5151">
        <w:t xml:space="preserve">. It has multiple subsidiaries, including </w:t>
      </w:r>
      <w:r w:rsidRPr="009C5151">
        <w:rPr>
          <w:rStyle w:val="Strong"/>
        </w:rPr>
        <w:t>SolarBright Germany GmbH</w:t>
      </w:r>
      <w:r w:rsidRPr="009C5151">
        <w:t xml:space="preserve"> and </w:t>
      </w:r>
      <w:r w:rsidRPr="009C5151">
        <w:rPr>
          <w:rStyle w:val="Strong"/>
        </w:rPr>
        <w:t>SolarBright Singapore Pte Ltd.</w:t>
      </w:r>
      <w:r w:rsidRPr="009C5151">
        <w:t xml:space="preserve">, handling R&amp;D, distribution, and marketing functions. Due to restructuring, the company is contemplating relocating its Singapore subsidiary to </w:t>
      </w:r>
      <w:r w:rsidRPr="009C5151">
        <w:rPr>
          <w:rStyle w:val="Strong"/>
        </w:rPr>
        <w:t>UAE</w:t>
      </w:r>
      <w:r w:rsidRPr="009C5151">
        <w:t xml:space="preserve">, which has a </w:t>
      </w:r>
      <w:r w:rsidRPr="009C5151">
        <w:rPr>
          <w:rStyle w:val="Strong"/>
        </w:rPr>
        <w:t>DTAA with India</w:t>
      </w:r>
      <w:r w:rsidRPr="009C5151">
        <w:t xml:space="preserve">. The company also sold its </w:t>
      </w:r>
      <w:r w:rsidRPr="009C5151">
        <w:rPr>
          <w:rStyle w:val="Strong"/>
        </w:rPr>
        <w:t>Indian manufacturing unit</w:t>
      </w:r>
      <w:r w:rsidRPr="009C5151">
        <w:t xml:space="preserve"> to a German AE and deals with </w:t>
      </w:r>
      <w:r w:rsidRPr="009C5151">
        <w:rPr>
          <w:rStyle w:val="Strong"/>
        </w:rPr>
        <w:t>royalty payments</w:t>
      </w:r>
      <w:r w:rsidRPr="009C5151">
        <w:t xml:space="preserve">, </w:t>
      </w:r>
      <w:r w:rsidRPr="009C5151">
        <w:rPr>
          <w:rStyle w:val="Strong"/>
        </w:rPr>
        <w:t>FTS</w:t>
      </w:r>
      <w:r w:rsidRPr="009C5151">
        <w:t xml:space="preserve">, </w:t>
      </w:r>
      <w:r w:rsidRPr="009C5151">
        <w:rPr>
          <w:rStyle w:val="Strong"/>
        </w:rPr>
        <w:t>interest payments</w:t>
      </w:r>
      <w:r w:rsidRPr="009C5151">
        <w:t xml:space="preserve">, and </w:t>
      </w:r>
      <w:r w:rsidRPr="009C5151">
        <w:rPr>
          <w:rStyle w:val="Strong"/>
        </w:rPr>
        <w:t>dividends</w:t>
      </w:r>
      <w:r w:rsidRPr="009C5151">
        <w:t xml:space="preserve">. Additional complexities include </w:t>
      </w:r>
      <w:r w:rsidRPr="009C5151">
        <w:rPr>
          <w:rStyle w:val="Strong"/>
        </w:rPr>
        <w:t>withholding tax (WHT)</w:t>
      </w:r>
      <w:r w:rsidRPr="009C5151">
        <w:t xml:space="preserve">, </w:t>
      </w:r>
      <w:r w:rsidRPr="009C5151">
        <w:rPr>
          <w:rStyle w:val="Strong"/>
        </w:rPr>
        <w:t>GAAR applicability</w:t>
      </w:r>
      <w:r w:rsidRPr="009C5151">
        <w:t xml:space="preserve">, </w:t>
      </w:r>
      <w:r w:rsidRPr="009C5151">
        <w:rPr>
          <w:rStyle w:val="Strong"/>
        </w:rPr>
        <w:t>PE concerns</w:t>
      </w:r>
      <w:r w:rsidRPr="009C5151">
        <w:t xml:space="preserve">, and compliance with </w:t>
      </w:r>
      <w:r w:rsidRPr="009C5151">
        <w:rPr>
          <w:rStyle w:val="Strong"/>
        </w:rPr>
        <w:t>CbC reporting</w:t>
      </w:r>
      <w:r w:rsidRPr="009C5151">
        <w:t xml:space="preserve"> and </w:t>
      </w:r>
      <w:r w:rsidRPr="009C5151">
        <w:rPr>
          <w:rStyle w:val="Strong"/>
        </w:rPr>
        <w:t>LOB (Limitation of Benefits) clauses</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2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49" w:name="_Toc187624125"/>
      <w:bookmarkStart w:id="950" w:name="_Toc187630845"/>
      <w:bookmarkStart w:id="951" w:name="_Toc187661024"/>
      <w:bookmarkStart w:id="952" w:name="_Toc187662103"/>
      <w:r w:rsidRPr="009C5151">
        <w:rPr>
          <w:rStyle w:val="Strong"/>
          <w:b/>
          <w:bCs/>
          <w:sz w:val="24"/>
          <w:szCs w:val="24"/>
        </w:rPr>
        <w:t>Transactions</w:t>
      </w:r>
      <w:bookmarkEnd w:id="949"/>
      <w:bookmarkEnd w:id="950"/>
      <w:bookmarkEnd w:id="951"/>
      <w:bookmarkEnd w:id="952"/>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Solar Panels</w:t>
      </w:r>
      <w:r w:rsidRPr="009C5151">
        <w:t>:</w:t>
      </w:r>
      <w:r w:rsidRPr="009C5151">
        <w:br/>
        <w:t>Exported ₹1,200 crore worth of products to AEs in USA, UK, and Germany.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r w:rsidRPr="009C5151">
        <w:br/>
        <w:t>Paid ₹90 crore to a Singapore AE for using patented technology.</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r w:rsidRPr="009C5151">
        <w:br/>
        <w:t>Paid ₹50 crore to a German AE for design optimization and consultancy.</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r w:rsidRPr="009C5151">
        <w:br/>
        <w:t>Paid ₹30 crore to a Russian AE for loans obtained for R&amp;D.</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w:t>
      </w:r>
      <w:r w:rsidRPr="009C5151">
        <w:br/>
        <w:t>Paid ₹60 crore to its Mauritius parent company.</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r w:rsidRPr="009C5151">
        <w:br/>
        <w:t>Sold its Indian manufacturing unit to SolarBright Germany GmbH for ₹400 crore.</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r w:rsidRPr="009C5151">
        <w:br/>
        <w:t>Paid ₹20 crore to a USA-based platform for promoting solar products globally.</w:t>
      </w:r>
    </w:p>
    <w:p w:rsidR="00A056B6" w:rsidRPr="009C5151" w:rsidRDefault="00A056B6" w:rsidP="00743A5F">
      <w:pPr>
        <w:pStyle w:val="NormalWeb"/>
        <w:tabs>
          <w:tab w:val="num" w:pos="720"/>
        </w:tabs>
        <w:spacing w:before="0" w:beforeAutospacing="0"/>
        <w:ind w:left="720" w:hanging="360"/>
      </w:pPr>
      <w:r w:rsidRPr="009C5151">
        <w:rPr>
          <w:rStyle w:val="Strong"/>
        </w:rPr>
        <w:t>Subsidiary Restructuring</w:t>
      </w:r>
      <w:r w:rsidRPr="009C5151">
        <w:t>:</w:t>
      </w:r>
      <w:r w:rsidRPr="009C5151">
        <w:br/>
        <w:t>Relocating SolarBright Singapore Pte Ltd. to UAE for favorable tax treatment under the India-UAE DTAA.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62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r w:rsidRPr="009C5151">
        <w:br/>
        <w:t>Paid ₹25 crore to an Indian AE for administrative support.</w:t>
      </w:r>
    </w:p>
    <w:p w:rsidR="00A056B6" w:rsidRPr="009C5151" w:rsidRDefault="00A056B6" w:rsidP="00743A5F">
      <w:pPr>
        <w:pStyle w:val="NormalWeb"/>
        <w:tabs>
          <w:tab w:val="num" w:pos="720"/>
        </w:tabs>
        <w:spacing w:before="0" w:beforeAutospacing="0"/>
        <w:ind w:left="720" w:hanging="360"/>
      </w:pPr>
      <w:r w:rsidRPr="009C5151">
        <w:rPr>
          <w:rStyle w:val="Strong"/>
        </w:rPr>
        <w:t>Leasing of Equipment</w:t>
      </w:r>
      <w:r w:rsidRPr="009C5151">
        <w:t>:</w:t>
      </w:r>
      <w:r w:rsidRPr="009C5151">
        <w:br/>
        <w:t>Leased ₹35 crore worth of equipment to another domestic AE.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27"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2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53" w:name="_Toc187624126"/>
      <w:bookmarkStart w:id="954" w:name="_Toc187630846"/>
      <w:bookmarkStart w:id="955" w:name="_Toc187661025"/>
      <w:bookmarkStart w:id="956" w:name="_Toc187662104"/>
      <w:r w:rsidRPr="009C5151">
        <w:rPr>
          <w:rStyle w:val="Strong"/>
          <w:b/>
          <w:bCs/>
          <w:sz w:val="24"/>
          <w:szCs w:val="24"/>
        </w:rPr>
        <w:t>Key Issues</w:t>
      </w:r>
      <w:bookmarkEnd w:id="953"/>
      <w:bookmarkEnd w:id="954"/>
      <w:bookmarkEnd w:id="955"/>
      <w:bookmarkEnd w:id="956"/>
    </w:p>
    <w:p w:rsidR="00A056B6" w:rsidRPr="009C5151" w:rsidRDefault="00A056B6" w:rsidP="00743A5F">
      <w:pPr>
        <w:pStyle w:val="Heading4"/>
        <w:spacing w:before="0" w:beforeAutospacing="0"/>
      </w:pPr>
      <w:r w:rsidRPr="009C5151">
        <w:rPr>
          <w:rStyle w:val="Strong"/>
          <w:b/>
          <w:bCs/>
        </w:rPr>
        <w:t>1. 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₹1,200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₹90 crore royalty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₹50 crore FTS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₹30 crore interest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₹400 crore sale of the manufacturing unit.</w: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WHT compliance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(10% under India-Russia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(0% under India-Mauritius DTAA).</w: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₹20 crore advertising payments.</w:t>
      </w:r>
    </w:p>
    <w:p w:rsidR="00A056B6" w:rsidRPr="009C5151" w:rsidRDefault="00A056B6" w:rsidP="00743A5F">
      <w:pPr>
        <w:pStyle w:val="Heading4"/>
        <w:spacing w:before="0" w:beforeAutospacing="0"/>
      </w:pPr>
      <w:r w:rsidRPr="009C5151">
        <w:rPr>
          <w:rStyle w:val="Strong"/>
          <w:b/>
          <w:bCs/>
        </w:rPr>
        <w:t>4. Applicability of GAAR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GAAR Scrutiny</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Treaty benefits availed by the Mauritius entity.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Proposed restructuring of the Singapore subsidiary to UAE.</w:t>
      </w:r>
    </w:p>
    <w:p w:rsidR="00A056B6" w:rsidRPr="009C5151" w:rsidRDefault="00A056B6" w:rsidP="00743A5F">
      <w:pPr>
        <w:pStyle w:val="Heading4"/>
        <w:spacing w:before="0" w:beforeAutospacing="0"/>
      </w:pPr>
      <w:r w:rsidRPr="009C5151">
        <w:rPr>
          <w:rStyle w:val="Strong"/>
          <w:b/>
          <w:bCs/>
        </w:rPr>
        <w:t>5. Permanent Establishment (PE) Concerns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PE exposure 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USA</w:t>
      </w:r>
      <w:r w:rsidRPr="009C5151">
        <w:rPr>
          <w:rFonts w:ascii="Times New Roman" w:hAnsi="Times New Roman" w:cs="Times New Roman"/>
          <w:sz w:val="24"/>
          <w:szCs w:val="24"/>
        </w:rPr>
        <w:t>: Dependent agent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Germany</w:t>
      </w:r>
      <w:r w:rsidRPr="009C5151">
        <w:rPr>
          <w:rFonts w:ascii="Times New Roman" w:hAnsi="Times New Roman" w:cs="Times New Roman"/>
          <w:sz w:val="24"/>
          <w:szCs w:val="24"/>
        </w:rPr>
        <w:t>: Fixed place PE.</w:t>
      </w:r>
    </w:p>
    <w:p w:rsidR="00A056B6" w:rsidRPr="009C5151" w:rsidRDefault="00A056B6" w:rsidP="00743A5F">
      <w:pPr>
        <w:pStyle w:val="Heading4"/>
        <w:spacing w:before="0" w:beforeAutospacing="0"/>
      </w:pPr>
      <w:r w:rsidRPr="009C5151">
        <w:rPr>
          <w:rStyle w:val="Strong"/>
          <w:b/>
          <w:bCs/>
        </w:rPr>
        <w:t>6. Taxable Income Computation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Determining taxable income for AY 2024-25 after considering TP adjustments and the sale of the manufacturing unit.</w:t>
      </w:r>
    </w:p>
    <w:p w:rsidR="00A056B6" w:rsidRPr="009C5151" w:rsidRDefault="00A056B6" w:rsidP="00743A5F">
      <w:pPr>
        <w:pStyle w:val="Heading4"/>
        <w:spacing w:before="0" w:beforeAutospacing="0"/>
      </w:pPr>
      <w:r w:rsidRPr="009C5151">
        <w:rPr>
          <w:rStyle w:val="Strong"/>
          <w:b/>
          <w:bCs/>
        </w:rPr>
        <w:t>7. Tax Information Exchange Agreement (TIEA)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Russia requests details of interest payments under TIEA.</w:t>
      </w:r>
    </w:p>
    <w:p w:rsidR="00A056B6" w:rsidRPr="009C5151" w:rsidRDefault="00A056B6" w:rsidP="00743A5F">
      <w:pPr>
        <w:pStyle w:val="Heading4"/>
        <w:spacing w:before="0" w:beforeAutospacing="0"/>
      </w:pPr>
      <w:r w:rsidRPr="009C5151">
        <w:rPr>
          <w:rStyle w:val="Strong"/>
          <w:b/>
          <w:bCs/>
        </w:rPr>
        <w:t>8. Board for Advance Rulings (AAR)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AAR application for clarity on the tax treatment of gains from the sale of the manufacturing unit under the </w:t>
      </w:r>
      <w:r w:rsidRPr="009C5151">
        <w:rPr>
          <w:rStyle w:val="Strong"/>
          <w:rFonts w:ascii="Times New Roman" w:hAnsi="Times New Roman" w:cs="Times New Roman"/>
          <w:sz w:val="24"/>
          <w:szCs w:val="24"/>
        </w:rPr>
        <w:t>UN Model Convention</w:t>
      </w:r>
      <w:r w:rsidRPr="009C5151">
        <w:rPr>
          <w:rFonts w:ascii="Times New Roman" w:hAnsi="Times New Roman" w:cs="Times New Roman"/>
          <w:sz w:val="24"/>
          <w:szCs w:val="24"/>
        </w:rPr>
        <w:t>.</w:t>
      </w:r>
    </w:p>
    <w:p w:rsidR="00A056B6" w:rsidRPr="009C5151" w:rsidRDefault="00A056B6" w:rsidP="00743A5F">
      <w:pPr>
        <w:pStyle w:val="Heading4"/>
        <w:spacing w:before="0" w:beforeAutospacing="0"/>
      </w:pPr>
      <w:r w:rsidRPr="009C5151">
        <w:rPr>
          <w:rStyle w:val="Strong"/>
          <w:b/>
          <w:bCs/>
        </w:rPr>
        <w:t>9. Limitation of Benefits (LOB) Clause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Assess compliance with the LOB clause in the India-Mauritius and India-UAE DTAAs.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29"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3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57" w:name="_Toc187624127"/>
      <w:bookmarkStart w:id="958" w:name="_Toc187630847"/>
      <w:bookmarkStart w:id="959" w:name="_Toc187661026"/>
      <w:bookmarkStart w:id="960" w:name="_Toc187662105"/>
      <w:r w:rsidRPr="009C5151">
        <w:rPr>
          <w:rStyle w:val="Strong"/>
          <w:b/>
          <w:bCs/>
          <w:sz w:val="24"/>
          <w:szCs w:val="24"/>
        </w:rPr>
        <w:t>Documents Required</w:t>
      </w:r>
      <w:bookmarkEnd w:id="957"/>
      <w:bookmarkEnd w:id="958"/>
      <w:bookmarkEnd w:id="959"/>
      <w:bookmarkEnd w:id="960"/>
    </w:p>
    <w:p w:rsidR="00A056B6" w:rsidRPr="009C5151" w:rsidRDefault="00A056B6" w:rsidP="00743A5F">
      <w:pPr>
        <w:pStyle w:val="NormalWeb"/>
        <w:tabs>
          <w:tab w:val="num" w:pos="720"/>
        </w:tabs>
        <w:spacing w:before="0" w:beforeAutospacing="0"/>
        <w:ind w:left="720" w:hanging="360"/>
      </w:pPr>
      <w:r w:rsidRPr="009C5151">
        <w:rPr>
          <w:rStyle w:val="Strong"/>
        </w:rPr>
        <w:t>Transaction 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Agreements for exports, royalties, FTS, loans, dividends, and the unit sale.</w:t>
      </w:r>
    </w:p>
    <w:p w:rsidR="00A056B6" w:rsidRPr="009C5151" w:rsidRDefault="00A056B6" w:rsidP="00743A5F">
      <w:pPr>
        <w:pStyle w:val="NormalWeb"/>
        <w:tabs>
          <w:tab w:val="num" w:pos="720"/>
        </w:tabs>
        <w:spacing w:before="0" w:beforeAutospacing="0"/>
        <w:ind w:left="720" w:hanging="360"/>
      </w:pPr>
      <w:r w:rsidRPr="009C5151">
        <w:rPr>
          <w:rStyle w:val="Strong"/>
        </w:rPr>
        <w:t>Valuation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Independent valuation of the Indian manufacturing unit.</w:t>
      </w:r>
    </w:p>
    <w:p w:rsidR="00A056B6" w:rsidRPr="009C5151" w:rsidRDefault="00A056B6" w:rsidP="00743A5F">
      <w:pPr>
        <w:pStyle w:val="NormalWeb"/>
        <w:tabs>
          <w:tab w:val="num" w:pos="720"/>
        </w:tabs>
        <w:spacing w:before="0" w:beforeAutospacing="0"/>
        <w:ind w:left="720" w:hanging="360"/>
      </w:pPr>
      <w:r w:rsidRPr="009C5151">
        <w:rPr>
          <w:rStyle w:val="Strong"/>
        </w:rPr>
        <w:t>Tax Residency Certificates (TRC)</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TRCs for Singapore, Germany, Mauritius, and Russia.</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Allocation of roles, risks, and functions among AEs.</w:t>
      </w:r>
    </w:p>
    <w:p w:rsidR="00A056B6" w:rsidRPr="009C5151" w:rsidRDefault="00A056B6" w:rsidP="00743A5F">
      <w:pPr>
        <w:pStyle w:val="NormalWeb"/>
        <w:tabs>
          <w:tab w:val="num" w:pos="720"/>
        </w:tabs>
        <w:spacing w:before="0" w:beforeAutospacing="0"/>
        <w:ind w:left="720" w:hanging="360"/>
      </w:pPr>
      <w:r w:rsidRPr="009C5151">
        <w:rPr>
          <w:rStyle w:val="Strong"/>
        </w:rPr>
        <w:t>AAR Application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Sale agreement, valuation report, and relevant DTAA clauses.</w:t>
      </w:r>
    </w:p>
    <w:p w:rsidR="00A056B6" w:rsidRPr="009C5151" w:rsidRDefault="00A056B6" w:rsidP="00743A5F">
      <w:pPr>
        <w:pStyle w:val="NormalWeb"/>
        <w:tabs>
          <w:tab w:val="num" w:pos="720"/>
        </w:tabs>
        <w:spacing w:before="0" w:beforeAutospacing="0"/>
        <w:ind w:left="720" w:hanging="360"/>
      </w:pPr>
      <w:r w:rsidRPr="009C5151">
        <w:rPr>
          <w:rStyle w:val="Strong"/>
        </w:rPr>
        <w:t>CbC Reporting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Consolidated global income and tax allocation details.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31"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3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61" w:name="_Toc187624128"/>
      <w:bookmarkStart w:id="962" w:name="_Toc187630848"/>
      <w:bookmarkStart w:id="963" w:name="_Toc187661027"/>
      <w:bookmarkStart w:id="964" w:name="_Toc187662106"/>
      <w:r w:rsidRPr="009C5151">
        <w:rPr>
          <w:rStyle w:val="Strong"/>
          <w:b/>
          <w:bCs/>
          <w:sz w:val="24"/>
          <w:szCs w:val="24"/>
        </w:rPr>
        <w:t>Proposed Solutions</w:t>
      </w:r>
      <w:bookmarkEnd w:id="961"/>
      <w:bookmarkEnd w:id="962"/>
      <w:bookmarkEnd w:id="963"/>
      <w:bookmarkEnd w:id="964"/>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Export of Solar Panels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TNMM</w:t>
      </w:r>
      <w:r w:rsidRPr="009C5151">
        <w:rPr>
          <w:rFonts w:ascii="Times New Roman" w:hAnsi="Times New Roman" w:cs="Times New Roman"/>
          <w:sz w:val="24"/>
          <w:szCs w:val="24"/>
        </w:rPr>
        <w:t xml:space="preserve"> to benchmark ₹1,200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operating margins with global solar panel manufacturers.</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benchmark ₹90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royalty rate (6%-8%).</w:t>
      </w:r>
    </w:p>
    <w:p w:rsidR="00A056B6" w:rsidRPr="009C5151" w:rsidRDefault="00A056B6" w:rsidP="00743A5F">
      <w:pPr>
        <w:pStyle w:val="NormalWeb"/>
        <w:tabs>
          <w:tab w:val="num" w:pos="720"/>
        </w:tabs>
        <w:spacing w:before="0" w:beforeAutospacing="0"/>
        <w:ind w:left="720" w:hanging="360"/>
      </w:pPr>
      <w:r w:rsidRPr="009C5151">
        <w:rPr>
          <w:rStyle w:val="Strong"/>
        </w:rPr>
        <w:t>FTS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CPM</w:t>
      </w:r>
      <w:r w:rsidRPr="009C5151">
        <w:rPr>
          <w:rFonts w:ascii="Times New Roman" w:hAnsi="Times New Roman" w:cs="Times New Roman"/>
          <w:sz w:val="24"/>
          <w:szCs w:val="24"/>
        </w:rPr>
        <w:t xml:space="preserve"> to benchmark ₹50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markup with independent service providers.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Ensure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(interest deduction capped at 30% of EBITDA).</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valuation method</w:t>
      </w:r>
      <w:r w:rsidRPr="009C5151">
        <w:rPr>
          <w:rFonts w:ascii="Times New Roman" w:hAnsi="Times New Roman" w:cs="Times New Roman"/>
          <w:sz w:val="24"/>
          <w:szCs w:val="24"/>
        </w:rPr>
        <w:t xml:space="preserve"> to benchmark ₹400 crore sale value.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3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₹90 crore × 10% = ₹9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₹50 crore × 10% = ₹5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₹30 crore × 10% = ₹3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63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Levy at 6% on ₹20 crore advertising payments = ₹1.2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3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GAAR and Restructuring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Justify the relocation of the Singapore subsidiary to UAE: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Highlight business reasons, such as proximity to Middle Eastern markets.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Demonstrate compliance with the </w:t>
      </w:r>
      <w:r w:rsidRPr="009C5151">
        <w:rPr>
          <w:rStyle w:val="Strong"/>
          <w:rFonts w:ascii="Times New Roman" w:hAnsi="Times New Roman" w:cs="Times New Roman"/>
          <w:sz w:val="24"/>
          <w:szCs w:val="24"/>
        </w:rPr>
        <w:t>LOB clause</w:t>
      </w:r>
      <w:r w:rsidRPr="009C5151">
        <w:rPr>
          <w:rFonts w:ascii="Times New Roman" w:hAnsi="Times New Roman" w:cs="Times New Roman"/>
          <w:sz w:val="24"/>
          <w:szCs w:val="24"/>
        </w:rPr>
        <w:t xml:space="preserve"> in the India-UAE DTAA.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3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Permanent Establishment (PE)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USA PE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Mitigate risks by limiting the authority of the USA subsidiary to conclude contracts.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Germany PE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Attribute profits to the German PE based on functions performed and risks assumed.</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3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Taxable Income Computation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4"/>
        <w:gridCol w:w="186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Particulars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Revenue (Exports)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Domestic Revenue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Less: Expenses: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Royalty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FTS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Interest (allowable under 94B)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Depreciation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Gain on Sale of Unit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Taxable Income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1,405</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3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lastRenderedPageBreak/>
        <w:t>7. TIEA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Provide transaction details to Russian tax authorities: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Loan agreement.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Bank transfer proofs.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 of the Russian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3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8. AAR 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Seek clarity on the tax treatment of the unit sale under Article 13 of the UN Model Convention: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Capital gains are taxable in India as the asset is located in India.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40"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4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65" w:name="_Toc187624129"/>
      <w:bookmarkStart w:id="966" w:name="_Toc187630849"/>
      <w:bookmarkStart w:id="967" w:name="_Toc187661028"/>
      <w:bookmarkStart w:id="968" w:name="_Toc187662107"/>
      <w:r w:rsidRPr="009C5151">
        <w:rPr>
          <w:rStyle w:val="Strong"/>
          <w:b/>
          <w:bCs/>
          <w:sz w:val="24"/>
          <w:szCs w:val="24"/>
        </w:rPr>
        <w:t>Conclusion</w:t>
      </w:r>
      <w:bookmarkEnd w:id="965"/>
      <w:bookmarkEnd w:id="966"/>
      <w:bookmarkEnd w:id="967"/>
      <w:bookmarkEnd w:id="968"/>
    </w:p>
    <w:p w:rsidR="00A056B6" w:rsidRPr="009C5151" w:rsidRDefault="00A056B6" w:rsidP="00743A5F">
      <w:pPr>
        <w:pStyle w:val="NormalWeb"/>
        <w:tabs>
          <w:tab w:val="num" w:pos="720"/>
        </w:tabs>
        <w:spacing w:before="0" w:beforeAutospacing="0"/>
        <w:ind w:left="720" w:hanging="360"/>
      </w:pPr>
      <w:r w:rsidRPr="009C5151">
        <w:rPr>
          <w:rStyle w:val="Strong"/>
        </w:rPr>
        <w:t>Transfer Pricing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international and inter-group transactions.</w:t>
      </w:r>
    </w:p>
    <w:p w:rsidR="00A056B6" w:rsidRPr="009C5151" w:rsidRDefault="00A056B6" w:rsidP="00743A5F">
      <w:pPr>
        <w:pStyle w:val="NormalWeb"/>
        <w:tabs>
          <w:tab w:val="num" w:pos="720"/>
        </w:tabs>
        <w:spacing w:before="0" w:beforeAutospacing="0"/>
        <w:ind w:left="720" w:hanging="360"/>
      </w:pPr>
      <w:r w:rsidRPr="009C5151">
        <w:rPr>
          <w:rStyle w:val="Strong"/>
        </w:rPr>
        <w:t>GAAR Mitigation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Prove economic substance for Mauritius and UAE entities.</w:t>
      </w:r>
    </w:p>
    <w:p w:rsidR="00A056B6" w:rsidRPr="009C5151" w:rsidRDefault="00A056B6" w:rsidP="00743A5F">
      <w:pPr>
        <w:pStyle w:val="NormalWeb"/>
        <w:tabs>
          <w:tab w:val="num" w:pos="720"/>
        </w:tabs>
        <w:spacing w:before="0" w:beforeAutospacing="0"/>
        <w:ind w:left="720" w:hanging="360"/>
      </w:pPr>
      <w:r w:rsidRPr="009C5151">
        <w:rPr>
          <w:rStyle w:val="Strong"/>
        </w:rPr>
        <w:t>PE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Mitigate risks in USA and Germany through contractual and operational controls.</w:t>
      </w:r>
    </w:p>
    <w:p w:rsidR="00A056B6" w:rsidRPr="009C5151" w:rsidRDefault="00A056B6" w:rsidP="00743A5F">
      <w:pPr>
        <w:pStyle w:val="NormalWeb"/>
        <w:tabs>
          <w:tab w:val="num" w:pos="720"/>
        </w:tabs>
        <w:spacing w:before="0" w:beforeAutospacing="0"/>
        <w:ind w:left="720" w:hanging="360"/>
      </w:pPr>
      <w:r w:rsidRPr="009C5151">
        <w:rPr>
          <w:rStyle w:val="Strong"/>
        </w:rPr>
        <w:t>Taxable Income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Include capital gains and ensure proper TP adjustments.</w:t>
      </w:r>
    </w:p>
    <w:p w:rsidR="00A056B6" w:rsidRPr="009C5151" w:rsidRDefault="00A056B6" w:rsidP="00743A5F">
      <w:pPr>
        <w:pStyle w:val="NormalWeb"/>
        <w:tabs>
          <w:tab w:val="num" w:pos="720"/>
        </w:tabs>
        <w:spacing w:before="0" w:beforeAutospacing="0"/>
        <w:ind w:left="720" w:hanging="360"/>
      </w:pPr>
      <w:r w:rsidRPr="009C5151">
        <w:rPr>
          <w:rStyle w:val="Strong"/>
        </w:rPr>
        <w:t>AAR Ruling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Follow the ruling for taxability under the UN Model Convention.</w:t>
      </w:r>
    </w:p>
    <w:p w:rsidR="00A056B6" w:rsidRPr="009C5151" w:rsidRDefault="00A056B6" w:rsidP="00743A5F">
      <w:pPr>
        <w:pStyle w:val="NormalWeb"/>
        <w:tabs>
          <w:tab w:val="num" w:pos="720"/>
        </w:tabs>
        <w:spacing w:before="0" w:beforeAutospacing="0"/>
        <w:ind w:left="720" w:hanging="360"/>
      </w:pPr>
      <w:r w:rsidRPr="009C5151">
        <w:rPr>
          <w:rStyle w:val="Strong"/>
        </w:rPr>
        <w:t>Equalization Levy</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Remit EL on digital advertising payments.</w:t>
      </w:r>
    </w:p>
    <w:p w:rsidR="00A056B6" w:rsidRPr="009C5151" w:rsidRDefault="00A056B6" w:rsidP="00743A5F">
      <w:pPr>
        <w:pStyle w:val="NormalWeb"/>
        <w:spacing w:before="0" w:beforeAutospacing="0"/>
      </w:pPr>
      <w:r w:rsidRPr="009C5151">
        <w:t>Would you like assistance drafting the AAR application, TP documentation, or compliance templates for WHT, PE, or CbC reporting? Let me know!</w:t>
      </w:r>
    </w:p>
    <w:p w:rsidR="00A056B6" w:rsidRPr="009C5151" w:rsidRDefault="00A056B6" w:rsidP="00743A5F">
      <w:pPr>
        <w:pStyle w:val="Heading5"/>
        <w:spacing w:before="0" w:beforeAutospacing="0"/>
        <w:rPr>
          <w:sz w:val="24"/>
          <w:szCs w:val="24"/>
        </w:rPr>
      </w:pPr>
      <w:r w:rsidRPr="009C5151">
        <w:rPr>
          <w:sz w:val="24"/>
          <w:szCs w:val="24"/>
        </w:rPr>
        <w:lastRenderedPageBreak/>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assistance drafting the AAR application, TP documentation, or compliance templates for WHT, PE, or CbC reporting</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50035389" wp14:editId="2AA88636">
            <wp:extent cx="763905" cy="763905"/>
            <wp:effectExtent l="0" t="0" r="0" b="0"/>
            <wp:docPr id="284" name="Picture 28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2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969" w:name="_Toc187624130"/>
      <w:bookmarkStart w:id="970" w:name="_Toc187630850"/>
      <w:bookmarkStart w:id="971" w:name="_Toc187661029"/>
      <w:bookmarkStart w:id="972" w:name="_Toc187662108"/>
      <w:r w:rsidRPr="009C5151">
        <w:rPr>
          <w:rStyle w:val="Strong"/>
          <w:b/>
          <w:bCs/>
          <w:sz w:val="24"/>
          <w:szCs w:val="24"/>
        </w:rPr>
        <w:t>Assistance with AAR Application, TP Documentation, and Compliance Templates for WHT, PE, and CbC Reporting</w:t>
      </w:r>
      <w:bookmarkEnd w:id="969"/>
      <w:bookmarkEnd w:id="970"/>
      <w:bookmarkEnd w:id="971"/>
      <w:bookmarkEnd w:id="972"/>
    </w:p>
    <w:p w:rsidR="00A056B6" w:rsidRPr="009C5151" w:rsidRDefault="00A056B6" w:rsidP="00743A5F">
      <w:pPr>
        <w:pStyle w:val="NormalWeb"/>
        <w:spacing w:before="0" w:beforeAutospacing="0"/>
      </w:pPr>
      <w:r w:rsidRPr="009C5151">
        <w:t>Below is a detailed guide for drafting and finalizing key documents.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4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73" w:name="_Toc187624131"/>
      <w:bookmarkStart w:id="974" w:name="_Toc187630851"/>
      <w:bookmarkStart w:id="975" w:name="_Toc187661030"/>
      <w:bookmarkStart w:id="976" w:name="_Toc187662109"/>
      <w:r w:rsidRPr="009C5151">
        <w:rPr>
          <w:rStyle w:val="Strong"/>
          <w:b/>
          <w:bCs/>
          <w:sz w:val="24"/>
          <w:szCs w:val="24"/>
        </w:rPr>
        <w:t>I. AAR Application Drafting</w:t>
      </w:r>
      <w:bookmarkEnd w:id="973"/>
      <w:bookmarkEnd w:id="974"/>
      <w:bookmarkEnd w:id="975"/>
      <w:bookmarkEnd w:id="976"/>
    </w:p>
    <w:p w:rsidR="00A056B6" w:rsidRPr="009C5151" w:rsidRDefault="00A056B6" w:rsidP="00743A5F">
      <w:pPr>
        <w:pStyle w:val="NormalWeb"/>
        <w:spacing w:before="0" w:beforeAutospacing="0"/>
      </w:pPr>
      <w:r w:rsidRPr="009C5151">
        <w:rPr>
          <w:rStyle w:val="Strong"/>
        </w:rPr>
        <w:t>Template: AAR Application</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To,</w:t>
      </w:r>
      <w:r w:rsidRPr="009C5151">
        <w:br/>
        <w:t>The Secretary,</w:t>
      </w:r>
      <w:r w:rsidRPr="009C5151">
        <w:br/>
        <w:t>Authority for Advance Rulings (Income Tax),</w:t>
      </w:r>
      <w:r w:rsidRPr="009C5151">
        <w:br/>
        <w:t>[Address], India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4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Subject</w:t>
      </w:r>
      <w:r w:rsidRPr="009C5151">
        <w:t>: Application for Advance Ruling Under Section 245Q of the Income-tax Act, 1961</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4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Applicant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Name</w:t>
      </w:r>
      <w:r w:rsidRPr="009C5151">
        <w:rPr>
          <w:rFonts w:ascii="Times New Roman" w:hAnsi="Times New Roman" w:cs="Times New Roman"/>
          <w:sz w:val="24"/>
          <w:szCs w:val="24"/>
        </w:rPr>
        <w:t>: SolarBright Pvt.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PAN</w:t>
      </w:r>
      <w:r w:rsidRPr="009C5151">
        <w:rPr>
          <w:rFonts w:ascii="Times New Roman" w:hAnsi="Times New Roman" w:cs="Times New Roman"/>
          <w:sz w:val="24"/>
          <w:szCs w:val="24"/>
        </w:rPr>
        <w:t>: XXXXX1234X</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Address</w:t>
      </w:r>
      <w:r w:rsidRPr="009C5151">
        <w:rPr>
          <w:rFonts w:ascii="Times New Roman" w:hAnsi="Times New Roman" w:cs="Times New Roman"/>
          <w:sz w:val="24"/>
          <w:szCs w:val="24"/>
        </w:rPr>
        <w:t>: [Registered Address]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45"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Transaction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Type</w:t>
      </w:r>
      <w:r w:rsidRPr="009C5151">
        <w:rPr>
          <w:rFonts w:ascii="Times New Roman" w:hAnsi="Times New Roman" w:cs="Times New Roman"/>
          <w:sz w:val="24"/>
          <w:szCs w:val="24"/>
        </w:rPr>
        <w:t>: Sale of manufacturing unit located in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Sale Value</w:t>
      </w:r>
      <w:r w:rsidRPr="009C5151">
        <w:rPr>
          <w:rFonts w:ascii="Times New Roman" w:hAnsi="Times New Roman" w:cs="Times New Roman"/>
          <w:sz w:val="24"/>
          <w:szCs w:val="24"/>
        </w:rPr>
        <w:t>: ₹400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Buyer</w:t>
      </w:r>
      <w:r w:rsidRPr="009C5151">
        <w:rPr>
          <w:rFonts w:ascii="Times New Roman" w:hAnsi="Times New Roman" w:cs="Times New Roman"/>
          <w:sz w:val="24"/>
          <w:szCs w:val="24"/>
        </w:rPr>
        <w:t>: SolarBright Germany GmbH, a related entity.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646"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Queries for Ruling</w:t>
      </w:r>
      <w:r w:rsidRPr="009C5151">
        <w:t>:</w:t>
      </w:r>
      <w:r w:rsidRPr="009C5151">
        <w:br/>
        <w:t>We seek clarity on the following aspects: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capital gains tax on the sale of the manufacturing unit under Section 9 of the Income-tax Act, 1961.</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Taxability of gains under Article 13 (Capital Gains) of the UN Model Convention.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DTAA benefits under the India-Germany treaty apply to this transaction.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47"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Supporting Documents Attached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Sale Agreement with SolarBright Germany GmbH.</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Independent Valuation Report.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TRC and Form 10F for SolarBright Germany GmbH.</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Financial and Functional Analysis of the transaction.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48"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Declaration</w:t>
      </w:r>
      <w:r w:rsidRPr="009C5151">
        <w:t>:</w:t>
      </w:r>
      <w:r w:rsidRPr="009C5151">
        <w:br/>
        <w:t>We confirm that the information provided above is accurate and true to the best of our knowledge.</w:t>
      </w:r>
    </w:p>
    <w:p w:rsidR="00A056B6" w:rsidRPr="009C5151" w:rsidRDefault="00A056B6" w:rsidP="00743A5F">
      <w:pPr>
        <w:pStyle w:val="NormalWeb"/>
        <w:spacing w:before="0" w:beforeAutospacing="0"/>
      </w:pPr>
      <w:r w:rsidRPr="009C5151">
        <w:rPr>
          <w:rStyle w:val="Strong"/>
        </w:rPr>
        <w:t>Signed</w:t>
      </w:r>
      <w:r w:rsidRPr="009C5151">
        <w:t>:</w:t>
      </w:r>
      <w:r w:rsidRPr="009C5151">
        <w:br/>
        <w:t>For SolarBright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49" style="width:0;height:1.5pt" o:hralign="center" o:hrstd="t" o:hr="t" fillcolor="#a0a0a0" stroked="f"/>
        </w:pict>
      </w:r>
    </w:p>
    <w:p w:rsidR="00A056B6" w:rsidRPr="009C5151" w:rsidRDefault="00A056B6" w:rsidP="00743A5F">
      <w:pPr>
        <w:pStyle w:val="NormalWeb"/>
        <w:spacing w:before="0" w:beforeAutospacing="0"/>
      </w:pPr>
      <w:r w:rsidRPr="009C5151">
        <w:t>Authorized Signatory</w:t>
      </w:r>
    </w:p>
    <w:p w:rsidR="00A056B6" w:rsidRPr="009C5151" w:rsidRDefault="00A056B6" w:rsidP="00743A5F">
      <w:pPr>
        <w:pStyle w:val="NormalWeb"/>
        <w:spacing w:before="0" w:beforeAutospacing="0"/>
      </w:pPr>
      <w:r w:rsidRPr="009C5151">
        <w:t>Date: [Date]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50"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5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77" w:name="_Toc187624132"/>
      <w:bookmarkStart w:id="978" w:name="_Toc187630852"/>
      <w:bookmarkStart w:id="979" w:name="_Toc187661031"/>
      <w:bookmarkStart w:id="980" w:name="_Toc187662110"/>
      <w:r w:rsidRPr="009C5151">
        <w:rPr>
          <w:rStyle w:val="Strong"/>
          <w:b/>
          <w:bCs/>
          <w:sz w:val="24"/>
          <w:szCs w:val="24"/>
        </w:rPr>
        <w:t>II. Transfer Pricing (TP) Documentation</w:t>
      </w:r>
      <w:bookmarkEnd w:id="977"/>
      <w:bookmarkEnd w:id="978"/>
      <w:bookmarkEnd w:id="979"/>
      <w:bookmarkEnd w:id="980"/>
    </w:p>
    <w:p w:rsidR="00A056B6" w:rsidRPr="009C5151" w:rsidRDefault="00A056B6" w:rsidP="00743A5F">
      <w:pPr>
        <w:pStyle w:val="NormalWeb"/>
        <w:spacing w:before="0" w:beforeAutospacing="0"/>
      </w:pPr>
      <w:r w:rsidRPr="009C5151">
        <w:rPr>
          <w:rStyle w:val="Strong"/>
        </w:rPr>
        <w:t>Template: Functional and Risk Analysis for TP Documentation</w:t>
      </w:r>
    </w:p>
    <w:p w:rsidR="00A056B6" w:rsidRPr="009C5151" w:rsidRDefault="00A056B6" w:rsidP="00743A5F">
      <w:pPr>
        <w:pStyle w:val="NormalWeb"/>
        <w:spacing w:before="0" w:beforeAutospacing="0"/>
      </w:pPr>
      <w:r w:rsidRPr="009C5151">
        <w:rPr>
          <w:rStyle w:val="Strong"/>
        </w:rPr>
        <w:t>[Prepared for SolarBright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52"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 Functional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2"/>
        <w:gridCol w:w="3631"/>
        <w:gridCol w:w="3893"/>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lastRenderedPageBreak/>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SolarBright Pvt. Ltd. (India)</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AEs (e.g., Germany, Singapore)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Produces solar panels and related technology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Plans strategy and coordinates globally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Local execution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Core research and innovation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Application-based R&amp;D by German AE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5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B. Risk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9"/>
        <w:gridCol w:w="3233"/>
        <w:gridCol w:w="3587"/>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Risk</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Allocated to Indian Entity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Allocated to AEs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Fully borne by Indian HQ</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Limited (local market-specific risks)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Financial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Managed centrally by Indian HQ</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IP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Fully managed by Indian HQ</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5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C. Benchmarking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2"/>
        <w:gridCol w:w="1427"/>
        <w:gridCol w:w="2100"/>
        <w:gridCol w:w="1400"/>
        <w:gridCol w:w="130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Benchmark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Value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 of Solar Panels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 Margin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14%</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6%-8% Royalty Rate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 Markup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55"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5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81" w:name="_Toc187624133"/>
      <w:bookmarkStart w:id="982" w:name="_Toc187630853"/>
      <w:bookmarkStart w:id="983" w:name="_Toc187661032"/>
      <w:bookmarkStart w:id="984" w:name="_Toc187662111"/>
      <w:r w:rsidRPr="009C5151">
        <w:rPr>
          <w:rStyle w:val="Strong"/>
          <w:b/>
          <w:bCs/>
          <w:sz w:val="24"/>
          <w:szCs w:val="24"/>
        </w:rPr>
        <w:t>III. Compliance Templates</w:t>
      </w:r>
      <w:bookmarkEnd w:id="981"/>
      <w:bookmarkEnd w:id="982"/>
      <w:bookmarkEnd w:id="983"/>
      <w:bookmarkEnd w:id="984"/>
    </w:p>
    <w:p w:rsidR="00A056B6" w:rsidRPr="009C5151" w:rsidRDefault="00A056B6" w:rsidP="00743A5F">
      <w:pPr>
        <w:pStyle w:val="Heading4"/>
        <w:spacing w:before="0" w:beforeAutospacing="0"/>
      </w:pPr>
      <w:r w:rsidRPr="009C5151">
        <w:rPr>
          <w:rStyle w:val="Strong"/>
          <w:b/>
          <w:bCs/>
        </w:rPr>
        <w:t>1. Withholding Tax (WHT) Compliance</w:t>
      </w:r>
    </w:p>
    <w:p w:rsidR="00A056B6" w:rsidRPr="009C5151" w:rsidRDefault="00A056B6" w:rsidP="00743A5F">
      <w:pPr>
        <w:pStyle w:val="NormalWeb"/>
        <w:spacing w:before="0" w:beforeAutospacing="0"/>
      </w:pPr>
      <w:r w:rsidRPr="009C5151">
        <w:rPr>
          <w:rStyle w:val="Strong"/>
        </w:rPr>
        <w:t>Template: WHT 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9"/>
        <w:gridCol w:w="1994"/>
        <w:gridCol w:w="850"/>
        <w:gridCol w:w="1499"/>
        <w:gridCol w:w="1087"/>
        <w:gridCol w:w="2037"/>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Due Date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Remarks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DTAA-compliant (India-Singapore)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DTAA-compliant (India-Germany)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DTAA-compliant (India-Russia)</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Dividend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DTAA-compliant (India-Mauritius)</w:t>
            </w:r>
          </w:p>
        </w:tc>
      </w:tr>
    </w:tbl>
    <w:p w:rsidR="00A056B6" w:rsidRPr="009C5151" w:rsidRDefault="00A056B6" w:rsidP="00743A5F">
      <w:pPr>
        <w:pStyle w:val="NormalWeb"/>
        <w:spacing w:before="0" w:beforeAutospacing="0"/>
      </w:pPr>
      <w:r w:rsidRPr="009C5151">
        <w:rPr>
          <w:rStyle w:val="Strong"/>
        </w:rPr>
        <w:t>Filing Steps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Prepare Form 27Q</w:t>
      </w:r>
      <w:r w:rsidRPr="009C5151">
        <w:rPr>
          <w:rFonts w:ascii="Times New Roman" w:hAnsi="Times New Roman" w:cs="Times New Roman"/>
          <w:sz w:val="24"/>
          <w:szCs w:val="24"/>
        </w:rPr>
        <w:t>: For quarterly TDS statements.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Generate TDS Certificates</w:t>
      </w:r>
      <w:r w:rsidRPr="009C5151">
        <w:rPr>
          <w:rFonts w:ascii="Times New Roman" w:hAnsi="Times New Roman" w:cs="Times New Roman"/>
          <w:sz w:val="24"/>
          <w:szCs w:val="24"/>
        </w:rPr>
        <w:t xml:space="preserve">: Issue </w:t>
      </w:r>
      <w:r w:rsidRPr="009C5151">
        <w:rPr>
          <w:rStyle w:val="Strong"/>
          <w:rFonts w:ascii="Times New Roman" w:hAnsi="Times New Roman" w:cs="Times New Roman"/>
          <w:sz w:val="24"/>
          <w:szCs w:val="24"/>
        </w:rPr>
        <w:t>Form 16A</w:t>
      </w:r>
      <w:r w:rsidRPr="009C5151">
        <w:rPr>
          <w:rFonts w:ascii="Times New Roman" w:hAnsi="Times New Roman" w:cs="Times New Roman"/>
          <w:sz w:val="24"/>
          <w:szCs w:val="24"/>
        </w:rPr>
        <w:t xml:space="preserve"> to payees.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Remit WHT</w:t>
      </w:r>
      <w:r w:rsidRPr="009C5151">
        <w:rPr>
          <w:rFonts w:ascii="Times New Roman" w:hAnsi="Times New Roman" w:cs="Times New Roman"/>
          <w:sz w:val="24"/>
          <w:szCs w:val="24"/>
        </w:rPr>
        <w:t xml:space="preserve">: Pay the deducted amount through Challan </w:t>
      </w:r>
      <w:r w:rsidRPr="009C5151">
        <w:rPr>
          <w:rStyle w:val="Strong"/>
          <w:rFonts w:ascii="Times New Roman" w:hAnsi="Times New Roman" w:cs="Times New Roman"/>
          <w:sz w:val="24"/>
          <w:szCs w:val="24"/>
        </w:rPr>
        <w:t>ITNS 281</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5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Permanent Establishment (PE) Compliance</w:t>
      </w:r>
    </w:p>
    <w:p w:rsidR="00A056B6" w:rsidRPr="009C5151" w:rsidRDefault="00A056B6" w:rsidP="00743A5F">
      <w:pPr>
        <w:pStyle w:val="NormalWeb"/>
        <w:spacing w:before="0" w:beforeAutospacing="0"/>
      </w:pPr>
      <w:r w:rsidRPr="009C5151">
        <w:rPr>
          <w:rStyle w:val="Strong"/>
        </w:rPr>
        <w:t>Template: PE Documentation</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58"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PE Analysis for SolarBright Pvt. Ltd.</w:t>
      </w:r>
    </w:p>
    <w:p w:rsidR="00A056B6" w:rsidRPr="009C5151" w:rsidRDefault="00A056B6" w:rsidP="00743A5F">
      <w:pPr>
        <w:pStyle w:val="NormalWeb"/>
        <w:spacing w:before="0" w:beforeAutospacing="0"/>
      </w:pPr>
      <w:r w:rsidRPr="009C5151">
        <w:rPr>
          <w:rStyle w:val="Strong"/>
        </w:rPr>
        <w:t>A. PE Overview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
        <w:gridCol w:w="2376"/>
        <w:gridCol w:w="1831"/>
        <w:gridCol w:w="3851"/>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Activity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 Risk</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Mitigation Steps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and distribution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Dependent Agent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 subsidiary’s authority to finalize contracts.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for consulting projects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Fixed Place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Allocate profits for functions performed.</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5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B. Profit Attribution to PE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1829"/>
        <w:gridCol w:w="1455"/>
        <w:gridCol w:w="2100"/>
        <w:gridCol w:w="758"/>
        <w:gridCol w:w="158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from PE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Expenses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Attributable 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270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6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Country-by-Country (CbC) Reporting</w:t>
      </w:r>
    </w:p>
    <w:p w:rsidR="00A056B6" w:rsidRPr="009C5151" w:rsidRDefault="00A056B6" w:rsidP="00743A5F">
      <w:pPr>
        <w:pStyle w:val="NormalWeb"/>
        <w:spacing w:before="0" w:beforeAutospacing="0"/>
      </w:pPr>
      <w:r w:rsidRPr="009C5151">
        <w:rPr>
          <w:rStyle w:val="Strong"/>
        </w:rPr>
        <w:t>Template: CbC Report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3"/>
        <w:gridCol w:w="1541"/>
        <w:gridCol w:w="1271"/>
        <w:gridCol w:w="1479"/>
        <w:gridCol w:w="1167"/>
        <w:gridCol w:w="2265"/>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Paid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Employees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Key Functions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 R&amp;D</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Distribution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Consultancy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IP Licensing, Management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Mauritius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Holding Company</w:t>
            </w:r>
          </w:p>
        </w:tc>
      </w:tr>
    </w:tbl>
    <w:p w:rsidR="00A056B6" w:rsidRPr="009C5151" w:rsidRDefault="00A056B6" w:rsidP="00743A5F">
      <w:pPr>
        <w:pStyle w:val="NormalWeb"/>
        <w:spacing w:before="0" w:beforeAutospacing="0"/>
      </w:pPr>
      <w:r w:rsidRPr="009C5151">
        <w:rPr>
          <w:rStyle w:val="Strong"/>
        </w:rPr>
        <w:t>Filing Steps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Prepare CbC Report</w:t>
      </w:r>
      <w:r w:rsidRPr="009C5151">
        <w:rPr>
          <w:rFonts w:ascii="Times New Roman" w:hAnsi="Times New Roman" w:cs="Times New Roman"/>
          <w:sz w:val="24"/>
          <w:szCs w:val="24"/>
        </w:rPr>
        <w:t>: Fill jurisdiction-wise financial and operational details.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File Online</w:t>
      </w:r>
      <w:r w:rsidRPr="009C5151">
        <w:rPr>
          <w:rFonts w:ascii="Times New Roman" w:hAnsi="Times New Roman" w:cs="Times New Roman"/>
          <w:sz w:val="24"/>
          <w:szCs w:val="24"/>
        </w:rPr>
        <w:t xml:space="preserve">: Submit the report via the Income Tax Portal </w:t>
      </w:r>
      <w:r w:rsidRPr="009C5151">
        <w:rPr>
          <w:rStyle w:val="Strong"/>
          <w:rFonts w:ascii="Times New Roman" w:hAnsi="Times New Roman" w:cs="Times New Roman"/>
          <w:sz w:val="24"/>
          <w:szCs w:val="24"/>
        </w:rPr>
        <w:t>(e-Filing → File CbC Report)</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Verification</w:t>
      </w:r>
      <w:r w:rsidRPr="009C5151">
        <w:rPr>
          <w:rFonts w:ascii="Times New Roman" w:hAnsi="Times New Roman" w:cs="Times New Roman"/>
          <w:sz w:val="24"/>
          <w:szCs w:val="24"/>
        </w:rPr>
        <w:t xml:space="preserve">: Use </w:t>
      </w:r>
      <w:r w:rsidRPr="009C5151">
        <w:rPr>
          <w:rStyle w:val="Strong"/>
          <w:rFonts w:ascii="Times New Roman" w:hAnsi="Times New Roman" w:cs="Times New Roman"/>
          <w:sz w:val="24"/>
          <w:szCs w:val="24"/>
        </w:rPr>
        <w:t>Digital Signature Certificate (DSC)</w:t>
      </w:r>
      <w:r w:rsidRPr="009C5151">
        <w:rPr>
          <w:rFonts w:ascii="Times New Roman" w:hAnsi="Times New Roman" w:cs="Times New Roman"/>
          <w:sz w:val="24"/>
          <w:szCs w:val="24"/>
        </w:rPr>
        <w:t xml:space="preserve"> for submission.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61" style="width:0;height:1.5pt" o:hralign="center" o:hrstd="t" o:hr="t" fillcolor="#a0a0a0" stroked="f"/>
        </w:pict>
      </w:r>
    </w:p>
    <w:p w:rsidR="00A056B6" w:rsidRPr="009C5151" w:rsidRDefault="00A056B6" w:rsidP="00743A5F">
      <w:pPr>
        <w:pStyle w:val="NormalWeb"/>
        <w:spacing w:before="0" w:beforeAutospacing="0"/>
      </w:pPr>
      <w:r w:rsidRPr="009C5151">
        <w:t xml:space="preserve">Would you like further </w:t>
      </w:r>
      <w:r w:rsidRPr="009C5151">
        <w:rPr>
          <w:rStyle w:val="Strong"/>
        </w:rPr>
        <w:t>customization</w:t>
      </w:r>
      <w:r w:rsidRPr="009C5151">
        <w:t xml:space="preserve">, assistance with </w:t>
      </w:r>
      <w:r w:rsidRPr="009C5151">
        <w:rPr>
          <w:rStyle w:val="Strong"/>
        </w:rPr>
        <w:t>portal submissions</w:t>
      </w:r>
      <w:r w:rsidRPr="009C5151">
        <w:t xml:space="preserve">, or a </w:t>
      </w:r>
      <w:r w:rsidRPr="009C5151">
        <w:rPr>
          <w:rStyle w:val="Strong"/>
        </w:rPr>
        <w:t>review of your drafts</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xml:space="preserve">Please do the same with a 20 th example of different set of issues and problem and suggested solutions by a CA to a Company including a detailed discussion on the various topics covered under suggestions and Conclusion. Please include in addition to the above transactions like Withholding tax, CbC reporting, Mutual Agreement procedure, DTAA with countries like USA, UK, Germany, Singapore, Mauritius, China, Russia and Germany; equalization levy; Please first list down the case, issues, documents and CA advise, Dividend and Interest, Royalty and Fee for Technical Services; applicability of GAAR; applicability of PE; Inter group transactions; computation of taxable income of the Tested Party with assumed numbers for the AY 2024-25; what kind of a PE the tested party may have by considering relevant provisions; Tax Information Exchange Agreement; the ruling of Board for Advance Ruling; the obligations and compute the liability (if any) of the tested party; sale of its manufacturing unit located in India as per UN Model Convention. Please consider Tested Party's subsidiary </w:t>
      </w:r>
      <w:r w:rsidRPr="009C5151">
        <w:rPr>
          <w:rFonts w:ascii="Times New Roman" w:hAnsi="Times New Roman" w:cs="Times New Roman"/>
          <w:sz w:val="24"/>
          <w:szCs w:val="24"/>
        </w:rPr>
        <w:lastRenderedPageBreak/>
        <w:t>and transactions between them, shifting the subsidiary to another nation with which India has DTAA, LOB clause and other relevant aspects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E319E7C" wp14:editId="7099BEDB">
            <wp:extent cx="763905" cy="763905"/>
            <wp:effectExtent l="0" t="0" r="0" b="0"/>
            <wp:docPr id="283" name="Picture 28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4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985" w:name="_Toc187624134"/>
      <w:bookmarkStart w:id="986" w:name="_Toc187630854"/>
      <w:bookmarkStart w:id="987" w:name="_Toc187661033"/>
      <w:bookmarkStart w:id="988" w:name="_Toc187662112"/>
      <w:r w:rsidRPr="009C5151">
        <w:rPr>
          <w:rStyle w:val="Strong"/>
          <w:b/>
          <w:bCs/>
          <w:sz w:val="24"/>
          <w:szCs w:val="24"/>
        </w:rPr>
        <w:t>Case Study: Tax and Compliance Challenges for GlobalSolar Pvt. Ltd.</w:t>
      </w:r>
      <w:bookmarkEnd w:id="985"/>
      <w:bookmarkEnd w:id="986"/>
      <w:bookmarkEnd w:id="987"/>
      <w:bookmarkEnd w:id="988"/>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6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89" w:name="_Toc187624135"/>
      <w:bookmarkStart w:id="990" w:name="_Toc187630855"/>
      <w:bookmarkStart w:id="991" w:name="_Toc187661034"/>
      <w:bookmarkStart w:id="992" w:name="_Toc187662113"/>
      <w:r w:rsidRPr="009C5151">
        <w:rPr>
          <w:rStyle w:val="Strong"/>
          <w:b/>
          <w:bCs/>
          <w:sz w:val="24"/>
          <w:szCs w:val="24"/>
        </w:rPr>
        <w:t>Background</w:t>
      </w:r>
      <w:bookmarkEnd w:id="989"/>
      <w:bookmarkEnd w:id="990"/>
      <w:bookmarkEnd w:id="991"/>
      <w:bookmarkEnd w:id="992"/>
    </w:p>
    <w:p w:rsidR="00A056B6" w:rsidRPr="009C5151" w:rsidRDefault="00A056B6" w:rsidP="00743A5F">
      <w:pPr>
        <w:pStyle w:val="NormalWeb"/>
        <w:spacing w:before="0" w:beforeAutospacing="0"/>
      </w:pPr>
      <w:r w:rsidRPr="009C5151">
        <w:t xml:space="preserve">GlobalSolar Pvt. Ltd., an Indian company specializing in renewable energy solutions, operates globally, with key subsidiaries in </w:t>
      </w:r>
      <w:r w:rsidRPr="009C5151">
        <w:rPr>
          <w:rStyle w:val="Strong"/>
        </w:rPr>
        <w:t>USA, UK, Germany, Singapore, Mauritius, China, and Russia</w:t>
      </w:r>
      <w:r w:rsidRPr="009C5151">
        <w:t xml:space="preserve">. The company engages in </w:t>
      </w:r>
      <w:r w:rsidRPr="009C5151">
        <w:rPr>
          <w:rStyle w:val="Strong"/>
        </w:rPr>
        <w:t>exports</w:t>
      </w:r>
      <w:r w:rsidRPr="009C5151">
        <w:t xml:space="preserve">, </w:t>
      </w:r>
      <w:r w:rsidRPr="009C5151">
        <w:rPr>
          <w:rStyle w:val="Strong"/>
        </w:rPr>
        <w:t>royalty payments</w:t>
      </w:r>
      <w:r w:rsidRPr="009C5151">
        <w:t xml:space="preserve">, </w:t>
      </w:r>
      <w:r w:rsidRPr="009C5151">
        <w:rPr>
          <w:rStyle w:val="Strong"/>
        </w:rPr>
        <w:t>fee for technical services (FTS)</w:t>
      </w:r>
      <w:r w:rsidRPr="009C5151">
        <w:t xml:space="preserve">, </w:t>
      </w:r>
      <w:r w:rsidRPr="009C5151">
        <w:rPr>
          <w:rStyle w:val="Strong"/>
        </w:rPr>
        <w:t>interest payments</w:t>
      </w:r>
      <w:r w:rsidRPr="009C5151">
        <w:t xml:space="preserve">, </w:t>
      </w:r>
      <w:r w:rsidRPr="009C5151">
        <w:rPr>
          <w:rStyle w:val="Strong"/>
        </w:rPr>
        <w:t>dividends</w:t>
      </w:r>
      <w:r w:rsidRPr="009C5151">
        <w:t xml:space="preserve">, </w:t>
      </w:r>
      <w:r w:rsidRPr="009C5151">
        <w:rPr>
          <w:rStyle w:val="Strong"/>
        </w:rPr>
        <w:t>inter-group transactions</w:t>
      </w:r>
      <w:r w:rsidRPr="009C5151">
        <w:t xml:space="preserve">, and </w:t>
      </w:r>
      <w:r w:rsidRPr="009C5151">
        <w:rPr>
          <w:rStyle w:val="Strong"/>
        </w:rPr>
        <w:t>sale of a manufacturing unit</w:t>
      </w:r>
      <w:r w:rsidRPr="009C5151">
        <w:t xml:space="preserve">. The company faces compliance and tax challenges related to </w:t>
      </w:r>
      <w:r w:rsidRPr="009C5151">
        <w:rPr>
          <w:rStyle w:val="Strong"/>
        </w:rPr>
        <w:t>withholding tax (WHT)</w:t>
      </w:r>
      <w:r w:rsidRPr="009C5151">
        <w:t xml:space="preserve">, </w:t>
      </w:r>
      <w:r w:rsidRPr="009C5151">
        <w:rPr>
          <w:rStyle w:val="Strong"/>
        </w:rPr>
        <w:t>CbC reporting</w:t>
      </w:r>
      <w:r w:rsidRPr="009C5151">
        <w:t xml:space="preserve">, </w:t>
      </w:r>
      <w:r w:rsidRPr="009C5151">
        <w:rPr>
          <w:rStyle w:val="Strong"/>
        </w:rPr>
        <w:t>GAAR applicability</w:t>
      </w:r>
      <w:r w:rsidRPr="009C5151">
        <w:t xml:space="preserve">, </w:t>
      </w:r>
      <w:r w:rsidRPr="009C5151">
        <w:rPr>
          <w:rStyle w:val="Strong"/>
        </w:rPr>
        <w:t>Permanent Establishment (PE)</w:t>
      </w:r>
      <w:r w:rsidRPr="009C5151">
        <w:t xml:space="preserve">, and the </w:t>
      </w:r>
      <w:r w:rsidRPr="009C5151">
        <w:rPr>
          <w:rStyle w:val="Strong"/>
        </w:rPr>
        <w:t>UN Model Convention</w:t>
      </w:r>
      <w:r w:rsidRPr="009C5151">
        <w:t>.</w:t>
      </w:r>
    </w:p>
    <w:p w:rsidR="00A056B6" w:rsidRPr="009C5151" w:rsidRDefault="00A056B6" w:rsidP="00743A5F">
      <w:pPr>
        <w:pStyle w:val="NormalWeb"/>
        <w:spacing w:before="0" w:beforeAutospacing="0"/>
      </w:pPr>
      <w:r w:rsidRPr="009C5151">
        <w:t xml:space="preserve">In addition, GlobalSolar plans to relocate its Singapore subsidiary to </w:t>
      </w:r>
      <w:r w:rsidRPr="009C5151">
        <w:rPr>
          <w:rStyle w:val="Strong"/>
        </w:rPr>
        <w:t>UAE</w:t>
      </w:r>
      <w:r w:rsidRPr="009C5151">
        <w:t xml:space="preserve">, leveraging the </w:t>
      </w:r>
      <w:r w:rsidRPr="009C5151">
        <w:rPr>
          <w:rStyle w:val="Strong"/>
        </w:rPr>
        <w:t>India-UAE DTAA</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6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93" w:name="_Toc187624136"/>
      <w:bookmarkStart w:id="994" w:name="_Toc187630856"/>
      <w:bookmarkStart w:id="995" w:name="_Toc187661035"/>
      <w:bookmarkStart w:id="996" w:name="_Toc187662114"/>
      <w:r w:rsidRPr="009C5151">
        <w:rPr>
          <w:rStyle w:val="Strong"/>
          <w:b/>
          <w:bCs/>
          <w:sz w:val="24"/>
          <w:szCs w:val="24"/>
        </w:rPr>
        <w:t>Transactions</w:t>
      </w:r>
      <w:bookmarkEnd w:id="993"/>
      <w:bookmarkEnd w:id="994"/>
      <w:bookmarkEnd w:id="995"/>
      <w:bookmarkEnd w:id="996"/>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Solar Panels</w:t>
      </w:r>
      <w:r w:rsidRPr="009C5151">
        <w:t>:</w:t>
      </w:r>
      <w:r w:rsidRPr="009C5151">
        <w:br/>
        <w:t>Exported ₹1,800 crore worth of panels to AEs in USA, UK, and Germany.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r w:rsidRPr="009C5151">
        <w:br/>
        <w:t>Paid ₹80 crore to a Singapore AE for patented solar technology.</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r w:rsidRPr="009C5151">
        <w:br/>
        <w:t>Paid ₹45 crore to a German AE for consulting on solar grid optimization.</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r w:rsidRPr="009C5151">
        <w:br/>
        <w:t>Paid ₹25 crore to a Russian AE for loans obtained for business expansion.</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w:t>
      </w:r>
      <w:r w:rsidRPr="009C5151">
        <w:br/>
        <w:t>Paid ₹50 crore to its Mauritius parent company.</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r w:rsidRPr="009C5151">
        <w:br/>
        <w:t>Sold its Indian manufacturing unit to GlobalSolar UK Ltd. for ₹600 crore.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Digital Advertising Payments</w:t>
      </w:r>
      <w:r w:rsidRPr="009C5151">
        <w:t>:</w:t>
      </w:r>
      <w:r w:rsidRPr="009C5151">
        <w:br/>
        <w:t>Paid ₹25 crore to a USA-based platform for promoting solar products globally.</w:t>
      </w:r>
    </w:p>
    <w:p w:rsidR="00A056B6" w:rsidRPr="009C5151" w:rsidRDefault="00A056B6" w:rsidP="00743A5F">
      <w:pPr>
        <w:pStyle w:val="NormalWeb"/>
        <w:tabs>
          <w:tab w:val="num" w:pos="720"/>
        </w:tabs>
        <w:spacing w:before="0" w:beforeAutospacing="0"/>
        <w:ind w:left="720" w:hanging="360"/>
      </w:pPr>
      <w:r w:rsidRPr="009C5151">
        <w:rPr>
          <w:rStyle w:val="Strong"/>
        </w:rPr>
        <w:t>Subsidiary Restructuring</w:t>
      </w:r>
      <w:r w:rsidRPr="009C5151">
        <w:t>:</w:t>
      </w:r>
      <w:r w:rsidRPr="009C5151">
        <w:br/>
        <w:t xml:space="preserve">Relocation of Singapore subsidiary to UAE to optimize tax compliance under the </w:t>
      </w:r>
      <w:r w:rsidRPr="009C5151">
        <w:rPr>
          <w:rStyle w:val="Strong"/>
        </w:rPr>
        <w:t>India-UAE DTAA</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6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r w:rsidRPr="009C5151">
        <w:br/>
        <w:t>Paid ₹30 crore to an Indian AE for HR, finance, and IT support.</w:t>
      </w:r>
    </w:p>
    <w:p w:rsidR="00A056B6" w:rsidRPr="009C5151" w:rsidRDefault="00A056B6" w:rsidP="00743A5F">
      <w:pPr>
        <w:pStyle w:val="NormalWeb"/>
        <w:tabs>
          <w:tab w:val="num" w:pos="720"/>
        </w:tabs>
        <w:spacing w:before="0" w:beforeAutospacing="0"/>
        <w:ind w:left="720" w:hanging="360"/>
      </w:pPr>
      <w:r w:rsidRPr="009C5151">
        <w:rPr>
          <w:rStyle w:val="Strong"/>
        </w:rPr>
        <w:t>Leasing of Equipment</w:t>
      </w:r>
      <w:r w:rsidRPr="009C5151">
        <w:t>:</w:t>
      </w:r>
      <w:r w:rsidRPr="009C5151">
        <w:br/>
        <w:t>Leased ₹40 crore worth of equipment to another domestic AE.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65"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6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997" w:name="_Toc187624137"/>
      <w:bookmarkStart w:id="998" w:name="_Toc187630857"/>
      <w:bookmarkStart w:id="999" w:name="_Toc187661036"/>
      <w:bookmarkStart w:id="1000" w:name="_Toc187662115"/>
      <w:r w:rsidRPr="009C5151">
        <w:rPr>
          <w:rStyle w:val="Strong"/>
          <w:b/>
          <w:bCs/>
          <w:sz w:val="24"/>
          <w:szCs w:val="24"/>
        </w:rPr>
        <w:t>Key Issues</w:t>
      </w:r>
      <w:bookmarkEnd w:id="997"/>
      <w:bookmarkEnd w:id="998"/>
      <w:bookmarkEnd w:id="999"/>
      <w:bookmarkEnd w:id="1000"/>
    </w:p>
    <w:p w:rsidR="00A056B6" w:rsidRPr="009C5151" w:rsidRDefault="00A056B6" w:rsidP="00743A5F">
      <w:pPr>
        <w:pStyle w:val="Heading4"/>
        <w:spacing w:before="0" w:beforeAutospacing="0"/>
      </w:pPr>
      <w:r w:rsidRPr="009C5151">
        <w:rPr>
          <w:rStyle w:val="Strong"/>
          <w:b/>
          <w:bCs/>
        </w:rPr>
        <w:t>1. 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₹1,800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₹80 crore royalty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₹45 crore FTS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₹25 crore interest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₹600 crore sale of the manufacturing unit.</w: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Deducting WHT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(10% under India-Russia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(0% under India-Mauritius DTAA).</w: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Applicability of EL on ₹25 crore advertising payments to USA platform.</w:t>
      </w:r>
    </w:p>
    <w:p w:rsidR="00A056B6" w:rsidRPr="009C5151" w:rsidRDefault="00A056B6" w:rsidP="00743A5F">
      <w:pPr>
        <w:pStyle w:val="Heading4"/>
        <w:spacing w:before="0" w:beforeAutospacing="0"/>
      </w:pPr>
      <w:r w:rsidRPr="009C5151">
        <w:rPr>
          <w:rStyle w:val="Strong"/>
          <w:b/>
          <w:bCs/>
        </w:rPr>
        <w:t>4. Applicability of GAAR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GAAR scrutiny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Treaty benefits availed by Mauritius entity for dividend distribution.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Relocation of the Singapore subsidiary to UAE.</w:t>
      </w:r>
    </w:p>
    <w:p w:rsidR="00A056B6" w:rsidRPr="009C5151" w:rsidRDefault="00A056B6" w:rsidP="00743A5F">
      <w:pPr>
        <w:pStyle w:val="Heading4"/>
        <w:spacing w:before="0" w:beforeAutospacing="0"/>
      </w:pPr>
      <w:r w:rsidRPr="009C5151">
        <w:rPr>
          <w:rStyle w:val="Strong"/>
          <w:b/>
          <w:bCs/>
        </w:rPr>
        <w:t>5. Permanent Establishment (PE) Concerns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PE 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USA</w:t>
      </w:r>
      <w:r w:rsidRPr="009C5151">
        <w:rPr>
          <w:rFonts w:ascii="Times New Roman" w:hAnsi="Times New Roman" w:cs="Times New Roman"/>
          <w:sz w:val="24"/>
          <w:szCs w:val="24"/>
        </w:rPr>
        <w:t>: Dependent Agent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Germany</w:t>
      </w:r>
      <w:r w:rsidRPr="009C5151">
        <w:rPr>
          <w:rFonts w:ascii="Times New Roman" w:hAnsi="Times New Roman" w:cs="Times New Roman"/>
          <w:sz w:val="24"/>
          <w:szCs w:val="24"/>
        </w:rPr>
        <w:t>: Fixed Place PE.</w:t>
      </w:r>
    </w:p>
    <w:p w:rsidR="00A056B6" w:rsidRPr="009C5151" w:rsidRDefault="00A056B6" w:rsidP="00743A5F">
      <w:pPr>
        <w:pStyle w:val="Heading4"/>
        <w:spacing w:before="0" w:beforeAutospacing="0"/>
      </w:pPr>
      <w:r w:rsidRPr="009C5151">
        <w:rPr>
          <w:rStyle w:val="Strong"/>
          <w:b/>
          <w:bCs/>
        </w:rPr>
        <w:t>6. Taxable Income Computation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Determine taxable income for AY 2024-25 after TP adjustments and capital gains from the manufacturing unit sale.</w:t>
      </w:r>
    </w:p>
    <w:p w:rsidR="00A056B6" w:rsidRPr="009C5151" w:rsidRDefault="00A056B6" w:rsidP="00743A5F">
      <w:pPr>
        <w:pStyle w:val="Heading4"/>
        <w:spacing w:before="0" w:beforeAutospacing="0"/>
      </w:pPr>
      <w:r w:rsidRPr="009C5151">
        <w:rPr>
          <w:rStyle w:val="Strong"/>
          <w:b/>
          <w:bCs/>
        </w:rPr>
        <w:t>7. Tax Information Exchange Agreement (TIEA)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Russia requests interest payment details under TIEA.</w:t>
      </w:r>
    </w:p>
    <w:p w:rsidR="00A056B6" w:rsidRPr="009C5151" w:rsidRDefault="00A056B6" w:rsidP="00743A5F">
      <w:pPr>
        <w:pStyle w:val="Heading4"/>
        <w:spacing w:before="0" w:beforeAutospacing="0"/>
      </w:pPr>
      <w:r w:rsidRPr="009C5151">
        <w:rPr>
          <w:rStyle w:val="Strong"/>
          <w:b/>
          <w:bCs/>
        </w:rPr>
        <w:t>8. Board for Advance Rulings (AAR)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AAR sought for tax treatment of the manufacturing unit sale under the </w:t>
      </w:r>
      <w:r w:rsidRPr="009C5151">
        <w:rPr>
          <w:rStyle w:val="Strong"/>
          <w:rFonts w:ascii="Times New Roman" w:hAnsi="Times New Roman" w:cs="Times New Roman"/>
          <w:sz w:val="24"/>
          <w:szCs w:val="24"/>
        </w:rPr>
        <w:t>UN Model Convention</w:t>
      </w:r>
      <w:r w:rsidRPr="009C5151">
        <w:rPr>
          <w:rFonts w:ascii="Times New Roman" w:hAnsi="Times New Roman" w:cs="Times New Roman"/>
          <w:sz w:val="24"/>
          <w:szCs w:val="24"/>
        </w:rPr>
        <w:t>.</w:t>
      </w:r>
    </w:p>
    <w:p w:rsidR="00A056B6" w:rsidRPr="009C5151" w:rsidRDefault="00A056B6" w:rsidP="00743A5F">
      <w:pPr>
        <w:pStyle w:val="Heading4"/>
        <w:spacing w:before="0" w:beforeAutospacing="0"/>
      </w:pPr>
      <w:r w:rsidRPr="009C5151">
        <w:rPr>
          <w:rStyle w:val="Strong"/>
          <w:b/>
          <w:bCs/>
        </w:rPr>
        <w:t>9. Limitation of Benefits (LOB) Clause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Assess compliance with the LOB clause in India-Mauritius and India-UAE DTAAs.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67"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6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01" w:name="_Toc187624138"/>
      <w:bookmarkStart w:id="1002" w:name="_Toc187630858"/>
      <w:bookmarkStart w:id="1003" w:name="_Toc187661037"/>
      <w:bookmarkStart w:id="1004" w:name="_Toc187662116"/>
      <w:r w:rsidRPr="009C5151">
        <w:rPr>
          <w:rStyle w:val="Strong"/>
          <w:b/>
          <w:bCs/>
          <w:sz w:val="24"/>
          <w:szCs w:val="24"/>
        </w:rPr>
        <w:t>Documents Required</w:t>
      </w:r>
      <w:bookmarkEnd w:id="1001"/>
      <w:bookmarkEnd w:id="1002"/>
      <w:bookmarkEnd w:id="1003"/>
      <w:bookmarkEnd w:id="1004"/>
    </w:p>
    <w:p w:rsidR="00A056B6" w:rsidRPr="009C5151" w:rsidRDefault="00A056B6" w:rsidP="00743A5F">
      <w:pPr>
        <w:pStyle w:val="NormalWeb"/>
        <w:tabs>
          <w:tab w:val="num" w:pos="720"/>
        </w:tabs>
        <w:spacing w:before="0" w:beforeAutospacing="0"/>
        <w:ind w:left="720" w:hanging="360"/>
      </w:pPr>
      <w:r w:rsidRPr="009C5151">
        <w:rPr>
          <w:rStyle w:val="Strong"/>
        </w:rPr>
        <w:t>Transaction 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Contracts for exports, royalties, FTS, loans, dividends, and unit sale.</w:t>
      </w:r>
    </w:p>
    <w:p w:rsidR="00A056B6" w:rsidRPr="009C5151" w:rsidRDefault="00A056B6" w:rsidP="00743A5F">
      <w:pPr>
        <w:pStyle w:val="NormalWeb"/>
        <w:tabs>
          <w:tab w:val="num" w:pos="720"/>
        </w:tabs>
        <w:spacing w:before="0" w:beforeAutospacing="0"/>
        <w:ind w:left="720" w:hanging="360"/>
      </w:pPr>
      <w:r w:rsidRPr="009C5151">
        <w:rPr>
          <w:rStyle w:val="Strong"/>
        </w:rPr>
        <w:t>Valuation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Independent valuation for the sale of the manufacturing unit.</w:t>
      </w:r>
    </w:p>
    <w:p w:rsidR="00A056B6" w:rsidRPr="009C5151" w:rsidRDefault="00A056B6" w:rsidP="00743A5F">
      <w:pPr>
        <w:pStyle w:val="NormalWeb"/>
        <w:tabs>
          <w:tab w:val="num" w:pos="720"/>
        </w:tabs>
        <w:spacing w:before="0" w:beforeAutospacing="0"/>
        <w:ind w:left="720" w:hanging="360"/>
      </w:pPr>
      <w:r w:rsidRPr="009C5151">
        <w:rPr>
          <w:rStyle w:val="Strong"/>
        </w:rPr>
        <w:t>Tax Residency Certificates (TRC)</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TRCs for Singapore, Germany, Mauritius, and Russia.</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Roles, functions, and risks among AEs.</w:t>
      </w:r>
    </w:p>
    <w:p w:rsidR="00A056B6" w:rsidRPr="009C5151" w:rsidRDefault="00A056B6" w:rsidP="00743A5F">
      <w:pPr>
        <w:pStyle w:val="NormalWeb"/>
        <w:tabs>
          <w:tab w:val="num" w:pos="720"/>
        </w:tabs>
        <w:spacing w:before="0" w:beforeAutospacing="0"/>
        <w:ind w:left="720" w:hanging="360"/>
      </w:pPr>
      <w:r w:rsidRPr="009C5151">
        <w:rPr>
          <w:rStyle w:val="Strong"/>
        </w:rPr>
        <w:t>AAR Submission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Sale agreement, valuation report, and DTAA provisions.</w:t>
      </w:r>
    </w:p>
    <w:p w:rsidR="00A056B6" w:rsidRPr="009C5151" w:rsidRDefault="00A056B6" w:rsidP="00743A5F">
      <w:pPr>
        <w:pStyle w:val="NormalWeb"/>
        <w:tabs>
          <w:tab w:val="num" w:pos="720"/>
        </w:tabs>
        <w:spacing w:before="0" w:beforeAutospacing="0"/>
        <w:ind w:left="720" w:hanging="360"/>
      </w:pPr>
      <w:r w:rsidRPr="009C5151">
        <w:rPr>
          <w:rStyle w:val="Strong"/>
        </w:rPr>
        <w:t>CbC Reporting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Consolidated financial and operational details.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69"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7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05" w:name="_Toc187624139"/>
      <w:bookmarkStart w:id="1006" w:name="_Toc187630859"/>
      <w:bookmarkStart w:id="1007" w:name="_Toc187661038"/>
      <w:bookmarkStart w:id="1008" w:name="_Toc187662117"/>
      <w:r w:rsidRPr="009C5151">
        <w:rPr>
          <w:rStyle w:val="Strong"/>
          <w:b/>
          <w:bCs/>
          <w:sz w:val="24"/>
          <w:szCs w:val="24"/>
        </w:rPr>
        <w:t>Proposed Solutions</w:t>
      </w:r>
      <w:bookmarkEnd w:id="1005"/>
      <w:bookmarkEnd w:id="1006"/>
      <w:bookmarkEnd w:id="1007"/>
      <w:bookmarkEnd w:id="1008"/>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Export of Solar Panels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TNMM</w:t>
      </w:r>
      <w:r w:rsidRPr="009C5151">
        <w:rPr>
          <w:rFonts w:ascii="Times New Roman" w:hAnsi="Times New Roman" w:cs="Times New Roman"/>
          <w:sz w:val="24"/>
          <w:szCs w:val="24"/>
        </w:rPr>
        <w:t xml:space="preserve"> to benchmark ₹1,800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margins with renewable energy solution providers.</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benchmark ₹80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royalty rate (6%-8%).</w:t>
      </w:r>
    </w:p>
    <w:p w:rsidR="00A056B6" w:rsidRPr="009C5151" w:rsidRDefault="00A056B6" w:rsidP="00743A5F">
      <w:pPr>
        <w:pStyle w:val="NormalWeb"/>
        <w:tabs>
          <w:tab w:val="num" w:pos="720"/>
        </w:tabs>
        <w:spacing w:before="0" w:beforeAutospacing="0"/>
        <w:ind w:left="720" w:hanging="360"/>
      </w:pPr>
      <w:r w:rsidRPr="009C5151">
        <w:rPr>
          <w:rStyle w:val="Strong"/>
        </w:rPr>
        <w:t>FTS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CPM</w:t>
      </w:r>
      <w:r w:rsidRPr="009C5151">
        <w:rPr>
          <w:rFonts w:ascii="Times New Roman" w:hAnsi="Times New Roman" w:cs="Times New Roman"/>
          <w:sz w:val="24"/>
          <w:szCs w:val="24"/>
        </w:rPr>
        <w:t xml:space="preserve"> to benchmark ₹45 crore consulting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markup with global consulting firms.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Ensure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(interest deduction capped at 30% of EBITDA).</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₹600 crore transaction using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valuation method</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7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₹80 crore × 10% = ₹8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₹45 crore × 10% = ₹4.5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₹25 crore × 10% = ₹2.5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7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Levy at 6% on ₹25 crore advertising payments = ₹1.5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7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GAAR and Subsidiary Relocation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Relocation to UAE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Justify operational reasons (e.g., proximity to Middle Eastern markets, reduced logistics costs).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Ensure compliance with the </w:t>
      </w:r>
      <w:r w:rsidRPr="009C5151">
        <w:rPr>
          <w:rStyle w:val="Strong"/>
          <w:rFonts w:ascii="Times New Roman" w:hAnsi="Times New Roman" w:cs="Times New Roman"/>
          <w:sz w:val="24"/>
          <w:szCs w:val="24"/>
        </w:rPr>
        <w:t>LOB clause</w:t>
      </w:r>
      <w:r w:rsidRPr="009C5151">
        <w:rPr>
          <w:rFonts w:ascii="Times New Roman" w:hAnsi="Times New Roman" w:cs="Times New Roman"/>
          <w:sz w:val="24"/>
          <w:szCs w:val="24"/>
        </w:rPr>
        <w:t xml:space="preserve"> in the India-UAE DTAA by demonstrating local substance (e.g., UAE office, staff, and operations).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7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Permanent Establishment (PE)</w:t>
      </w:r>
    </w:p>
    <w:p w:rsidR="00A056B6" w:rsidRPr="009C5151" w:rsidRDefault="00A056B6" w:rsidP="00743A5F">
      <w:pPr>
        <w:pStyle w:val="NormalWeb"/>
        <w:tabs>
          <w:tab w:val="num" w:pos="720"/>
        </w:tabs>
        <w:spacing w:before="0" w:beforeAutospacing="0"/>
        <w:ind w:left="720" w:hanging="360"/>
      </w:pPr>
      <w:r w:rsidRPr="009C5151">
        <w:rPr>
          <w:rStyle w:val="Strong"/>
        </w:rPr>
        <w:t>USA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Mitigation: Limit the authority of the USA subsidiary to conclude contracts.</w:t>
      </w:r>
    </w:p>
    <w:p w:rsidR="00A056B6" w:rsidRPr="009C5151" w:rsidRDefault="00A056B6" w:rsidP="00743A5F">
      <w:pPr>
        <w:pStyle w:val="NormalWeb"/>
        <w:tabs>
          <w:tab w:val="num" w:pos="720"/>
        </w:tabs>
        <w:spacing w:before="0" w:beforeAutospacing="0"/>
        <w:ind w:left="720" w:hanging="360"/>
      </w:pPr>
      <w:r w:rsidRPr="009C5151">
        <w:rPr>
          <w:rStyle w:val="Strong"/>
        </w:rPr>
        <w:t>Germany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Mitigation: Attribute profits based on functions performed, risks assumed, and assets used.</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7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Taxable Income Computation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4"/>
        <w:gridCol w:w="186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Particulars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Revenue (Exports)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1,800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Domestic Revenue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Less: Expenses: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Royalty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FTS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 Interest (allowable under 94B)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Depreciation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Gain on Sale of Unit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Taxable Income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2,305</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7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7. TIEA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Provide requested details to Russian tax authorities: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Loan agreement.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Bank transfer proofs.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 of the Russian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7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8. AAR 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Gain from the sale of the unit is taxable in India under Article 13 of the </w:t>
      </w:r>
      <w:r w:rsidRPr="009C5151">
        <w:rPr>
          <w:rStyle w:val="Strong"/>
          <w:rFonts w:ascii="Times New Roman" w:hAnsi="Times New Roman" w:cs="Times New Roman"/>
          <w:sz w:val="24"/>
          <w:szCs w:val="24"/>
        </w:rPr>
        <w:t>UN Model Convention</w:t>
      </w:r>
      <w:r w:rsidRPr="009C5151">
        <w:rPr>
          <w:rFonts w:ascii="Times New Roman" w:hAnsi="Times New Roman" w:cs="Times New Roman"/>
          <w:sz w:val="24"/>
          <w:szCs w:val="24"/>
        </w:rPr>
        <w:t xml:space="preserve"> and Section 9 of the Income-tax Act, 1961.</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78"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7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09" w:name="_Toc187624140"/>
      <w:bookmarkStart w:id="1010" w:name="_Toc187630860"/>
      <w:bookmarkStart w:id="1011" w:name="_Toc187661039"/>
      <w:bookmarkStart w:id="1012" w:name="_Toc187662118"/>
      <w:r w:rsidRPr="009C5151">
        <w:rPr>
          <w:rStyle w:val="Strong"/>
          <w:b/>
          <w:bCs/>
          <w:sz w:val="24"/>
          <w:szCs w:val="24"/>
        </w:rPr>
        <w:t>Conclusion</w:t>
      </w:r>
      <w:bookmarkEnd w:id="1009"/>
      <w:bookmarkEnd w:id="1010"/>
      <w:bookmarkEnd w:id="1011"/>
      <w:bookmarkEnd w:id="1012"/>
    </w:p>
    <w:p w:rsidR="00A056B6" w:rsidRPr="009C5151" w:rsidRDefault="00A056B6" w:rsidP="00743A5F">
      <w:pPr>
        <w:pStyle w:val="NormalWeb"/>
        <w:tabs>
          <w:tab w:val="num" w:pos="720"/>
        </w:tabs>
        <w:spacing w:before="0" w:beforeAutospacing="0"/>
        <w:ind w:left="720" w:hanging="360"/>
      </w:pPr>
      <w:r w:rsidRPr="009C5151">
        <w:rPr>
          <w:rStyle w:val="Strong"/>
        </w:rPr>
        <w:t>Transfer Pricing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inter-company transactions using TNMM, CUP, or CPM.</w:t>
      </w:r>
    </w:p>
    <w:p w:rsidR="00A056B6" w:rsidRPr="009C5151" w:rsidRDefault="00A056B6" w:rsidP="00743A5F">
      <w:pPr>
        <w:pStyle w:val="NormalWeb"/>
        <w:tabs>
          <w:tab w:val="num" w:pos="720"/>
        </w:tabs>
        <w:spacing w:before="0" w:beforeAutospacing="0"/>
        <w:ind w:left="720" w:hanging="360"/>
      </w:pPr>
      <w:r w:rsidRPr="009C5151">
        <w:rPr>
          <w:rStyle w:val="Strong"/>
        </w:rPr>
        <w:t>GAAR Mitigation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Justify economic substance for Mauritius and UAE entities.</w:t>
      </w:r>
    </w:p>
    <w:p w:rsidR="00A056B6" w:rsidRPr="009C5151" w:rsidRDefault="00A056B6" w:rsidP="00743A5F">
      <w:pPr>
        <w:pStyle w:val="NormalWeb"/>
        <w:tabs>
          <w:tab w:val="num" w:pos="720"/>
        </w:tabs>
        <w:spacing w:before="0" w:beforeAutospacing="0"/>
        <w:ind w:left="720" w:hanging="360"/>
      </w:pPr>
      <w:r w:rsidRPr="009C5151">
        <w:rPr>
          <w:rStyle w:val="Strong"/>
        </w:rPr>
        <w:t>PE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Mitigate USA and Germany PE risks by limiting subsidiary roles and profit attribution.</w:t>
      </w:r>
    </w:p>
    <w:p w:rsidR="00A056B6" w:rsidRPr="009C5151" w:rsidRDefault="00A056B6" w:rsidP="00743A5F">
      <w:pPr>
        <w:pStyle w:val="NormalWeb"/>
        <w:tabs>
          <w:tab w:val="num" w:pos="720"/>
        </w:tabs>
        <w:spacing w:before="0" w:beforeAutospacing="0"/>
        <w:ind w:left="720" w:hanging="360"/>
      </w:pPr>
      <w:r w:rsidRPr="009C5151">
        <w:rPr>
          <w:rStyle w:val="Strong"/>
        </w:rPr>
        <w:t>Taxable Income Computation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Include capital gains and ensure compliance with TP adjustments.</w:t>
      </w:r>
    </w:p>
    <w:p w:rsidR="00A056B6" w:rsidRPr="009C5151" w:rsidRDefault="00A056B6" w:rsidP="00743A5F">
      <w:pPr>
        <w:pStyle w:val="NormalWeb"/>
        <w:tabs>
          <w:tab w:val="num" w:pos="720"/>
        </w:tabs>
        <w:spacing w:before="0" w:beforeAutospacing="0"/>
        <w:ind w:left="720" w:hanging="360"/>
      </w:pPr>
      <w:r w:rsidRPr="009C5151">
        <w:rPr>
          <w:rStyle w:val="Strong"/>
        </w:rPr>
        <w:t>AAR Ruling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Follow the ruling for taxability under the UN Model Convention.</w:t>
      </w:r>
    </w:p>
    <w:p w:rsidR="00A056B6" w:rsidRPr="009C5151" w:rsidRDefault="00A056B6" w:rsidP="00743A5F">
      <w:pPr>
        <w:pStyle w:val="NormalWeb"/>
        <w:tabs>
          <w:tab w:val="num" w:pos="720"/>
        </w:tabs>
        <w:spacing w:before="0" w:beforeAutospacing="0"/>
        <w:ind w:left="720" w:hanging="360"/>
      </w:pPr>
      <w:r w:rsidRPr="009C5151">
        <w:rPr>
          <w:rStyle w:val="Strong"/>
        </w:rPr>
        <w:t>CbC Reporting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detailed jurisdiction-wise financial data.</w:t>
      </w:r>
    </w:p>
    <w:p w:rsidR="00A056B6" w:rsidRPr="009C5151" w:rsidRDefault="00A056B6" w:rsidP="00743A5F">
      <w:pPr>
        <w:pStyle w:val="NormalWeb"/>
        <w:spacing w:before="0" w:beforeAutospacing="0"/>
      </w:pPr>
      <w:r w:rsidRPr="009C5151">
        <w:t xml:space="preserve">Would you like customized templates for </w:t>
      </w:r>
      <w:r w:rsidRPr="009C5151">
        <w:rPr>
          <w:rStyle w:val="Strong"/>
        </w:rPr>
        <w:t>AAR filing, TP documentation, or PE-specific compliance</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ike customized templates for AAR filing, TP documentation, or PE-specific compliance</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553BC028" wp14:editId="7047AE3F">
            <wp:extent cx="763905" cy="763905"/>
            <wp:effectExtent l="0" t="0" r="0" b="0"/>
            <wp:docPr id="282" name="Picture 28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6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013" w:name="_Toc187624141"/>
      <w:bookmarkStart w:id="1014" w:name="_Toc187630861"/>
      <w:bookmarkStart w:id="1015" w:name="_Toc187661040"/>
      <w:bookmarkStart w:id="1016" w:name="_Toc187662119"/>
      <w:r w:rsidRPr="009C5151">
        <w:rPr>
          <w:rStyle w:val="Strong"/>
          <w:b/>
          <w:bCs/>
          <w:sz w:val="24"/>
          <w:szCs w:val="24"/>
        </w:rPr>
        <w:t>Customized Templates for AAR Filing, TP Documentation, and PE-Specific Compliance</w:t>
      </w:r>
      <w:bookmarkEnd w:id="1013"/>
      <w:bookmarkEnd w:id="1014"/>
      <w:bookmarkEnd w:id="1015"/>
      <w:bookmarkEnd w:id="1016"/>
    </w:p>
    <w:p w:rsidR="00A056B6" w:rsidRPr="009C5151" w:rsidRDefault="00A056B6" w:rsidP="00743A5F">
      <w:pPr>
        <w:pStyle w:val="NormalWeb"/>
        <w:spacing w:before="0" w:beforeAutospacing="0"/>
      </w:pPr>
      <w:r w:rsidRPr="009C5151">
        <w:t xml:space="preserve">Here are detailed templates tailored to </w:t>
      </w:r>
      <w:r w:rsidRPr="009C5151">
        <w:rPr>
          <w:rStyle w:val="Strong"/>
        </w:rPr>
        <w:t>AAR filing</w:t>
      </w:r>
      <w:r w:rsidRPr="009C5151">
        <w:t xml:space="preserve">, </w:t>
      </w:r>
      <w:r w:rsidRPr="009C5151">
        <w:rPr>
          <w:rStyle w:val="Strong"/>
        </w:rPr>
        <w:t>Transfer Pricing (TP) documentation</w:t>
      </w:r>
      <w:r w:rsidRPr="009C5151">
        <w:t xml:space="preserve">, and </w:t>
      </w:r>
      <w:r w:rsidRPr="009C5151">
        <w:rPr>
          <w:rStyle w:val="Strong"/>
        </w:rPr>
        <w:t>Permanent Establishment (PE) compliance</w:t>
      </w:r>
      <w:r w:rsidRPr="009C5151">
        <w:t xml:space="preserve"> for GlobalSolar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8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17" w:name="_Toc187624142"/>
      <w:bookmarkStart w:id="1018" w:name="_Toc187630862"/>
      <w:bookmarkStart w:id="1019" w:name="_Toc187661041"/>
      <w:bookmarkStart w:id="1020" w:name="_Toc187662120"/>
      <w:r w:rsidRPr="009C5151">
        <w:rPr>
          <w:rStyle w:val="Strong"/>
          <w:b/>
          <w:bCs/>
          <w:sz w:val="24"/>
          <w:szCs w:val="24"/>
        </w:rPr>
        <w:t>I. AAR Filing Template</w:t>
      </w:r>
      <w:bookmarkEnd w:id="1017"/>
      <w:bookmarkEnd w:id="1018"/>
      <w:bookmarkEnd w:id="1019"/>
      <w:bookmarkEnd w:id="1020"/>
    </w:p>
    <w:p w:rsidR="00A056B6" w:rsidRPr="009C5151" w:rsidRDefault="00A056B6" w:rsidP="00743A5F">
      <w:pPr>
        <w:pStyle w:val="Heading4"/>
        <w:spacing w:before="0" w:beforeAutospacing="0"/>
      </w:pPr>
      <w:r w:rsidRPr="009C5151">
        <w:rPr>
          <w:rStyle w:val="Strong"/>
          <w:b/>
          <w:bCs/>
        </w:rPr>
        <w:t>Application for Advance Ruling</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To,</w:t>
      </w:r>
      <w:r w:rsidRPr="009C5151">
        <w:br/>
        <w:t>The Secretary,</w:t>
      </w:r>
      <w:r w:rsidRPr="009C5151">
        <w:br/>
        <w:t>Authority for Advance Rulings (Income Tax),</w:t>
      </w:r>
      <w:r w:rsidRPr="009C5151">
        <w:br/>
        <w:t>[Address], India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81"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Subject</w:t>
      </w:r>
      <w:r w:rsidRPr="009C5151">
        <w:t>: Application for Advance Ruling Under Section 245Q of the Income-tax Act, 1961</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82"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Applicant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Name</w:t>
      </w:r>
      <w:r w:rsidRPr="009C5151">
        <w:rPr>
          <w:rFonts w:ascii="Times New Roman" w:hAnsi="Times New Roman" w:cs="Times New Roman"/>
          <w:sz w:val="24"/>
          <w:szCs w:val="24"/>
        </w:rPr>
        <w:t>: GlobalSolar Pvt.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PAN</w:t>
      </w:r>
      <w:r w:rsidRPr="009C5151">
        <w:rPr>
          <w:rFonts w:ascii="Times New Roman" w:hAnsi="Times New Roman" w:cs="Times New Roman"/>
          <w:sz w:val="24"/>
          <w:szCs w:val="24"/>
        </w:rPr>
        <w:t>: XXXXX1234X</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Address</w:t>
      </w:r>
      <w:r w:rsidRPr="009C5151">
        <w:rPr>
          <w:rFonts w:ascii="Times New Roman" w:hAnsi="Times New Roman" w:cs="Times New Roman"/>
          <w:sz w:val="24"/>
          <w:szCs w:val="24"/>
        </w:rPr>
        <w:t>: [Registered Address of the Applicant]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68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Transaction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Type</w:t>
      </w:r>
      <w:r w:rsidRPr="009C5151">
        <w:rPr>
          <w:rFonts w:ascii="Times New Roman" w:hAnsi="Times New Roman" w:cs="Times New Roman"/>
          <w:sz w:val="24"/>
          <w:szCs w:val="24"/>
        </w:rPr>
        <w:t>: Sale of manufacturing unit located in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Sale Value</w:t>
      </w:r>
      <w:r w:rsidRPr="009C5151">
        <w:rPr>
          <w:rFonts w:ascii="Times New Roman" w:hAnsi="Times New Roman" w:cs="Times New Roman"/>
          <w:sz w:val="24"/>
          <w:szCs w:val="24"/>
        </w:rPr>
        <w:t>: ₹600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Buyer</w:t>
      </w:r>
      <w:r w:rsidRPr="009C5151">
        <w:rPr>
          <w:rFonts w:ascii="Times New Roman" w:hAnsi="Times New Roman" w:cs="Times New Roman"/>
          <w:sz w:val="24"/>
          <w:szCs w:val="24"/>
        </w:rPr>
        <w:t>: GlobalSolar UK Ltd., a related entity incorporated in the United Kingdom.</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8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Questions for Advance Ruling</w:t>
      </w:r>
      <w:r w:rsidRPr="009C5151">
        <w:t>:</w:t>
      </w:r>
      <w:r w:rsidRPr="009C5151">
        <w:br/>
        <w:t>We request clarification on the following aspects of the transaction: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Applicability of </w:t>
      </w:r>
      <w:r w:rsidRPr="009C5151">
        <w:rPr>
          <w:rStyle w:val="Strong"/>
          <w:rFonts w:ascii="Times New Roman" w:hAnsi="Times New Roman" w:cs="Times New Roman"/>
          <w:sz w:val="24"/>
          <w:szCs w:val="24"/>
        </w:rPr>
        <w:t>capital gains tax</w:t>
      </w:r>
      <w:r w:rsidRPr="009C5151">
        <w:rPr>
          <w:rFonts w:ascii="Times New Roman" w:hAnsi="Times New Roman" w:cs="Times New Roman"/>
          <w:sz w:val="24"/>
          <w:szCs w:val="24"/>
        </w:rPr>
        <w:t xml:space="preserve"> on the sale of the manufacturing unit under Section 9 of the Income-tax Act, 1961.</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Whether the gains are taxable under </w:t>
      </w:r>
      <w:r w:rsidRPr="009C5151">
        <w:rPr>
          <w:rStyle w:val="Strong"/>
          <w:rFonts w:ascii="Times New Roman" w:hAnsi="Times New Roman" w:cs="Times New Roman"/>
          <w:sz w:val="24"/>
          <w:szCs w:val="24"/>
        </w:rPr>
        <w:t>Article 13</w:t>
      </w:r>
      <w:r w:rsidRPr="009C5151">
        <w:rPr>
          <w:rFonts w:ascii="Times New Roman" w:hAnsi="Times New Roman" w:cs="Times New Roman"/>
          <w:sz w:val="24"/>
          <w:szCs w:val="24"/>
        </w:rPr>
        <w:t xml:space="preserve"> (Capital Gains) of the UN Model Convention.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India-UK DTAA provides any relief or exemption for such gains.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85"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Supporting Documents Attached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Sale Agreement with GlobalSolar UK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Independent Valuation Report of the Manufacturing Unit.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Tax Residency Certificate (TRC) of GlobalSolar UK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Functional and Risk Analysis of the Indian unit’s operations.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Board Resolution approving the sale.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86"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Declaration</w:t>
      </w:r>
      <w:r w:rsidRPr="009C5151">
        <w:t>:</w:t>
      </w:r>
      <w:r w:rsidRPr="009C5151">
        <w:br/>
        <w:t>I, the undersigned, declare that the information provided above is accurate and true to the best of my knowledge and belief.</w:t>
      </w:r>
    </w:p>
    <w:p w:rsidR="00A056B6" w:rsidRPr="009C5151" w:rsidRDefault="00A056B6" w:rsidP="00743A5F">
      <w:pPr>
        <w:pStyle w:val="NormalWeb"/>
        <w:spacing w:before="0" w:beforeAutospacing="0"/>
      </w:pPr>
      <w:r w:rsidRPr="009C5151">
        <w:rPr>
          <w:rStyle w:val="Strong"/>
        </w:rPr>
        <w:t>Signed</w:t>
      </w:r>
      <w:r w:rsidRPr="009C5151">
        <w:t>:</w:t>
      </w:r>
      <w:r w:rsidRPr="009C5151">
        <w:br/>
        <w:t>For GlobalSolar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87" style="width:0;height:1.5pt" o:hralign="center" o:hrstd="t" o:hr="t" fillcolor="#a0a0a0" stroked="f"/>
        </w:pict>
      </w:r>
    </w:p>
    <w:p w:rsidR="00A056B6" w:rsidRPr="009C5151" w:rsidRDefault="00A056B6" w:rsidP="00743A5F">
      <w:pPr>
        <w:pStyle w:val="NormalWeb"/>
        <w:spacing w:before="0" w:beforeAutospacing="0"/>
      </w:pPr>
      <w:r w:rsidRPr="009C5151">
        <w:t>Authorized Signatory</w:t>
      </w:r>
    </w:p>
    <w:p w:rsidR="00A056B6" w:rsidRPr="009C5151" w:rsidRDefault="00A056B6" w:rsidP="00743A5F">
      <w:pPr>
        <w:pStyle w:val="NormalWeb"/>
        <w:spacing w:before="0" w:beforeAutospacing="0"/>
      </w:pPr>
      <w:r w:rsidRPr="009C5151">
        <w:t>Date: [Date]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88"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8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21" w:name="_Toc187624143"/>
      <w:bookmarkStart w:id="1022" w:name="_Toc187630863"/>
      <w:bookmarkStart w:id="1023" w:name="_Toc187661042"/>
      <w:bookmarkStart w:id="1024" w:name="_Toc187662121"/>
      <w:r w:rsidRPr="009C5151">
        <w:rPr>
          <w:rStyle w:val="Strong"/>
          <w:b/>
          <w:bCs/>
          <w:sz w:val="24"/>
          <w:szCs w:val="24"/>
        </w:rPr>
        <w:lastRenderedPageBreak/>
        <w:t>II. Transfer Pricing (TP) Documentation Template</w:t>
      </w:r>
      <w:bookmarkEnd w:id="1021"/>
      <w:bookmarkEnd w:id="1022"/>
      <w:bookmarkEnd w:id="1023"/>
      <w:bookmarkEnd w:id="1024"/>
    </w:p>
    <w:p w:rsidR="00A056B6" w:rsidRPr="009C5151" w:rsidRDefault="00A056B6" w:rsidP="00743A5F">
      <w:pPr>
        <w:pStyle w:val="Heading4"/>
        <w:spacing w:before="0" w:beforeAutospacing="0"/>
      </w:pPr>
      <w:r w:rsidRPr="009C5151">
        <w:rPr>
          <w:rStyle w:val="Strong"/>
          <w:b/>
          <w:bCs/>
        </w:rPr>
        <w:t>Functional and Risk Analysis</w:t>
      </w:r>
    </w:p>
    <w:p w:rsidR="00A056B6" w:rsidRPr="009C5151" w:rsidRDefault="00A056B6" w:rsidP="00743A5F">
      <w:pPr>
        <w:pStyle w:val="NormalWeb"/>
        <w:spacing w:before="0" w:beforeAutospacing="0"/>
      </w:pPr>
      <w:r w:rsidRPr="009C5151">
        <w:rPr>
          <w:rStyle w:val="Strong"/>
        </w:rPr>
        <w:t>[Prepared for GlobalSolar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90"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1. Business Overview</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GlobalSolar Pvt. Ltd. is engaged in the manufacturing and export of solar panels and related technology.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The company’s subsidiaries provide distribution, marketing, and consultancy services.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691"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2. Functional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2"/>
        <w:gridCol w:w="3183"/>
        <w:gridCol w:w="4341"/>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Indian HQ</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Core manufacturing of solar panels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Global strategy and brand building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Execution of local marketing campaigns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Development of new technologies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Limited application-based R&amp;D by Germany AE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92"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3. Risk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9"/>
        <w:gridCol w:w="3366"/>
        <w:gridCol w:w="3475"/>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Risk</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Allocated to Indian Entity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Allocated to AEs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Fully borne by Indian HQ</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Minimal local risks for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IP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Managed by Indian HQ</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Financial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Controlled centrally by Indian HQ</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9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4. Benchmarking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2"/>
        <w:gridCol w:w="1427"/>
        <w:gridCol w:w="2100"/>
        <w:gridCol w:w="1400"/>
        <w:gridCol w:w="130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Benchmark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Value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 of Solar Panels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 Margin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6%-8% Royalty Rate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10%-14% Markup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11.5%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694"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9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25" w:name="_Toc187624144"/>
      <w:bookmarkStart w:id="1026" w:name="_Toc187630864"/>
      <w:bookmarkStart w:id="1027" w:name="_Toc187661043"/>
      <w:bookmarkStart w:id="1028" w:name="_Toc187662122"/>
      <w:r w:rsidRPr="009C5151">
        <w:rPr>
          <w:rStyle w:val="Strong"/>
          <w:b/>
          <w:bCs/>
          <w:sz w:val="24"/>
          <w:szCs w:val="24"/>
        </w:rPr>
        <w:t>III. PE-Specific Compliance Template</w:t>
      </w:r>
      <w:bookmarkEnd w:id="1025"/>
      <w:bookmarkEnd w:id="1026"/>
      <w:bookmarkEnd w:id="1027"/>
      <w:bookmarkEnd w:id="1028"/>
    </w:p>
    <w:p w:rsidR="00A056B6" w:rsidRPr="009C5151" w:rsidRDefault="00A056B6" w:rsidP="00743A5F">
      <w:pPr>
        <w:pStyle w:val="Heading4"/>
        <w:spacing w:before="0" w:beforeAutospacing="0"/>
      </w:pPr>
      <w:r w:rsidRPr="009C5151">
        <w:rPr>
          <w:rStyle w:val="Strong"/>
          <w:b/>
          <w:bCs/>
        </w:rPr>
        <w:t>Permanent Establishment (PE) Documentation</w:t>
      </w:r>
    </w:p>
    <w:p w:rsidR="00A056B6" w:rsidRPr="009C5151" w:rsidRDefault="00A056B6" w:rsidP="00743A5F">
      <w:pPr>
        <w:pStyle w:val="NormalWeb"/>
        <w:spacing w:before="0" w:beforeAutospacing="0"/>
      </w:pPr>
      <w:r w:rsidRPr="009C5151">
        <w:rPr>
          <w:rStyle w:val="Strong"/>
        </w:rPr>
        <w:t>PE Analysis for GlobalSolar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96"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 PE Overview by Jurisdiction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
        <w:gridCol w:w="1926"/>
        <w:gridCol w:w="1511"/>
        <w:gridCol w:w="1661"/>
        <w:gridCol w:w="2960"/>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Activity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 Risk</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Relevant Article (DTAA)</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Mitigation Steps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and distribution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Dependent Agent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Article 5(5)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 USA subsidiary’s authority to finalize contracts.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facility and consultancy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Fixed Place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Article 5(1)</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Allocate profits for R&amp;D-related activities using AOA.</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97"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B. Functional Analysis for PE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5"/>
        <w:gridCol w:w="2654"/>
        <w:gridCol w:w="3669"/>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Indian HQ</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Foreign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Centralized strategy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Local execution of marketing plans.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Core research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Application of research for projects.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Contract Conclusion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Finalized in 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 authority to conclude contracts.</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98"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C. Profit Attribution to PE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1829"/>
        <w:gridCol w:w="1455"/>
        <w:gridCol w:w="2100"/>
        <w:gridCol w:w="758"/>
        <w:gridCol w:w="158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from PE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Expenses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Attributable 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270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69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 Mitigation Measures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contracts with foreign clients are concluded in India to avoid dependent agent PE in USA.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Document inter-company agreements clearly to define the roles and responsibilities of subsidiaries.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00"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0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29" w:name="_Toc187624145"/>
      <w:bookmarkStart w:id="1030" w:name="_Toc187630865"/>
      <w:bookmarkStart w:id="1031" w:name="_Toc187661044"/>
      <w:bookmarkStart w:id="1032" w:name="_Toc187662123"/>
      <w:r w:rsidRPr="009C5151">
        <w:rPr>
          <w:rStyle w:val="Strong"/>
          <w:b/>
          <w:bCs/>
          <w:sz w:val="24"/>
          <w:szCs w:val="24"/>
        </w:rPr>
        <w:t>IV. Withholding Tax (WHT) Compliance Template</w:t>
      </w:r>
      <w:bookmarkEnd w:id="1029"/>
      <w:bookmarkEnd w:id="1030"/>
      <w:bookmarkEnd w:id="1031"/>
      <w:bookmarkEnd w:id="103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7"/>
        <w:gridCol w:w="2646"/>
        <w:gridCol w:w="1041"/>
        <w:gridCol w:w="2061"/>
        <w:gridCol w:w="1491"/>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Due Date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Dividend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0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33" w:name="_Toc187624146"/>
      <w:bookmarkStart w:id="1034" w:name="_Toc187630866"/>
      <w:bookmarkStart w:id="1035" w:name="_Toc187661045"/>
      <w:bookmarkStart w:id="1036" w:name="_Toc187662124"/>
      <w:r w:rsidRPr="009C5151">
        <w:rPr>
          <w:rStyle w:val="Strong"/>
          <w:b/>
          <w:bCs/>
          <w:sz w:val="24"/>
          <w:szCs w:val="24"/>
        </w:rPr>
        <w:t>V. CbC Reporting Template</w:t>
      </w:r>
      <w:bookmarkEnd w:id="1033"/>
      <w:bookmarkEnd w:id="1034"/>
      <w:bookmarkEnd w:id="1035"/>
      <w:bookmarkEnd w:id="1036"/>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1589"/>
        <w:gridCol w:w="1318"/>
        <w:gridCol w:w="1543"/>
        <w:gridCol w:w="1167"/>
        <w:gridCol w:w="2107"/>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Paid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Employees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Key Functions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1,800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 R&amp;D</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Distribution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Consultancy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IP Licensing, Support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Mauritius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Holding Company</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03" style="width:0;height:1.5pt" o:hralign="center" o:hrstd="t" o:hr="t" fillcolor="#a0a0a0" stroked="f"/>
        </w:pict>
      </w:r>
    </w:p>
    <w:p w:rsidR="00A056B6" w:rsidRPr="009C5151" w:rsidRDefault="00A056B6" w:rsidP="00743A5F">
      <w:pPr>
        <w:pStyle w:val="NormalWeb"/>
        <w:spacing w:before="0" w:beforeAutospacing="0"/>
      </w:pPr>
      <w:r w:rsidRPr="009C5151">
        <w:t xml:space="preserve">Would you like assistance with </w:t>
      </w:r>
      <w:r w:rsidRPr="009C5151">
        <w:rPr>
          <w:rStyle w:val="Strong"/>
        </w:rPr>
        <w:t>reviewing drafts, further customization, or portal submission support</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assistance with reviewing drafts, further customization, or portal submission support</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08F4A06D" wp14:editId="2BBB1AB0">
            <wp:extent cx="763905" cy="763905"/>
            <wp:effectExtent l="0" t="0" r="0" b="0"/>
            <wp:docPr id="281" name="Picture 28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9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037" w:name="_Toc187624147"/>
      <w:bookmarkStart w:id="1038" w:name="_Toc187630867"/>
      <w:bookmarkStart w:id="1039" w:name="_Toc187661046"/>
      <w:bookmarkStart w:id="1040" w:name="_Toc187662125"/>
      <w:r w:rsidRPr="009C5151">
        <w:rPr>
          <w:rStyle w:val="Strong"/>
          <w:b/>
          <w:bCs/>
          <w:sz w:val="24"/>
          <w:szCs w:val="24"/>
        </w:rPr>
        <w:t>Assistance with Reviewing Drafts, Further Customization, and Portal Submission Support</w:t>
      </w:r>
      <w:bookmarkEnd w:id="1037"/>
      <w:bookmarkEnd w:id="1038"/>
      <w:bookmarkEnd w:id="1039"/>
      <w:bookmarkEnd w:id="1040"/>
    </w:p>
    <w:p w:rsidR="00A056B6" w:rsidRPr="009C5151" w:rsidRDefault="00A056B6" w:rsidP="00743A5F">
      <w:pPr>
        <w:pStyle w:val="NormalWeb"/>
        <w:spacing w:before="0" w:beforeAutospacing="0"/>
      </w:pPr>
      <w:r w:rsidRPr="009C5151">
        <w:t>Here’s how I can assist you with each aspect: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0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41" w:name="_Toc187624148"/>
      <w:bookmarkStart w:id="1042" w:name="_Toc187630868"/>
      <w:bookmarkStart w:id="1043" w:name="_Toc187661047"/>
      <w:bookmarkStart w:id="1044" w:name="_Toc187662126"/>
      <w:r w:rsidRPr="009C5151">
        <w:rPr>
          <w:rStyle w:val="Strong"/>
          <w:b/>
          <w:bCs/>
          <w:sz w:val="24"/>
          <w:szCs w:val="24"/>
        </w:rPr>
        <w:t>I. Review of Drafts</w:t>
      </w:r>
      <w:bookmarkEnd w:id="1041"/>
      <w:bookmarkEnd w:id="1042"/>
      <w:bookmarkEnd w:id="1043"/>
      <w:bookmarkEnd w:id="1044"/>
    </w:p>
    <w:p w:rsidR="00A056B6" w:rsidRPr="009C5151" w:rsidRDefault="00A056B6" w:rsidP="00743A5F">
      <w:pPr>
        <w:pStyle w:val="Heading4"/>
        <w:spacing w:before="0" w:beforeAutospacing="0"/>
      </w:pPr>
      <w:r w:rsidRPr="009C5151">
        <w:rPr>
          <w:rStyle w:val="Strong"/>
          <w:b/>
          <w:bCs/>
        </w:rPr>
        <w:t>A. Key Points for Review</w:t>
      </w:r>
    </w:p>
    <w:p w:rsidR="00A056B6" w:rsidRPr="009C5151" w:rsidRDefault="00A056B6" w:rsidP="00743A5F">
      <w:pPr>
        <w:pStyle w:val="NormalWeb"/>
        <w:tabs>
          <w:tab w:val="num" w:pos="720"/>
        </w:tabs>
        <w:spacing w:before="0" w:beforeAutospacing="0"/>
        <w:ind w:left="720" w:hanging="360"/>
      </w:pPr>
      <w:r w:rsidRPr="009C5151">
        <w:rPr>
          <w:rStyle w:val="Strong"/>
        </w:rPr>
        <w:t>AAR Application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the language clearly defines the tax query (e.g., taxability under Section 9 and the relevant DTAA Article).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Check that all supporting documents (sale agreement, valuation report, TRC) are attached and referenced appropriately.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Verify that declarations and signatures are complete.</w:t>
      </w:r>
    </w:p>
    <w:p w:rsidR="00A056B6" w:rsidRPr="009C5151" w:rsidRDefault="00A056B6" w:rsidP="00743A5F">
      <w:pPr>
        <w:pStyle w:val="NormalWeb"/>
        <w:tabs>
          <w:tab w:val="num" w:pos="720"/>
        </w:tabs>
        <w:spacing w:before="0" w:beforeAutospacing="0"/>
        <w:ind w:left="720" w:hanging="360"/>
      </w:pPr>
      <w:r w:rsidRPr="009C5151">
        <w:rPr>
          <w:rStyle w:val="Strong"/>
        </w:rPr>
        <w:t>Transfer Pricing (TP) Documentation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Confirm that the functional and risk analysis reflects the roles and risks borne by the tested party.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Review benchmarking methods and ensure ranges align with market standards.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all international transactions (exports, royalties, FTS) are addressed comprehensively.</w:t>
      </w:r>
    </w:p>
    <w:p w:rsidR="00A056B6" w:rsidRPr="009C5151" w:rsidRDefault="00A056B6" w:rsidP="00743A5F">
      <w:pPr>
        <w:pStyle w:val="NormalWeb"/>
        <w:tabs>
          <w:tab w:val="num" w:pos="720"/>
        </w:tabs>
        <w:spacing w:before="0" w:beforeAutospacing="0"/>
        <w:ind w:left="720" w:hanging="360"/>
      </w:pPr>
      <w:r w:rsidRPr="009C5151">
        <w:rPr>
          <w:rStyle w:val="Strong"/>
        </w:rPr>
        <w:t>Permanent Establishment (PE) Compliance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PE mitigation steps (e.g., ensuring contracts are signed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Check that profit attribution calculations align with OECD guidelines.</w:t>
      </w:r>
    </w:p>
    <w:p w:rsidR="00A056B6" w:rsidRPr="009C5151" w:rsidRDefault="00A056B6" w:rsidP="00743A5F">
      <w:pPr>
        <w:pStyle w:val="NormalWeb"/>
        <w:tabs>
          <w:tab w:val="num" w:pos="720"/>
        </w:tabs>
        <w:spacing w:before="0" w:beforeAutospacing="0"/>
        <w:ind w:left="720" w:hanging="360"/>
      </w:pPr>
      <w:r w:rsidRPr="009C5151">
        <w:rPr>
          <w:rStyle w:val="Strong"/>
        </w:rPr>
        <w:t>Withholding Tax (WHT) Compliance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Verify that WHT rates applied align with applicable DTAAs.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the payment schedule aligns with the due dates for TDS remittance.</w:t>
      </w:r>
    </w:p>
    <w:p w:rsidR="00A056B6" w:rsidRPr="009C5151" w:rsidRDefault="00A056B6" w:rsidP="00743A5F">
      <w:pPr>
        <w:pStyle w:val="NormalWeb"/>
        <w:tabs>
          <w:tab w:val="num" w:pos="720"/>
        </w:tabs>
        <w:spacing w:before="0" w:beforeAutospacing="0"/>
        <w:ind w:left="720" w:hanging="360"/>
      </w:pPr>
      <w:r w:rsidRPr="009C5151">
        <w:rPr>
          <w:rStyle w:val="Strong"/>
        </w:rPr>
        <w:t>CbC Reporting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Confirm that all jurisdictions are included with accurate revenue, profit, tax paid, and employee details.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that the CbC report aligns with local and global TP documentation.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0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45" w:name="_Toc187624149"/>
      <w:bookmarkStart w:id="1046" w:name="_Toc187630869"/>
      <w:bookmarkStart w:id="1047" w:name="_Toc187661048"/>
      <w:bookmarkStart w:id="1048" w:name="_Toc187662127"/>
      <w:r w:rsidRPr="009C5151">
        <w:rPr>
          <w:rStyle w:val="Strong"/>
          <w:b/>
          <w:bCs/>
          <w:sz w:val="24"/>
          <w:szCs w:val="24"/>
        </w:rPr>
        <w:t>II. Customization Options</w:t>
      </w:r>
      <w:bookmarkEnd w:id="1045"/>
      <w:bookmarkEnd w:id="1046"/>
      <w:bookmarkEnd w:id="1047"/>
      <w:bookmarkEnd w:id="1048"/>
    </w:p>
    <w:p w:rsidR="00A056B6" w:rsidRPr="009C5151" w:rsidRDefault="00A056B6" w:rsidP="00743A5F">
      <w:pPr>
        <w:pStyle w:val="Heading4"/>
        <w:spacing w:before="0" w:beforeAutospacing="0"/>
      </w:pPr>
      <w:r w:rsidRPr="009C5151">
        <w:rPr>
          <w:rStyle w:val="Strong"/>
          <w:b/>
          <w:bCs/>
        </w:rPr>
        <w:t>A. Tailoring Documents to Your Specific Needs</w:t>
      </w:r>
    </w:p>
    <w:p w:rsidR="00A056B6" w:rsidRPr="009C5151" w:rsidRDefault="00A056B6" w:rsidP="00743A5F">
      <w:pPr>
        <w:pStyle w:val="NormalWeb"/>
        <w:tabs>
          <w:tab w:val="num" w:pos="720"/>
        </w:tabs>
        <w:spacing w:before="0" w:beforeAutospacing="0"/>
        <w:ind w:left="720" w:hanging="360"/>
      </w:pPr>
      <w:r w:rsidRPr="009C5151">
        <w:rPr>
          <w:rStyle w:val="Strong"/>
        </w:rPr>
        <w:t>AAR Application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Include </w:t>
      </w:r>
      <w:r w:rsidRPr="009C5151">
        <w:rPr>
          <w:rStyle w:val="Strong"/>
          <w:rFonts w:ascii="Times New Roman" w:hAnsi="Times New Roman" w:cs="Times New Roman"/>
          <w:sz w:val="24"/>
          <w:szCs w:val="24"/>
        </w:rPr>
        <w:t>additional questions</w:t>
      </w:r>
      <w:r w:rsidRPr="009C5151">
        <w:rPr>
          <w:rFonts w:ascii="Times New Roman" w:hAnsi="Times New Roman" w:cs="Times New Roman"/>
          <w:sz w:val="24"/>
          <w:szCs w:val="24"/>
        </w:rPr>
        <w:t>, such as applicability of GAAR or confirmation of compliance with the LOB clause.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Add a </w:t>
      </w:r>
      <w:r w:rsidRPr="009C5151">
        <w:rPr>
          <w:rStyle w:val="Strong"/>
          <w:rFonts w:ascii="Times New Roman" w:hAnsi="Times New Roman" w:cs="Times New Roman"/>
          <w:sz w:val="24"/>
          <w:szCs w:val="24"/>
        </w:rPr>
        <w:t>timeline of events</w:t>
      </w:r>
      <w:r w:rsidRPr="009C5151">
        <w:rPr>
          <w:rFonts w:ascii="Times New Roman" w:hAnsi="Times New Roman" w:cs="Times New Roman"/>
          <w:sz w:val="24"/>
          <w:szCs w:val="24"/>
        </w:rPr>
        <w:t xml:space="preserve"> to provide a clear sequence for tax authorities.</w:t>
      </w:r>
    </w:p>
    <w:p w:rsidR="00A056B6" w:rsidRPr="009C5151" w:rsidRDefault="00A056B6" w:rsidP="00743A5F">
      <w:pPr>
        <w:pStyle w:val="NormalWeb"/>
        <w:tabs>
          <w:tab w:val="num" w:pos="720"/>
        </w:tabs>
        <w:spacing w:before="0" w:beforeAutospacing="0"/>
        <w:ind w:left="720" w:hanging="360"/>
      </w:pPr>
      <w:r w:rsidRPr="009C5151">
        <w:rPr>
          <w:rStyle w:val="Strong"/>
        </w:rPr>
        <w:t>TP Documentation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Provide </w:t>
      </w:r>
      <w:r w:rsidRPr="009C5151">
        <w:rPr>
          <w:rStyle w:val="Strong"/>
          <w:rFonts w:ascii="Times New Roman" w:hAnsi="Times New Roman" w:cs="Times New Roman"/>
          <w:sz w:val="24"/>
          <w:szCs w:val="24"/>
        </w:rPr>
        <w:t>granular details</w:t>
      </w:r>
      <w:r w:rsidRPr="009C5151">
        <w:rPr>
          <w:rFonts w:ascii="Times New Roman" w:hAnsi="Times New Roman" w:cs="Times New Roman"/>
          <w:sz w:val="24"/>
          <w:szCs w:val="24"/>
        </w:rPr>
        <w:t xml:space="preserve"> for each transaction (e.g., justification for royalty rates).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Include </w:t>
      </w:r>
      <w:r w:rsidRPr="009C5151">
        <w:rPr>
          <w:rStyle w:val="Strong"/>
          <w:rFonts w:ascii="Times New Roman" w:hAnsi="Times New Roman" w:cs="Times New Roman"/>
          <w:sz w:val="24"/>
          <w:szCs w:val="24"/>
        </w:rPr>
        <w:t>industry benchmarks</w:t>
      </w:r>
      <w:r w:rsidRPr="009C5151">
        <w:rPr>
          <w:rFonts w:ascii="Times New Roman" w:hAnsi="Times New Roman" w:cs="Times New Roman"/>
          <w:sz w:val="24"/>
          <w:szCs w:val="24"/>
        </w:rPr>
        <w:t xml:space="preserve"> and case studies for similar businesses.</w:t>
      </w:r>
    </w:p>
    <w:p w:rsidR="00A056B6" w:rsidRPr="009C5151" w:rsidRDefault="00A056B6" w:rsidP="00743A5F">
      <w:pPr>
        <w:pStyle w:val="NormalWeb"/>
        <w:tabs>
          <w:tab w:val="num" w:pos="720"/>
        </w:tabs>
        <w:spacing w:before="0" w:beforeAutospacing="0"/>
        <w:ind w:left="720" w:hanging="360"/>
      </w:pPr>
      <w:r w:rsidRPr="009C5151">
        <w:rPr>
          <w:rStyle w:val="Strong"/>
        </w:rPr>
        <w:t>PE Documentation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Customize functional analysis for each subsidiary, considering specific operations in USA, Germany, and other jurisdictions.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Add </w:t>
      </w:r>
      <w:r w:rsidRPr="009C5151">
        <w:rPr>
          <w:rStyle w:val="Strong"/>
          <w:rFonts w:ascii="Times New Roman" w:hAnsi="Times New Roman" w:cs="Times New Roman"/>
          <w:sz w:val="24"/>
          <w:szCs w:val="24"/>
        </w:rPr>
        <w:t>visual flowcharts</w:t>
      </w:r>
      <w:r w:rsidRPr="009C5151">
        <w:rPr>
          <w:rFonts w:ascii="Times New Roman" w:hAnsi="Times New Roman" w:cs="Times New Roman"/>
          <w:sz w:val="24"/>
          <w:szCs w:val="24"/>
        </w:rPr>
        <w:t xml:space="preserve"> to show roles and responsibilities for subsidiaries vs. HQ.</w:t>
      </w:r>
    </w:p>
    <w:p w:rsidR="00A056B6" w:rsidRPr="009C5151" w:rsidRDefault="00A056B6" w:rsidP="00743A5F">
      <w:pPr>
        <w:pStyle w:val="NormalWeb"/>
        <w:tabs>
          <w:tab w:val="num" w:pos="720"/>
        </w:tabs>
        <w:spacing w:before="0" w:beforeAutospacing="0"/>
        <w:ind w:left="720" w:hanging="360"/>
      </w:pPr>
      <w:r w:rsidRPr="009C5151">
        <w:rPr>
          <w:rStyle w:val="Strong"/>
        </w:rPr>
        <w:t>WHT Compliance Template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Include a </w:t>
      </w:r>
      <w:r w:rsidRPr="009C5151">
        <w:rPr>
          <w:rStyle w:val="Strong"/>
          <w:rFonts w:ascii="Times New Roman" w:hAnsi="Times New Roman" w:cs="Times New Roman"/>
          <w:sz w:val="24"/>
          <w:szCs w:val="24"/>
        </w:rPr>
        <w:t>summary table</w:t>
      </w:r>
      <w:r w:rsidRPr="009C5151">
        <w:rPr>
          <w:rFonts w:ascii="Times New Roman" w:hAnsi="Times New Roman" w:cs="Times New Roman"/>
          <w:sz w:val="24"/>
          <w:szCs w:val="24"/>
        </w:rPr>
        <w:t xml:space="preserve"> with remittance proofs and challan numbers for easier audit reference.</w:t>
      </w:r>
    </w:p>
    <w:p w:rsidR="00A056B6" w:rsidRPr="009C5151" w:rsidRDefault="00A056B6" w:rsidP="00743A5F">
      <w:pPr>
        <w:pStyle w:val="NormalWeb"/>
        <w:tabs>
          <w:tab w:val="num" w:pos="720"/>
        </w:tabs>
        <w:spacing w:before="0" w:beforeAutospacing="0"/>
        <w:ind w:left="720" w:hanging="360"/>
      </w:pPr>
      <w:r w:rsidRPr="009C5151">
        <w:rPr>
          <w:rStyle w:val="Strong"/>
        </w:rPr>
        <w:t>CbC Reporting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Add </w:t>
      </w:r>
      <w:r w:rsidRPr="009C5151">
        <w:rPr>
          <w:rStyle w:val="Strong"/>
          <w:rFonts w:ascii="Times New Roman" w:hAnsi="Times New Roman" w:cs="Times New Roman"/>
          <w:sz w:val="24"/>
          <w:szCs w:val="24"/>
        </w:rPr>
        <w:t>narrative explanations</w:t>
      </w:r>
      <w:r w:rsidRPr="009C5151">
        <w:rPr>
          <w:rFonts w:ascii="Times New Roman" w:hAnsi="Times New Roman" w:cs="Times New Roman"/>
          <w:sz w:val="24"/>
          <w:szCs w:val="24"/>
        </w:rPr>
        <w:t xml:space="preserve"> for any unusual profit or revenue allocation (e.g., low tax paid in Mauritius due to its holding company role).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0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49" w:name="_Toc187624150"/>
      <w:bookmarkStart w:id="1050" w:name="_Toc187630870"/>
      <w:bookmarkStart w:id="1051" w:name="_Toc187661049"/>
      <w:bookmarkStart w:id="1052" w:name="_Toc187662128"/>
      <w:r w:rsidRPr="009C5151">
        <w:rPr>
          <w:rStyle w:val="Strong"/>
          <w:b/>
          <w:bCs/>
          <w:sz w:val="24"/>
          <w:szCs w:val="24"/>
        </w:rPr>
        <w:t>III. Portal Submission Support</w:t>
      </w:r>
      <w:bookmarkEnd w:id="1049"/>
      <w:bookmarkEnd w:id="1050"/>
      <w:bookmarkEnd w:id="1051"/>
      <w:bookmarkEnd w:id="1052"/>
    </w:p>
    <w:p w:rsidR="00A056B6" w:rsidRPr="009C5151" w:rsidRDefault="00A056B6" w:rsidP="00743A5F">
      <w:pPr>
        <w:pStyle w:val="Heading4"/>
        <w:spacing w:before="0" w:beforeAutospacing="0"/>
      </w:pPr>
      <w:r w:rsidRPr="009C5151">
        <w:rPr>
          <w:rStyle w:val="Strong"/>
          <w:b/>
          <w:bCs/>
        </w:rPr>
        <w:t>A. AAR Application Submission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Steps for Filing AAR Application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Offline</w:t>
      </w:r>
      <w:r w:rsidRPr="009C5151">
        <w:rPr>
          <w:rFonts w:ascii="Times New Roman" w:hAnsi="Times New Roman" w:cs="Times New Roman"/>
          <w:sz w:val="24"/>
          <w:szCs w:val="24"/>
        </w:rPr>
        <w:t>: Submit the application to the nearest AAR office along with the required fee (₹10,000 for international transactions).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Online</w:t>
      </w:r>
      <w:r w:rsidRPr="009C5151">
        <w:rPr>
          <w:rFonts w:ascii="Times New Roman" w:hAnsi="Times New Roman" w:cs="Times New Roman"/>
          <w:sz w:val="24"/>
          <w:szCs w:val="24"/>
        </w:rPr>
        <w:t xml:space="preserve">: Use the </w:t>
      </w:r>
      <w:r w:rsidRPr="009C5151">
        <w:rPr>
          <w:rStyle w:val="Strong"/>
          <w:rFonts w:ascii="Times New Roman" w:hAnsi="Times New Roman" w:cs="Times New Roman"/>
          <w:sz w:val="24"/>
          <w:szCs w:val="24"/>
        </w:rPr>
        <w:t>e-Filing portal</w:t>
      </w:r>
      <w:r w:rsidRPr="009C5151">
        <w:rPr>
          <w:rFonts w:ascii="Times New Roman" w:hAnsi="Times New Roman" w:cs="Times New Roman"/>
          <w:sz w:val="24"/>
          <w:szCs w:val="24"/>
        </w:rPr>
        <w:t xml:space="preserve"> for submission under the “File Advance Ruling” section.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Follow-Up</w:t>
      </w:r>
      <w:r w:rsidRPr="009C5151">
        <w:rPr>
          <w:rFonts w:ascii="Times New Roman" w:hAnsi="Times New Roman" w:cs="Times New Roman"/>
          <w:sz w:val="24"/>
          <w:szCs w:val="24"/>
        </w:rPr>
        <w:t>: Track the application status online or directly with the AAR office.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0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B. Filing CbC Report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Log in to the Income Tax Portal</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Visit </w:t>
      </w:r>
      <w:hyperlink r:id="rId13" w:tgtFrame="_new" w:history="1">
        <w:r w:rsidRPr="009C5151">
          <w:rPr>
            <w:rStyle w:val="Hyperlink"/>
            <w:rFonts w:ascii="Times New Roman" w:hAnsi="Times New Roman" w:cs="Times New Roman"/>
            <w:sz w:val="24"/>
            <w:szCs w:val="24"/>
          </w:rPr>
          <w:t>Income Tax e-Filing Portal</w:t>
        </w:r>
      </w:hyperlink>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Upload the CbC Report</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Navigate to </w:t>
      </w:r>
      <w:r w:rsidRPr="009C5151">
        <w:rPr>
          <w:rStyle w:val="Strong"/>
          <w:rFonts w:ascii="Times New Roman" w:hAnsi="Times New Roman" w:cs="Times New Roman"/>
          <w:sz w:val="24"/>
          <w:szCs w:val="24"/>
        </w:rPr>
        <w:t>e-File → Income Tax Forms → File CbC Report</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Upload the template in </w:t>
      </w:r>
      <w:r w:rsidRPr="009C5151">
        <w:rPr>
          <w:rStyle w:val="Strong"/>
          <w:rFonts w:ascii="Times New Roman" w:hAnsi="Times New Roman" w:cs="Times New Roman"/>
          <w:sz w:val="24"/>
          <w:szCs w:val="24"/>
        </w:rPr>
        <w:t>XML format</w:t>
      </w:r>
      <w:r w:rsidRPr="009C5151">
        <w:rPr>
          <w:rFonts w:ascii="Times New Roman" w:hAnsi="Times New Roman" w:cs="Times New Roman"/>
          <w:sz w:val="24"/>
          <w:szCs w:val="24"/>
        </w:rPr>
        <w:t xml:space="preserve"> as prescribed.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Verification</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Verify the submission with a </w:t>
      </w:r>
      <w:r w:rsidRPr="009C5151">
        <w:rPr>
          <w:rStyle w:val="Strong"/>
          <w:rFonts w:ascii="Times New Roman" w:hAnsi="Times New Roman" w:cs="Times New Roman"/>
          <w:sz w:val="24"/>
          <w:szCs w:val="24"/>
        </w:rPr>
        <w:t>Digital Signature Certificate (DSC)</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Post-Filing</w:t>
      </w:r>
      <w:r w:rsidRPr="009C5151">
        <w:rPr>
          <w:rFonts w:ascii="Times New Roman" w:hAnsi="Times New Roman" w:cs="Times New Roman"/>
          <w:sz w:val="24"/>
          <w:szCs w:val="24"/>
        </w:rPr>
        <w:t>: Save the acknowledgment receipt for future reference.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0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C. TDS and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Generate Challans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Challan ITNS 281</w:t>
      </w:r>
      <w:r w:rsidRPr="009C5151">
        <w:rPr>
          <w:rFonts w:ascii="Times New Roman" w:hAnsi="Times New Roman" w:cs="Times New Roman"/>
          <w:sz w:val="24"/>
          <w:szCs w:val="24"/>
        </w:rPr>
        <w:t xml:space="preserve"> for WHT remittance.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Prepare Form 27Q</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TDS statements quarterly for payments to non-residents.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Issue Form 16A</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Generate WHT certificates for payees.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09" style="width:0;height:1.5pt" o:hralign="center" o:hrstd="t" o:hr="t" fillcolor="#a0a0a0" stroked="f"/>
        </w:pict>
      </w:r>
    </w:p>
    <w:p w:rsidR="00A056B6" w:rsidRPr="009C5151" w:rsidRDefault="00A056B6" w:rsidP="00743A5F">
      <w:pPr>
        <w:pStyle w:val="NormalWeb"/>
        <w:spacing w:before="0" w:beforeAutospacing="0"/>
      </w:pPr>
      <w:r w:rsidRPr="009C5151">
        <w:t>Would you like me to:</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Review your drafts</w:t>
      </w:r>
      <w:r w:rsidRPr="009C5151">
        <w:rPr>
          <w:rFonts w:ascii="Times New Roman" w:hAnsi="Times New Roman" w:cs="Times New Roman"/>
          <w:sz w:val="24"/>
          <w:szCs w:val="24"/>
        </w:rPr>
        <w:t xml:space="preserve"> with comments?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Customize templates</w:t>
      </w:r>
      <w:r w:rsidRPr="009C5151">
        <w:rPr>
          <w:rFonts w:ascii="Times New Roman" w:hAnsi="Times New Roman" w:cs="Times New Roman"/>
          <w:sz w:val="24"/>
          <w:szCs w:val="24"/>
        </w:rPr>
        <w:t xml:space="preserve"> further with specific numbers, roles, or explanations?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Guide you step-by-step on </w:t>
      </w:r>
      <w:r w:rsidRPr="009C5151">
        <w:rPr>
          <w:rStyle w:val="Strong"/>
          <w:rFonts w:ascii="Times New Roman" w:hAnsi="Times New Roman" w:cs="Times New Roman"/>
          <w:sz w:val="24"/>
          <w:szCs w:val="24"/>
        </w:rPr>
        <w:t>portal submissions</w:t>
      </w:r>
      <w:r w:rsidRPr="009C5151">
        <w:rPr>
          <w:rFonts w:ascii="Times New Roman" w:hAnsi="Times New Roman" w:cs="Times New Roman"/>
          <w:sz w:val="24"/>
          <w:szCs w:val="24"/>
        </w:rPr>
        <w:t>?</w:t>
      </w:r>
    </w:p>
    <w:p w:rsidR="00A056B6" w:rsidRPr="009C5151" w:rsidRDefault="00A056B6" w:rsidP="00743A5F">
      <w:pPr>
        <w:pStyle w:val="NormalWeb"/>
        <w:spacing w:before="0" w:beforeAutospacing="0"/>
      </w:pPr>
      <w:r w:rsidRPr="009C5151">
        <w:t>Let me know how I can best assist!</w:t>
      </w:r>
    </w:p>
    <w:p w:rsidR="00A056B6" w:rsidRPr="009C5151" w:rsidRDefault="00A056B6" w:rsidP="00743A5F">
      <w:pPr>
        <w:pStyle w:val="Heading5"/>
        <w:spacing w:before="0" w:beforeAutospacing="0"/>
        <w:rPr>
          <w:sz w:val="24"/>
          <w:szCs w:val="24"/>
        </w:rPr>
      </w:pPr>
      <w:r w:rsidRPr="009C5151">
        <w:rPr>
          <w:sz w:val="24"/>
          <w:szCs w:val="24"/>
        </w:rPr>
        <w:lastRenderedPageBreak/>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21st example of different set of issues and problem and suggested solutions by a CA to a Company including a detailed discussion on the various topics covered under suggestions and Conclusion. Please include in addition to the above transactions like Withholding tax, CbC reporting, Mutual Agreement procedure, DTAA with countries like USA, UK, Germany, Singapore, Mauritius, China, Russia and Germany; equalization levy; Please first list down the case, issues, documents and CA advise, Dividend and Interest, Royalty and Fee for Technical Services; applicability of GAAR; applicability of PE; Inter group transactions; computation of taxable income of the Tested Party with assumed numbers for the AY 2024-25; what kind of a PE the tested party may have by considering relevant provisions; Tax Information Exchange Agreement; the ruling of Board for Advance Ruling; the obligations and compute the liability (if any) of the tested party; sale of its manufacturing unit located in India as per UN Model Convention. Please consider Tested Party's subsidiary and transactions between them, shifting the subsidiary to another nation with which India has DTAA, LOB clause and other relevant aspects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3FBA868" wp14:editId="287868C9">
            <wp:extent cx="763905" cy="763905"/>
            <wp:effectExtent l="0" t="0" r="0" b="0"/>
            <wp:docPr id="280" name="Picture 28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9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053" w:name="_Toc187624151"/>
      <w:bookmarkStart w:id="1054" w:name="_Toc187630871"/>
      <w:bookmarkStart w:id="1055" w:name="_Toc187661050"/>
      <w:bookmarkStart w:id="1056" w:name="_Toc187662129"/>
      <w:r w:rsidRPr="009C5151">
        <w:rPr>
          <w:rStyle w:val="Strong"/>
          <w:b/>
          <w:bCs/>
          <w:sz w:val="24"/>
          <w:szCs w:val="24"/>
        </w:rPr>
        <w:t>Case Study: Tax and Compliance Challenges for GreenEnergy Pvt. Ltd.</w:t>
      </w:r>
      <w:bookmarkEnd w:id="1053"/>
      <w:bookmarkEnd w:id="1054"/>
      <w:bookmarkEnd w:id="1055"/>
      <w:bookmarkEnd w:id="1056"/>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1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57" w:name="_Toc187624152"/>
      <w:bookmarkStart w:id="1058" w:name="_Toc187630872"/>
      <w:bookmarkStart w:id="1059" w:name="_Toc187661051"/>
      <w:bookmarkStart w:id="1060" w:name="_Toc187662130"/>
      <w:r w:rsidRPr="009C5151">
        <w:rPr>
          <w:rStyle w:val="Strong"/>
          <w:b/>
          <w:bCs/>
          <w:sz w:val="24"/>
          <w:szCs w:val="24"/>
        </w:rPr>
        <w:t>Background</w:t>
      </w:r>
      <w:bookmarkEnd w:id="1057"/>
      <w:bookmarkEnd w:id="1058"/>
      <w:bookmarkEnd w:id="1059"/>
      <w:bookmarkEnd w:id="1060"/>
    </w:p>
    <w:p w:rsidR="00A056B6" w:rsidRPr="009C5151" w:rsidRDefault="00A056B6" w:rsidP="00743A5F">
      <w:pPr>
        <w:pStyle w:val="NormalWeb"/>
        <w:spacing w:before="0" w:beforeAutospacing="0"/>
      </w:pPr>
      <w:r w:rsidRPr="009C5151">
        <w:t xml:space="preserve">GreenEnergy Pvt. Ltd., an Indian company specializing in green energy solutions, operates globally with subsidiaries in </w:t>
      </w:r>
      <w:r w:rsidRPr="009C5151">
        <w:rPr>
          <w:rStyle w:val="Strong"/>
        </w:rPr>
        <w:t>USA, UK, Germany, Singapore, Mauritius, China, and Russia</w:t>
      </w:r>
      <w:r w:rsidRPr="009C5151">
        <w:t xml:space="preserve">. The company undertakes </w:t>
      </w:r>
      <w:r w:rsidRPr="009C5151">
        <w:rPr>
          <w:rStyle w:val="Strong"/>
        </w:rPr>
        <w:t>exports</w:t>
      </w:r>
      <w:r w:rsidRPr="009C5151">
        <w:t xml:space="preserve">, </w:t>
      </w:r>
      <w:r w:rsidRPr="009C5151">
        <w:rPr>
          <w:rStyle w:val="Strong"/>
        </w:rPr>
        <w:t>royalty payments</w:t>
      </w:r>
      <w:r w:rsidRPr="009C5151">
        <w:t xml:space="preserve">, </w:t>
      </w:r>
      <w:r w:rsidRPr="009C5151">
        <w:rPr>
          <w:rStyle w:val="Strong"/>
        </w:rPr>
        <w:t>fee for technical services (FTS)</w:t>
      </w:r>
      <w:r w:rsidRPr="009C5151">
        <w:t xml:space="preserve">, </w:t>
      </w:r>
      <w:r w:rsidRPr="009C5151">
        <w:rPr>
          <w:rStyle w:val="Strong"/>
        </w:rPr>
        <w:t>interest payments</w:t>
      </w:r>
      <w:r w:rsidRPr="009C5151">
        <w:t xml:space="preserve">, </w:t>
      </w:r>
      <w:r w:rsidRPr="009C5151">
        <w:rPr>
          <w:rStyle w:val="Strong"/>
        </w:rPr>
        <w:t>dividends</w:t>
      </w:r>
      <w:r w:rsidRPr="009C5151">
        <w:t xml:space="preserve">, </w:t>
      </w:r>
      <w:r w:rsidRPr="009C5151">
        <w:rPr>
          <w:rStyle w:val="Strong"/>
        </w:rPr>
        <w:t>inter-group transactions</w:t>
      </w:r>
      <w:r w:rsidRPr="009C5151">
        <w:t xml:space="preserve">, and has sold its </w:t>
      </w:r>
      <w:r w:rsidRPr="009C5151">
        <w:rPr>
          <w:rStyle w:val="Strong"/>
        </w:rPr>
        <w:t>manufacturing unit in India</w:t>
      </w:r>
      <w:r w:rsidRPr="009C5151">
        <w:t xml:space="preserve"> to its UK subsidiary. Additionally, the company is restructuring by relocating its Singapore subsidiary to </w:t>
      </w:r>
      <w:r w:rsidRPr="009C5151">
        <w:rPr>
          <w:rStyle w:val="Strong"/>
        </w:rPr>
        <w:t>Netherlands</w:t>
      </w:r>
      <w:r w:rsidRPr="009C5151">
        <w:t xml:space="preserve"> for tax and operational efficiency under the </w:t>
      </w:r>
      <w:r w:rsidRPr="009C5151">
        <w:rPr>
          <w:rStyle w:val="Strong"/>
        </w:rPr>
        <w:t>India-Netherlands DTAA</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1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61" w:name="_Toc187624153"/>
      <w:bookmarkStart w:id="1062" w:name="_Toc187630873"/>
      <w:bookmarkStart w:id="1063" w:name="_Toc187661052"/>
      <w:bookmarkStart w:id="1064" w:name="_Toc187662131"/>
      <w:r w:rsidRPr="009C5151">
        <w:rPr>
          <w:rStyle w:val="Strong"/>
          <w:b/>
          <w:bCs/>
          <w:sz w:val="24"/>
          <w:szCs w:val="24"/>
        </w:rPr>
        <w:t>Transactions</w:t>
      </w:r>
      <w:bookmarkEnd w:id="1061"/>
      <w:bookmarkEnd w:id="1062"/>
      <w:bookmarkEnd w:id="1063"/>
      <w:bookmarkEnd w:id="1064"/>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Green Technology Products</w:t>
      </w:r>
      <w:r w:rsidRPr="009C5151">
        <w:t>:</w:t>
      </w:r>
      <w:r w:rsidRPr="009C5151">
        <w:br/>
        <w:t>Exported ₹1,500 crore worth of products to AEs in USA, UK, and Germany.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r w:rsidRPr="009C5151">
        <w:br/>
        <w:t>Paid ₹75 crore to a Singapore AE for licensed IP technology.</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Fee for Technical Services (FTS)</w:t>
      </w:r>
      <w:r w:rsidRPr="009C5151">
        <w:t>:</w:t>
      </w:r>
      <w:r w:rsidRPr="009C5151">
        <w:br/>
        <w:t>Paid ₹50 crore to a German AE for consultancy on renewable energy projects.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r w:rsidRPr="009C5151">
        <w:br/>
        <w:t>Paid ₹30 crore to a Russian AE for loans obtained for business expansion.</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w:t>
      </w:r>
      <w:r w:rsidRPr="009C5151">
        <w:br/>
        <w:t>Paid ₹55 crore to its Mauritius parent company.</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r w:rsidRPr="009C5151">
        <w:br/>
        <w:t>Sold its manufacturing unit in India to GreenEnergy UK Ltd. for ₹700 crore.</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r w:rsidRPr="009C5151">
        <w:br/>
        <w:t>Paid ₹18 crore to a USA-based platform for global marketing campaigns.</w:t>
      </w:r>
    </w:p>
    <w:p w:rsidR="00A056B6" w:rsidRPr="009C5151" w:rsidRDefault="00A056B6" w:rsidP="00743A5F">
      <w:pPr>
        <w:pStyle w:val="NormalWeb"/>
        <w:tabs>
          <w:tab w:val="num" w:pos="720"/>
        </w:tabs>
        <w:spacing w:before="0" w:beforeAutospacing="0"/>
        <w:ind w:left="720" w:hanging="360"/>
      </w:pPr>
      <w:r w:rsidRPr="009C5151">
        <w:rPr>
          <w:rStyle w:val="Strong"/>
        </w:rPr>
        <w:t>Subsidiary Restructuring</w:t>
      </w:r>
      <w:r w:rsidRPr="009C5151">
        <w:t>:</w:t>
      </w:r>
      <w:r w:rsidRPr="009C5151">
        <w:br/>
        <w:t xml:space="preserve">Relocating GreenEnergy Singapore Pte Ltd. to </w:t>
      </w:r>
      <w:r w:rsidRPr="009C5151">
        <w:rPr>
          <w:rStyle w:val="Strong"/>
        </w:rPr>
        <w:t>Netherlands</w:t>
      </w:r>
      <w:r w:rsidRPr="009C5151">
        <w:t xml:space="preserve">, leveraging the </w:t>
      </w:r>
      <w:r w:rsidRPr="009C5151">
        <w:rPr>
          <w:rStyle w:val="Strong"/>
        </w:rPr>
        <w:t>India-Netherlands DTAA</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1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r w:rsidRPr="009C5151">
        <w:br/>
        <w:t>Paid ₹20 crore to an Indian AE for centralized HR and IT functions.</w:t>
      </w:r>
    </w:p>
    <w:p w:rsidR="00A056B6" w:rsidRPr="009C5151" w:rsidRDefault="00A056B6" w:rsidP="00743A5F">
      <w:pPr>
        <w:pStyle w:val="NormalWeb"/>
        <w:tabs>
          <w:tab w:val="num" w:pos="720"/>
        </w:tabs>
        <w:spacing w:before="0" w:beforeAutospacing="0"/>
        <w:ind w:left="720" w:hanging="360"/>
      </w:pPr>
      <w:r w:rsidRPr="009C5151">
        <w:rPr>
          <w:rStyle w:val="Strong"/>
        </w:rPr>
        <w:t>Leasing of Equipment</w:t>
      </w:r>
      <w:r w:rsidRPr="009C5151">
        <w:t>:</w:t>
      </w:r>
      <w:r w:rsidRPr="009C5151">
        <w:br/>
        <w:t>Leased ₹30 crore worth of equipment to another domestic AE.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13"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1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65" w:name="_Toc187624154"/>
      <w:bookmarkStart w:id="1066" w:name="_Toc187630874"/>
      <w:bookmarkStart w:id="1067" w:name="_Toc187661053"/>
      <w:bookmarkStart w:id="1068" w:name="_Toc187662132"/>
      <w:r w:rsidRPr="009C5151">
        <w:rPr>
          <w:rStyle w:val="Strong"/>
          <w:b/>
          <w:bCs/>
          <w:sz w:val="24"/>
          <w:szCs w:val="24"/>
        </w:rPr>
        <w:t>Key Issues</w:t>
      </w:r>
      <w:bookmarkEnd w:id="1065"/>
      <w:bookmarkEnd w:id="1066"/>
      <w:bookmarkEnd w:id="1067"/>
      <w:bookmarkEnd w:id="1068"/>
    </w:p>
    <w:p w:rsidR="00A056B6" w:rsidRPr="009C5151" w:rsidRDefault="00A056B6" w:rsidP="00743A5F">
      <w:pPr>
        <w:pStyle w:val="Heading4"/>
        <w:spacing w:before="0" w:beforeAutospacing="0"/>
      </w:pPr>
      <w:r w:rsidRPr="009C5151">
        <w:rPr>
          <w:rStyle w:val="Strong"/>
          <w:b/>
          <w:bCs/>
        </w:rPr>
        <w:t>1. 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₹1,500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₹75 crore royalty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₹50 crore FTS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₹30 crore interest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₹700 crore sale of the manufacturing unit.</w: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Ensuring compliance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(10% under India-Russia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(0% under India-Mauritius DTAA).</w: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₹18 crore advertising payments.</w:t>
      </w:r>
    </w:p>
    <w:p w:rsidR="00A056B6" w:rsidRPr="009C5151" w:rsidRDefault="00A056B6" w:rsidP="00743A5F">
      <w:pPr>
        <w:pStyle w:val="Heading4"/>
        <w:spacing w:before="0" w:beforeAutospacing="0"/>
      </w:pPr>
      <w:r w:rsidRPr="009C5151">
        <w:rPr>
          <w:rStyle w:val="Strong"/>
          <w:b/>
          <w:bCs/>
        </w:rPr>
        <w:t>4. Applicability of GAAR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GAAR Scrutiny</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Treaty benefits availed by the Mauritius entity for dividend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Justification for relocating the Singapore subsidiary to Netherlands.</w:t>
      </w:r>
    </w:p>
    <w:p w:rsidR="00A056B6" w:rsidRPr="009C5151" w:rsidRDefault="00A056B6" w:rsidP="00743A5F">
      <w:pPr>
        <w:pStyle w:val="Heading4"/>
        <w:spacing w:before="0" w:beforeAutospacing="0"/>
      </w:pPr>
      <w:r w:rsidRPr="009C5151">
        <w:rPr>
          <w:rStyle w:val="Strong"/>
          <w:b/>
          <w:bCs/>
        </w:rPr>
        <w:t>5. Permanent Establishment (PE) Concerns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PE 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USA</w:t>
      </w:r>
      <w:r w:rsidRPr="009C5151">
        <w:rPr>
          <w:rFonts w:ascii="Times New Roman" w:hAnsi="Times New Roman" w:cs="Times New Roman"/>
          <w:sz w:val="24"/>
          <w:szCs w:val="24"/>
        </w:rPr>
        <w:t>: Dependent Agent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Germany</w:t>
      </w:r>
      <w:r w:rsidRPr="009C5151">
        <w:rPr>
          <w:rFonts w:ascii="Times New Roman" w:hAnsi="Times New Roman" w:cs="Times New Roman"/>
          <w:sz w:val="24"/>
          <w:szCs w:val="24"/>
        </w:rPr>
        <w:t>: Fixed Place PE.</w:t>
      </w:r>
    </w:p>
    <w:p w:rsidR="00A056B6" w:rsidRPr="009C5151" w:rsidRDefault="00A056B6" w:rsidP="00743A5F">
      <w:pPr>
        <w:pStyle w:val="Heading4"/>
        <w:spacing w:before="0" w:beforeAutospacing="0"/>
      </w:pPr>
      <w:r w:rsidRPr="009C5151">
        <w:rPr>
          <w:rStyle w:val="Strong"/>
          <w:b/>
          <w:bCs/>
        </w:rPr>
        <w:t>6. Taxable Income Computation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Determining taxable income for AY 2024-25, incorporating TP adjustments and gains from the manufacturing unit sale.</w:t>
      </w:r>
    </w:p>
    <w:p w:rsidR="00A056B6" w:rsidRPr="009C5151" w:rsidRDefault="00A056B6" w:rsidP="00743A5F">
      <w:pPr>
        <w:pStyle w:val="Heading4"/>
        <w:spacing w:before="0" w:beforeAutospacing="0"/>
      </w:pPr>
      <w:r w:rsidRPr="009C5151">
        <w:rPr>
          <w:rStyle w:val="Strong"/>
          <w:b/>
          <w:bCs/>
        </w:rPr>
        <w:t>7. Tax Information Exchange Agreement (TIEA)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Russia requests interest payment details under TIEA.</w:t>
      </w:r>
    </w:p>
    <w:p w:rsidR="00A056B6" w:rsidRPr="009C5151" w:rsidRDefault="00A056B6" w:rsidP="00743A5F">
      <w:pPr>
        <w:pStyle w:val="Heading4"/>
        <w:spacing w:before="0" w:beforeAutospacing="0"/>
      </w:pPr>
      <w:r w:rsidRPr="009C5151">
        <w:rPr>
          <w:rStyle w:val="Strong"/>
          <w:b/>
          <w:bCs/>
        </w:rPr>
        <w:t>8. Board for Advance Rulings (AAR)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AAR application for the tax treatment of gains from the sale of the manufacturing unit under the </w:t>
      </w:r>
      <w:r w:rsidRPr="009C5151">
        <w:rPr>
          <w:rStyle w:val="Strong"/>
          <w:rFonts w:ascii="Times New Roman" w:hAnsi="Times New Roman" w:cs="Times New Roman"/>
          <w:sz w:val="24"/>
          <w:szCs w:val="24"/>
        </w:rPr>
        <w:t>UN Model Convention</w:t>
      </w:r>
      <w:r w:rsidRPr="009C5151">
        <w:rPr>
          <w:rFonts w:ascii="Times New Roman" w:hAnsi="Times New Roman" w:cs="Times New Roman"/>
          <w:sz w:val="24"/>
          <w:szCs w:val="24"/>
        </w:rPr>
        <w:t>.</w:t>
      </w:r>
    </w:p>
    <w:p w:rsidR="00A056B6" w:rsidRPr="009C5151" w:rsidRDefault="00A056B6" w:rsidP="00743A5F">
      <w:pPr>
        <w:pStyle w:val="Heading4"/>
        <w:spacing w:before="0" w:beforeAutospacing="0"/>
      </w:pPr>
      <w:r w:rsidRPr="009C5151">
        <w:rPr>
          <w:rStyle w:val="Strong"/>
          <w:b/>
          <w:bCs/>
        </w:rPr>
        <w:t>9. Limitation of Benefits (LOB) Clause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Assess compliance with the LOB clause in India-Mauritius and India-Netherlands DTAAs.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15"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71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69" w:name="_Toc187624155"/>
      <w:bookmarkStart w:id="1070" w:name="_Toc187630875"/>
      <w:bookmarkStart w:id="1071" w:name="_Toc187661054"/>
      <w:bookmarkStart w:id="1072" w:name="_Toc187662133"/>
      <w:r w:rsidRPr="009C5151">
        <w:rPr>
          <w:rStyle w:val="Strong"/>
          <w:b/>
          <w:bCs/>
          <w:sz w:val="24"/>
          <w:szCs w:val="24"/>
        </w:rPr>
        <w:t>Documents Required</w:t>
      </w:r>
      <w:bookmarkEnd w:id="1069"/>
      <w:bookmarkEnd w:id="1070"/>
      <w:bookmarkEnd w:id="1071"/>
      <w:bookmarkEnd w:id="1072"/>
    </w:p>
    <w:p w:rsidR="00A056B6" w:rsidRPr="009C5151" w:rsidRDefault="00A056B6" w:rsidP="00743A5F">
      <w:pPr>
        <w:pStyle w:val="NormalWeb"/>
        <w:tabs>
          <w:tab w:val="num" w:pos="720"/>
        </w:tabs>
        <w:spacing w:before="0" w:beforeAutospacing="0"/>
        <w:ind w:left="720" w:hanging="360"/>
      </w:pPr>
      <w:r w:rsidRPr="009C5151">
        <w:rPr>
          <w:rStyle w:val="Strong"/>
        </w:rPr>
        <w:t>Transaction 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Contracts for exports, royalties, FTS, loans, dividends, and unit sale.</w:t>
      </w:r>
    </w:p>
    <w:p w:rsidR="00A056B6" w:rsidRPr="009C5151" w:rsidRDefault="00A056B6" w:rsidP="00743A5F">
      <w:pPr>
        <w:pStyle w:val="NormalWeb"/>
        <w:tabs>
          <w:tab w:val="num" w:pos="720"/>
        </w:tabs>
        <w:spacing w:before="0" w:beforeAutospacing="0"/>
        <w:ind w:left="720" w:hanging="360"/>
      </w:pPr>
      <w:r w:rsidRPr="009C5151">
        <w:rPr>
          <w:rStyle w:val="Strong"/>
        </w:rPr>
        <w:t>Valuation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Independent valuation for the sale of the manufacturing unit.</w:t>
      </w:r>
    </w:p>
    <w:p w:rsidR="00A056B6" w:rsidRPr="009C5151" w:rsidRDefault="00A056B6" w:rsidP="00743A5F">
      <w:pPr>
        <w:pStyle w:val="NormalWeb"/>
        <w:tabs>
          <w:tab w:val="num" w:pos="720"/>
        </w:tabs>
        <w:spacing w:before="0" w:beforeAutospacing="0"/>
        <w:ind w:left="720" w:hanging="360"/>
      </w:pPr>
      <w:r w:rsidRPr="009C5151">
        <w:rPr>
          <w:rStyle w:val="Strong"/>
        </w:rPr>
        <w:t>Tax Residency Certificates (TRC)</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TRCs for Mauritius, Singapore, Germany, and Russia.</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Allocation of roles and risks among AEs.</w:t>
      </w:r>
    </w:p>
    <w:p w:rsidR="00A056B6" w:rsidRPr="009C5151" w:rsidRDefault="00A056B6" w:rsidP="00743A5F">
      <w:pPr>
        <w:pStyle w:val="NormalWeb"/>
        <w:tabs>
          <w:tab w:val="num" w:pos="720"/>
        </w:tabs>
        <w:spacing w:before="0" w:beforeAutospacing="0"/>
        <w:ind w:left="720" w:hanging="360"/>
      </w:pPr>
      <w:r w:rsidRPr="009C5151">
        <w:rPr>
          <w:rStyle w:val="Strong"/>
        </w:rPr>
        <w:t>AAR Submission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Sale agreement, valuation report, and DTAA provisions.</w:t>
      </w:r>
    </w:p>
    <w:p w:rsidR="00A056B6" w:rsidRPr="009C5151" w:rsidRDefault="00A056B6" w:rsidP="00743A5F">
      <w:pPr>
        <w:pStyle w:val="NormalWeb"/>
        <w:tabs>
          <w:tab w:val="num" w:pos="720"/>
        </w:tabs>
        <w:spacing w:before="0" w:beforeAutospacing="0"/>
        <w:ind w:left="720" w:hanging="360"/>
      </w:pPr>
      <w:r w:rsidRPr="009C5151">
        <w:rPr>
          <w:rStyle w:val="Strong"/>
        </w:rPr>
        <w:t>CbC Reporting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Consolidated financial and operational details.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17"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1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73" w:name="_Toc187624156"/>
      <w:bookmarkStart w:id="1074" w:name="_Toc187630876"/>
      <w:bookmarkStart w:id="1075" w:name="_Toc187661055"/>
      <w:bookmarkStart w:id="1076" w:name="_Toc187662134"/>
      <w:r w:rsidRPr="009C5151">
        <w:rPr>
          <w:rStyle w:val="Strong"/>
          <w:b/>
          <w:bCs/>
          <w:sz w:val="24"/>
          <w:szCs w:val="24"/>
        </w:rPr>
        <w:t>Proposed Solutions</w:t>
      </w:r>
      <w:bookmarkEnd w:id="1073"/>
      <w:bookmarkEnd w:id="1074"/>
      <w:bookmarkEnd w:id="1075"/>
      <w:bookmarkEnd w:id="1076"/>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Export of Green Technology Products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TNMM</w:t>
      </w:r>
      <w:r w:rsidRPr="009C5151">
        <w:rPr>
          <w:rFonts w:ascii="Times New Roman" w:hAnsi="Times New Roman" w:cs="Times New Roman"/>
          <w:sz w:val="24"/>
          <w:szCs w:val="24"/>
        </w:rPr>
        <w:t xml:space="preserve"> to benchmark ₹1,500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operating margins with renewable energy product manufacturers.</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benchmark ₹75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royalty rate (6%-8%).</w:t>
      </w:r>
    </w:p>
    <w:p w:rsidR="00A056B6" w:rsidRPr="009C5151" w:rsidRDefault="00A056B6" w:rsidP="00743A5F">
      <w:pPr>
        <w:pStyle w:val="NormalWeb"/>
        <w:tabs>
          <w:tab w:val="num" w:pos="720"/>
        </w:tabs>
        <w:spacing w:before="0" w:beforeAutospacing="0"/>
        <w:ind w:left="720" w:hanging="360"/>
      </w:pPr>
      <w:r w:rsidRPr="009C5151">
        <w:rPr>
          <w:rStyle w:val="Strong"/>
        </w:rPr>
        <w:t>FTS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CPM</w:t>
      </w:r>
      <w:r w:rsidRPr="009C5151">
        <w:rPr>
          <w:rFonts w:ascii="Times New Roman" w:hAnsi="Times New Roman" w:cs="Times New Roman"/>
          <w:sz w:val="24"/>
          <w:szCs w:val="24"/>
        </w:rPr>
        <w:t xml:space="preserve"> to benchmark ₹50 crore consultancy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Compare markup with consulting firms in renewable energy.</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Ensure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(interest deduction capped at 30% of EBITDA).</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₹700 crore sale transaction using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valuation method</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1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₹75 crore × 10% = ₹7.5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₹50 crore × 10% = ₹5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₹30 crore × 10% = ₹3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2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Levy at 6% on ₹18 crore advertising payments = ₹1.08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2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GAAR and Subsidiary Relocation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Relocation to Netherlands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Highlight business reasons such as market expansion and logistical efficiency.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Comply with </w:t>
      </w:r>
      <w:r w:rsidRPr="009C5151">
        <w:rPr>
          <w:rStyle w:val="Strong"/>
          <w:rFonts w:ascii="Times New Roman" w:hAnsi="Times New Roman" w:cs="Times New Roman"/>
          <w:sz w:val="24"/>
          <w:szCs w:val="24"/>
        </w:rPr>
        <w:t>LOB clause</w:t>
      </w:r>
      <w:r w:rsidRPr="009C5151">
        <w:rPr>
          <w:rFonts w:ascii="Times New Roman" w:hAnsi="Times New Roman" w:cs="Times New Roman"/>
          <w:sz w:val="24"/>
          <w:szCs w:val="24"/>
        </w:rPr>
        <w:t xml:space="preserve"> in the India-Netherlands DTAA by demonstrating:</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Real operational presence in Netherlands.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Substantial employee and office setup.</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2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Permanent Establishment (PE)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USA PE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Mitigation: Limit the authority of the USA subsidiary to negotiate contracts.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Germany PE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Mitigation: Attribute profits based on functions performed, risks assumed, and assets used.</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2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Taxable Income Computation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4"/>
        <w:gridCol w:w="186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Particulars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Revenue (Exports)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Domestic Revenue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Less: Expenses: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Royalty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FTS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Interest (allowable under 94B)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Depreciation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Gain on Sale of Unit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Taxable Income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2,100</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2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7. TIEA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Provide requested details to Russian tax authorities: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Loan agreement.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Bank transfer proofs.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 of the Russian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2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8. AAR 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Gains from the manufacturing unit sale are taxable in India under Article 13 of the </w:t>
      </w:r>
      <w:r w:rsidRPr="009C5151">
        <w:rPr>
          <w:rStyle w:val="Strong"/>
          <w:rFonts w:ascii="Times New Roman" w:hAnsi="Times New Roman" w:cs="Times New Roman"/>
          <w:sz w:val="24"/>
          <w:szCs w:val="24"/>
        </w:rPr>
        <w:t>UN Model Convention</w:t>
      </w:r>
      <w:r w:rsidRPr="009C5151">
        <w:rPr>
          <w:rFonts w:ascii="Times New Roman" w:hAnsi="Times New Roman" w:cs="Times New Roman"/>
          <w:sz w:val="24"/>
          <w:szCs w:val="24"/>
        </w:rPr>
        <w:t xml:space="preserve"> and Section 9 of the Income-tax Act, 1961.</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26"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2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77" w:name="_Toc187624157"/>
      <w:bookmarkStart w:id="1078" w:name="_Toc187630877"/>
      <w:bookmarkStart w:id="1079" w:name="_Toc187661056"/>
      <w:bookmarkStart w:id="1080" w:name="_Toc187662135"/>
      <w:r w:rsidRPr="009C5151">
        <w:rPr>
          <w:rStyle w:val="Strong"/>
          <w:b/>
          <w:bCs/>
          <w:sz w:val="24"/>
          <w:szCs w:val="24"/>
        </w:rPr>
        <w:t>Conclusion</w:t>
      </w:r>
      <w:bookmarkEnd w:id="1077"/>
      <w:bookmarkEnd w:id="1078"/>
      <w:bookmarkEnd w:id="1079"/>
      <w:bookmarkEnd w:id="1080"/>
    </w:p>
    <w:p w:rsidR="00A056B6" w:rsidRPr="009C5151" w:rsidRDefault="00A056B6" w:rsidP="00743A5F">
      <w:pPr>
        <w:pStyle w:val="NormalWeb"/>
        <w:tabs>
          <w:tab w:val="num" w:pos="720"/>
        </w:tabs>
        <w:spacing w:before="0" w:beforeAutospacing="0"/>
        <w:ind w:left="720" w:hanging="360"/>
      </w:pPr>
      <w:r w:rsidRPr="009C5151">
        <w:rPr>
          <w:rStyle w:val="Strong"/>
        </w:rPr>
        <w:t>Transfer Pricing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all international transactions are benchmarked using TNMM, CUP, or CPM.</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GAAR Mitigation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Demonstrate substance for the Mauritius and Netherlands entities.</w:t>
      </w:r>
    </w:p>
    <w:p w:rsidR="00A056B6" w:rsidRPr="009C5151" w:rsidRDefault="00A056B6" w:rsidP="00743A5F">
      <w:pPr>
        <w:pStyle w:val="NormalWeb"/>
        <w:tabs>
          <w:tab w:val="num" w:pos="720"/>
        </w:tabs>
        <w:spacing w:before="0" w:beforeAutospacing="0"/>
        <w:ind w:left="720" w:hanging="360"/>
      </w:pPr>
      <w:r w:rsidRPr="009C5151">
        <w:rPr>
          <w:rStyle w:val="Strong"/>
        </w:rPr>
        <w:t>PE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Mitigate USA and Germany PE risks by restricting local subsidiary roles.</w:t>
      </w:r>
    </w:p>
    <w:p w:rsidR="00A056B6" w:rsidRPr="009C5151" w:rsidRDefault="00A056B6" w:rsidP="00743A5F">
      <w:pPr>
        <w:pStyle w:val="NormalWeb"/>
        <w:tabs>
          <w:tab w:val="num" w:pos="720"/>
        </w:tabs>
        <w:spacing w:before="0" w:beforeAutospacing="0"/>
        <w:ind w:left="720" w:hanging="360"/>
      </w:pPr>
      <w:r w:rsidRPr="009C5151">
        <w:rPr>
          <w:rStyle w:val="Strong"/>
        </w:rPr>
        <w:t>Taxable Income Computation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Include capital gains and ensure accurate TP adjustments.</w:t>
      </w:r>
    </w:p>
    <w:p w:rsidR="00A056B6" w:rsidRPr="009C5151" w:rsidRDefault="00A056B6" w:rsidP="00743A5F">
      <w:pPr>
        <w:pStyle w:val="NormalWeb"/>
        <w:tabs>
          <w:tab w:val="num" w:pos="720"/>
        </w:tabs>
        <w:spacing w:before="0" w:beforeAutospacing="0"/>
        <w:ind w:left="720" w:hanging="360"/>
      </w:pPr>
      <w:r w:rsidRPr="009C5151">
        <w:rPr>
          <w:rStyle w:val="Strong"/>
        </w:rPr>
        <w:t>AAR Ruling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Seek clarification on sale taxability under the UN Model Convention.</w:t>
      </w:r>
    </w:p>
    <w:p w:rsidR="00A056B6" w:rsidRPr="009C5151" w:rsidRDefault="00A056B6" w:rsidP="00743A5F">
      <w:pPr>
        <w:pStyle w:val="NormalWeb"/>
        <w:tabs>
          <w:tab w:val="num" w:pos="720"/>
        </w:tabs>
        <w:spacing w:before="0" w:beforeAutospacing="0"/>
        <w:ind w:left="720" w:hanging="360"/>
      </w:pPr>
      <w:r w:rsidRPr="009C5151">
        <w:rPr>
          <w:rStyle w:val="Strong"/>
        </w:rPr>
        <w:t>CbC Reporting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jurisdiction-wise financial details accurately.</w:t>
      </w:r>
    </w:p>
    <w:p w:rsidR="00A056B6" w:rsidRPr="009C5151" w:rsidRDefault="00A056B6" w:rsidP="00743A5F">
      <w:pPr>
        <w:pStyle w:val="NormalWeb"/>
        <w:spacing w:before="0" w:beforeAutospacing="0"/>
      </w:pPr>
      <w:r w:rsidRPr="009C5151">
        <w:t xml:space="preserve">Would you like assistance drafting </w:t>
      </w:r>
      <w:r w:rsidRPr="009C5151">
        <w:rPr>
          <w:rStyle w:val="Strong"/>
        </w:rPr>
        <w:t>customized AAR applications, TP documentation, PE templates, or compliance reports</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assistance drafting customized AAR applications, TP documentation, PE templates, or compliance reports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E58BA0B" wp14:editId="1CE5F55D">
            <wp:extent cx="763905" cy="763905"/>
            <wp:effectExtent l="0" t="0" r="0" b="0"/>
            <wp:docPr id="279" name="Picture 27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1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081" w:name="_Toc187624158"/>
      <w:bookmarkStart w:id="1082" w:name="_Toc187630878"/>
      <w:bookmarkStart w:id="1083" w:name="_Toc187661057"/>
      <w:bookmarkStart w:id="1084" w:name="_Toc187662136"/>
      <w:r w:rsidRPr="009C5151">
        <w:rPr>
          <w:rStyle w:val="Strong"/>
          <w:b/>
          <w:bCs/>
          <w:sz w:val="24"/>
          <w:szCs w:val="24"/>
        </w:rPr>
        <w:t>Assistance with Drafting Customized AAR Applications, TP Documentation, PE Templates, and Compliance Reports</w:t>
      </w:r>
      <w:bookmarkEnd w:id="1081"/>
      <w:bookmarkEnd w:id="1082"/>
      <w:bookmarkEnd w:id="1083"/>
      <w:bookmarkEnd w:id="1084"/>
    </w:p>
    <w:p w:rsidR="00A056B6" w:rsidRPr="009C5151" w:rsidRDefault="00A056B6" w:rsidP="00743A5F">
      <w:pPr>
        <w:pStyle w:val="NormalWeb"/>
        <w:spacing w:before="0" w:beforeAutospacing="0"/>
      </w:pPr>
      <w:r w:rsidRPr="009C5151">
        <w:t xml:space="preserve">Here are </w:t>
      </w:r>
      <w:r w:rsidRPr="009C5151">
        <w:rPr>
          <w:rStyle w:val="Strong"/>
        </w:rPr>
        <w:t>customized drafts</w:t>
      </w:r>
      <w:r w:rsidRPr="009C5151">
        <w:t xml:space="preserve"> and templates for Advance Ruling Applications, Transfer Pricing (TP) Documentation, Permanent Establishment (PE) Analysis, and Compliance Reports for GreenEnergy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2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85" w:name="_Toc187624159"/>
      <w:bookmarkStart w:id="1086" w:name="_Toc187630879"/>
      <w:bookmarkStart w:id="1087" w:name="_Toc187661058"/>
      <w:bookmarkStart w:id="1088" w:name="_Toc187662137"/>
      <w:r w:rsidRPr="009C5151">
        <w:rPr>
          <w:rStyle w:val="Strong"/>
          <w:b/>
          <w:bCs/>
          <w:sz w:val="24"/>
          <w:szCs w:val="24"/>
        </w:rPr>
        <w:t>I. Customized AAR Application</w:t>
      </w:r>
      <w:bookmarkEnd w:id="1085"/>
      <w:bookmarkEnd w:id="1086"/>
      <w:bookmarkEnd w:id="1087"/>
      <w:bookmarkEnd w:id="1088"/>
    </w:p>
    <w:p w:rsidR="00A056B6" w:rsidRPr="009C5151" w:rsidRDefault="00A056B6" w:rsidP="00743A5F">
      <w:pPr>
        <w:pStyle w:val="Heading4"/>
        <w:spacing w:before="0" w:beforeAutospacing="0"/>
      </w:pPr>
      <w:r w:rsidRPr="009C5151">
        <w:rPr>
          <w:rStyle w:val="Strong"/>
          <w:b/>
          <w:bCs/>
        </w:rPr>
        <w:t>Template: Advance Ruling Application</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lastRenderedPageBreak/>
        <w:t>To,</w:t>
      </w:r>
      <w:r w:rsidRPr="009C5151">
        <w:br/>
        <w:t>The Secretary,</w:t>
      </w:r>
      <w:r w:rsidRPr="009C5151">
        <w:br/>
        <w:t>Authority for Advance Rulings (Income Tax),</w:t>
      </w:r>
      <w:r w:rsidRPr="009C5151">
        <w:br/>
        <w:t>[Address], India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2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Subject</w:t>
      </w:r>
      <w:r w:rsidRPr="009C5151">
        <w:t>: Application for Advance Ruling Under Section 245Q of the Income-tax Act, 1961</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30"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Applicant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Name</w:t>
      </w:r>
      <w:r w:rsidRPr="009C5151">
        <w:rPr>
          <w:rFonts w:ascii="Times New Roman" w:hAnsi="Times New Roman" w:cs="Times New Roman"/>
          <w:sz w:val="24"/>
          <w:szCs w:val="24"/>
        </w:rPr>
        <w:t>: GreenEnergy Pvt.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PAN</w:t>
      </w:r>
      <w:r w:rsidRPr="009C5151">
        <w:rPr>
          <w:rFonts w:ascii="Times New Roman" w:hAnsi="Times New Roman" w:cs="Times New Roman"/>
          <w:sz w:val="24"/>
          <w:szCs w:val="24"/>
        </w:rPr>
        <w:t>: XXXXX1234X</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Address</w:t>
      </w:r>
      <w:r w:rsidRPr="009C5151">
        <w:rPr>
          <w:rFonts w:ascii="Times New Roman" w:hAnsi="Times New Roman" w:cs="Times New Roman"/>
          <w:sz w:val="24"/>
          <w:szCs w:val="24"/>
        </w:rPr>
        <w:t>: [Registered Address of the Applicant]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31"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Transaction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Type</w:t>
      </w:r>
      <w:r w:rsidRPr="009C5151">
        <w:rPr>
          <w:rFonts w:ascii="Times New Roman" w:hAnsi="Times New Roman" w:cs="Times New Roman"/>
          <w:sz w:val="24"/>
          <w:szCs w:val="24"/>
        </w:rPr>
        <w:t>: Sale of manufacturing unit located in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Sale Value</w:t>
      </w:r>
      <w:r w:rsidRPr="009C5151">
        <w:rPr>
          <w:rFonts w:ascii="Times New Roman" w:hAnsi="Times New Roman" w:cs="Times New Roman"/>
          <w:sz w:val="24"/>
          <w:szCs w:val="24"/>
        </w:rPr>
        <w:t>: ₹700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Buyer</w:t>
      </w:r>
      <w:r w:rsidRPr="009C5151">
        <w:rPr>
          <w:rFonts w:ascii="Times New Roman" w:hAnsi="Times New Roman" w:cs="Times New Roman"/>
          <w:sz w:val="24"/>
          <w:szCs w:val="24"/>
        </w:rPr>
        <w:t>: GreenEnergy UK Ltd., a related entity incorporated in the United Kingdom.</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32"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Questions for Advance Ruling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capital gains from the sale of the manufacturing unit are taxable under Section 9 of the Income-tax Act, 1961, considering the situs of the asset in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Article 13 of the UN Model Convention, determining taxation rights between India and the UK.</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transaction qualifies for any tax relief or exemption under the India-UK DTAA.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3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Supporting Documents Attached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Sale Agreement with GreenEnergy UK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Independent Valuation Report of the Manufacturing Unit.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Tax Residency Certificate (TRC) and Form 10F of GreenEnergy UK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Functional and Risk Analysis of the Manufacturing Unit’s Operations.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Board Resolution approving the sale.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3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Declaration</w:t>
      </w:r>
      <w:r w:rsidRPr="009C5151">
        <w:t>:</w:t>
      </w:r>
      <w:r w:rsidRPr="009C5151">
        <w:br/>
        <w:t>I declare that the information provided above is true, correct, and complete to the best of my knowledge.</w:t>
      </w:r>
    </w:p>
    <w:p w:rsidR="00A056B6" w:rsidRPr="009C5151" w:rsidRDefault="00A056B6" w:rsidP="00743A5F">
      <w:pPr>
        <w:pStyle w:val="NormalWeb"/>
        <w:spacing w:before="0" w:beforeAutospacing="0"/>
      </w:pPr>
      <w:r w:rsidRPr="009C5151">
        <w:rPr>
          <w:rStyle w:val="Strong"/>
        </w:rPr>
        <w:t>Signed</w:t>
      </w:r>
      <w:r w:rsidRPr="009C5151">
        <w:t>:</w:t>
      </w:r>
      <w:r w:rsidRPr="009C5151">
        <w:br/>
        <w:t>For GreenEnergy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35" style="width:0;height:1.5pt" o:hralign="center" o:hrstd="t" o:hr="t" fillcolor="#a0a0a0" stroked="f"/>
        </w:pict>
      </w:r>
    </w:p>
    <w:p w:rsidR="00A056B6" w:rsidRPr="009C5151" w:rsidRDefault="00A056B6" w:rsidP="00743A5F">
      <w:pPr>
        <w:pStyle w:val="NormalWeb"/>
        <w:spacing w:before="0" w:beforeAutospacing="0"/>
      </w:pPr>
      <w:r w:rsidRPr="009C5151">
        <w:t>Authorized Signatory</w:t>
      </w:r>
    </w:p>
    <w:p w:rsidR="00A056B6" w:rsidRPr="009C5151" w:rsidRDefault="00A056B6" w:rsidP="00743A5F">
      <w:pPr>
        <w:pStyle w:val="NormalWeb"/>
        <w:spacing w:before="0" w:beforeAutospacing="0"/>
      </w:pPr>
      <w:r w:rsidRPr="009C5151">
        <w:t>Date: [Date]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36"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3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89" w:name="_Toc187624160"/>
      <w:bookmarkStart w:id="1090" w:name="_Toc187630880"/>
      <w:bookmarkStart w:id="1091" w:name="_Toc187661059"/>
      <w:bookmarkStart w:id="1092" w:name="_Toc187662138"/>
      <w:r w:rsidRPr="009C5151">
        <w:rPr>
          <w:rStyle w:val="Strong"/>
          <w:b/>
          <w:bCs/>
          <w:sz w:val="24"/>
          <w:szCs w:val="24"/>
        </w:rPr>
        <w:t>II. Customized TP Documentation</w:t>
      </w:r>
      <w:bookmarkEnd w:id="1089"/>
      <w:bookmarkEnd w:id="1090"/>
      <w:bookmarkEnd w:id="1091"/>
      <w:bookmarkEnd w:id="1092"/>
    </w:p>
    <w:p w:rsidR="00A056B6" w:rsidRPr="009C5151" w:rsidRDefault="00A056B6" w:rsidP="00743A5F">
      <w:pPr>
        <w:pStyle w:val="Heading4"/>
        <w:spacing w:before="0" w:beforeAutospacing="0"/>
      </w:pPr>
      <w:r w:rsidRPr="009C5151">
        <w:rPr>
          <w:rStyle w:val="Strong"/>
          <w:b/>
          <w:bCs/>
        </w:rPr>
        <w:t>1. Functional and Risk Analysis</w:t>
      </w:r>
    </w:p>
    <w:p w:rsidR="00A056B6" w:rsidRPr="009C5151" w:rsidRDefault="00A056B6" w:rsidP="00743A5F">
      <w:pPr>
        <w:pStyle w:val="NormalWeb"/>
        <w:spacing w:before="0" w:beforeAutospacing="0"/>
      </w:pPr>
      <w:r w:rsidRPr="009C5151">
        <w:rPr>
          <w:rStyle w:val="Strong"/>
        </w:rPr>
        <w:t>[Prepared for GreenEnergy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38"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 Functional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4"/>
        <w:gridCol w:w="3281"/>
        <w:gridCol w:w="3471"/>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Indian Entity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Production of green technology products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Centralized strategy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Local market execution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Research &amp; Development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Development of core technology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Application-specific R&amp;D by Germany AE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3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B. Risk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9"/>
        <w:gridCol w:w="2693"/>
        <w:gridCol w:w="244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Risk</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Indian Entity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Fully borne by HQ</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Limited to regional risks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IP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Fully managed by HQ</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Financial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Controlled centrally by HQ</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40"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lastRenderedPageBreak/>
        <w:t>C. Benchmarking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41"/>
        <w:gridCol w:w="1427"/>
        <w:gridCol w:w="1974"/>
        <w:gridCol w:w="1400"/>
        <w:gridCol w:w="130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Benchmark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Value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 of Green Technology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14%</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6%-8%</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41"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4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93" w:name="_Toc187624161"/>
      <w:bookmarkStart w:id="1094" w:name="_Toc187630881"/>
      <w:bookmarkStart w:id="1095" w:name="_Toc187661060"/>
      <w:bookmarkStart w:id="1096" w:name="_Toc187662139"/>
      <w:r w:rsidRPr="009C5151">
        <w:rPr>
          <w:rStyle w:val="Strong"/>
          <w:b/>
          <w:bCs/>
          <w:sz w:val="24"/>
          <w:szCs w:val="24"/>
        </w:rPr>
        <w:t>III. Customized PE Analysis Template</w:t>
      </w:r>
      <w:bookmarkEnd w:id="1093"/>
      <w:bookmarkEnd w:id="1094"/>
      <w:bookmarkEnd w:id="1095"/>
      <w:bookmarkEnd w:id="1096"/>
    </w:p>
    <w:p w:rsidR="00A056B6" w:rsidRPr="009C5151" w:rsidRDefault="00A056B6" w:rsidP="00743A5F">
      <w:pPr>
        <w:pStyle w:val="Heading4"/>
        <w:spacing w:before="0" w:beforeAutospacing="0"/>
      </w:pPr>
      <w:r w:rsidRPr="009C5151">
        <w:rPr>
          <w:rStyle w:val="Strong"/>
          <w:b/>
          <w:bCs/>
        </w:rPr>
        <w:t>Template: PE Documentation</w:t>
      </w:r>
    </w:p>
    <w:p w:rsidR="00A056B6" w:rsidRPr="009C5151" w:rsidRDefault="00A056B6" w:rsidP="00743A5F">
      <w:pPr>
        <w:pStyle w:val="NormalWeb"/>
        <w:spacing w:before="0" w:beforeAutospacing="0"/>
      </w:pPr>
      <w:r w:rsidRPr="009C5151">
        <w:rPr>
          <w:rStyle w:val="Strong"/>
        </w:rPr>
        <w:t>[Prepared for GreenEnergy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4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 Overview of Permanent Establishments by Jurisdiction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
        <w:gridCol w:w="2084"/>
        <w:gridCol w:w="1708"/>
        <w:gridCol w:w="4266"/>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Activity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 Risk</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Mitigation Steps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and distribution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Dependent Agent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Ensure USA subsidiary does not conclude contracts.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and consultancy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Fixed Place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Attribute profits for R&amp;D projects based on functions and risks.</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4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B. Profit Attribution to PE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1829"/>
        <w:gridCol w:w="1455"/>
        <w:gridCol w:w="2100"/>
        <w:gridCol w:w="758"/>
        <w:gridCol w:w="158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from PE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Expenses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Attributable 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270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45"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C. Mitigation Strategies</w:t>
      </w:r>
    </w:p>
    <w:p w:rsidR="00A056B6" w:rsidRPr="009C5151" w:rsidRDefault="00A056B6" w:rsidP="00743A5F">
      <w:pPr>
        <w:pStyle w:val="NormalWeb"/>
        <w:tabs>
          <w:tab w:val="num" w:pos="720"/>
        </w:tabs>
        <w:spacing w:before="0" w:beforeAutospacing="0"/>
        <w:ind w:left="720" w:hanging="360"/>
      </w:pPr>
      <w:r w:rsidRPr="009C5151">
        <w:t xml:space="preserve">For </w:t>
      </w:r>
      <w:r w:rsidRPr="009C5151">
        <w:rPr>
          <w:rStyle w:val="Strong"/>
        </w:rPr>
        <w:t>USA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Limit the authority of the USA subsidiary to negotiate or conclude contracts.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Clearly document inter-company agreements defining the roles of the USA subsidiary.</w:t>
      </w:r>
    </w:p>
    <w:p w:rsidR="00A056B6" w:rsidRPr="009C5151" w:rsidRDefault="00A056B6" w:rsidP="00743A5F">
      <w:pPr>
        <w:pStyle w:val="NormalWeb"/>
        <w:tabs>
          <w:tab w:val="num" w:pos="720"/>
        </w:tabs>
        <w:spacing w:before="0" w:beforeAutospacing="0"/>
        <w:ind w:left="720" w:hanging="360"/>
      </w:pPr>
      <w:r w:rsidRPr="009C5151">
        <w:lastRenderedPageBreak/>
        <w:t xml:space="preserve">For </w:t>
      </w:r>
      <w:r w:rsidRPr="009C5151">
        <w:rPr>
          <w:rStyle w:val="Strong"/>
        </w:rPr>
        <w:t>Germany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Attribute profits based on </w:t>
      </w:r>
      <w:r w:rsidRPr="009C5151">
        <w:rPr>
          <w:rStyle w:val="Strong"/>
          <w:rFonts w:ascii="Times New Roman" w:hAnsi="Times New Roman" w:cs="Times New Roman"/>
          <w:sz w:val="24"/>
          <w:szCs w:val="24"/>
        </w:rPr>
        <w:t>Authorized OECD Approach (AOA)</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documentation justifying the functions and risks assumed by the German subsidiary.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46"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4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097" w:name="_Toc187624162"/>
      <w:bookmarkStart w:id="1098" w:name="_Toc187630882"/>
      <w:bookmarkStart w:id="1099" w:name="_Toc187661061"/>
      <w:bookmarkStart w:id="1100" w:name="_Toc187662140"/>
      <w:r w:rsidRPr="009C5151">
        <w:rPr>
          <w:rStyle w:val="Strong"/>
          <w:b/>
          <w:bCs/>
          <w:sz w:val="24"/>
          <w:szCs w:val="24"/>
        </w:rPr>
        <w:t>IV. Compliance Report Templates</w:t>
      </w:r>
      <w:bookmarkEnd w:id="1097"/>
      <w:bookmarkEnd w:id="1098"/>
      <w:bookmarkEnd w:id="1099"/>
      <w:bookmarkEnd w:id="1100"/>
    </w:p>
    <w:p w:rsidR="00A056B6" w:rsidRPr="009C5151" w:rsidRDefault="00A056B6" w:rsidP="00743A5F">
      <w:pPr>
        <w:pStyle w:val="Heading4"/>
        <w:spacing w:before="0" w:beforeAutospacing="0"/>
      </w:pPr>
      <w:r w:rsidRPr="009C5151">
        <w:rPr>
          <w:rStyle w:val="Strong"/>
          <w:b/>
          <w:bCs/>
        </w:rPr>
        <w:t>1. Withholding Tax (WHT) Compliance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6"/>
        <w:gridCol w:w="1987"/>
        <w:gridCol w:w="848"/>
        <w:gridCol w:w="1493"/>
        <w:gridCol w:w="1083"/>
        <w:gridCol w:w="2059"/>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Due Date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Remarks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DTAA-compliant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DTAA-compliant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DTAA-compliant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Dividend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Covered under India-Mauritius DTAA</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4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CbC Reporting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1589"/>
        <w:gridCol w:w="1318"/>
        <w:gridCol w:w="1543"/>
        <w:gridCol w:w="1167"/>
        <w:gridCol w:w="2107"/>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Paid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Employees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Key Functions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 R&amp;D</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Distribution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Consultancy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IP Licensing, Support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Mauritius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Holding Company</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49"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5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01" w:name="_Toc187624163"/>
      <w:bookmarkStart w:id="1102" w:name="_Toc187630883"/>
      <w:bookmarkStart w:id="1103" w:name="_Toc187661062"/>
      <w:bookmarkStart w:id="1104" w:name="_Toc187662141"/>
      <w:r w:rsidRPr="009C5151">
        <w:rPr>
          <w:rStyle w:val="Strong"/>
          <w:b/>
          <w:bCs/>
          <w:sz w:val="24"/>
          <w:szCs w:val="24"/>
        </w:rPr>
        <w:t>Next Steps</w:t>
      </w:r>
      <w:bookmarkEnd w:id="1101"/>
      <w:bookmarkEnd w:id="1102"/>
      <w:bookmarkEnd w:id="1103"/>
      <w:bookmarkEnd w:id="1104"/>
    </w:p>
    <w:p w:rsidR="00A056B6" w:rsidRPr="009C5151" w:rsidRDefault="00A056B6" w:rsidP="00743A5F">
      <w:pPr>
        <w:pStyle w:val="NormalWeb"/>
        <w:spacing w:before="0" w:beforeAutospacing="0"/>
      </w:pPr>
      <w:r w:rsidRPr="009C5151">
        <w:t>Would you like: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Further customization</w:t>
      </w:r>
      <w:r w:rsidRPr="009C5151">
        <w:rPr>
          <w:rFonts w:ascii="Times New Roman" w:hAnsi="Times New Roman" w:cs="Times New Roman"/>
          <w:sz w:val="24"/>
          <w:szCs w:val="24"/>
        </w:rPr>
        <w:t xml:space="preserve"> of these templates with company-specific data?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Guidance on submission</w:t>
      </w:r>
      <w:r w:rsidRPr="009C5151">
        <w:rPr>
          <w:rFonts w:ascii="Times New Roman" w:hAnsi="Times New Roman" w:cs="Times New Roman"/>
          <w:sz w:val="24"/>
          <w:szCs w:val="24"/>
        </w:rPr>
        <w:t xml:space="preserve"> to tax authorities or </w:t>
      </w:r>
      <w:r w:rsidRPr="009C5151">
        <w:rPr>
          <w:rStyle w:val="Strong"/>
          <w:rFonts w:ascii="Times New Roman" w:hAnsi="Times New Roman" w:cs="Times New Roman"/>
          <w:sz w:val="24"/>
          <w:szCs w:val="24"/>
        </w:rPr>
        <w:t>portal-specific filing steps</w:t>
      </w:r>
      <w:r w:rsidRPr="009C5151">
        <w:rPr>
          <w:rFonts w:ascii="Times New Roman" w:hAnsi="Times New Roman" w:cs="Times New Roman"/>
          <w:sz w:val="24"/>
          <w:szCs w:val="24"/>
        </w:rPr>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 </w:t>
      </w:r>
      <w:r w:rsidRPr="009C5151">
        <w:rPr>
          <w:rStyle w:val="Strong"/>
          <w:rFonts w:ascii="Times New Roman" w:hAnsi="Times New Roman" w:cs="Times New Roman"/>
          <w:sz w:val="24"/>
          <w:szCs w:val="24"/>
        </w:rPr>
        <w:t>review of existing drafts</w:t>
      </w:r>
      <w:r w:rsidRPr="009C5151">
        <w:rPr>
          <w:rFonts w:ascii="Times New Roman" w:hAnsi="Times New Roman" w:cs="Times New Roman"/>
          <w:sz w:val="24"/>
          <w:szCs w:val="24"/>
        </w:rPr>
        <w:t xml:space="preserve"> to ensure compliance and accuracy?</w:t>
      </w:r>
    </w:p>
    <w:p w:rsidR="00A056B6" w:rsidRPr="009C5151" w:rsidRDefault="00A056B6" w:rsidP="00743A5F">
      <w:pPr>
        <w:pStyle w:val="NormalWeb"/>
        <w:spacing w:before="0" w:beforeAutospacing="0"/>
      </w:pPr>
      <w:r w:rsidRPr="009C5151">
        <w:t>Let me know your preferred area of focus, and I’ll assist further!</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22nd example of different set of issues and problem and suggested solutions by a CA to a Company including a detailed discussion on the various topics covered under suggestions and Conclusion. Please include in addition to the above transactions like Withholding tax, CbC reporting, Mutual Agreement procedure, DTAA with countries like USA, UK, Germany, Singapore, Mauritius, China, Russia and Germany; equalization levy; Please first list down the case, issues, documents and CA advise, Dividend and Interest, Royalty and Fee for Technical Services; applicability of GAAR; applicability of PE; Inter group transactions; computation of taxable income of the Tested Party with assumed numbers for the AY 2024-25; what kind of a PE the tested party may have by considering relevant provisions; Tax Information Exchange Agreement; the ruling of Board for Advance Ruling; the obligations and compute the liability (if any) of the tested party; sale of its manufacturing unit located in India as per UN Model Convention. Please consider Tested Party's subsidiary and transactions between them, shifting the subsidiary to another nation with which India has DTAA, LOB clause and other relevant aspects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3D02C18F" wp14:editId="2DC85D72">
            <wp:extent cx="763905" cy="763905"/>
            <wp:effectExtent l="0" t="0" r="0" b="0"/>
            <wp:docPr id="278" name="Picture 27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4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105" w:name="_Toc187624164"/>
      <w:bookmarkStart w:id="1106" w:name="_Toc187630884"/>
      <w:bookmarkStart w:id="1107" w:name="_Toc187661063"/>
      <w:bookmarkStart w:id="1108" w:name="_Toc187662142"/>
      <w:r w:rsidRPr="009C5151">
        <w:rPr>
          <w:rStyle w:val="Strong"/>
          <w:b/>
          <w:bCs/>
          <w:sz w:val="24"/>
          <w:szCs w:val="24"/>
        </w:rPr>
        <w:t>Case Study: Tax and Compliance Challenges for EcoPower Pvt. Ltd.</w:t>
      </w:r>
      <w:bookmarkEnd w:id="1105"/>
      <w:bookmarkEnd w:id="1106"/>
      <w:bookmarkEnd w:id="1107"/>
      <w:bookmarkEnd w:id="1108"/>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5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09" w:name="_Toc187624165"/>
      <w:bookmarkStart w:id="1110" w:name="_Toc187630885"/>
      <w:bookmarkStart w:id="1111" w:name="_Toc187661064"/>
      <w:bookmarkStart w:id="1112" w:name="_Toc187662143"/>
      <w:r w:rsidRPr="009C5151">
        <w:rPr>
          <w:rStyle w:val="Strong"/>
          <w:b/>
          <w:bCs/>
          <w:sz w:val="24"/>
          <w:szCs w:val="24"/>
        </w:rPr>
        <w:t>Background</w:t>
      </w:r>
      <w:bookmarkEnd w:id="1109"/>
      <w:bookmarkEnd w:id="1110"/>
      <w:bookmarkEnd w:id="1111"/>
      <w:bookmarkEnd w:id="1112"/>
    </w:p>
    <w:p w:rsidR="00A056B6" w:rsidRPr="009C5151" w:rsidRDefault="00A056B6" w:rsidP="00743A5F">
      <w:pPr>
        <w:pStyle w:val="NormalWeb"/>
        <w:spacing w:before="0" w:beforeAutospacing="0"/>
      </w:pPr>
      <w:r w:rsidRPr="009C5151">
        <w:lastRenderedPageBreak/>
        <w:t xml:space="preserve">EcoPower Pvt. Ltd., an Indian renewable energy company, operates across </w:t>
      </w:r>
      <w:r w:rsidRPr="009C5151">
        <w:rPr>
          <w:rStyle w:val="Strong"/>
        </w:rPr>
        <w:t>USA, UK, Germany, Singapore, Mauritius, China, and Russia</w:t>
      </w:r>
      <w:r w:rsidRPr="009C5151">
        <w:t xml:space="preserve">. It undertakes </w:t>
      </w:r>
      <w:r w:rsidRPr="009C5151">
        <w:rPr>
          <w:rStyle w:val="Strong"/>
        </w:rPr>
        <w:t>exports</w:t>
      </w:r>
      <w:r w:rsidRPr="009C5151">
        <w:t xml:space="preserve">, </w:t>
      </w:r>
      <w:r w:rsidRPr="009C5151">
        <w:rPr>
          <w:rStyle w:val="Strong"/>
        </w:rPr>
        <w:t>royalty payments</w:t>
      </w:r>
      <w:r w:rsidRPr="009C5151">
        <w:t xml:space="preserve">, </w:t>
      </w:r>
      <w:r w:rsidRPr="009C5151">
        <w:rPr>
          <w:rStyle w:val="Strong"/>
        </w:rPr>
        <w:t>fee for technical services (FTS)</w:t>
      </w:r>
      <w:r w:rsidRPr="009C5151">
        <w:t xml:space="preserve">, </w:t>
      </w:r>
      <w:r w:rsidRPr="009C5151">
        <w:rPr>
          <w:rStyle w:val="Strong"/>
        </w:rPr>
        <w:t>interest payments</w:t>
      </w:r>
      <w:r w:rsidRPr="009C5151">
        <w:t xml:space="preserve">, </w:t>
      </w:r>
      <w:r w:rsidRPr="009C5151">
        <w:rPr>
          <w:rStyle w:val="Strong"/>
        </w:rPr>
        <w:t>dividends</w:t>
      </w:r>
      <w:r w:rsidRPr="009C5151">
        <w:t xml:space="preserve">, and </w:t>
      </w:r>
      <w:r w:rsidRPr="009C5151">
        <w:rPr>
          <w:rStyle w:val="Strong"/>
        </w:rPr>
        <w:t>inter-group transactions</w:t>
      </w:r>
      <w:r w:rsidRPr="009C5151">
        <w:t xml:space="preserve">. The company also sold a </w:t>
      </w:r>
      <w:r w:rsidRPr="009C5151">
        <w:rPr>
          <w:rStyle w:val="Strong"/>
        </w:rPr>
        <w:t>manufacturing unit in India</w:t>
      </w:r>
      <w:r w:rsidRPr="009C5151">
        <w:t xml:space="preserve"> to its Singapore subsidiary and plans to relocate the Singapore entity to </w:t>
      </w:r>
      <w:r w:rsidRPr="009C5151">
        <w:rPr>
          <w:rStyle w:val="Strong"/>
        </w:rPr>
        <w:t>Netherlands</w:t>
      </w:r>
      <w:r w:rsidRPr="009C5151">
        <w:t xml:space="preserve">, leveraging the </w:t>
      </w:r>
      <w:r w:rsidRPr="009C5151">
        <w:rPr>
          <w:rStyle w:val="Strong"/>
        </w:rPr>
        <w:t>India-Netherlands DTAA</w:t>
      </w:r>
      <w:r w:rsidRPr="009C5151">
        <w:t>.</w:t>
      </w:r>
    </w:p>
    <w:p w:rsidR="00A056B6" w:rsidRPr="009C5151" w:rsidRDefault="00A056B6" w:rsidP="00743A5F">
      <w:pPr>
        <w:pStyle w:val="NormalWeb"/>
        <w:spacing w:before="0" w:beforeAutospacing="0"/>
      </w:pPr>
      <w:r w:rsidRPr="009C5151">
        <w:t xml:space="preserve">This restructuring and ongoing transactions bring additional compliance challenges under </w:t>
      </w:r>
      <w:r w:rsidRPr="009C5151">
        <w:rPr>
          <w:rStyle w:val="Strong"/>
        </w:rPr>
        <w:t>Withholding Tax (WHT)</w:t>
      </w:r>
      <w:r w:rsidRPr="009C5151">
        <w:t xml:space="preserve">, </w:t>
      </w:r>
      <w:r w:rsidRPr="009C5151">
        <w:rPr>
          <w:rStyle w:val="Strong"/>
        </w:rPr>
        <w:t>CbC Reporting</w:t>
      </w:r>
      <w:r w:rsidRPr="009C5151">
        <w:t xml:space="preserve">, </w:t>
      </w:r>
      <w:r w:rsidRPr="009C5151">
        <w:rPr>
          <w:rStyle w:val="Strong"/>
        </w:rPr>
        <w:t>GAAR</w:t>
      </w:r>
      <w:r w:rsidRPr="009C5151">
        <w:t xml:space="preserve">, </w:t>
      </w:r>
      <w:r w:rsidRPr="009C5151">
        <w:rPr>
          <w:rStyle w:val="Strong"/>
        </w:rPr>
        <w:t>Permanent Establishment (PE)</w:t>
      </w:r>
      <w:r w:rsidRPr="009C5151">
        <w:t xml:space="preserve">, and </w:t>
      </w:r>
      <w:r w:rsidRPr="009C5151">
        <w:rPr>
          <w:rStyle w:val="Strong"/>
        </w:rPr>
        <w:t>UN Model Convention</w:t>
      </w:r>
      <w:r w:rsidRPr="009C5151">
        <w:t xml:space="preserve"> provisions.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5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13" w:name="_Toc187624166"/>
      <w:bookmarkStart w:id="1114" w:name="_Toc187630886"/>
      <w:bookmarkStart w:id="1115" w:name="_Toc187661065"/>
      <w:bookmarkStart w:id="1116" w:name="_Toc187662144"/>
      <w:r w:rsidRPr="009C5151">
        <w:rPr>
          <w:rStyle w:val="Strong"/>
          <w:b/>
          <w:bCs/>
          <w:sz w:val="24"/>
          <w:szCs w:val="24"/>
        </w:rPr>
        <w:t>Transactions</w:t>
      </w:r>
      <w:bookmarkEnd w:id="1113"/>
      <w:bookmarkEnd w:id="1114"/>
      <w:bookmarkEnd w:id="1115"/>
      <w:bookmarkEnd w:id="1116"/>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Renewable Energy Equipment</w:t>
      </w:r>
      <w:r w:rsidRPr="009C5151">
        <w:t>:</w:t>
      </w:r>
      <w:r w:rsidRPr="009C5151">
        <w:br/>
        <w:t>Exported ₹2,000 crore worth of products to AEs in USA, UK, and Germany.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r w:rsidRPr="009C5151">
        <w:br/>
        <w:t>Paid ₹100 crore to a Singapore AE for patented green energy technology.</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r w:rsidRPr="009C5151">
        <w:br/>
        <w:t>Paid ₹60 crore to a German AE for renewable energy consulting and project design.</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r w:rsidRPr="009C5151">
        <w:br/>
        <w:t>Paid ₹35 crore to a Russian AE for loans used in product development.</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w:t>
      </w:r>
      <w:r w:rsidRPr="009C5151">
        <w:br/>
        <w:t>Paid ₹80 crore to its Mauritius holding company.</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r w:rsidRPr="009C5151">
        <w:br/>
        <w:t>Sold its Indian manufacturing unit to EcoPower Singapore Pte Ltd. for ₹800 crore.</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r w:rsidRPr="009C5151">
        <w:br/>
        <w:t>Paid ₹22 crore to a USA-based platform for global marketing campaigns.</w:t>
      </w:r>
    </w:p>
    <w:p w:rsidR="00A056B6" w:rsidRPr="009C5151" w:rsidRDefault="00A056B6" w:rsidP="00743A5F">
      <w:pPr>
        <w:pStyle w:val="NormalWeb"/>
        <w:tabs>
          <w:tab w:val="num" w:pos="720"/>
        </w:tabs>
        <w:spacing w:before="0" w:beforeAutospacing="0"/>
        <w:ind w:left="720" w:hanging="360"/>
      </w:pPr>
      <w:r w:rsidRPr="009C5151">
        <w:rPr>
          <w:rStyle w:val="Strong"/>
        </w:rPr>
        <w:t>Subsidiary Relocation</w:t>
      </w:r>
      <w:r w:rsidRPr="009C5151">
        <w:t>:</w:t>
      </w:r>
      <w:r w:rsidRPr="009C5151">
        <w:br/>
        <w:t xml:space="preserve">Relocating EcoPower Singapore Pte Ltd. to Netherlands under the </w:t>
      </w:r>
      <w:r w:rsidRPr="009C5151">
        <w:rPr>
          <w:rStyle w:val="Strong"/>
        </w:rPr>
        <w:t>India-Netherlands DTAA</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5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r w:rsidRPr="009C5151">
        <w:br/>
        <w:t>Paid ₹25 crore to an Indian AE for centralized HR, IT, and payroll functions.</w:t>
      </w:r>
    </w:p>
    <w:p w:rsidR="00A056B6" w:rsidRPr="009C5151" w:rsidRDefault="00A056B6" w:rsidP="00743A5F">
      <w:pPr>
        <w:pStyle w:val="NormalWeb"/>
        <w:tabs>
          <w:tab w:val="num" w:pos="720"/>
        </w:tabs>
        <w:spacing w:before="0" w:beforeAutospacing="0"/>
        <w:ind w:left="720" w:hanging="360"/>
      </w:pPr>
      <w:r w:rsidRPr="009C5151">
        <w:rPr>
          <w:rStyle w:val="Strong"/>
        </w:rPr>
        <w:t>Leasing of Equipment</w:t>
      </w:r>
      <w:r w:rsidRPr="009C5151">
        <w:t>:</w:t>
      </w:r>
      <w:r w:rsidRPr="009C5151">
        <w:br/>
        <w:t>Leased ₹50 crore worth of equipment to another domestic AE.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754"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5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17" w:name="_Toc187624167"/>
      <w:bookmarkStart w:id="1118" w:name="_Toc187630887"/>
      <w:bookmarkStart w:id="1119" w:name="_Toc187661066"/>
      <w:bookmarkStart w:id="1120" w:name="_Toc187662145"/>
      <w:r w:rsidRPr="009C5151">
        <w:rPr>
          <w:rStyle w:val="Strong"/>
          <w:b/>
          <w:bCs/>
          <w:sz w:val="24"/>
          <w:szCs w:val="24"/>
        </w:rPr>
        <w:t>Key Issues</w:t>
      </w:r>
      <w:bookmarkEnd w:id="1117"/>
      <w:bookmarkEnd w:id="1118"/>
      <w:bookmarkEnd w:id="1119"/>
      <w:bookmarkEnd w:id="1120"/>
    </w:p>
    <w:p w:rsidR="00A056B6" w:rsidRPr="009C5151" w:rsidRDefault="00A056B6" w:rsidP="00743A5F">
      <w:pPr>
        <w:pStyle w:val="Heading4"/>
        <w:spacing w:before="0" w:beforeAutospacing="0"/>
      </w:pPr>
      <w:r w:rsidRPr="009C5151">
        <w:rPr>
          <w:rStyle w:val="Strong"/>
          <w:b/>
          <w:bCs/>
        </w:rPr>
        <w:t>1. 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₹2,000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₹100 crore royalty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₹60 crore FTS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₹35 crore interest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₹800 crore sale of the manufacturing unit.</w: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Ensure WHT compliance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(10% under India-Russia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(0% under India-Mauritius DTAA).</w: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₹22 crore digital advertising payments.</w:t>
      </w:r>
    </w:p>
    <w:p w:rsidR="00A056B6" w:rsidRPr="009C5151" w:rsidRDefault="00A056B6" w:rsidP="00743A5F">
      <w:pPr>
        <w:pStyle w:val="Heading4"/>
        <w:spacing w:before="0" w:beforeAutospacing="0"/>
      </w:pPr>
      <w:r w:rsidRPr="009C5151">
        <w:rPr>
          <w:rStyle w:val="Strong"/>
          <w:b/>
          <w:bCs/>
        </w:rPr>
        <w:t>4. Applicability of GAAR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GAAR Scrutiny</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Treaty benefits availed by Mauritius for dividends.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Justification for relocating the Singapore subsidiary to Netherlands.</w:t>
      </w:r>
    </w:p>
    <w:p w:rsidR="00A056B6" w:rsidRPr="009C5151" w:rsidRDefault="00A056B6" w:rsidP="00743A5F">
      <w:pPr>
        <w:pStyle w:val="Heading4"/>
        <w:spacing w:before="0" w:beforeAutospacing="0"/>
      </w:pPr>
      <w:r w:rsidRPr="009C5151">
        <w:rPr>
          <w:rStyle w:val="Strong"/>
          <w:b/>
          <w:bCs/>
        </w:rPr>
        <w:t>5. Permanent Establishment (PE) Concerns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PE 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USA</w:t>
      </w:r>
      <w:r w:rsidRPr="009C5151">
        <w:rPr>
          <w:rFonts w:ascii="Times New Roman" w:hAnsi="Times New Roman" w:cs="Times New Roman"/>
          <w:sz w:val="24"/>
          <w:szCs w:val="24"/>
        </w:rPr>
        <w:t>: Dependent Agent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Germany</w:t>
      </w:r>
      <w:r w:rsidRPr="009C5151">
        <w:rPr>
          <w:rFonts w:ascii="Times New Roman" w:hAnsi="Times New Roman" w:cs="Times New Roman"/>
          <w:sz w:val="24"/>
          <w:szCs w:val="24"/>
        </w:rPr>
        <w:t>: Fixed Place PE.</w:t>
      </w:r>
    </w:p>
    <w:p w:rsidR="00A056B6" w:rsidRPr="009C5151" w:rsidRDefault="00A056B6" w:rsidP="00743A5F">
      <w:pPr>
        <w:pStyle w:val="Heading4"/>
        <w:spacing w:before="0" w:beforeAutospacing="0"/>
      </w:pPr>
      <w:r w:rsidRPr="009C5151">
        <w:rPr>
          <w:rStyle w:val="Strong"/>
          <w:b/>
          <w:bCs/>
        </w:rPr>
        <w:lastRenderedPageBreak/>
        <w:t>6. Taxable Income Computation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Determine taxable income for AY 2024-25, including TP adjustments and gains from the manufacturing unit sale.</w:t>
      </w:r>
    </w:p>
    <w:p w:rsidR="00A056B6" w:rsidRPr="009C5151" w:rsidRDefault="00A056B6" w:rsidP="00743A5F">
      <w:pPr>
        <w:pStyle w:val="Heading4"/>
        <w:spacing w:before="0" w:beforeAutospacing="0"/>
      </w:pPr>
      <w:r w:rsidRPr="009C5151">
        <w:rPr>
          <w:rStyle w:val="Strong"/>
          <w:b/>
          <w:bCs/>
        </w:rPr>
        <w:t>7. Tax Information Exchange Agreement (TIEA)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Russia seeks interest payment details under TIEA.</w:t>
      </w:r>
    </w:p>
    <w:p w:rsidR="00A056B6" w:rsidRPr="009C5151" w:rsidRDefault="00A056B6" w:rsidP="00743A5F">
      <w:pPr>
        <w:pStyle w:val="Heading4"/>
        <w:spacing w:before="0" w:beforeAutospacing="0"/>
      </w:pPr>
      <w:r w:rsidRPr="009C5151">
        <w:rPr>
          <w:rStyle w:val="Strong"/>
          <w:b/>
          <w:bCs/>
        </w:rPr>
        <w:t>8. Board for Advance Rulings (AAR)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AAR application for clarity on the tax treatment of the manufacturing unit sale under the </w:t>
      </w:r>
      <w:r w:rsidRPr="009C5151">
        <w:rPr>
          <w:rStyle w:val="Strong"/>
          <w:rFonts w:ascii="Times New Roman" w:hAnsi="Times New Roman" w:cs="Times New Roman"/>
          <w:sz w:val="24"/>
          <w:szCs w:val="24"/>
        </w:rPr>
        <w:t>UN Model Convention</w:t>
      </w:r>
      <w:r w:rsidRPr="009C5151">
        <w:rPr>
          <w:rFonts w:ascii="Times New Roman" w:hAnsi="Times New Roman" w:cs="Times New Roman"/>
          <w:sz w:val="24"/>
          <w:szCs w:val="24"/>
        </w:rPr>
        <w:t>.</w:t>
      </w:r>
    </w:p>
    <w:p w:rsidR="00A056B6" w:rsidRPr="009C5151" w:rsidRDefault="00A056B6" w:rsidP="00743A5F">
      <w:pPr>
        <w:pStyle w:val="Heading4"/>
        <w:spacing w:before="0" w:beforeAutospacing="0"/>
      </w:pPr>
      <w:r w:rsidRPr="009C5151">
        <w:rPr>
          <w:rStyle w:val="Strong"/>
          <w:b/>
          <w:bCs/>
        </w:rPr>
        <w:t>9. Limitation of Benefits (LOB) Clause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Assess compliance with LOB clauses in India-Mauritius and India-Netherlands DTAAs.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56"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5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21" w:name="_Toc187624168"/>
      <w:bookmarkStart w:id="1122" w:name="_Toc187630888"/>
      <w:bookmarkStart w:id="1123" w:name="_Toc187661067"/>
      <w:bookmarkStart w:id="1124" w:name="_Toc187662146"/>
      <w:r w:rsidRPr="009C5151">
        <w:rPr>
          <w:rStyle w:val="Strong"/>
          <w:b/>
          <w:bCs/>
          <w:sz w:val="24"/>
          <w:szCs w:val="24"/>
        </w:rPr>
        <w:t>Documents Required</w:t>
      </w:r>
      <w:bookmarkEnd w:id="1121"/>
      <w:bookmarkEnd w:id="1122"/>
      <w:bookmarkEnd w:id="1123"/>
      <w:bookmarkEnd w:id="1124"/>
    </w:p>
    <w:p w:rsidR="00A056B6" w:rsidRPr="009C5151" w:rsidRDefault="00A056B6" w:rsidP="00743A5F">
      <w:pPr>
        <w:pStyle w:val="NormalWeb"/>
        <w:tabs>
          <w:tab w:val="num" w:pos="720"/>
        </w:tabs>
        <w:spacing w:before="0" w:beforeAutospacing="0"/>
        <w:ind w:left="720" w:hanging="360"/>
      </w:pPr>
      <w:r w:rsidRPr="009C5151">
        <w:rPr>
          <w:rStyle w:val="Strong"/>
        </w:rPr>
        <w:t>Transaction 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Contracts for exports, royalties, FTS, loans, dividends, and unit sale.</w:t>
      </w:r>
    </w:p>
    <w:p w:rsidR="00A056B6" w:rsidRPr="009C5151" w:rsidRDefault="00A056B6" w:rsidP="00743A5F">
      <w:pPr>
        <w:pStyle w:val="NormalWeb"/>
        <w:tabs>
          <w:tab w:val="num" w:pos="720"/>
        </w:tabs>
        <w:spacing w:before="0" w:beforeAutospacing="0"/>
        <w:ind w:left="720" w:hanging="360"/>
      </w:pPr>
      <w:r w:rsidRPr="009C5151">
        <w:rPr>
          <w:rStyle w:val="Strong"/>
        </w:rPr>
        <w:t>Valuation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Independent valuation for the sale of the manufacturing unit.</w:t>
      </w:r>
    </w:p>
    <w:p w:rsidR="00A056B6" w:rsidRPr="009C5151" w:rsidRDefault="00A056B6" w:rsidP="00743A5F">
      <w:pPr>
        <w:pStyle w:val="NormalWeb"/>
        <w:tabs>
          <w:tab w:val="num" w:pos="720"/>
        </w:tabs>
        <w:spacing w:before="0" w:beforeAutospacing="0"/>
        <w:ind w:left="720" w:hanging="360"/>
      </w:pPr>
      <w:r w:rsidRPr="009C5151">
        <w:rPr>
          <w:rStyle w:val="Strong"/>
        </w:rPr>
        <w:t>Tax Residency Certificates (TRC)</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TRCs for Singapore, Mauritius, Germany, and Russia.</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Allocation of roles, functions, and risks among AEs.</w:t>
      </w:r>
    </w:p>
    <w:p w:rsidR="00A056B6" w:rsidRPr="009C5151" w:rsidRDefault="00A056B6" w:rsidP="00743A5F">
      <w:pPr>
        <w:pStyle w:val="NormalWeb"/>
        <w:tabs>
          <w:tab w:val="num" w:pos="720"/>
        </w:tabs>
        <w:spacing w:before="0" w:beforeAutospacing="0"/>
        <w:ind w:left="720" w:hanging="360"/>
      </w:pPr>
      <w:r w:rsidRPr="009C5151">
        <w:rPr>
          <w:rStyle w:val="Strong"/>
        </w:rPr>
        <w:t>AAR Submission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Sale agreement, valuation report, and DTAA provisions.</w:t>
      </w:r>
    </w:p>
    <w:p w:rsidR="00A056B6" w:rsidRPr="009C5151" w:rsidRDefault="00A056B6" w:rsidP="00743A5F">
      <w:pPr>
        <w:pStyle w:val="NormalWeb"/>
        <w:tabs>
          <w:tab w:val="num" w:pos="720"/>
        </w:tabs>
        <w:spacing w:before="0" w:beforeAutospacing="0"/>
        <w:ind w:left="720" w:hanging="360"/>
      </w:pPr>
      <w:r w:rsidRPr="009C5151">
        <w:rPr>
          <w:rStyle w:val="Strong"/>
        </w:rPr>
        <w:t>CbC Reporting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Consolidated financial and operational details for all jurisdictions.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58"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5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25" w:name="_Toc187624169"/>
      <w:bookmarkStart w:id="1126" w:name="_Toc187630889"/>
      <w:bookmarkStart w:id="1127" w:name="_Toc187661068"/>
      <w:bookmarkStart w:id="1128" w:name="_Toc187662147"/>
      <w:r w:rsidRPr="009C5151">
        <w:rPr>
          <w:rStyle w:val="Strong"/>
          <w:b/>
          <w:bCs/>
          <w:sz w:val="24"/>
          <w:szCs w:val="24"/>
        </w:rPr>
        <w:t>Proposed Solutions</w:t>
      </w:r>
      <w:bookmarkEnd w:id="1125"/>
      <w:bookmarkEnd w:id="1126"/>
      <w:bookmarkEnd w:id="1127"/>
      <w:bookmarkEnd w:id="1128"/>
    </w:p>
    <w:p w:rsidR="00A056B6" w:rsidRPr="009C5151" w:rsidRDefault="00A056B6" w:rsidP="00743A5F">
      <w:pPr>
        <w:pStyle w:val="Heading4"/>
        <w:spacing w:before="0" w:beforeAutospacing="0"/>
      </w:pPr>
      <w:r w:rsidRPr="009C5151">
        <w:rPr>
          <w:rStyle w:val="Strong"/>
          <w:b/>
          <w:bCs/>
        </w:rPr>
        <w:lastRenderedPageBreak/>
        <w:t>1.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Export of Renewable Energy Equipment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TNMM</w:t>
      </w:r>
      <w:r w:rsidRPr="009C5151">
        <w:rPr>
          <w:rFonts w:ascii="Times New Roman" w:hAnsi="Times New Roman" w:cs="Times New Roman"/>
          <w:sz w:val="24"/>
          <w:szCs w:val="24"/>
        </w:rPr>
        <w:t xml:space="preserve"> to benchmark ₹2,000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operating margins with comparable renewable energy manufacturers.</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benchmark ₹100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royalty rate (6%-8%).</w:t>
      </w:r>
    </w:p>
    <w:p w:rsidR="00A056B6" w:rsidRPr="009C5151" w:rsidRDefault="00A056B6" w:rsidP="00743A5F">
      <w:pPr>
        <w:pStyle w:val="NormalWeb"/>
        <w:tabs>
          <w:tab w:val="num" w:pos="720"/>
        </w:tabs>
        <w:spacing w:before="0" w:beforeAutospacing="0"/>
        <w:ind w:left="720" w:hanging="360"/>
      </w:pPr>
      <w:r w:rsidRPr="009C5151">
        <w:rPr>
          <w:rStyle w:val="Strong"/>
        </w:rPr>
        <w:t>FTS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CPM</w:t>
      </w:r>
      <w:r w:rsidRPr="009C5151">
        <w:rPr>
          <w:rFonts w:ascii="Times New Roman" w:hAnsi="Times New Roman" w:cs="Times New Roman"/>
          <w:sz w:val="24"/>
          <w:szCs w:val="24"/>
        </w:rPr>
        <w:t xml:space="preserve"> to benchmark ₹60 crore consultancy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markup with independent consulting firms.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Ensure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(interest deduction capped at 30% of EBITDA).</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₹800 crore transaction using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DCF valuation method</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6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₹100 crore × 10% = ₹10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₹60 crore × 10% = ₹6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₹35 crore × 10% = ₹3.5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6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Levy at 6% on ₹22 crore advertising payments = ₹1.32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6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GAAR and Subsidiary Relocation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Relocation to Netherlands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Justify the move based on operational needs, such as access to European markets.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Prove compliance with </w:t>
      </w:r>
      <w:r w:rsidRPr="009C5151">
        <w:rPr>
          <w:rStyle w:val="Strong"/>
          <w:rFonts w:ascii="Times New Roman" w:hAnsi="Times New Roman" w:cs="Times New Roman"/>
          <w:sz w:val="24"/>
          <w:szCs w:val="24"/>
        </w:rPr>
        <w:t>LOB clause</w:t>
      </w:r>
      <w:r w:rsidRPr="009C5151">
        <w:rPr>
          <w:rFonts w:ascii="Times New Roman" w:hAnsi="Times New Roman" w:cs="Times New Roman"/>
          <w:sz w:val="24"/>
          <w:szCs w:val="24"/>
        </w:rPr>
        <w:t xml:space="preserve"> in the India-Netherlands DTAA:</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Substantial presence in the Netherlands (office, employees).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Demonstration of local economic activity.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6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Permanent Establishment (PE)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USA PE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Mitigation: Limit subsidiary’s authority to conclude contracts on behalf of the Indian entity.</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Germany PE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Mitigation: Allocate profits for R&amp;D and consultancy activities using the </w:t>
      </w:r>
      <w:r w:rsidRPr="009C5151">
        <w:rPr>
          <w:rStyle w:val="Strong"/>
          <w:rFonts w:ascii="Times New Roman" w:hAnsi="Times New Roman" w:cs="Times New Roman"/>
          <w:sz w:val="24"/>
          <w:szCs w:val="24"/>
        </w:rPr>
        <w:t>Authorized OECD Approach (AOA)</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6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Taxable Income Computation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4"/>
        <w:gridCol w:w="186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Particulars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Revenue (Exports)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Domestic Revenue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Less: Expenses: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Royalty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FTS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Interest (allowable under 94B)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Depreciation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Gain on Sale of Unit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Taxable Income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2,710</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6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7. TIEA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Provide requested details to Russian tax authorities: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Loan agreement.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TRC of the Russian AE.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Bank transfer proofs.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6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8. AAR 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Capital gains from the sale of the manufacturing unit are taxable in India under Article 13 of the </w:t>
      </w:r>
      <w:r w:rsidRPr="009C5151">
        <w:rPr>
          <w:rStyle w:val="Strong"/>
          <w:rFonts w:ascii="Times New Roman" w:hAnsi="Times New Roman" w:cs="Times New Roman"/>
          <w:sz w:val="24"/>
          <w:szCs w:val="24"/>
        </w:rPr>
        <w:t>UN Model Convention</w:t>
      </w:r>
      <w:r w:rsidRPr="009C5151">
        <w:rPr>
          <w:rFonts w:ascii="Times New Roman" w:hAnsi="Times New Roman" w:cs="Times New Roman"/>
          <w:sz w:val="24"/>
          <w:szCs w:val="24"/>
        </w:rPr>
        <w:t xml:space="preserve"> and Section 9 of the Income-tax Act, 1961.</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67"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6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29" w:name="_Toc187624170"/>
      <w:bookmarkStart w:id="1130" w:name="_Toc187630890"/>
      <w:bookmarkStart w:id="1131" w:name="_Toc187661069"/>
      <w:bookmarkStart w:id="1132" w:name="_Toc187662148"/>
      <w:r w:rsidRPr="009C5151">
        <w:rPr>
          <w:rStyle w:val="Strong"/>
          <w:b/>
          <w:bCs/>
          <w:sz w:val="24"/>
          <w:szCs w:val="24"/>
        </w:rPr>
        <w:t>Conclusion</w:t>
      </w:r>
      <w:bookmarkEnd w:id="1129"/>
      <w:bookmarkEnd w:id="1130"/>
      <w:bookmarkEnd w:id="1131"/>
      <w:bookmarkEnd w:id="1132"/>
    </w:p>
    <w:p w:rsidR="00A056B6" w:rsidRPr="009C5151" w:rsidRDefault="00A056B6" w:rsidP="00743A5F">
      <w:pPr>
        <w:pStyle w:val="NormalWeb"/>
        <w:tabs>
          <w:tab w:val="num" w:pos="720"/>
        </w:tabs>
        <w:spacing w:before="0" w:beforeAutospacing="0"/>
        <w:ind w:left="720" w:hanging="360"/>
      </w:pPr>
      <w:r w:rsidRPr="009C5151">
        <w:rPr>
          <w:rStyle w:val="Strong"/>
        </w:rPr>
        <w:t>Transfer Pricing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inter-company transactions, particularly royalty, FTS, and unit sale.</w:t>
      </w:r>
    </w:p>
    <w:p w:rsidR="00A056B6" w:rsidRPr="009C5151" w:rsidRDefault="00A056B6" w:rsidP="00743A5F">
      <w:pPr>
        <w:pStyle w:val="NormalWeb"/>
        <w:tabs>
          <w:tab w:val="num" w:pos="720"/>
        </w:tabs>
        <w:spacing w:before="0" w:beforeAutospacing="0"/>
        <w:ind w:left="720" w:hanging="360"/>
      </w:pPr>
      <w:r w:rsidRPr="009C5151">
        <w:rPr>
          <w:rStyle w:val="Strong"/>
        </w:rPr>
        <w:t>GAAR Mitigation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Demonstrate substance for Mauritius and Netherlands entities.</w:t>
      </w:r>
    </w:p>
    <w:p w:rsidR="00A056B6" w:rsidRPr="009C5151" w:rsidRDefault="00A056B6" w:rsidP="00743A5F">
      <w:pPr>
        <w:pStyle w:val="NormalWeb"/>
        <w:tabs>
          <w:tab w:val="num" w:pos="720"/>
        </w:tabs>
        <w:spacing w:before="0" w:beforeAutospacing="0"/>
        <w:ind w:left="720" w:hanging="360"/>
      </w:pPr>
      <w:r w:rsidRPr="009C5151">
        <w:rPr>
          <w:rStyle w:val="Strong"/>
        </w:rPr>
        <w:t>PE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Mitigate USA and Germany PE risks by limiting roles of local subsidiaries.</w:t>
      </w:r>
    </w:p>
    <w:p w:rsidR="00A056B6" w:rsidRPr="009C5151" w:rsidRDefault="00A056B6" w:rsidP="00743A5F">
      <w:pPr>
        <w:pStyle w:val="NormalWeb"/>
        <w:tabs>
          <w:tab w:val="num" w:pos="720"/>
        </w:tabs>
        <w:spacing w:before="0" w:beforeAutospacing="0"/>
        <w:ind w:left="720" w:hanging="360"/>
      </w:pPr>
      <w:r w:rsidRPr="009C5151">
        <w:rPr>
          <w:rStyle w:val="Strong"/>
        </w:rPr>
        <w:t>Taxable Income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Include capital gains and ensure correct TP adjustments.</w:t>
      </w:r>
    </w:p>
    <w:p w:rsidR="00A056B6" w:rsidRPr="009C5151" w:rsidRDefault="00A056B6" w:rsidP="00743A5F">
      <w:pPr>
        <w:pStyle w:val="NormalWeb"/>
        <w:tabs>
          <w:tab w:val="num" w:pos="720"/>
        </w:tabs>
        <w:spacing w:before="0" w:beforeAutospacing="0"/>
        <w:ind w:left="720" w:hanging="360"/>
      </w:pPr>
      <w:r w:rsidRPr="009C5151">
        <w:rPr>
          <w:rStyle w:val="Strong"/>
        </w:rPr>
        <w:t>AAR Ruling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Seek clarity for sale taxability under UN Model Convention.</w:t>
      </w:r>
    </w:p>
    <w:p w:rsidR="00A056B6" w:rsidRPr="009C5151" w:rsidRDefault="00A056B6" w:rsidP="00743A5F">
      <w:pPr>
        <w:pStyle w:val="NormalWeb"/>
        <w:tabs>
          <w:tab w:val="num" w:pos="720"/>
        </w:tabs>
        <w:spacing w:before="0" w:beforeAutospacing="0"/>
        <w:ind w:left="720" w:hanging="360"/>
      </w:pPr>
      <w:r w:rsidRPr="009C5151">
        <w:rPr>
          <w:rStyle w:val="Strong"/>
        </w:rPr>
        <w:t>CbC Reporting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Submit jurisdiction-wise financial data accurately.</w:t>
      </w:r>
    </w:p>
    <w:p w:rsidR="00A056B6" w:rsidRPr="009C5151" w:rsidRDefault="00A056B6" w:rsidP="00743A5F">
      <w:pPr>
        <w:pStyle w:val="NormalWeb"/>
        <w:spacing w:before="0" w:beforeAutospacing="0"/>
      </w:pPr>
      <w:r w:rsidRPr="009C5151">
        <w:t xml:space="preserve">Would you like templates for </w:t>
      </w:r>
      <w:r w:rsidRPr="009C5151">
        <w:rPr>
          <w:rStyle w:val="Strong"/>
        </w:rPr>
        <w:t>AAR filing</w:t>
      </w:r>
      <w:r w:rsidRPr="009C5151">
        <w:t xml:space="preserve">, </w:t>
      </w:r>
      <w:r w:rsidRPr="009C5151">
        <w:rPr>
          <w:rStyle w:val="Strong"/>
        </w:rPr>
        <w:t>TP documentation</w:t>
      </w:r>
      <w:r w:rsidRPr="009C5151">
        <w:t xml:space="preserve">, </w:t>
      </w:r>
      <w:r w:rsidRPr="009C5151">
        <w:rPr>
          <w:rStyle w:val="Strong"/>
        </w:rPr>
        <w:t>PE-specific compliance</w:t>
      </w:r>
      <w:r w:rsidRPr="009C5151">
        <w:t xml:space="preserve">, or </w:t>
      </w:r>
      <w:r w:rsidRPr="009C5151">
        <w:rPr>
          <w:rStyle w:val="Strong"/>
        </w:rPr>
        <w:t>assistance with portal submissions</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templates for AAR filing, TP documentation, PE-specific compliance, or assistance with portal submissions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7AB5B7BA" wp14:editId="28564831">
            <wp:extent cx="763905" cy="763905"/>
            <wp:effectExtent l="0" t="0" r="0" b="0"/>
            <wp:docPr id="277" name="Picture 27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6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133" w:name="_Toc187624171"/>
      <w:bookmarkStart w:id="1134" w:name="_Toc187630891"/>
      <w:bookmarkStart w:id="1135" w:name="_Toc187661070"/>
      <w:bookmarkStart w:id="1136" w:name="_Toc187662149"/>
      <w:r w:rsidRPr="009C5151">
        <w:rPr>
          <w:rStyle w:val="Strong"/>
          <w:b/>
          <w:bCs/>
          <w:sz w:val="24"/>
          <w:szCs w:val="24"/>
        </w:rPr>
        <w:t>Customized Templates for AAR Filing, TP Documentation, PE-Specific Compliance, and Portal Submission Assistance</w:t>
      </w:r>
      <w:bookmarkEnd w:id="1133"/>
      <w:bookmarkEnd w:id="1134"/>
      <w:bookmarkEnd w:id="1135"/>
      <w:bookmarkEnd w:id="1136"/>
    </w:p>
    <w:p w:rsidR="00A056B6" w:rsidRPr="009C5151" w:rsidRDefault="00A056B6" w:rsidP="00743A5F">
      <w:pPr>
        <w:pStyle w:val="NormalWeb"/>
        <w:spacing w:before="0" w:beforeAutospacing="0"/>
      </w:pPr>
      <w:r w:rsidRPr="009C5151">
        <w:t xml:space="preserve">Here are </w:t>
      </w:r>
      <w:r w:rsidRPr="009C5151">
        <w:rPr>
          <w:rStyle w:val="Strong"/>
        </w:rPr>
        <w:t>ready-to-use templates</w:t>
      </w:r>
      <w:r w:rsidRPr="009C5151">
        <w:t xml:space="preserve"> and guidance for your filing and compliance needs.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6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37" w:name="_Toc187624172"/>
      <w:bookmarkStart w:id="1138" w:name="_Toc187630892"/>
      <w:bookmarkStart w:id="1139" w:name="_Toc187661071"/>
      <w:bookmarkStart w:id="1140" w:name="_Toc187662150"/>
      <w:r w:rsidRPr="009C5151">
        <w:rPr>
          <w:rStyle w:val="Strong"/>
          <w:b/>
          <w:bCs/>
          <w:sz w:val="24"/>
          <w:szCs w:val="24"/>
        </w:rPr>
        <w:t>I. AAR Filing Template</w:t>
      </w:r>
      <w:bookmarkEnd w:id="1137"/>
      <w:bookmarkEnd w:id="1138"/>
      <w:bookmarkEnd w:id="1139"/>
      <w:bookmarkEnd w:id="1140"/>
    </w:p>
    <w:p w:rsidR="00A056B6" w:rsidRPr="009C5151" w:rsidRDefault="00A056B6" w:rsidP="00743A5F">
      <w:pPr>
        <w:pStyle w:val="Heading4"/>
        <w:spacing w:before="0" w:beforeAutospacing="0"/>
      </w:pPr>
      <w:r w:rsidRPr="009C5151">
        <w:rPr>
          <w:rStyle w:val="Strong"/>
          <w:b/>
          <w:bCs/>
        </w:rPr>
        <w:t>Advance Ruling Application</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To,</w:t>
      </w:r>
      <w:r w:rsidRPr="009C5151">
        <w:br/>
        <w:t>The Secretary,</w:t>
      </w:r>
      <w:r w:rsidRPr="009C5151">
        <w:br/>
        <w:t>Authority for Advance Rulings (Income Tax),</w:t>
      </w:r>
      <w:r w:rsidRPr="009C5151">
        <w:br/>
        <w:t>[Address], India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70"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Subject</w:t>
      </w:r>
      <w:r w:rsidRPr="009C5151">
        <w:t>: Application for Advance Ruling Under Section 245Q of the Income-tax Act, 1961</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71"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Applicant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Name</w:t>
      </w:r>
      <w:r w:rsidRPr="009C5151">
        <w:rPr>
          <w:rFonts w:ascii="Times New Roman" w:hAnsi="Times New Roman" w:cs="Times New Roman"/>
          <w:sz w:val="24"/>
          <w:szCs w:val="24"/>
        </w:rPr>
        <w:t>: EcoPower Pvt.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PAN</w:t>
      </w:r>
      <w:r w:rsidRPr="009C5151">
        <w:rPr>
          <w:rFonts w:ascii="Times New Roman" w:hAnsi="Times New Roman" w:cs="Times New Roman"/>
          <w:sz w:val="24"/>
          <w:szCs w:val="24"/>
        </w:rPr>
        <w:t>: XXXXX1234X</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Address</w:t>
      </w:r>
      <w:r w:rsidRPr="009C5151">
        <w:rPr>
          <w:rFonts w:ascii="Times New Roman" w:hAnsi="Times New Roman" w:cs="Times New Roman"/>
          <w:sz w:val="24"/>
          <w:szCs w:val="24"/>
        </w:rPr>
        <w:t>: [Registered Address]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72"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Transaction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Type</w:t>
      </w:r>
      <w:r w:rsidRPr="009C5151">
        <w:rPr>
          <w:rFonts w:ascii="Times New Roman" w:hAnsi="Times New Roman" w:cs="Times New Roman"/>
          <w:sz w:val="24"/>
          <w:szCs w:val="24"/>
        </w:rPr>
        <w:t>: Sale of manufacturing unit located in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Sale Value</w:t>
      </w:r>
      <w:r w:rsidRPr="009C5151">
        <w:rPr>
          <w:rFonts w:ascii="Times New Roman" w:hAnsi="Times New Roman" w:cs="Times New Roman"/>
          <w:sz w:val="24"/>
          <w:szCs w:val="24"/>
        </w:rPr>
        <w:t>: ₹800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Buyer</w:t>
      </w:r>
      <w:r w:rsidRPr="009C5151">
        <w:rPr>
          <w:rFonts w:ascii="Times New Roman" w:hAnsi="Times New Roman" w:cs="Times New Roman"/>
          <w:sz w:val="24"/>
          <w:szCs w:val="24"/>
        </w:rPr>
        <w:t>: EcoPower Singapore Pte Ltd.</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7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Questions for Advance Ruling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Whether the capital gains arising from the sale of the manufacturing unit are taxable under Section 9 of the Income-tax Act, 1961, considering the situs of the asset in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Article 13 of the UN Model Convention governs the taxation of these gains.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the India-Singapore DTAA to provide relief from capital gains tax.</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7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Supporting Documents Attached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Sale Agreement with EcoPower Singapore Pte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Valuation Report certified by an independent valuer.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Tax Residency Certificate (TRC) and Form 10F for EcoPower Singapore Pte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Financial and Functional Analysis of the Indian unit’s operations.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Board Resolution approving the sale.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75"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Declaration</w:t>
      </w:r>
      <w:r w:rsidRPr="009C5151">
        <w:t>:</w:t>
      </w:r>
      <w:r w:rsidRPr="009C5151">
        <w:br/>
        <w:t>I, the undersigned, declare that the information provided above is accurate and complete to the best of my knowledge.</w:t>
      </w:r>
    </w:p>
    <w:p w:rsidR="00A056B6" w:rsidRPr="009C5151" w:rsidRDefault="00A056B6" w:rsidP="00743A5F">
      <w:pPr>
        <w:pStyle w:val="NormalWeb"/>
        <w:spacing w:before="0" w:beforeAutospacing="0"/>
      </w:pPr>
      <w:r w:rsidRPr="009C5151">
        <w:rPr>
          <w:rStyle w:val="Strong"/>
        </w:rPr>
        <w:t>Signed</w:t>
      </w:r>
      <w:r w:rsidRPr="009C5151">
        <w:t>:</w:t>
      </w:r>
      <w:r w:rsidRPr="009C5151">
        <w:br/>
        <w:t>For EcoPower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76" style="width:0;height:1.5pt" o:hralign="center" o:hrstd="t" o:hr="t" fillcolor="#a0a0a0" stroked="f"/>
        </w:pict>
      </w:r>
    </w:p>
    <w:p w:rsidR="00A056B6" w:rsidRPr="009C5151" w:rsidRDefault="00A056B6" w:rsidP="00743A5F">
      <w:pPr>
        <w:pStyle w:val="NormalWeb"/>
        <w:spacing w:before="0" w:beforeAutospacing="0"/>
      </w:pPr>
      <w:r w:rsidRPr="009C5151">
        <w:t>Authorized Signatory</w:t>
      </w:r>
    </w:p>
    <w:p w:rsidR="00A056B6" w:rsidRPr="009C5151" w:rsidRDefault="00A056B6" w:rsidP="00743A5F">
      <w:pPr>
        <w:pStyle w:val="NormalWeb"/>
        <w:spacing w:before="0" w:beforeAutospacing="0"/>
      </w:pPr>
      <w:r w:rsidRPr="009C5151">
        <w:t>Date: [Date]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77"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78"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41" w:name="_Toc187624173"/>
      <w:bookmarkStart w:id="1142" w:name="_Toc187630893"/>
      <w:bookmarkStart w:id="1143" w:name="_Toc187661072"/>
      <w:bookmarkStart w:id="1144" w:name="_Toc187662151"/>
      <w:r w:rsidRPr="009C5151">
        <w:rPr>
          <w:rStyle w:val="Strong"/>
          <w:b/>
          <w:bCs/>
          <w:sz w:val="24"/>
          <w:szCs w:val="24"/>
        </w:rPr>
        <w:t>II. TP Documentation Template</w:t>
      </w:r>
      <w:bookmarkEnd w:id="1141"/>
      <w:bookmarkEnd w:id="1142"/>
      <w:bookmarkEnd w:id="1143"/>
      <w:bookmarkEnd w:id="1144"/>
    </w:p>
    <w:p w:rsidR="00A056B6" w:rsidRPr="009C5151" w:rsidRDefault="00A056B6" w:rsidP="00743A5F">
      <w:pPr>
        <w:pStyle w:val="Heading4"/>
        <w:spacing w:before="0" w:beforeAutospacing="0"/>
      </w:pPr>
      <w:r w:rsidRPr="009C5151">
        <w:rPr>
          <w:rStyle w:val="Strong"/>
          <w:b/>
          <w:bCs/>
        </w:rPr>
        <w:t>Transfer Pricing Functional and Risk Analysis</w:t>
      </w:r>
    </w:p>
    <w:p w:rsidR="00A056B6" w:rsidRPr="009C5151" w:rsidRDefault="00A056B6" w:rsidP="00743A5F">
      <w:pPr>
        <w:pStyle w:val="NormalWeb"/>
        <w:spacing w:before="0" w:beforeAutospacing="0"/>
      </w:pPr>
      <w:r w:rsidRPr="009C5151">
        <w:rPr>
          <w:rStyle w:val="Strong"/>
        </w:rPr>
        <w:t>[Prepared for EcoPower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7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1. Business Overview</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EcoPower Pvt. Ltd. is engaged in the manufacturing and export of renewable energy solutions.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 xml:space="preserve">The company has subsidiaries in </w:t>
      </w:r>
      <w:r w:rsidRPr="009C5151">
        <w:rPr>
          <w:rStyle w:val="Strong"/>
          <w:rFonts w:ascii="Times New Roman" w:hAnsi="Times New Roman" w:cs="Times New Roman"/>
          <w:sz w:val="24"/>
          <w:szCs w:val="24"/>
        </w:rPr>
        <w:t>USA, UK, Germany, Singapore, and Russia</w:t>
      </w:r>
      <w:r w:rsidRPr="009C5151">
        <w:rPr>
          <w:rFonts w:ascii="Times New Roman" w:hAnsi="Times New Roman" w:cs="Times New Roman"/>
          <w:sz w:val="24"/>
          <w:szCs w:val="24"/>
        </w:rPr>
        <w:t>, providing local distribution, R&amp;D, and consulting services.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80"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2. Functional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2"/>
        <w:gridCol w:w="3213"/>
        <w:gridCol w:w="3615"/>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Indian Entity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Core manufacturing operations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Global strategy and branding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Local market execution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Development of core technology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Application-based R&amp;D in Germany</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81"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3. Risk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9"/>
        <w:gridCol w:w="2753"/>
        <w:gridCol w:w="3261"/>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Risk</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Managed by Indian HQ</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Managed by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Fully borne by Indian entity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Minimal local risks borne locally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IP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Managed centrally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Financial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Controlled by Indian HQ</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82"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4. Benchmarking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68"/>
        <w:gridCol w:w="1427"/>
        <w:gridCol w:w="1974"/>
        <w:gridCol w:w="1400"/>
        <w:gridCol w:w="130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Benchmark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Value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 of Renewable Energy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10%-14% Margin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6%-8% Rate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10%-15% Markup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83"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8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45" w:name="_Toc187624174"/>
      <w:bookmarkStart w:id="1146" w:name="_Toc187630894"/>
      <w:bookmarkStart w:id="1147" w:name="_Toc187661073"/>
      <w:bookmarkStart w:id="1148" w:name="_Toc187662152"/>
      <w:r w:rsidRPr="009C5151">
        <w:rPr>
          <w:rStyle w:val="Strong"/>
          <w:b/>
          <w:bCs/>
          <w:sz w:val="24"/>
          <w:szCs w:val="24"/>
        </w:rPr>
        <w:t>III. PE-Specific Compliance Template</w:t>
      </w:r>
      <w:bookmarkEnd w:id="1145"/>
      <w:bookmarkEnd w:id="1146"/>
      <w:bookmarkEnd w:id="1147"/>
      <w:bookmarkEnd w:id="1148"/>
    </w:p>
    <w:p w:rsidR="00A056B6" w:rsidRPr="009C5151" w:rsidRDefault="00A056B6" w:rsidP="00743A5F">
      <w:pPr>
        <w:pStyle w:val="Heading4"/>
        <w:spacing w:before="0" w:beforeAutospacing="0"/>
      </w:pPr>
      <w:r w:rsidRPr="009C5151">
        <w:rPr>
          <w:rStyle w:val="Strong"/>
          <w:b/>
          <w:bCs/>
        </w:rPr>
        <w:t>Permanent Establishment (PE) Documentation</w:t>
      </w:r>
    </w:p>
    <w:p w:rsidR="00A056B6" w:rsidRPr="009C5151" w:rsidRDefault="00A056B6" w:rsidP="00743A5F">
      <w:pPr>
        <w:pStyle w:val="NormalWeb"/>
        <w:spacing w:before="0" w:beforeAutospacing="0"/>
      </w:pPr>
      <w:r w:rsidRPr="009C5151">
        <w:rPr>
          <w:rStyle w:val="Strong"/>
        </w:rPr>
        <w:t>[Prepared for EcoPower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85"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 Overview of Permanent Establishments by Jurisdiction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
        <w:gridCol w:w="1926"/>
        <w:gridCol w:w="1511"/>
        <w:gridCol w:w="1661"/>
        <w:gridCol w:w="2960"/>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lastRenderedPageBreak/>
              <w:t>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Activity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 Risk</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Relevant Article (DTAA)</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Mitigation Steps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and distribution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Dependent Agent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Article 5(5)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 USA subsidiary’s authority to finalize contracts.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facility and consultancy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Fixed Place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Article 5(1)</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Attribute profits for R&amp;D activities based on the AOA.</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86"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B. Profit Attribution to PE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1829"/>
        <w:gridCol w:w="1455"/>
        <w:gridCol w:w="2100"/>
        <w:gridCol w:w="758"/>
        <w:gridCol w:w="158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from PE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Expenses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Attributable 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270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87"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C. Mitigation Measures</w:t>
      </w:r>
    </w:p>
    <w:p w:rsidR="00A056B6" w:rsidRPr="009C5151" w:rsidRDefault="00A056B6" w:rsidP="00743A5F">
      <w:pPr>
        <w:pStyle w:val="NormalWeb"/>
        <w:tabs>
          <w:tab w:val="num" w:pos="720"/>
        </w:tabs>
        <w:spacing w:before="0" w:beforeAutospacing="0"/>
        <w:ind w:left="720" w:hanging="360"/>
      </w:pPr>
      <w:r w:rsidRPr="009C5151">
        <w:rPr>
          <w:rStyle w:val="Strong"/>
        </w:rPr>
        <w:t>USA PE Mitigation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Contracts with foreign clients must be finalized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Subsidiary operations limited to marketing support.</w:t>
      </w:r>
    </w:p>
    <w:p w:rsidR="00A056B6" w:rsidRPr="009C5151" w:rsidRDefault="00A056B6" w:rsidP="00743A5F">
      <w:pPr>
        <w:pStyle w:val="NormalWeb"/>
        <w:tabs>
          <w:tab w:val="num" w:pos="720"/>
        </w:tabs>
        <w:spacing w:before="0" w:beforeAutospacing="0"/>
        <w:ind w:left="720" w:hanging="360"/>
      </w:pPr>
      <w:r w:rsidRPr="009C5151">
        <w:rPr>
          <w:rStyle w:val="Strong"/>
        </w:rPr>
        <w:t>Germany PE Mitigation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Profits attributed based on functions, risks, and assets, in compliance with OECD’s </w:t>
      </w:r>
      <w:r w:rsidRPr="009C5151">
        <w:rPr>
          <w:rStyle w:val="Strong"/>
          <w:rFonts w:ascii="Times New Roman" w:hAnsi="Times New Roman" w:cs="Times New Roman"/>
          <w:sz w:val="24"/>
          <w:szCs w:val="24"/>
        </w:rPr>
        <w:t>Authorized OECD Approach (AOA)</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88"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8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49" w:name="_Toc187624175"/>
      <w:bookmarkStart w:id="1150" w:name="_Toc187630895"/>
      <w:bookmarkStart w:id="1151" w:name="_Toc187661074"/>
      <w:bookmarkStart w:id="1152" w:name="_Toc187662153"/>
      <w:r w:rsidRPr="009C5151">
        <w:rPr>
          <w:rStyle w:val="Strong"/>
          <w:b/>
          <w:bCs/>
          <w:sz w:val="24"/>
          <w:szCs w:val="24"/>
        </w:rPr>
        <w:t>IV. Compliance Templates</w:t>
      </w:r>
      <w:bookmarkEnd w:id="1149"/>
      <w:bookmarkEnd w:id="1150"/>
      <w:bookmarkEnd w:id="1151"/>
      <w:bookmarkEnd w:id="1152"/>
    </w:p>
    <w:p w:rsidR="00A056B6" w:rsidRPr="009C5151" w:rsidRDefault="00A056B6" w:rsidP="00743A5F">
      <w:pPr>
        <w:pStyle w:val="Heading4"/>
        <w:spacing w:before="0" w:beforeAutospacing="0"/>
      </w:pPr>
      <w:r w:rsidRPr="009C5151">
        <w:rPr>
          <w:rStyle w:val="Strong"/>
          <w:b/>
          <w:bCs/>
        </w:rPr>
        <w:t>1. Withholding Tax (WHT) Compliance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6"/>
        <w:gridCol w:w="1987"/>
        <w:gridCol w:w="848"/>
        <w:gridCol w:w="1493"/>
        <w:gridCol w:w="1083"/>
        <w:gridCol w:w="2059"/>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WHT Amount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Due Date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Remarks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DTAA-compliant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DTAA-compliant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Interest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DTAA-compliant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Dividend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7th of next month</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Covered under India-Mauritius DTAA</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9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CbC Reporting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3"/>
        <w:gridCol w:w="1541"/>
        <w:gridCol w:w="1271"/>
        <w:gridCol w:w="1479"/>
        <w:gridCol w:w="1167"/>
        <w:gridCol w:w="2265"/>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Paid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Employees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Key Functions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 R&amp;D</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Distribution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Consultancy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Licensing, IP Management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Mauritius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Holding Company</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91"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9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53" w:name="_Toc187624176"/>
      <w:bookmarkStart w:id="1154" w:name="_Toc187630896"/>
      <w:bookmarkStart w:id="1155" w:name="_Toc187661075"/>
      <w:bookmarkStart w:id="1156" w:name="_Toc187662154"/>
      <w:r w:rsidRPr="009C5151">
        <w:rPr>
          <w:rStyle w:val="Strong"/>
          <w:b/>
          <w:bCs/>
          <w:sz w:val="24"/>
          <w:szCs w:val="24"/>
        </w:rPr>
        <w:t>V. Portal Submission Assistance</w:t>
      </w:r>
      <w:bookmarkEnd w:id="1153"/>
      <w:bookmarkEnd w:id="1154"/>
      <w:bookmarkEnd w:id="1155"/>
      <w:bookmarkEnd w:id="1156"/>
    </w:p>
    <w:p w:rsidR="00A056B6" w:rsidRPr="009C5151" w:rsidRDefault="00A056B6" w:rsidP="00743A5F">
      <w:pPr>
        <w:pStyle w:val="Heading4"/>
        <w:spacing w:before="0" w:beforeAutospacing="0"/>
      </w:pPr>
      <w:r w:rsidRPr="009C5151">
        <w:rPr>
          <w:rStyle w:val="Strong"/>
          <w:b/>
          <w:bCs/>
        </w:rPr>
        <w:t>1. Steps for Filing AAR Application</w:t>
      </w:r>
    </w:p>
    <w:p w:rsidR="00A056B6" w:rsidRPr="009C5151" w:rsidRDefault="00A056B6" w:rsidP="00743A5F">
      <w:pPr>
        <w:pStyle w:val="NormalWeb"/>
        <w:tabs>
          <w:tab w:val="num" w:pos="720"/>
        </w:tabs>
        <w:spacing w:before="0" w:beforeAutospacing="0"/>
        <w:ind w:left="720" w:hanging="360"/>
      </w:pPr>
      <w:r w:rsidRPr="009C5151">
        <w:rPr>
          <w:rStyle w:val="Strong"/>
        </w:rPr>
        <w:t>Prepare the Application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the template provided above and attach all supporting documents.</w:t>
      </w:r>
    </w:p>
    <w:p w:rsidR="00A056B6" w:rsidRPr="009C5151" w:rsidRDefault="00A056B6" w:rsidP="00743A5F">
      <w:pPr>
        <w:pStyle w:val="NormalWeb"/>
        <w:tabs>
          <w:tab w:val="num" w:pos="720"/>
        </w:tabs>
        <w:spacing w:before="0" w:beforeAutospacing="0"/>
        <w:ind w:left="720" w:hanging="360"/>
      </w:pPr>
      <w:r w:rsidRPr="009C5151">
        <w:rPr>
          <w:rStyle w:val="Strong"/>
        </w:rPr>
        <w:t>Online Submission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Visit the Income Tax e-Filing Portal: </w:t>
      </w:r>
      <w:hyperlink r:id="rId14" w:tgtFrame="_new" w:history="1">
        <w:r w:rsidRPr="009C5151">
          <w:rPr>
            <w:rStyle w:val="Hyperlink"/>
            <w:rFonts w:ascii="Times New Roman" w:hAnsi="Times New Roman" w:cs="Times New Roman"/>
            <w:sz w:val="24"/>
            <w:szCs w:val="24"/>
          </w:rPr>
          <w:t>Link</w:t>
        </w:r>
      </w:hyperlink>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Navigate to </w:t>
      </w:r>
      <w:r w:rsidRPr="009C5151">
        <w:rPr>
          <w:rStyle w:val="Strong"/>
          <w:rFonts w:ascii="Times New Roman" w:hAnsi="Times New Roman" w:cs="Times New Roman"/>
          <w:sz w:val="24"/>
          <w:szCs w:val="24"/>
        </w:rPr>
        <w:t>e-File → File Advance Ruling Application</w:t>
      </w:r>
      <w:r w:rsidRPr="009C5151">
        <w:rPr>
          <w:rFonts w:ascii="Times New Roman" w:hAnsi="Times New Roman" w:cs="Times New Roman"/>
          <w:sz w:val="24"/>
          <w:szCs w:val="24"/>
        </w:rPr>
        <w:t>.</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Offline Submission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Submit the application and fee at the nearest AAR office.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9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CbC Reporting Submission</w:t>
      </w:r>
    </w:p>
    <w:p w:rsidR="00A056B6" w:rsidRPr="009C5151" w:rsidRDefault="00A056B6" w:rsidP="00743A5F">
      <w:pPr>
        <w:pStyle w:val="NormalWeb"/>
        <w:tabs>
          <w:tab w:val="num" w:pos="720"/>
        </w:tabs>
        <w:spacing w:before="0" w:beforeAutospacing="0"/>
        <w:ind w:left="720" w:hanging="360"/>
      </w:pPr>
      <w:r w:rsidRPr="009C5151">
        <w:rPr>
          <w:rStyle w:val="Strong"/>
        </w:rPr>
        <w:t>Prepare the CbC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Consolidate financial data in XML format.</w:t>
      </w:r>
    </w:p>
    <w:p w:rsidR="00A056B6" w:rsidRPr="009C5151" w:rsidRDefault="00A056B6" w:rsidP="00743A5F">
      <w:pPr>
        <w:pStyle w:val="NormalWeb"/>
        <w:tabs>
          <w:tab w:val="num" w:pos="720"/>
        </w:tabs>
        <w:spacing w:before="0" w:beforeAutospacing="0"/>
        <w:ind w:left="720" w:hanging="360"/>
      </w:pPr>
      <w:r w:rsidRPr="009C5151">
        <w:rPr>
          <w:rStyle w:val="Strong"/>
        </w:rPr>
        <w:t>Submit via Income Tax Portal</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Log in and navigate to </w:t>
      </w:r>
      <w:r w:rsidRPr="009C5151">
        <w:rPr>
          <w:rStyle w:val="Strong"/>
          <w:rFonts w:ascii="Times New Roman" w:hAnsi="Times New Roman" w:cs="Times New Roman"/>
          <w:sz w:val="24"/>
          <w:szCs w:val="24"/>
        </w:rPr>
        <w:t>e-File → File CbC Report</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Upload the XML file and verify with </w:t>
      </w:r>
      <w:r w:rsidRPr="009C5151">
        <w:rPr>
          <w:rStyle w:val="Strong"/>
          <w:rFonts w:ascii="Times New Roman" w:hAnsi="Times New Roman" w:cs="Times New Roman"/>
          <w:sz w:val="24"/>
          <w:szCs w:val="24"/>
        </w:rPr>
        <w:t>DSC</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794" style="width:0;height:1.5pt" o:hralign="center" o:hrstd="t" o:hr="t" fillcolor="#a0a0a0" stroked="f"/>
        </w:pict>
      </w:r>
    </w:p>
    <w:p w:rsidR="00A056B6" w:rsidRPr="009C5151" w:rsidRDefault="00A056B6" w:rsidP="00743A5F">
      <w:pPr>
        <w:pStyle w:val="NormalWeb"/>
        <w:spacing w:before="0" w:beforeAutospacing="0"/>
      </w:pPr>
      <w:r w:rsidRPr="009C5151">
        <w:t xml:space="preserve">Would you like assistance with </w:t>
      </w:r>
      <w:r w:rsidRPr="009C5151">
        <w:rPr>
          <w:rStyle w:val="Strong"/>
        </w:rPr>
        <w:t>customizing these templates further</w:t>
      </w:r>
      <w:r w:rsidRPr="009C5151">
        <w:t xml:space="preserve">, </w:t>
      </w:r>
      <w:r w:rsidRPr="009C5151">
        <w:rPr>
          <w:rStyle w:val="Strong"/>
        </w:rPr>
        <w:t>reviewing existing drafts</w:t>
      </w:r>
      <w:r w:rsidRPr="009C5151">
        <w:t xml:space="preserve">, or </w:t>
      </w:r>
      <w:r w:rsidRPr="009C5151">
        <w:rPr>
          <w:rStyle w:val="Strong"/>
        </w:rPr>
        <w:t>specific filing steps on the portal</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23rd example of different set of issues and problem and suggested solutions by a CA to a Company including a detailed discussion on the various topics covered under suggestions and Conclusion. Please include in addition to the above transactions like Withholding tax, CbC reporting, Mutual Agreement procedure, DTAA with countries like USA, UK, Germany, Singapore, Mauritius, China, Russia and Germany; equalization levy; Please first list down the case, issues, documents and CA advise, Dividend and Interest, Royalty and Fee for Technical Services; applicability of GAAR; applicability of PE; Inter group transactions; computation of taxable income of the Tested Party with assumed numbers for the AY 2024-25; what kind of a PE the tested party may have by considering relevant provisions; Tax Information Exchange Agreement; the ruling of Board for Advance Ruling; the obligations and compute the liability (if any) of the tested party; sale of its manufacturing unit located in India as per UN Model Convention. Please consider Tested Party's subsidiary and transactions between them, shifting the subsidiary to another nation with which India has DTAA, LOB clause and other relevant aspects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11C4FC1" wp14:editId="062C4B53">
            <wp:extent cx="763905" cy="763905"/>
            <wp:effectExtent l="0" t="0" r="0" b="0"/>
            <wp:docPr id="276" name="Picture 27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8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157" w:name="_Toc187624177"/>
      <w:bookmarkStart w:id="1158" w:name="_Toc187630897"/>
      <w:bookmarkStart w:id="1159" w:name="_Toc187661076"/>
      <w:bookmarkStart w:id="1160" w:name="_Toc187662155"/>
      <w:r w:rsidRPr="009C5151">
        <w:rPr>
          <w:rStyle w:val="Strong"/>
          <w:b/>
          <w:bCs/>
          <w:sz w:val="24"/>
          <w:szCs w:val="24"/>
        </w:rPr>
        <w:t>Case Study: Tax and Compliance Challenges for SolarPower Pvt. Ltd.</w:t>
      </w:r>
      <w:bookmarkEnd w:id="1157"/>
      <w:bookmarkEnd w:id="1158"/>
      <w:bookmarkEnd w:id="1159"/>
      <w:bookmarkEnd w:id="1160"/>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9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61" w:name="_Toc187624178"/>
      <w:bookmarkStart w:id="1162" w:name="_Toc187630898"/>
      <w:bookmarkStart w:id="1163" w:name="_Toc187661077"/>
      <w:bookmarkStart w:id="1164" w:name="_Toc187662156"/>
      <w:r w:rsidRPr="009C5151">
        <w:rPr>
          <w:rStyle w:val="Strong"/>
          <w:b/>
          <w:bCs/>
          <w:sz w:val="24"/>
          <w:szCs w:val="24"/>
        </w:rPr>
        <w:t>Background</w:t>
      </w:r>
      <w:bookmarkEnd w:id="1161"/>
      <w:bookmarkEnd w:id="1162"/>
      <w:bookmarkEnd w:id="1163"/>
      <w:bookmarkEnd w:id="1164"/>
    </w:p>
    <w:p w:rsidR="00A056B6" w:rsidRPr="009C5151" w:rsidRDefault="00A056B6" w:rsidP="00743A5F">
      <w:pPr>
        <w:pStyle w:val="NormalWeb"/>
        <w:spacing w:before="0" w:beforeAutospacing="0"/>
      </w:pPr>
      <w:r w:rsidRPr="009C5151">
        <w:lastRenderedPageBreak/>
        <w:t xml:space="preserve">SolarPower Pvt. Ltd., an Indian company specializing in solar energy products, operates globally through subsidiaries in </w:t>
      </w:r>
      <w:r w:rsidRPr="009C5151">
        <w:rPr>
          <w:rStyle w:val="Strong"/>
        </w:rPr>
        <w:t>USA, UK, Germany, Singapore, Mauritius, China, and Russia</w:t>
      </w:r>
      <w:r w:rsidRPr="009C5151">
        <w:t xml:space="preserve">. It undertakes </w:t>
      </w:r>
      <w:r w:rsidRPr="009C5151">
        <w:rPr>
          <w:rStyle w:val="Strong"/>
        </w:rPr>
        <w:t>exports</w:t>
      </w:r>
      <w:r w:rsidRPr="009C5151">
        <w:t xml:space="preserve">, </w:t>
      </w:r>
      <w:r w:rsidRPr="009C5151">
        <w:rPr>
          <w:rStyle w:val="Strong"/>
        </w:rPr>
        <w:t>royalty payments</w:t>
      </w:r>
      <w:r w:rsidRPr="009C5151">
        <w:t xml:space="preserve">, </w:t>
      </w:r>
      <w:r w:rsidRPr="009C5151">
        <w:rPr>
          <w:rStyle w:val="Strong"/>
        </w:rPr>
        <w:t>fee for technical services (FTS)</w:t>
      </w:r>
      <w:r w:rsidRPr="009C5151">
        <w:t xml:space="preserve">, </w:t>
      </w:r>
      <w:r w:rsidRPr="009C5151">
        <w:rPr>
          <w:rStyle w:val="Strong"/>
        </w:rPr>
        <w:t>interest payments</w:t>
      </w:r>
      <w:r w:rsidRPr="009C5151">
        <w:t xml:space="preserve">, </w:t>
      </w:r>
      <w:r w:rsidRPr="009C5151">
        <w:rPr>
          <w:rStyle w:val="Strong"/>
        </w:rPr>
        <w:t>dividends</w:t>
      </w:r>
      <w:r w:rsidRPr="009C5151">
        <w:t xml:space="preserve">, </w:t>
      </w:r>
      <w:r w:rsidRPr="009C5151">
        <w:rPr>
          <w:rStyle w:val="Strong"/>
        </w:rPr>
        <w:t>inter-group transactions</w:t>
      </w:r>
      <w:r w:rsidRPr="009C5151">
        <w:t xml:space="preserve">, and has sold its </w:t>
      </w:r>
      <w:r w:rsidRPr="009C5151">
        <w:rPr>
          <w:rStyle w:val="Strong"/>
        </w:rPr>
        <w:t>Indian manufacturing unit</w:t>
      </w:r>
      <w:r w:rsidRPr="009C5151">
        <w:t xml:space="preserve"> to its German subsidiary. The company also plans to relocate its Singapore subsidiary to </w:t>
      </w:r>
      <w:r w:rsidRPr="009C5151">
        <w:rPr>
          <w:rStyle w:val="Strong"/>
        </w:rPr>
        <w:t>UAE</w:t>
      </w:r>
      <w:r w:rsidRPr="009C5151">
        <w:t xml:space="preserve">, leveraging the </w:t>
      </w:r>
      <w:r w:rsidRPr="009C5151">
        <w:rPr>
          <w:rStyle w:val="Strong"/>
        </w:rPr>
        <w:t>India-UAE DTAA</w:t>
      </w:r>
      <w:r w:rsidRPr="009C5151">
        <w:t>.</w:t>
      </w:r>
    </w:p>
    <w:p w:rsidR="00A056B6" w:rsidRPr="009C5151" w:rsidRDefault="00A056B6" w:rsidP="00743A5F">
      <w:pPr>
        <w:pStyle w:val="NormalWeb"/>
        <w:spacing w:before="0" w:beforeAutospacing="0"/>
      </w:pPr>
      <w:r w:rsidRPr="009C5151">
        <w:t xml:space="preserve">This case involves key compliance issues related to </w:t>
      </w:r>
      <w:r w:rsidRPr="009C5151">
        <w:rPr>
          <w:rStyle w:val="Strong"/>
        </w:rPr>
        <w:t>Withholding Tax (WHT)</w:t>
      </w:r>
      <w:r w:rsidRPr="009C5151">
        <w:t xml:space="preserve">, </w:t>
      </w:r>
      <w:r w:rsidRPr="009C5151">
        <w:rPr>
          <w:rStyle w:val="Strong"/>
        </w:rPr>
        <w:t>CbC Reporting</w:t>
      </w:r>
      <w:r w:rsidRPr="009C5151">
        <w:t xml:space="preserve">, </w:t>
      </w:r>
      <w:r w:rsidRPr="009C5151">
        <w:rPr>
          <w:rStyle w:val="Strong"/>
        </w:rPr>
        <w:t>GAAR</w:t>
      </w:r>
      <w:r w:rsidRPr="009C5151">
        <w:t xml:space="preserve">, </w:t>
      </w:r>
      <w:r w:rsidRPr="009C5151">
        <w:rPr>
          <w:rStyle w:val="Strong"/>
        </w:rPr>
        <w:t>Permanent Establishment (PE)</w:t>
      </w:r>
      <w:r w:rsidRPr="009C5151">
        <w:t xml:space="preserve">, and provisions of the </w:t>
      </w:r>
      <w:r w:rsidRPr="009C5151">
        <w:rPr>
          <w:rStyle w:val="Strong"/>
        </w:rPr>
        <w:t>UN Model Convention</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9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65" w:name="_Toc187624179"/>
      <w:bookmarkStart w:id="1166" w:name="_Toc187630899"/>
      <w:bookmarkStart w:id="1167" w:name="_Toc187661078"/>
      <w:bookmarkStart w:id="1168" w:name="_Toc187662157"/>
      <w:r w:rsidRPr="009C5151">
        <w:rPr>
          <w:rStyle w:val="Strong"/>
          <w:b/>
          <w:bCs/>
          <w:sz w:val="24"/>
          <w:szCs w:val="24"/>
        </w:rPr>
        <w:t>Transactions</w:t>
      </w:r>
      <w:bookmarkEnd w:id="1165"/>
      <w:bookmarkEnd w:id="1166"/>
      <w:bookmarkEnd w:id="1167"/>
      <w:bookmarkEnd w:id="1168"/>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Solar Panels</w:t>
      </w:r>
      <w:r w:rsidRPr="009C5151">
        <w:t>:</w:t>
      </w:r>
      <w:r w:rsidRPr="009C5151">
        <w:br/>
        <w:t>Exported ₹2,500 crore worth of products to subsidiaries in USA, UK, and Germany.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r w:rsidRPr="009C5151">
        <w:br/>
        <w:t>Paid ₹120 crore to its Singapore subsidiary for licensed IP technology.</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r w:rsidRPr="009C5151">
        <w:br/>
        <w:t>Paid ₹70 crore to its German AE for solar grid consultancy services.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r w:rsidRPr="009C5151">
        <w:br/>
        <w:t>Paid ₹40 crore to its Russian AE for loans obtained for business expansion.</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w:t>
      </w:r>
      <w:r w:rsidRPr="009C5151">
        <w:br/>
        <w:t>Paid ₹100 crore to its Mauritius parent company.</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r w:rsidRPr="009C5151">
        <w:br/>
        <w:t>Sold its Indian manufacturing unit to SolarPower Germany GmbH for ₹1,000 crore.</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r w:rsidRPr="009C5151">
        <w:br/>
        <w:t>Paid ₹25 crore to a USA-based platform for global marketing.</w:t>
      </w:r>
    </w:p>
    <w:p w:rsidR="00A056B6" w:rsidRPr="009C5151" w:rsidRDefault="00A056B6" w:rsidP="00743A5F">
      <w:pPr>
        <w:pStyle w:val="NormalWeb"/>
        <w:tabs>
          <w:tab w:val="num" w:pos="720"/>
        </w:tabs>
        <w:spacing w:before="0" w:beforeAutospacing="0"/>
        <w:ind w:left="720" w:hanging="360"/>
      </w:pPr>
      <w:r w:rsidRPr="009C5151">
        <w:rPr>
          <w:rStyle w:val="Strong"/>
        </w:rPr>
        <w:t>Subsidiary Relocation</w:t>
      </w:r>
      <w:r w:rsidRPr="009C5151">
        <w:t>:</w:t>
      </w:r>
      <w:r w:rsidRPr="009C5151">
        <w:br/>
        <w:t xml:space="preserve">Relocating SolarPower Singapore Pte Ltd. to UAE under the </w:t>
      </w:r>
      <w:r w:rsidRPr="009C5151">
        <w:rPr>
          <w:rStyle w:val="Strong"/>
        </w:rPr>
        <w:t>India-UAE DTAA</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9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r w:rsidRPr="009C5151">
        <w:br/>
        <w:t>Paid ₹30 crore to an Indian AE for centralized HR and IT functions.</w:t>
      </w:r>
    </w:p>
    <w:p w:rsidR="00A056B6" w:rsidRPr="009C5151" w:rsidRDefault="00A056B6" w:rsidP="00743A5F">
      <w:pPr>
        <w:pStyle w:val="NormalWeb"/>
        <w:tabs>
          <w:tab w:val="num" w:pos="720"/>
        </w:tabs>
        <w:spacing w:before="0" w:beforeAutospacing="0"/>
        <w:ind w:left="720" w:hanging="360"/>
      </w:pPr>
      <w:r w:rsidRPr="009C5151">
        <w:rPr>
          <w:rStyle w:val="Strong"/>
        </w:rPr>
        <w:t>Leasing of Equipment</w:t>
      </w:r>
      <w:r w:rsidRPr="009C5151">
        <w:t>:</w:t>
      </w:r>
      <w:r w:rsidRPr="009C5151">
        <w:br/>
        <w:t>Leased ₹60 crore worth of equipment to another Indian AE.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798"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79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69" w:name="_Toc187624180"/>
      <w:bookmarkStart w:id="1170" w:name="_Toc187630900"/>
      <w:bookmarkStart w:id="1171" w:name="_Toc187661079"/>
      <w:bookmarkStart w:id="1172" w:name="_Toc187662158"/>
      <w:r w:rsidRPr="009C5151">
        <w:rPr>
          <w:rStyle w:val="Strong"/>
          <w:b/>
          <w:bCs/>
          <w:sz w:val="24"/>
          <w:szCs w:val="24"/>
        </w:rPr>
        <w:t>Key Issues</w:t>
      </w:r>
      <w:bookmarkEnd w:id="1169"/>
      <w:bookmarkEnd w:id="1170"/>
      <w:bookmarkEnd w:id="1171"/>
      <w:bookmarkEnd w:id="1172"/>
    </w:p>
    <w:p w:rsidR="00A056B6" w:rsidRPr="009C5151" w:rsidRDefault="00A056B6" w:rsidP="00743A5F">
      <w:pPr>
        <w:pStyle w:val="Heading4"/>
        <w:spacing w:before="0" w:beforeAutospacing="0"/>
      </w:pPr>
      <w:r w:rsidRPr="009C5151">
        <w:rPr>
          <w:rStyle w:val="Strong"/>
          <w:b/>
          <w:bCs/>
        </w:rPr>
        <w:t>1. 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₹2,500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₹120 crore royalty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₹70 crore FTS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₹40 crore interest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₹1,000 crore sale of the manufacturing unit.</w: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(10% under India-Russia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(0% under India-Mauritius DTAA).</w: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₹25 crore digital advertising payments.</w:t>
      </w:r>
    </w:p>
    <w:p w:rsidR="00A056B6" w:rsidRPr="009C5151" w:rsidRDefault="00A056B6" w:rsidP="00743A5F">
      <w:pPr>
        <w:pStyle w:val="Heading4"/>
        <w:spacing w:before="0" w:beforeAutospacing="0"/>
      </w:pPr>
      <w:r w:rsidRPr="009C5151">
        <w:rPr>
          <w:rStyle w:val="Strong"/>
          <w:b/>
          <w:bCs/>
        </w:rPr>
        <w:t>4. Applicability of GAAR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GAAR Scrutiny</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Treaty benefits availed by the Mauritius entity.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Relocation of the Singapore subsidiary to UAE.</w:t>
      </w:r>
    </w:p>
    <w:p w:rsidR="00A056B6" w:rsidRPr="009C5151" w:rsidRDefault="00A056B6" w:rsidP="00743A5F">
      <w:pPr>
        <w:pStyle w:val="Heading4"/>
        <w:spacing w:before="0" w:beforeAutospacing="0"/>
      </w:pPr>
      <w:r w:rsidRPr="009C5151">
        <w:rPr>
          <w:rStyle w:val="Strong"/>
          <w:b/>
          <w:bCs/>
        </w:rPr>
        <w:t>5. Permanent Establishment (PE) Concerns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PE 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USA</w:t>
      </w:r>
      <w:r w:rsidRPr="009C5151">
        <w:rPr>
          <w:rFonts w:ascii="Times New Roman" w:hAnsi="Times New Roman" w:cs="Times New Roman"/>
          <w:sz w:val="24"/>
          <w:szCs w:val="24"/>
        </w:rPr>
        <w:t>: Dependent Agent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Germany</w:t>
      </w:r>
      <w:r w:rsidRPr="009C5151">
        <w:rPr>
          <w:rFonts w:ascii="Times New Roman" w:hAnsi="Times New Roman" w:cs="Times New Roman"/>
          <w:sz w:val="24"/>
          <w:szCs w:val="24"/>
        </w:rPr>
        <w:t>: Fixed Place PE.</w:t>
      </w:r>
    </w:p>
    <w:p w:rsidR="00A056B6" w:rsidRPr="009C5151" w:rsidRDefault="00A056B6" w:rsidP="00743A5F">
      <w:pPr>
        <w:pStyle w:val="Heading4"/>
        <w:spacing w:before="0" w:beforeAutospacing="0"/>
      </w:pPr>
      <w:r w:rsidRPr="009C5151">
        <w:rPr>
          <w:rStyle w:val="Strong"/>
          <w:b/>
          <w:bCs/>
        </w:rPr>
        <w:lastRenderedPageBreak/>
        <w:t>6. Taxable Income Computation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Determine taxable income for AY 2024-25 after incorporating TP adjustments and the gain from the manufacturing unit sale.</w:t>
      </w:r>
    </w:p>
    <w:p w:rsidR="00A056B6" w:rsidRPr="009C5151" w:rsidRDefault="00A056B6" w:rsidP="00743A5F">
      <w:pPr>
        <w:pStyle w:val="Heading4"/>
        <w:spacing w:before="0" w:beforeAutospacing="0"/>
      </w:pPr>
      <w:r w:rsidRPr="009C5151">
        <w:rPr>
          <w:rStyle w:val="Strong"/>
          <w:b/>
          <w:bCs/>
        </w:rPr>
        <w:t>7. Tax Information Exchange Agreement (TIEA)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China requests details of royalty payments under TIEA.</w:t>
      </w:r>
    </w:p>
    <w:p w:rsidR="00A056B6" w:rsidRPr="009C5151" w:rsidRDefault="00A056B6" w:rsidP="00743A5F">
      <w:pPr>
        <w:pStyle w:val="Heading4"/>
        <w:spacing w:before="0" w:beforeAutospacing="0"/>
      </w:pPr>
      <w:r w:rsidRPr="009C5151">
        <w:rPr>
          <w:rStyle w:val="Strong"/>
          <w:b/>
          <w:bCs/>
        </w:rPr>
        <w:t>8. Board for Advance Rulings (AAR)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AAR application for clarity on the tax treatment of the manufacturing unit sale under the </w:t>
      </w:r>
      <w:r w:rsidRPr="009C5151">
        <w:rPr>
          <w:rStyle w:val="Strong"/>
          <w:rFonts w:ascii="Times New Roman" w:hAnsi="Times New Roman" w:cs="Times New Roman"/>
          <w:sz w:val="24"/>
          <w:szCs w:val="24"/>
        </w:rPr>
        <w:t>UN Model Convention</w:t>
      </w:r>
      <w:r w:rsidRPr="009C5151">
        <w:rPr>
          <w:rFonts w:ascii="Times New Roman" w:hAnsi="Times New Roman" w:cs="Times New Roman"/>
          <w:sz w:val="24"/>
          <w:szCs w:val="24"/>
        </w:rPr>
        <w:t>.</w:t>
      </w:r>
    </w:p>
    <w:p w:rsidR="00A056B6" w:rsidRPr="009C5151" w:rsidRDefault="00A056B6" w:rsidP="00743A5F">
      <w:pPr>
        <w:pStyle w:val="Heading4"/>
        <w:spacing w:before="0" w:beforeAutospacing="0"/>
      </w:pPr>
      <w:r w:rsidRPr="009C5151">
        <w:rPr>
          <w:rStyle w:val="Strong"/>
          <w:b/>
          <w:bCs/>
        </w:rPr>
        <w:t>9. Limitation of Benefits (LOB) Clause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Assess compliance with the LOB clauses in India-Mauritius and India-UAE DTAAs.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00"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0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73" w:name="_Toc187624181"/>
      <w:bookmarkStart w:id="1174" w:name="_Toc187630901"/>
      <w:bookmarkStart w:id="1175" w:name="_Toc187661080"/>
      <w:bookmarkStart w:id="1176" w:name="_Toc187662159"/>
      <w:r w:rsidRPr="009C5151">
        <w:rPr>
          <w:rStyle w:val="Strong"/>
          <w:b/>
          <w:bCs/>
          <w:sz w:val="24"/>
          <w:szCs w:val="24"/>
        </w:rPr>
        <w:t>Documents Required</w:t>
      </w:r>
      <w:bookmarkEnd w:id="1173"/>
      <w:bookmarkEnd w:id="1174"/>
      <w:bookmarkEnd w:id="1175"/>
      <w:bookmarkEnd w:id="1176"/>
    </w:p>
    <w:p w:rsidR="00A056B6" w:rsidRPr="009C5151" w:rsidRDefault="00A056B6" w:rsidP="00743A5F">
      <w:pPr>
        <w:pStyle w:val="NormalWeb"/>
        <w:tabs>
          <w:tab w:val="num" w:pos="720"/>
        </w:tabs>
        <w:spacing w:before="0" w:beforeAutospacing="0"/>
        <w:ind w:left="720" w:hanging="360"/>
      </w:pPr>
      <w:r w:rsidRPr="009C5151">
        <w:rPr>
          <w:rStyle w:val="Strong"/>
        </w:rPr>
        <w:t>Transaction 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Contracts for exports, royalties, FTS, loans, dividends, and unit sale.</w:t>
      </w:r>
    </w:p>
    <w:p w:rsidR="00A056B6" w:rsidRPr="009C5151" w:rsidRDefault="00A056B6" w:rsidP="00743A5F">
      <w:pPr>
        <w:pStyle w:val="NormalWeb"/>
        <w:tabs>
          <w:tab w:val="num" w:pos="720"/>
        </w:tabs>
        <w:spacing w:before="0" w:beforeAutospacing="0"/>
        <w:ind w:left="720" w:hanging="360"/>
      </w:pPr>
      <w:r w:rsidRPr="009C5151">
        <w:rPr>
          <w:rStyle w:val="Strong"/>
        </w:rPr>
        <w:t>Valuation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Independent valuation for the sale of the manufacturing unit.</w:t>
      </w:r>
    </w:p>
    <w:p w:rsidR="00A056B6" w:rsidRPr="009C5151" w:rsidRDefault="00A056B6" w:rsidP="00743A5F">
      <w:pPr>
        <w:pStyle w:val="NormalWeb"/>
        <w:tabs>
          <w:tab w:val="num" w:pos="720"/>
        </w:tabs>
        <w:spacing w:before="0" w:beforeAutospacing="0"/>
        <w:ind w:left="720" w:hanging="360"/>
      </w:pPr>
      <w:r w:rsidRPr="009C5151">
        <w:rPr>
          <w:rStyle w:val="Strong"/>
        </w:rPr>
        <w:t>Tax Residency Certificates (TRC)</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TRCs for Mauritius, Singapore, Germany, and Russia.</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Allocation of roles, functions, and risks among AEs.</w:t>
      </w:r>
    </w:p>
    <w:p w:rsidR="00A056B6" w:rsidRPr="009C5151" w:rsidRDefault="00A056B6" w:rsidP="00743A5F">
      <w:pPr>
        <w:pStyle w:val="NormalWeb"/>
        <w:tabs>
          <w:tab w:val="num" w:pos="720"/>
        </w:tabs>
        <w:spacing w:before="0" w:beforeAutospacing="0"/>
        <w:ind w:left="720" w:hanging="360"/>
      </w:pPr>
      <w:r w:rsidRPr="009C5151">
        <w:rPr>
          <w:rStyle w:val="Strong"/>
        </w:rPr>
        <w:t>AAR Submission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Sale agreement, valuation report, and relevant DTAA provisions.</w:t>
      </w:r>
    </w:p>
    <w:p w:rsidR="00A056B6" w:rsidRPr="009C5151" w:rsidRDefault="00A056B6" w:rsidP="00743A5F">
      <w:pPr>
        <w:pStyle w:val="NormalWeb"/>
        <w:tabs>
          <w:tab w:val="num" w:pos="720"/>
        </w:tabs>
        <w:spacing w:before="0" w:beforeAutospacing="0"/>
        <w:ind w:left="720" w:hanging="360"/>
      </w:pPr>
      <w:r w:rsidRPr="009C5151">
        <w:rPr>
          <w:rStyle w:val="Strong"/>
        </w:rPr>
        <w:t>CbC Reporting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Consolidated global financial and operational details.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02"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0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77" w:name="_Toc187624182"/>
      <w:bookmarkStart w:id="1178" w:name="_Toc187630902"/>
      <w:bookmarkStart w:id="1179" w:name="_Toc187661081"/>
      <w:bookmarkStart w:id="1180" w:name="_Toc187662160"/>
      <w:r w:rsidRPr="009C5151">
        <w:rPr>
          <w:rStyle w:val="Strong"/>
          <w:b/>
          <w:bCs/>
          <w:sz w:val="24"/>
          <w:szCs w:val="24"/>
        </w:rPr>
        <w:t>Proposed Solutions</w:t>
      </w:r>
      <w:bookmarkEnd w:id="1177"/>
      <w:bookmarkEnd w:id="1178"/>
      <w:bookmarkEnd w:id="1179"/>
      <w:bookmarkEnd w:id="1180"/>
    </w:p>
    <w:p w:rsidR="00A056B6" w:rsidRPr="009C5151" w:rsidRDefault="00A056B6" w:rsidP="00743A5F">
      <w:pPr>
        <w:pStyle w:val="Heading4"/>
        <w:spacing w:before="0" w:beforeAutospacing="0"/>
      </w:pPr>
      <w:r w:rsidRPr="009C5151">
        <w:rPr>
          <w:rStyle w:val="Strong"/>
          <w:b/>
          <w:bCs/>
        </w:rPr>
        <w:lastRenderedPageBreak/>
        <w:t>1.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Export of Solar Panels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TNMM</w:t>
      </w:r>
      <w:r w:rsidRPr="009C5151">
        <w:rPr>
          <w:rFonts w:ascii="Times New Roman" w:hAnsi="Times New Roman" w:cs="Times New Roman"/>
          <w:sz w:val="24"/>
          <w:szCs w:val="24"/>
        </w:rPr>
        <w:t xml:space="preserve"> to benchmark ₹2,500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operating margins with solar energy manufacturers globally.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benchmark ₹120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royalty rate (6%-8%).</w:t>
      </w:r>
    </w:p>
    <w:p w:rsidR="00A056B6" w:rsidRPr="009C5151" w:rsidRDefault="00A056B6" w:rsidP="00743A5F">
      <w:pPr>
        <w:pStyle w:val="NormalWeb"/>
        <w:tabs>
          <w:tab w:val="num" w:pos="720"/>
        </w:tabs>
        <w:spacing w:before="0" w:beforeAutospacing="0"/>
        <w:ind w:left="720" w:hanging="360"/>
      </w:pPr>
      <w:r w:rsidRPr="009C5151">
        <w:rPr>
          <w:rStyle w:val="Strong"/>
        </w:rPr>
        <w:t>FTS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CPM</w:t>
      </w:r>
      <w:r w:rsidRPr="009C5151">
        <w:rPr>
          <w:rFonts w:ascii="Times New Roman" w:hAnsi="Times New Roman" w:cs="Times New Roman"/>
          <w:sz w:val="24"/>
          <w:szCs w:val="24"/>
        </w:rPr>
        <w:t xml:space="preserve"> to benchmark ₹70 crore consultancy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markup with global consulting firms.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Ensure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(interest deduction capped at 30% of EBITDA).</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DCF valuation method</w:t>
      </w:r>
      <w:r w:rsidRPr="009C5151">
        <w:rPr>
          <w:rFonts w:ascii="Times New Roman" w:hAnsi="Times New Roman" w:cs="Times New Roman"/>
          <w:sz w:val="24"/>
          <w:szCs w:val="24"/>
        </w:rPr>
        <w:t xml:space="preserve"> to benchmark ₹1,000 crore transaction.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0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₹120 crore × 10% = ₹12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₹70 crore × 10% = ₹7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₹40 crore × 10% = ₹4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0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Levy at 6% on ₹25 crore advertising payments = ₹1.5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0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GAAR and Subsidiary Relocation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Relocation to UAE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Justify the move for operational benefits like proximity to Middle East markets.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Ensure compliance with </w:t>
      </w:r>
      <w:r w:rsidRPr="009C5151">
        <w:rPr>
          <w:rStyle w:val="Strong"/>
          <w:rFonts w:ascii="Times New Roman" w:hAnsi="Times New Roman" w:cs="Times New Roman"/>
          <w:sz w:val="24"/>
          <w:szCs w:val="24"/>
        </w:rPr>
        <w:t>LOB clause</w:t>
      </w:r>
      <w:r w:rsidRPr="009C5151">
        <w:rPr>
          <w:rFonts w:ascii="Times New Roman" w:hAnsi="Times New Roman" w:cs="Times New Roman"/>
          <w:sz w:val="24"/>
          <w:szCs w:val="24"/>
        </w:rPr>
        <w:t xml:space="preserve"> under India-UAE DTAA:</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Substantial presence in UAE (office, employees, and operations).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0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Permanent Establishment (PE)</w:t>
      </w:r>
    </w:p>
    <w:p w:rsidR="00A056B6" w:rsidRPr="009C5151" w:rsidRDefault="00A056B6" w:rsidP="00743A5F">
      <w:pPr>
        <w:pStyle w:val="NormalWeb"/>
        <w:tabs>
          <w:tab w:val="num" w:pos="720"/>
        </w:tabs>
        <w:spacing w:before="0" w:beforeAutospacing="0"/>
        <w:ind w:left="720" w:hanging="360"/>
      </w:pPr>
      <w:r w:rsidRPr="009C5151">
        <w:rPr>
          <w:rStyle w:val="Strong"/>
        </w:rPr>
        <w:t>USA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Limit subsidiary’s authority to conclude contracts.</w:t>
      </w:r>
    </w:p>
    <w:p w:rsidR="00A056B6" w:rsidRPr="009C5151" w:rsidRDefault="00A056B6" w:rsidP="00743A5F">
      <w:pPr>
        <w:pStyle w:val="NormalWeb"/>
        <w:tabs>
          <w:tab w:val="num" w:pos="720"/>
        </w:tabs>
        <w:spacing w:before="0" w:beforeAutospacing="0"/>
        <w:ind w:left="720" w:hanging="360"/>
      </w:pPr>
      <w:r w:rsidRPr="009C5151">
        <w:rPr>
          <w:rStyle w:val="Strong"/>
        </w:rPr>
        <w:t>Germany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Attribute profits based on the </w:t>
      </w:r>
      <w:r w:rsidRPr="009C5151">
        <w:rPr>
          <w:rStyle w:val="Strong"/>
          <w:rFonts w:ascii="Times New Roman" w:hAnsi="Times New Roman" w:cs="Times New Roman"/>
          <w:sz w:val="24"/>
          <w:szCs w:val="24"/>
        </w:rPr>
        <w:t>Authorized OECD Approach (AOA)</w:t>
      </w:r>
      <w:r w:rsidRPr="009C5151">
        <w:rPr>
          <w:rFonts w:ascii="Times New Roman" w:hAnsi="Times New Roman" w:cs="Times New Roman"/>
          <w:sz w:val="24"/>
          <w:szCs w:val="24"/>
        </w:rPr>
        <w:t>, considering the functions and risks borne by the German subsidiary.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0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Taxable Income Computation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4"/>
        <w:gridCol w:w="186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Particulars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Revenue (Exports)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Domestic Revenue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Less: Expenses: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Royalty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FTS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Interest (allowable under 94B)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Depreciation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Gain on Sale of Unit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Taxable Income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3,375</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0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7. TIEA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Provide details of royalty payments to Chinese authorities: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agreements.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Bank transfer proofs.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 of the Singapore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81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8. AAR 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Seek clarity on the taxability of gains from the manufacturing unit sale under </w:t>
      </w:r>
      <w:r w:rsidRPr="009C5151">
        <w:rPr>
          <w:rStyle w:val="Strong"/>
          <w:rFonts w:ascii="Times New Roman" w:hAnsi="Times New Roman" w:cs="Times New Roman"/>
          <w:sz w:val="24"/>
          <w:szCs w:val="24"/>
        </w:rPr>
        <w:t>Article 13</w:t>
      </w:r>
      <w:r w:rsidRPr="009C5151">
        <w:rPr>
          <w:rFonts w:ascii="Times New Roman" w:hAnsi="Times New Roman" w:cs="Times New Roman"/>
          <w:sz w:val="24"/>
          <w:szCs w:val="24"/>
        </w:rPr>
        <w:t xml:space="preserve"> of the </w:t>
      </w:r>
      <w:r w:rsidRPr="009C5151">
        <w:rPr>
          <w:rStyle w:val="Strong"/>
          <w:rFonts w:ascii="Times New Roman" w:hAnsi="Times New Roman" w:cs="Times New Roman"/>
          <w:sz w:val="24"/>
          <w:szCs w:val="24"/>
        </w:rPr>
        <w:t>UN Model Convention</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11"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1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81" w:name="_Toc187624183"/>
      <w:bookmarkStart w:id="1182" w:name="_Toc187630903"/>
      <w:bookmarkStart w:id="1183" w:name="_Toc187661082"/>
      <w:bookmarkStart w:id="1184" w:name="_Toc187662161"/>
      <w:r w:rsidRPr="009C5151">
        <w:rPr>
          <w:rStyle w:val="Strong"/>
          <w:b/>
          <w:bCs/>
          <w:sz w:val="24"/>
          <w:szCs w:val="24"/>
        </w:rPr>
        <w:t>Conclusion</w:t>
      </w:r>
      <w:bookmarkEnd w:id="1181"/>
      <w:bookmarkEnd w:id="1182"/>
      <w:bookmarkEnd w:id="1183"/>
      <w:bookmarkEnd w:id="1184"/>
    </w:p>
    <w:p w:rsidR="00A056B6" w:rsidRPr="009C5151" w:rsidRDefault="00A056B6" w:rsidP="00743A5F">
      <w:pPr>
        <w:pStyle w:val="NormalWeb"/>
        <w:tabs>
          <w:tab w:val="num" w:pos="720"/>
        </w:tabs>
        <w:spacing w:before="0" w:beforeAutospacing="0"/>
        <w:ind w:left="720" w:hanging="360"/>
      </w:pPr>
      <w:r w:rsidRPr="009C5151">
        <w:rPr>
          <w:rStyle w:val="Strong"/>
        </w:rPr>
        <w:t>Transfer Pricing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international and inter-group transactions using TNMM, CUP, and CPM.</w:t>
      </w:r>
    </w:p>
    <w:p w:rsidR="00A056B6" w:rsidRPr="009C5151" w:rsidRDefault="00A056B6" w:rsidP="00743A5F">
      <w:pPr>
        <w:pStyle w:val="NormalWeb"/>
        <w:tabs>
          <w:tab w:val="num" w:pos="720"/>
        </w:tabs>
        <w:spacing w:before="0" w:beforeAutospacing="0"/>
        <w:ind w:left="720" w:hanging="360"/>
      </w:pPr>
      <w:r w:rsidRPr="009C5151">
        <w:rPr>
          <w:rStyle w:val="Strong"/>
        </w:rPr>
        <w:t>GAAR Mitigation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Justify the economic substance of the Mauritius and UAE entities.</w:t>
      </w:r>
    </w:p>
    <w:p w:rsidR="00A056B6" w:rsidRPr="009C5151" w:rsidRDefault="00A056B6" w:rsidP="00743A5F">
      <w:pPr>
        <w:pStyle w:val="NormalWeb"/>
        <w:tabs>
          <w:tab w:val="num" w:pos="720"/>
        </w:tabs>
        <w:spacing w:before="0" w:beforeAutospacing="0"/>
        <w:ind w:left="720" w:hanging="360"/>
      </w:pPr>
      <w:r w:rsidRPr="009C5151">
        <w:rPr>
          <w:rStyle w:val="Strong"/>
        </w:rPr>
        <w:t>PE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Mitigate PE risks in the USA and Germany by restricting local subsidiary roles.</w:t>
      </w:r>
    </w:p>
    <w:p w:rsidR="00A056B6" w:rsidRPr="009C5151" w:rsidRDefault="00A056B6" w:rsidP="00743A5F">
      <w:pPr>
        <w:pStyle w:val="NormalWeb"/>
        <w:tabs>
          <w:tab w:val="num" w:pos="720"/>
        </w:tabs>
        <w:spacing w:before="0" w:beforeAutospacing="0"/>
        <w:ind w:left="720" w:hanging="360"/>
      </w:pPr>
      <w:r w:rsidRPr="009C5151">
        <w:rPr>
          <w:rStyle w:val="Strong"/>
        </w:rPr>
        <w:t>Taxable Income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accurate adjustments and inclusion of capital gains.</w:t>
      </w:r>
    </w:p>
    <w:p w:rsidR="00A056B6" w:rsidRPr="009C5151" w:rsidRDefault="00A056B6" w:rsidP="00743A5F">
      <w:pPr>
        <w:pStyle w:val="NormalWeb"/>
        <w:tabs>
          <w:tab w:val="num" w:pos="720"/>
        </w:tabs>
        <w:spacing w:before="0" w:beforeAutospacing="0"/>
        <w:ind w:left="720" w:hanging="360"/>
      </w:pPr>
      <w:r w:rsidRPr="009C5151">
        <w:rPr>
          <w:rStyle w:val="Strong"/>
        </w:rPr>
        <w:t>AAR Ruling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Clarify taxability under the UN Model Convention.</w:t>
      </w:r>
    </w:p>
    <w:p w:rsidR="00A056B6" w:rsidRPr="009C5151" w:rsidRDefault="00A056B6" w:rsidP="00743A5F">
      <w:pPr>
        <w:pStyle w:val="NormalWeb"/>
        <w:tabs>
          <w:tab w:val="num" w:pos="720"/>
        </w:tabs>
        <w:spacing w:before="0" w:beforeAutospacing="0"/>
        <w:ind w:left="720" w:hanging="360"/>
      </w:pPr>
      <w:r w:rsidRPr="009C5151">
        <w:rPr>
          <w:rStyle w:val="Strong"/>
        </w:rPr>
        <w:t>CbC Reporting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jurisdiction-wise financial details accurately.</w:t>
      </w:r>
    </w:p>
    <w:p w:rsidR="00A056B6" w:rsidRPr="009C5151" w:rsidRDefault="00A056B6" w:rsidP="00743A5F">
      <w:pPr>
        <w:pStyle w:val="NormalWeb"/>
        <w:spacing w:before="0" w:beforeAutospacing="0"/>
      </w:pPr>
      <w:r w:rsidRPr="009C5151">
        <w:t xml:space="preserve">Would you like </w:t>
      </w:r>
      <w:r w:rsidRPr="009C5151">
        <w:rPr>
          <w:rStyle w:val="Strong"/>
        </w:rPr>
        <w:t>templates for AAR filing, TP documentation, PE compliance, or portal submission guidance</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xml:space="preserve">Please do the same with a 24th example of different set of issues and problem and suggested solutions by a CA to a Company including a detailed discussion on the various topics covered under suggestions and Conclusion. Please include in addition to the above transactions like Withholding tax, CbC reporting, Mutual Agreement procedure, DTAA with countries like USA, UK, Germany, Singapore, Mauritius, China, Russia and Germany; equalization levy; Please first list down the case, issues, documents and CA advise, Dividend and Interest, Royalty and Fee for Technical Services; applicability of GAAR; applicability of PE; Inter group transactions; computation of taxable income of the Tested Party with assumed numbers for the AY 2024-25; what kind of a PE the tested party may have by considering relevant </w:t>
      </w:r>
      <w:r w:rsidRPr="009C5151">
        <w:rPr>
          <w:rFonts w:ascii="Times New Roman" w:hAnsi="Times New Roman" w:cs="Times New Roman"/>
          <w:sz w:val="24"/>
          <w:szCs w:val="24"/>
        </w:rPr>
        <w:lastRenderedPageBreak/>
        <w:t>provisions; Tax Information Exchange Agreement; the ruling of Board for Advance Ruling; the obligations and compute the liability (if any) of the tested party; sale of its manufacturing unit located in India as per UN Model Convention. Please consider Tested Party's subsidiary and transactions between them, shifting the subsidiary to another nation with which India has DTAA, LOB clause and other relevant aspects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C526912" wp14:editId="3095C10A">
            <wp:extent cx="763905" cy="763905"/>
            <wp:effectExtent l="0" t="0" r="0" b="0"/>
            <wp:docPr id="275" name="Picture 27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0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185" w:name="_Toc187624184"/>
      <w:bookmarkStart w:id="1186" w:name="_Toc187630904"/>
      <w:bookmarkStart w:id="1187" w:name="_Toc187661083"/>
      <w:bookmarkStart w:id="1188" w:name="_Toc187662162"/>
      <w:r w:rsidRPr="009C5151">
        <w:rPr>
          <w:rStyle w:val="Strong"/>
          <w:b/>
          <w:bCs/>
          <w:sz w:val="24"/>
          <w:szCs w:val="24"/>
        </w:rPr>
        <w:t>Case Study: Tax and Compliance Challenges for PowerGrid Pvt. Ltd.</w:t>
      </w:r>
      <w:bookmarkEnd w:id="1185"/>
      <w:bookmarkEnd w:id="1186"/>
      <w:bookmarkEnd w:id="1187"/>
      <w:bookmarkEnd w:id="1188"/>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1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89" w:name="_Toc187624185"/>
      <w:bookmarkStart w:id="1190" w:name="_Toc187630905"/>
      <w:bookmarkStart w:id="1191" w:name="_Toc187661084"/>
      <w:bookmarkStart w:id="1192" w:name="_Toc187662163"/>
      <w:r w:rsidRPr="009C5151">
        <w:rPr>
          <w:rStyle w:val="Strong"/>
          <w:b/>
          <w:bCs/>
          <w:sz w:val="24"/>
          <w:szCs w:val="24"/>
        </w:rPr>
        <w:t>Background</w:t>
      </w:r>
      <w:bookmarkEnd w:id="1189"/>
      <w:bookmarkEnd w:id="1190"/>
      <w:bookmarkEnd w:id="1191"/>
      <w:bookmarkEnd w:id="1192"/>
    </w:p>
    <w:p w:rsidR="00A056B6" w:rsidRPr="009C5151" w:rsidRDefault="00A056B6" w:rsidP="00743A5F">
      <w:pPr>
        <w:pStyle w:val="NormalWeb"/>
        <w:spacing w:before="0" w:beforeAutospacing="0"/>
      </w:pPr>
      <w:r w:rsidRPr="009C5151">
        <w:t xml:space="preserve">PowerGrid Pvt. Ltd., an Indian multinational in the renewable energy sector, operates across </w:t>
      </w:r>
      <w:r w:rsidRPr="009C5151">
        <w:rPr>
          <w:rStyle w:val="Strong"/>
        </w:rPr>
        <w:t>USA, UK, Germany, Singapore, Mauritius, China, and Russia</w:t>
      </w:r>
      <w:r w:rsidRPr="009C5151">
        <w:t xml:space="preserve">. It engages in </w:t>
      </w:r>
      <w:r w:rsidRPr="009C5151">
        <w:rPr>
          <w:rStyle w:val="Strong"/>
        </w:rPr>
        <w:t>exports</w:t>
      </w:r>
      <w:r w:rsidRPr="009C5151">
        <w:t xml:space="preserve">, </w:t>
      </w:r>
      <w:r w:rsidRPr="009C5151">
        <w:rPr>
          <w:rStyle w:val="Strong"/>
        </w:rPr>
        <w:t>royalty payments</w:t>
      </w:r>
      <w:r w:rsidRPr="009C5151">
        <w:t xml:space="preserve">, </w:t>
      </w:r>
      <w:r w:rsidRPr="009C5151">
        <w:rPr>
          <w:rStyle w:val="Strong"/>
        </w:rPr>
        <w:t>fee for technical services (FTS)</w:t>
      </w:r>
      <w:r w:rsidRPr="009C5151">
        <w:t xml:space="preserve">, </w:t>
      </w:r>
      <w:r w:rsidRPr="009C5151">
        <w:rPr>
          <w:rStyle w:val="Strong"/>
        </w:rPr>
        <w:t>interest payments</w:t>
      </w:r>
      <w:r w:rsidRPr="009C5151">
        <w:t xml:space="preserve">, </w:t>
      </w:r>
      <w:r w:rsidRPr="009C5151">
        <w:rPr>
          <w:rStyle w:val="Strong"/>
        </w:rPr>
        <w:t>dividends</w:t>
      </w:r>
      <w:r w:rsidRPr="009C5151">
        <w:t xml:space="preserve">, and </w:t>
      </w:r>
      <w:r w:rsidRPr="009C5151">
        <w:rPr>
          <w:rStyle w:val="Strong"/>
        </w:rPr>
        <w:t>inter-group transactions</w:t>
      </w:r>
      <w:r w:rsidRPr="009C5151">
        <w:t xml:space="preserve">. The company recently sold its </w:t>
      </w:r>
      <w:r w:rsidRPr="009C5151">
        <w:rPr>
          <w:rStyle w:val="Strong"/>
        </w:rPr>
        <w:t>manufacturing unit in India</w:t>
      </w:r>
      <w:r w:rsidRPr="009C5151">
        <w:t xml:space="preserve"> to its UK subsidiary and is shifting its Singapore subsidiary to </w:t>
      </w:r>
      <w:r w:rsidRPr="009C5151">
        <w:rPr>
          <w:rStyle w:val="Strong"/>
        </w:rPr>
        <w:t>Netherlands</w:t>
      </w:r>
      <w:r w:rsidRPr="009C5151">
        <w:t xml:space="preserve">, leveraging the </w:t>
      </w:r>
      <w:r w:rsidRPr="009C5151">
        <w:rPr>
          <w:rStyle w:val="Strong"/>
        </w:rPr>
        <w:t>India-Netherlands DTAA</w:t>
      </w:r>
      <w:r w:rsidRPr="009C5151">
        <w:t>.</w:t>
      </w:r>
    </w:p>
    <w:p w:rsidR="00A056B6" w:rsidRPr="009C5151" w:rsidRDefault="00A056B6" w:rsidP="00743A5F">
      <w:pPr>
        <w:pStyle w:val="NormalWeb"/>
        <w:spacing w:before="0" w:beforeAutospacing="0"/>
      </w:pPr>
      <w:r w:rsidRPr="009C5151">
        <w:t xml:space="preserve">Key challenges arise from </w:t>
      </w:r>
      <w:r w:rsidRPr="009C5151">
        <w:rPr>
          <w:rStyle w:val="Strong"/>
        </w:rPr>
        <w:t>Withholding Tax (WHT)</w:t>
      </w:r>
      <w:r w:rsidRPr="009C5151">
        <w:t xml:space="preserve">, </w:t>
      </w:r>
      <w:r w:rsidRPr="009C5151">
        <w:rPr>
          <w:rStyle w:val="Strong"/>
        </w:rPr>
        <w:t>CbC Reporting</w:t>
      </w:r>
      <w:r w:rsidRPr="009C5151">
        <w:t xml:space="preserve">, </w:t>
      </w:r>
      <w:r w:rsidRPr="009C5151">
        <w:rPr>
          <w:rStyle w:val="Strong"/>
        </w:rPr>
        <w:t>GAAR</w:t>
      </w:r>
      <w:r w:rsidRPr="009C5151">
        <w:t xml:space="preserve">, </w:t>
      </w:r>
      <w:r w:rsidRPr="009C5151">
        <w:rPr>
          <w:rStyle w:val="Strong"/>
        </w:rPr>
        <w:t>Permanent Establishment (PE)</w:t>
      </w:r>
      <w:r w:rsidRPr="009C5151">
        <w:t xml:space="preserve"> exposure, and provisions under the </w:t>
      </w:r>
      <w:r w:rsidRPr="009C5151">
        <w:rPr>
          <w:rStyle w:val="Strong"/>
        </w:rPr>
        <w:t>UN Model Convention</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1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93" w:name="_Toc187624186"/>
      <w:bookmarkStart w:id="1194" w:name="_Toc187630906"/>
      <w:bookmarkStart w:id="1195" w:name="_Toc187661085"/>
      <w:bookmarkStart w:id="1196" w:name="_Toc187662164"/>
      <w:r w:rsidRPr="009C5151">
        <w:rPr>
          <w:rStyle w:val="Strong"/>
          <w:b/>
          <w:bCs/>
          <w:sz w:val="24"/>
          <w:szCs w:val="24"/>
        </w:rPr>
        <w:t>Transactions</w:t>
      </w:r>
      <w:bookmarkEnd w:id="1193"/>
      <w:bookmarkEnd w:id="1194"/>
      <w:bookmarkEnd w:id="1195"/>
      <w:bookmarkEnd w:id="1196"/>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Solar Grids and Technology</w:t>
      </w:r>
      <w:r w:rsidRPr="009C5151">
        <w:t>:</w:t>
      </w:r>
      <w:r w:rsidRPr="009C5151">
        <w:br/>
        <w:t>Exported ₹3,000 crore worth of products to subsidiaries in USA, UK, and Germany.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r w:rsidRPr="009C5151">
        <w:br/>
        <w:t>Paid ₹150 crore to its Singapore AE for licensed technology.</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r w:rsidRPr="009C5151">
        <w:br/>
        <w:t>Paid ₹80 crore to its German AE for consultancy on power grid optimization.</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r w:rsidRPr="009C5151">
        <w:br/>
        <w:t>Paid ₹50 crore to its Russian AE for a loan utilized in R&amp;D.</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w:t>
      </w:r>
      <w:r w:rsidRPr="009C5151">
        <w:br/>
        <w:t>Paid ₹120 crore to its Mauritius holding company.</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Sale of Manufacturing Unit</w:t>
      </w:r>
      <w:r w:rsidRPr="009C5151">
        <w:t>:</w:t>
      </w:r>
      <w:r w:rsidRPr="009C5151">
        <w:br/>
        <w:t>Sold its Indian manufacturing unit to PowerGrid UK Ltd. for ₹1,200 crore.</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r w:rsidRPr="009C5151">
        <w:br/>
        <w:t>Paid ₹30 crore to a USA-based platform for global marketing.</w:t>
      </w:r>
    </w:p>
    <w:p w:rsidR="00A056B6" w:rsidRPr="009C5151" w:rsidRDefault="00A056B6" w:rsidP="00743A5F">
      <w:pPr>
        <w:pStyle w:val="NormalWeb"/>
        <w:tabs>
          <w:tab w:val="num" w:pos="720"/>
        </w:tabs>
        <w:spacing w:before="0" w:beforeAutospacing="0"/>
        <w:ind w:left="720" w:hanging="360"/>
      </w:pPr>
      <w:r w:rsidRPr="009C5151">
        <w:rPr>
          <w:rStyle w:val="Strong"/>
        </w:rPr>
        <w:t>Subsidiary Relocation</w:t>
      </w:r>
      <w:r w:rsidRPr="009C5151">
        <w:t>:</w:t>
      </w:r>
      <w:r w:rsidRPr="009C5151">
        <w:br/>
        <w:t xml:space="preserve">Relocating PowerGrid Singapore Pte Ltd. to the Netherlands for operational and tax advantages under the </w:t>
      </w:r>
      <w:r w:rsidRPr="009C5151">
        <w:rPr>
          <w:rStyle w:val="Strong"/>
        </w:rPr>
        <w:t>India-Netherlands DTAA</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1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r w:rsidRPr="009C5151">
        <w:br/>
        <w:t>Paid ₹40 crore to an Indian AE for centralized administrative and IT functions.</w:t>
      </w:r>
    </w:p>
    <w:p w:rsidR="00A056B6" w:rsidRPr="009C5151" w:rsidRDefault="00A056B6" w:rsidP="00743A5F">
      <w:pPr>
        <w:pStyle w:val="NormalWeb"/>
        <w:tabs>
          <w:tab w:val="num" w:pos="720"/>
        </w:tabs>
        <w:spacing w:before="0" w:beforeAutospacing="0"/>
        <w:ind w:left="720" w:hanging="360"/>
      </w:pPr>
      <w:r w:rsidRPr="009C5151">
        <w:rPr>
          <w:rStyle w:val="Strong"/>
        </w:rPr>
        <w:t>Leasing of Equipment</w:t>
      </w:r>
      <w:r w:rsidRPr="009C5151">
        <w:t>:</w:t>
      </w:r>
      <w:r w:rsidRPr="009C5151">
        <w:br/>
        <w:t>Leased ₹75 crore worth of equipment to another Indian AE.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16"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1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197" w:name="_Toc187624187"/>
      <w:bookmarkStart w:id="1198" w:name="_Toc187630907"/>
      <w:bookmarkStart w:id="1199" w:name="_Toc187661086"/>
      <w:bookmarkStart w:id="1200" w:name="_Toc187662165"/>
      <w:r w:rsidRPr="009C5151">
        <w:rPr>
          <w:rStyle w:val="Strong"/>
          <w:b/>
          <w:bCs/>
          <w:sz w:val="24"/>
          <w:szCs w:val="24"/>
        </w:rPr>
        <w:t>Key Issues</w:t>
      </w:r>
      <w:bookmarkEnd w:id="1197"/>
      <w:bookmarkEnd w:id="1198"/>
      <w:bookmarkEnd w:id="1199"/>
      <w:bookmarkEnd w:id="1200"/>
    </w:p>
    <w:p w:rsidR="00A056B6" w:rsidRPr="009C5151" w:rsidRDefault="00A056B6" w:rsidP="00743A5F">
      <w:pPr>
        <w:pStyle w:val="Heading4"/>
        <w:spacing w:before="0" w:beforeAutospacing="0"/>
      </w:pPr>
      <w:r w:rsidRPr="009C5151">
        <w:rPr>
          <w:rStyle w:val="Strong"/>
          <w:b/>
          <w:bCs/>
        </w:rPr>
        <w:t>1. 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₹3,000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₹150 crore royalty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₹80 crore FTS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₹50 crore interest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₹1,200 crore sale of the manufacturing unit.</w: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Deducting WHT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(10% under India-Russia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(0% under India-Mauritius DTAA).</w:t>
      </w:r>
    </w:p>
    <w:p w:rsidR="00A056B6" w:rsidRPr="009C5151" w:rsidRDefault="00A056B6" w:rsidP="00743A5F">
      <w:pPr>
        <w:pStyle w:val="Heading4"/>
        <w:spacing w:before="0" w:beforeAutospacing="0"/>
      </w:pPr>
      <w:r w:rsidRPr="009C5151">
        <w:rPr>
          <w:rStyle w:val="Strong"/>
          <w:b/>
          <w:bCs/>
        </w:rPr>
        <w:lastRenderedPageBreak/>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₹30 crore digital advertising payments.</w:t>
      </w:r>
    </w:p>
    <w:p w:rsidR="00A056B6" w:rsidRPr="009C5151" w:rsidRDefault="00A056B6" w:rsidP="00743A5F">
      <w:pPr>
        <w:pStyle w:val="Heading4"/>
        <w:spacing w:before="0" w:beforeAutospacing="0"/>
      </w:pPr>
      <w:r w:rsidRPr="009C5151">
        <w:rPr>
          <w:rStyle w:val="Strong"/>
          <w:b/>
          <w:bCs/>
        </w:rPr>
        <w:t>4. Applicability of GAAR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GAAR Scrutiny</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Treaty benefits availed by the Mauritius entity.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Justification for relocating the Singapore subsidiary to Netherlands.</w:t>
      </w:r>
    </w:p>
    <w:p w:rsidR="00A056B6" w:rsidRPr="009C5151" w:rsidRDefault="00A056B6" w:rsidP="00743A5F">
      <w:pPr>
        <w:pStyle w:val="Heading4"/>
        <w:spacing w:before="0" w:beforeAutospacing="0"/>
      </w:pPr>
      <w:r w:rsidRPr="009C5151">
        <w:rPr>
          <w:rStyle w:val="Strong"/>
          <w:b/>
          <w:bCs/>
        </w:rPr>
        <w:t>5. Permanent Establishment (PE) Concerns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PE 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USA</w:t>
      </w:r>
      <w:r w:rsidRPr="009C5151">
        <w:rPr>
          <w:rFonts w:ascii="Times New Roman" w:hAnsi="Times New Roman" w:cs="Times New Roman"/>
          <w:sz w:val="24"/>
          <w:szCs w:val="24"/>
        </w:rPr>
        <w:t>: Dependent Agent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Germany</w:t>
      </w:r>
      <w:r w:rsidRPr="009C5151">
        <w:rPr>
          <w:rFonts w:ascii="Times New Roman" w:hAnsi="Times New Roman" w:cs="Times New Roman"/>
          <w:sz w:val="24"/>
          <w:szCs w:val="24"/>
        </w:rPr>
        <w:t>: Fixed Place PE.</w:t>
      </w:r>
    </w:p>
    <w:p w:rsidR="00A056B6" w:rsidRPr="009C5151" w:rsidRDefault="00A056B6" w:rsidP="00743A5F">
      <w:pPr>
        <w:pStyle w:val="Heading4"/>
        <w:spacing w:before="0" w:beforeAutospacing="0"/>
      </w:pPr>
      <w:r w:rsidRPr="009C5151">
        <w:rPr>
          <w:rStyle w:val="Strong"/>
          <w:b/>
          <w:bCs/>
        </w:rPr>
        <w:t>6. Taxable Income Computation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Determine taxable income for AY 2024-25, including TP adjustments and gains from the manufacturing unit sale.</w:t>
      </w:r>
    </w:p>
    <w:p w:rsidR="00A056B6" w:rsidRPr="009C5151" w:rsidRDefault="00A056B6" w:rsidP="00743A5F">
      <w:pPr>
        <w:pStyle w:val="Heading4"/>
        <w:spacing w:before="0" w:beforeAutospacing="0"/>
      </w:pPr>
      <w:r w:rsidRPr="009C5151">
        <w:rPr>
          <w:rStyle w:val="Strong"/>
          <w:b/>
          <w:bCs/>
        </w:rPr>
        <w:t>7. Tax Information Exchange Agreement (TIEA)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China requests details of royalty payments under TIEA.</w:t>
      </w:r>
    </w:p>
    <w:p w:rsidR="00A056B6" w:rsidRPr="009C5151" w:rsidRDefault="00A056B6" w:rsidP="00743A5F">
      <w:pPr>
        <w:pStyle w:val="Heading4"/>
        <w:spacing w:before="0" w:beforeAutospacing="0"/>
      </w:pPr>
      <w:r w:rsidRPr="009C5151">
        <w:rPr>
          <w:rStyle w:val="Strong"/>
          <w:b/>
          <w:bCs/>
        </w:rPr>
        <w:t>8. Board for Advance Rulings (AAR)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AAR application for tax treatment of the manufacturing unit sale under the </w:t>
      </w:r>
      <w:r w:rsidRPr="009C5151">
        <w:rPr>
          <w:rStyle w:val="Strong"/>
          <w:rFonts w:ascii="Times New Roman" w:hAnsi="Times New Roman" w:cs="Times New Roman"/>
          <w:sz w:val="24"/>
          <w:szCs w:val="24"/>
        </w:rPr>
        <w:t>UN Model Convention</w:t>
      </w:r>
      <w:r w:rsidRPr="009C5151">
        <w:rPr>
          <w:rFonts w:ascii="Times New Roman" w:hAnsi="Times New Roman" w:cs="Times New Roman"/>
          <w:sz w:val="24"/>
          <w:szCs w:val="24"/>
        </w:rPr>
        <w:t>.</w:t>
      </w:r>
    </w:p>
    <w:p w:rsidR="00A056B6" w:rsidRPr="009C5151" w:rsidRDefault="00A056B6" w:rsidP="00743A5F">
      <w:pPr>
        <w:pStyle w:val="Heading4"/>
        <w:spacing w:before="0" w:beforeAutospacing="0"/>
      </w:pPr>
      <w:r w:rsidRPr="009C5151">
        <w:rPr>
          <w:rStyle w:val="Strong"/>
          <w:b/>
          <w:bCs/>
        </w:rPr>
        <w:t>9. Limitation of Benefits (LOB) Clause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Assess compliance with LOB clauses in India-Mauritius and India-Netherlands DTAAs.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18"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1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01" w:name="_Toc187624188"/>
      <w:bookmarkStart w:id="1202" w:name="_Toc187630908"/>
      <w:bookmarkStart w:id="1203" w:name="_Toc187661087"/>
      <w:bookmarkStart w:id="1204" w:name="_Toc187662166"/>
      <w:r w:rsidRPr="009C5151">
        <w:rPr>
          <w:rStyle w:val="Strong"/>
          <w:b/>
          <w:bCs/>
          <w:sz w:val="24"/>
          <w:szCs w:val="24"/>
        </w:rPr>
        <w:t>Documents Required</w:t>
      </w:r>
      <w:bookmarkEnd w:id="1201"/>
      <w:bookmarkEnd w:id="1202"/>
      <w:bookmarkEnd w:id="1203"/>
      <w:bookmarkEnd w:id="1204"/>
    </w:p>
    <w:p w:rsidR="00A056B6" w:rsidRPr="009C5151" w:rsidRDefault="00A056B6" w:rsidP="00743A5F">
      <w:pPr>
        <w:pStyle w:val="NormalWeb"/>
        <w:tabs>
          <w:tab w:val="num" w:pos="720"/>
        </w:tabs>
        <w:spacing w:before="0" w:beforeAutospacing="0"/>
        <w:ind w:left="720" w:hanging="360"/>
      </w:pPr>
      <w:r w:rsidRPr="009C5151">
        <w:rPr>
          <w:rStyle w:val="Strong"/>
        </w:rPr>
        <w:t>Transaction 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Contracts for exports, royalties, FTS, loans, dividends, and unit sale.</w:t>
      </w:r>
    </w:p>
    <w:p w:rsidR="00A056B6" w:rsidRPr="009C5151" w:rsidRDefault="00A056B6" w:rsidP="00743A5F">
      <w:pPr>
        <w:pStyle w:val="NormalWeb"/>
        <w:tabs>
          <w:tab w:val="num" w:pos="720"/>
        </w:tabs>
        <w:spacing w:before="0" w:beforeAutospacing="0"/>
        <w:ind w:left="720" w:hanging="360"/>
      </w:pPr>
      <w:r w:rsidRPr="009C5151">
        <w:rPr>
          <w:rStyle w:val="Strong"/>
        </w:rPr>
        <w:t>Valuation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Independent valuation for the sale of the manufacturing unit.</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Tax Residency Certificates (TRC)</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TRCs for Mauritius, Singapore, Germany, and Russia.</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Allocation of roles, functions, and risks among AEs.</w:t>
      </w:r>
    </w:p>
    <w:p w:rsidR="00A056B6" w:rsidRPr="009C5151" w:rsidRDefault="00A056B6" w:rsidP="00743A5F">
      <w:pPr>
        <w:pStyle w:val="NormalWeb"/>
        <w:tabs>
          <w:tab w:val="num" w:pos="720"/>
        </w:tabs>
        <w:spacing w:before="0" w:beforeAutospacing="0"/>
        <w:ind w:left="720" w:hanging="360"/>
      </w:pPr>
      <w:r w:rsidRPr="009C5151">
        <w:rPr>
          <w:rStyle w:val="Strong"/>
        </w:rPr>
        <w:t>AAR Submission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Sale agreement, valuation report, and relevant DTAA provisions.</w:t>
      </w:r>
    </w:p>
    <w:p w:rsidR="00A056B6" w:rsidRPr="009C5151" w:rsidRDefault="00A056B6" w:rsidP="00743A5F">
      <w:pPr>
        <w:pStyle w:val="NormalWeb"/>
        <w:tabs>
          <w:tab w:val="num" w:pos="720"/>
        </w:tabs>
        <w:spacing w:before="0" w:beforeAutospacing="0"/>
        <w:ind w:left="720" w:hanging="360"/>
      </w:pPr>
      <w:r w:rsidRPr="009C5151">
        <w:rPr>
          <w:rStyle w:val="Strong"/>
        </w:rPr>
        <w:t>CbC Reporting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Consolidated global financial and operational details.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20"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2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05" w:name="_Toc187624189"/>
      <w:bookmarkStart w:id="1206" w:name="_Toc187630909"/>
      <w:bookmarkStart w:id="1207" w:name="_Toc187661088"/>
      <w:bookmarkStart w:id="1208" w:name="_Toc187662167"/>
      <w:r w:rsidRPr="009C5151">
        <w:rPr>
          <w:rStyle w:val="Strong"/>
          <w:b/>
          <w:bCs/>
          <w:sz w:val="24"/>
          <w:szCs w:val="24"/>
        </w:rPr>
        <w:t>Proposed Solutions</w:t>
      </w:r>
      <w:bookmarkEnd w:id="1205"/>
      <w:bookmarkEnd w:id="1206"/>
      <w:bookmarkEnd w:id="1207"/>
      <w:bookmarkEnd w:id="1208"/>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Export of Solar Grids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TNMM</w:t>
      </w:r>
      <w:r w:rsidRPr="009C5151">
        <w:rPr>
          <w:rFonts w:ascii="Times New Roman" w:hAnsi="Times New Roman" w:cs="Times New Roman"/>
          <w:sz w:val="24"/>
          <w:szCs w:val="24"/>
        </w:rPr>
        <w:t xml:space="preserve"> to benchmark ₹3,000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operating margins with global solar grid manufacturers.</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Apply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benchmark ₹150 crore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royalty rate (6%-8%).</w:t>
      </w:r>
    </w:p>
    <w:p w:rsidR="00A056B6" w:rsidRPr="009C5151" w:rsidRDefault="00A056B6" w:rsidP="00743A5F">
      <w:pPr>
        <w:pStyle w:val="NormalWeb"/>
        <w:tabs>
          <w:tab w:val="num" w:pos="720"/>
        </w:tabs>
        <w:spacing w:before="0" w:beforeAutospacing="0"/>
        <w:ind w:left="720" w:hanging="360"/>
      </w:pPr>
      <w:r w:rsidRPr="009C5151">
        <w:rPr>
          <w:rStyle w:val="Strong"/>
        </w:rPr>
        <w:t>FTS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CPM</w:t>
      </w:r>
      <w:r w:rsidRPr="009C5151">
        <w:rPr>
          <w:rFonts w:ascii="Times New Roman" w:hAnsi="Times New Roman" w:cs="Times New Roman"/>
          <w:sz w:val="24"/>
          <w:szCs w:val="24"/>
        </w:rPr>
        <w:t xml:space="preserve"> to benchmark ₹80 crore consultancy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markup with independent consulting firms.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Ensure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(interest deduction capped at 30% of EBITDA).</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DCF valuation method</w:t>
      </w:r>
      <w:r w:rsidRPr="009C5151">
        <w:rPr>
          <w:rFonts w:ascii="Times New Roman" w:hAnsi="Times New Roman" w:cs="Times New Roman"/>
          <w:sz w:val="24"/>
          <w:szCs w:val="24"/>
        </w:rPr>
        <w:t xml:space="preserve"> to benchmark ₹1,200 crore transaction.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822"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₹150 crore × 10% = ₹15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₹80 crore × 10% = ₹8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₹50 crore × 10% = ₹5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23"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Levy at 6% on ₹30 crore advertising payments = ₹1.8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2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GAAR and Subsidiary Relocation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Relocation to Netherlands</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Highlight operational advantages, such as European market access.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Comply with </w:t>
      </w:r>
      <w:r w:rsidRPr="009C5151">
        <w:rPr>
          <w:rStyle w:val="Strong"/>
          <w:rFonts w:ascii="Times New Roman" w:hAnsi="Times New Roman" w:cs="Times New Roman"/>
          <w:sz w:val="24"/>
          <w:szCs w:val="24"/>
        </w:rPr>
        <w:t>LOB clause</w:t>
      </w:r>
      <w:r w:rsidRPr="009C5151">
        <w:rPr>
          <w:rFonts w:ascii="Times New Roman" w:hAnsi="Times New Roman" w:cs="Times New Roman"/>
          <w:sz w:val="24"/>
          <w:szCs w:val="24"/>
        </w:rPr>
        <w:t xml:space="preserve"> under India-Netherlands DTAA:</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Substantial presence in Netherlands (office, employees, and local operations).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2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Permanent Establishment (PE)</w:t>
      </w:r>
    </w:p>
    <w:p w:rsidR="00A056B6" w:rsidRPr="009C5151" w:rsidRDefault="00A056B6" w:rsidP="00743A5F">
      <w:pPr>
        <w:pStyle w:val="NormalWeb"/>
        <w:tabs>
          <w:tab w:val="num" w:pos="720"/>
        </w:tabs>
        <w:spacing w:before="0" w:beforeAutospacing="0"/>
        <w:ind w:left="720" w:hanging="360"/>
      </w:pPr>
      <w:r w:rsidRPr="009C5151">
        <w:rPr>
          <w:rStyle w:val="Strong"/>
        </w:rPr>
        <w:t>USA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Mitigation: Limit authority of the USA subsidiary to negotiate or conclude contracts.</w:t>
      </w:r>
    </w:p>
    <w:p w:rsidR="00A056B6" w:rsidRPr="009C5151" w:rsidRDefault="00A056B6" w:rsidP="00743A5F">
      <w:pPr>
        <w:pStyle w:val="NormalWeb"/>
        <w:tabs>
          <w:tab w:val="num" w:pos="720"/>
        </w:tabs>
        <w:spacing w:before="0" w:beforeAutospacing="0"/>
        <w:ind w:left="720" w:hanging="360"/>
      </w:pPr>
      <w:r w:rsidRPr="009C5151">
        <w:rPr>
          <w:rStyle w:val="Strong"/>
        </w:rPr>
        <w:t>Germany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Mitigation: Attribute profits based on </w:t>
      </w:r>
      <w:r w:rsidRPr="009C5151">
        <w:rPr>
          <w:rStyle w:val="Strong"/>
          <w:rFonts w:ascii="Times New Roman" w:hAnsi="Times New Roman" w:cs="Times New Roman"/>
          <w:sz w:val="24"/>
          <w:szCs w:val="24"/>
        </w:rPr>
        <w:t>Authorized OECD Approach (AOA)</w:t>
      </w:r>
      <w:r w:rsidRPr="009C5151">
        <w:rPr>
          <w:rFonts w:ascii="Times New Roman" w:hAnsi="Times New Roman" w:cs="Times New Roman"/>
          <w:sz w:val="24"/>
          <w:szCs w:val="24"/>
        </w:rPr>
        <w:t>, considering German subsidiary’s R&amp;D and consultancy roles.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2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Taxable Income Computation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4"/>
        <w:gridCol w:w="186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Particulars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Revenue (Exports)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Domestic Revenue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Less: Expenses: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Royalty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FTS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Interest (allowable under 94B)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Depreciation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Gain on Sale of Unit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Taxable Income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4,030</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2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7. TIEA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Provide requested details of royalty payments to China: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agreements.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Bank transfer proofs.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 of Singapore AE.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2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8. AAR 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Gains from the manufacturing unit sale are taxable in India under Article 13 of the </w:t>
      </w:r>
      <w:r w:rsidRPr="009C5151">
        <w:rPr>
          <w:rStyle w:val="Strong"/>
          <w:rFonts w:ascii="Times New Roman" w:hAnsi="Times New Roman" w:cs="Times New Roman"/>
          <w:sz w:val="24"/>
          <w:szCs w:val="24"/>
        </w:rPr>
        <w:t>UN Model Convention</w:t>
      </w:r>
      <w:r w:rsidRPr="009C5151">
        <w:rPr>
          <w:rFonts w:ascii="Times New Roman" w:hAnsi="Times New Roman" w:cs="Times New Roman"/>
          <w:sz w:val="24"/>
          <w:szCs w:val="24"/>
        </w:rPr>
        <w:t xml:space="preserve"> and Section 9 of the Income-tax Act, 1961.</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29"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3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09" w:name="_Toc187624190"/>
      <w:bookmarkStart w:id="1210" w:name="_Toc187630910"/>
      <w:bookmarkStart w:id="1211" w:name="_Toc187661089"/>
      <w:bookmarkStart w:id="1212" w:name="_Toc187662168"/>
      <w:r w:rsidRPr="009C5151">
        <w:rPr>
          <w:rStyle w:val="Strong"/>
          <w:b/>
          <w:bCs/>
          <w:sz w:val="24"/>
          <w:szCs w:val="24"/>
        </w:rPr>
        <w:t>Conclusion</w:t>
      </w:r>
      <w:bookmarkEnd w:id="1209"/>
      <w:bookmarkEnd w:id="1210"/>
      <w:bookmarkEnd w:id="1211"/>
      <w:bookmarkEnd w:id="1212"/>
    </w:p>
    <w:p w:rsidR="00A056B6" w:rsidRPr="009C5151" w:rsidRDefault="00A056B6" w:rsidP="00743A5F">
      <w:pPr>
        <w:pStyle w:val="NormalWeb"/>
        <w:tabs>
          <w:tab w:val="num" w:pos="720"/>
        </w:tabs>
        <w:spacing w:before="0" w:beforeAutospacing="0"/>
        <w:ind w:left="720" w:hanging="360"/>
      </w:pPr>
      <w:r w:rsidRPr="009C5151">
        <w:rPr>
          <w:rStyle w:val="Strong"/>
        </w:rPr>
        <w:t>Transfer Pricing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inter-company transactions using TNMM, CUP, or CPM.</w:t>
      </w:r>
    </w:p>
    <w:p w:rsidR="00A056B6" w:rsidRPr="009C5151" w:rsidRDefault="00A056B6" w:rsidP="00743A5F">
      <w:pPr>
        <w:pStyle w:val="NormalWeb"/>
        <w:tabs>
          <w:tab w:val="num" w:pos="720"/>
        </w:tabs>
        <w:spacing w:before="0" w:beforeAutospacing="0"/>
        <w:ind w:left="720" w:hanging="360"/>
      </w:pPr>
      <w:r w:rsidRPr="009C5151">
        <w:rPr>
          <w:rStyle w:val="Strong"/>
        </w:rPr>
        <w:t>GAAR Mitigation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Demonstrate substance for Mauritius and Netherlands entities.</w:t>
      </w:r>
    </w:p>
    <w:p w:rsidR="00A056B6" w:rsidRPr="009C5151" w:rsidRDefault="00A056B6" w:rsidP="00743A5F">
      <w:pPr>
        <w:pStyle w:val="NormalWeb"/>
        <w:tabs>
          <w:tab w:val="num" w:pos="720"/>
        </w:tabs>
        <w:spacing w:before="0" w:beforeAutospacing="0"/>
        <w:ind w:left="720" w:hanging="360"/>
      </w:pPr>
      <w:r w:rsidRPr="009C5151">
        <w:rPr>
          <w:rStyle w:val="Strong"/>
        </w:rPr>
        <w:t>PE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Mitigate risks in USA and Germany by restricting subsidiary roles.</w:t>
      </w:r>
    </w:p>
    <w:p w:rsidR="00A056B6" w:rsidRPr="009C5151" w:rsidRDefault="00A056B6" w:rsidP="00743A5F">
      <w:pPr>
        <w:pStyle w:val="NormalWeb"/>
        <w:tabs>
          <w:tab w:val="num" w:pos="720"/>
        </w:tabs>
        <w:spacing w:before="0" w:beforeAutospacing="0"/>
        <w:ind w:left="720" w:hanging="360"/>
      </w:pPr>
      <w:r w:rsidRPr="009C5151">
        <w:rPr>
          <w:rStyle w:val="Strong"/>
        </w:rPr>
        <w:t>Taxable Income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Ensure accurate adjustments and inclusion of capital gains.</w:t>
      </w:r>
    </w:p>
    <w:p w:rsidR="00A056B6" w:rsidRPr="009C5151" w:rsidRDefault="00A056B6" w:rsidP="00743A5F">
      <w:pPr>
        <w:pStyle w:val="NormalWeb"/>
        <w:tabs>
          <w:tab w:val="num" w:pos="720"/>
        </w:tabs>
        <w:spacing w:before="0" w:beforeAutospacing="0"/>
        <w:ind w:left="720" w:hanging="360"/>
      </w:pPr>
      <w:r w:rsidRPr="009C5151">
        <w:rPr>
          <w:rStyle w:val="Strong"/>
        </w:rPr>
        <w:t>AAR Ruling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Clarify taxability under the UN Model Convention.</w:t>
      </w:r>
    </w:p>
    <w:p w:rsidR="00A056B6" w:rsidRPr="009C5151" w:rsidRDefault="00A056B6" w:rsidP="00743A5F">
      <w:pPr>
        <w:pStyle w:val="NormalWeb"/>
        <w:tabs>
          <w:tab w:val="num" w:pos="720"/>
        </w:tabs>
        <w:spacing w:before="0" w:beforeAutospacing="0"/>
        <w:ind w:left="720" w:hanging="360"/>
      </w:pPr>
      <w:r w:rsidRPr="009C5151">
        <w:rPr>
          <w:rStyle w:val="Strong"/>
        </w:rPr>
        <w:t>CbC Reporting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File jurisdiction-wise financial details accurately.</w:t>
      </w:r>
    </w:p>
    <w:p w:rsidR="00A056B6" w:rsidRPr="009C5151" w:rsidRDefault="00A056B6" w:rsidP="00743A5F">
      <w:pPr>
        <w:pStyle w:val="NormalWeb"/>
        <w:spacing w:before="0" w:beforeAutospacing="0"/>
      </w:pPr>
      <w:r w:rsidRPr="009C5151">
        <w:t xml:space="preserve">Would you like templates for </w:t>
      </w:r>
      <w:r w:rsidRPr="009C5151">
        <w:rPr>
          <w:rStyle w:val="Strong"/>
        </w:rPr>
        <w:t>AAR filing, TP documentation, PE-specific compliance, or CbC reports</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like templates for AAR filing, TP documentation, PE-specific compliance, or CbC reports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7C1B6CE1" wp14:editId="432CE22F">
            <wp:extent cx="763905" cy="763905"/>
            <wp:effectExtent l="0" t="0" r="0" b="0"/>
            <wp:docPr id="274" name="Picture 27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2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213" w:name="_Toc187624191"/>
      <w:bookmarkStart w:id="1214" w:name="_Toc187630911"/>
      <w:bookmarkStart w:id="1215" w:name="_Toc187661090"/>
      <w:bookmarkStart w:id="1216" w:name="_Toc187662169"/>
      <w:r w:rsidRPr="009C5151">
        <w:rPr>
          <w:rStyle w:val="Strong"/>
          <w:b/>
          <w:bCs/>
          <w:sz w:val="24"/>
          <w:szCs w:val="24"/>
        </w:rPr>
        <w:t>Templates for AAR Filing, TP Documentation, PE-Specific Compliance, and CbC Reporting</w:t>
      </w:r>
      <w:bookmarkEnd w:id="1213"/>
      <w:bookmarkEnd w:id="1214"/>
      <w:bookmarkEnd w:id="1215"/>
      <w:bookmarkEnd w:id="1216"/>
    </w:p>
    <w:p w:rsidR="00A056B6" w:rsidRPr="009C5151" w:rsidRDefault="00A056B6" w:rsidP="00743A5F">
      <w:pPr>
        <w:pStyle w:val="NormalWeb"/>
        <w:spacing w:before="0" w:beforeAutospacing="0"/>
      </w:pPr>
      <w:r w:rsidRPr="009C5151">
        <w:t xml:space="preserve">Here are ready-to-use templates customized for </w:t>
      </w:r>
      <w:r w:rsidRPr="009C5151">
        <w:rPr>
          <w:rStyle w:val="Strong"/>
        </w:rPr>
        <w:t>Advance Ruling (AAR) Filing</w:t>
      </w:r>
      <w:r w:rsidRPr="009C5151">
        <w:t xml:space="preserve">, </w:t>
      </w:r>
      <w:r w:rsidRPr="009C5151">
        <w:rPr>
          <w:rStyle w:val="Strong"/>
        </w:rPr>
        <w:t>Transfer Pricing (TP) Documentation</w:t>
      </w:r>
      <w:r w:rsidRPr="009C5151">
        <w:t xml:space="preserve">, </w:t>
      </w:r>
      <w:r w:rsidRPr="009C5151">
        <w:rPr>
          <w:rStyle w:val="Strong"/>
        </w:rPr>
        <w:t>Permanent Establishment (PE) Compliance</w:t>
      </w:r>
      <w:r w:rsidRPr="009C5151">
        <w:t xml:space="preserve">, and </w:t>
      </w:r>
      <w:r w:rsidRPr="009C5151">
        <w:rPr>
          <w:rStyle w:val="Strong"/>
        </w:rPr>
        <w:t>CbC Reporting</w:t>
      </w:r>
      <w:r w:rsidRPr="009C5151">
        <w:t xml:space="preserve"> for PowerGrid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3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17" w:name="_Toc187624192"/>
      <w:bookmarkStart w:id="1218" w:name="_Toc187630912"/>
      <w:bookmarkStart w:id="1219" w:name="_Toc187661091"/>
      <w:bookmarkStart w:id="1220" w:name="_Toc187662170"/>
      <w:r w:rsidRPr="009C5151">
        <w:rPr>
          <w:rStyle w:val="Strong"/>
          <w:b/>
          <w:bCs/>
          <w:sz w:val="24"/>
          <w:szCs w:val="24"/>
        </w:rPr>
        <w:t>I. AAR Filing Template</w:t>
      </w:r>
      <w:bookmarkEnd w:id="1217"/>
      <w:bookmarkEnd w:id="1218"/>
      <w:bookmarkEnd w:id="1219"/>
      <w:bookmarkEnd w:id="1220"/>
    </w:p>
    <w:p w:rsidR="00A056B6" w:rsidRPr="009C5151" w:rsidRDefault="00A056B6" w:rsidP="00743A5F">
      <w:pPr>
        <w:pStyle w:val="Heading4"/>
        <w:spacing w:before="0" w:beforeAutospacing="0"/>
      </w:pPr>
      <w:r w:rsidRPr="009C5151">
        <w:rPr>
          <w:rStyle w:val="Strong"/>
          <w:b/>
          <w:bCs/>
        </w:rPr>
        <w:t>Advance Ruling Application</w:t>
      </w:r>
    </w:p>
    <w:p w:rsidR="00A056B6" w:rsidRPr="009C5151" w:rsidRDefault="00A056B6" w:rsidP="00743A5F">
      <w:pPr>
        <w:pStyle w:val="NormalWeb"/>
        <w:spacing w:before="0" w:beforeAutospacing="0"/>
      </w:pPr>
      <w:r w:rsidRPr="009C5151">
        <w:rPr>
          <w:rStyle w:val="Strong"/>
        </w:rPr>
        <w:t>[On Company Letterhead]</w:t>
      </w:r>
    </w:p>
    <w:p w:rsidR="00A056B6" w:rsidRPr="009C5151" w:rsidRDefault="00A056B6" w:rsidP="00743A5F">
      <w:pPr>
        <w:pStyle w:val="NormalWeb"/>
        <w:spacing w:before="0" w:beforeAutospacing="0"/>
      </w:pPr>
      <w:r w:rsidRPr="009C5151">
        <w:rPr>
          <w:rStyle w:val="Strong"/>
        </w:rPr>
        <w:t>To,</w:t>
      </w:r>
      <w:r w:rsidRPr="009C5151">
        <w:br/>
        <w:t>The Secretary,</w:t>
      </w:r>
      <w:r w:rsidRPr="009C5151">
        <w:br/>
        <w:t>Authority for Advance Rulings (Income Tax),</w:t>
      </w:r>
      <w:r w:rsidRPr="009C5151">
        <w:br/>
        <w:t>[Address], India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32"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Subject</w:t>
      </w:r>
      <w:r w:rsidRPr="009C5151">
        <w:t>: Application for Advance Ruling Under Section 245Q of the Income-tax Act, 1961</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3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Applicant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Name</w:t>
      </w:r>
      <w:r w:rsidRPr="009C5151">
        <w:rPr>
          <w:rFonts w:ascii="Times New Roman" w:hAnsi="Times New Roman" w:cs="Times New Roman"/>
          <w:sz w:val="24"/>
          <w:szCs w:val="24"/>
        </w:rPr>
        <w:t>: PowerGrid Pvt.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PAN</w:t>
      </w:r>
      <w:r w:rsidRPr="009C5151">
        <w:rPr>
          <w:rFonts w:ascii="Times New Roman" w:hAnsi="Times New Roman" w:cs="Times New Roman"/>
          <w:sz w:val="24"/>
          <w:szCs w:val="24"/>
        </w:rPr>
        <w:t>: XXXXX1234X</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Address</w:t>
      </w:r>
      <w:r w:rsidRPr="009C5151">
        <w:rPr>
          <w:rFonts w:ascii="Times New Roman" w:hAnsi="Times New Roman" w:cs="Times New Roman"/>
          <w:sz w:val="24"/>
          <w:szCs w:val="24"/>
        </w:rPr>
        <w:t>: [Registered Address]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3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Transaction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Type</w:t>
      </w:r>
      <w:r w:rsidRPr="009C5151">
        <w:rPr>
          <w:rFonts w:ascii="Times New Roman" w:hAnsi="Times New Roman" w:cs="Times New Roman"/>
          <w:sz w:val="24"/>
          <w:szCs w:val="24"/>
        </w:rPr>
        <w:t>: Sale of manufacturing unit located in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Sale Value</w:t>
      </w:r>
      <w:r w:rsidRPr="009C5151">
        <w:rPr>
          <w:rFonts w:ascii="Times New Roman" w:hAnsi="Times New Roman" w:cs="Times New Roman"/>
          <w:sz w:val="24"/>
          <w:szCs w:val="24"/>
        </w:rPr>
        <w:t>: ₹1,200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Buyer</w:t>
      </w:r>
      <w:r w:rsidRPr="009C5151">
        <w:rPr>
          <w:rFonts w:ascii="Times New Roman" w:hAnsi="Times New Roman" w:cs="Times New Roman"/>
          <w:sz w:val="24"/>
          <w:szCs w:val="24"/>
        </w:rPr>
        <w:t>: PowerGrid UK Ltd., a related entity incorporated in the United Kingdom.</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35"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Questions for Advance Ruling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capital gains arising from the sale of the manufacturing unit are taxable in India under Section 9 of the Income-tax Act, 1961.</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Applicability of </w:t>
      </w:r>
      <w:r w:rsidRPr="009C5151">
        <w:rPr>
          <w:rStyle w:val="Strong"/>
          <w:rFonts w:ascii="Times New Roman" w:hAnsi="Times New Roman" w:cs="Times New Roman"/>
          <w:sz w:val="24"/>
          <w:szCs w:val="24"/>
        </w:rPr>
        <w:t>Article 13</w:t>
      </w:r>
      <w:r w:rsidRPr="009C5151">
        <w:rPr>
          <w:rFonts w:ascii="Times New Roman" w:hAnsi="Times New Roman" w:cs="Times New Roman"/>
          <w:sz w:val="24"/>
          <w:szCs w:val="24"/>
        </w:rPr>
        <w:t xml:space="preserve"> of the UN Model Convention regarding taxation of such gains.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India-UK DTAA provides relief or exemption from capital gains tax.</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36"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Supporting Documents Attached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Sale Agreement with PowerGrid UK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Independent Valuation Report for the Manufacturing Unit.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Tax Residency Certificate (TRC) and Form 10F of PowerGrid UK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Functional and Risk Analysis of the Indian Unit’s Operations.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Board Resolution approving the sale.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37"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Declaration</w:t>
      </w:r>
      <w:r w:rsidRPr="009C5151">
        <w:t>:</w:t>
      </w:r>
      <w:r w:rsidRPr="009C5151">
        <w:br/>
        <w:t>I declare that the information provided above is true, correct, and complete to the best of my knowledge.</w:t>
      </w:r>
    </w:p>
    <w:p w:rsidR="00A056B6" w:rsidRPr="009C5151" w:rsidRDefault="00A056B6" w:rsidP="00743A5F">
      <w:pPr>
        <w:pStyle w:val="NormalWeb"/>
        <w:spacing w:before="0" w:beforeAutospacing="0"/>
      </w:pPr>
      <w:r w:rsidRPr="009C5151">
        <w:rPr>
          <w:rStyle w:val="Strong"/>
        </w:rPr>
        <w:t>Signed</w:t>
      </w:r>
      <w:r w:rsidRPr="009C5151">
        <w:t>:</w:t>
      </w:r>
      <w:r w:rsidRPr="009C5151">
        <w:br/>
        <w:t>For PowerGrid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38" style="width:0;height:1.5pt" o:hralign="center" o:hrstd="t" o:hr="t" fillcolor="#a0a0a0" stroked="f"/>
        </w:pict>
      </w:r>
    </w:p>
    <w:p w:rsidR="00A056B6" w:rsidRPr="009C5151" w:rsidRDefault="00A056B6" w:rsidP="00743A5F">
      <w:pPr>
        <w:pStyle w:val="NormalWeb"/>
        <w:spacing w:before="0" w:beforeAutospacing="0"/>
      </w:pPr>
      <w:r w:rsidRPr="009C5151">
        <w:t>Authorized Signatory</w:t>
      </w:r>
    </w:p>
    <w:p w:rsidR="00A056B6" w:rsidRPr="009C5151" w:rsidRDefault="00A056B6" w:rsidP="00743A5F">
      <w:pPr>
        <w:pStyle w:val="NormalWeb"/>
        <w:spacing w:before="0" w:beforeAutospacing="0"/>
      </w:pPr>
      <w:r w:rsidRPr="009C5151">
        <w:lastRenderedPageBreak/>
        <w:t>Date: [Date]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39"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4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21" w:name="_Toc187624193"/>
      <w:bookmarkStart w:id="1222" w:name="_Toc187630913"/>
      <w:bookmarkStart w:id="1223" w:name="_Toc187661092"/>
      <w:bookmarkStart w:id="1224" w:name="_Toc187662171"/>
      <w:r w:rsidRPr="009C5151">
        <w:rPr>
          <w:rStyle w:val="Strong"/>
          <w:b/>
          <w:bCs/>
          <w:sz w:val="24"/>
          <w:szCs w:val="24"/>
        </w:rPr>
        <w:t>II. Transfer Pricing (TP) Documentation Template</w:t>
      </w:r>
      <w:bookmarkEnd w:id="1221"/>
      <w:bookmarkEnd w:id="1222"/>
      <w:bookmarkEnd w:id="1223"/>
      <w:bookmarkEnd w:id="1224"/>
    </w:p>
    <w:p w:rsidR="00A056B6" w:rsidRPr="009C5151" w:rsidRDefault="00A056B6" w:rsidP="00743A5F">
      <w:pPr>
        <w:pStyle w:val="Heading4"/>
        <w:spacing w:before="0" w:beforeAutospacing="0"/>
      </w:pPr>
      <w:r w:rsidRPr="009C5151">
        <w:rPr>
          <w:rStyle w:val="Strong"/>
          <w:b/>
          <w:bCs/>
        </w:rPr>
        <w:t>Transfer Pricing Functional and Risk Analysis</w:t>
      </w:r>
    </w:p>
    <w:p w:rsidR="00A056B6" w:rsidRPr="009C5151" w:rsidRDefault="00A056B6" w:rsidP="00743A5F">
      <w:pPr>
        <w:pStyle w:val="NormalWeb"/>
        <w:spacing w:before="0" w:beforeAutospacing="0"/>
      </w:pPr>
      <w:r w:rsidRPr="009C5151">
        <w:rPr>
          <w:rStyle w:val="Strong"/>
        </w:rPr>
        <w:t>[Prepared for PowerGrid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41"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1. Business Overview</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PowerGrid Pvt. Ltd. is a leading manufacturer and exporter of solar energy products.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The company operates in key jurisdictions, including USA, UK, Germany, Singapore, and Russia.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42"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2. Functional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2"/>
        <w:gridCol w:w="3858"/>
        <w:gridCol w:w="3666"/>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Indian Entity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Production of renewable energy products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Global strategy and branding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Local market execution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Core technology development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Application-specific R&amp;D in Germany</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43"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3. Risk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9"/>
        <w:gridCol w:w="2775"/>
        <w:gridCol w:w="404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Risk</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Managed by Indian Entity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Managed by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Fully borne by Indian HQ</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Minimal local risks borne by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IP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Managed centrally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Financial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Controlled centrally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4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4. Benchmarking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9"/>
        <w:gridCol w:w="1427"/>
        <w:gridCol w:w="1974"/>
        <w:gridCol w:w="1400"/>
        <w:gridCol w:w="130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Benchmark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Value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 of Solar Grids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10%-14% Margin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6%-8% Rate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10%-15% Markup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45"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4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25" w:name="_Toc187624194"/>
      <w:bookmarkStart w:id="1226" w:name="_Toc187630914"/>
      <w:bookmarkStart w:id="1227" w:name="_Toc187661093"/>
      <w:bookmarkStart w:id="1228" w:name="_Toc187662172"/>
      <w:r w:rsidRPr="009C5151">
        <w:rPr>
          <w:rStyle w:val="Strong"/>
          <w:b/>
          <w:bCs/>
          <w:sz w:val="24"/>
          <w:szCs w:val="24"/>
        </w:rPr>
        <w:t>III. PE-Specific Compliance Template</w:t>
      </w:r>
      <w:bookmarkEnd w:id="1225"/>
      <w:bookmarkEnd w:id="1226"/>
      <w:bookmarkEnd w:id="1227"/>
      <w:bookmarkEnd w:id="1228"/>
    </w:p>
    <w:p w:rsidR="00A056B6" w:rsidRPr="009C5151" w:rsidRDefault="00A056B6" w:rsidP="00743A5F">
      <w:pPr>
        <w:pStyle w:val="Heading4"/>
        <w:spacing w:before="0" w:beforeAutospacing="0"/>
      </w:pPr>
      <w:r w:rsidRPr="009C5151">
        <w:rPr>
          <w:rStyle w:val="Strong"/>
          <w:b/>
          <w:bCs/>
        </w:rPr>
        <w:t>Permanent Establishment (PE) Documentation</w:t>
      </w:r>
    </w:p>
    <w:p w:rsidR="00A056B6" w:rsidRPr="009C5151" w:rsidRDefault="00A056B6" w:rsidP="00743A5F">
      <w:pPr>
        <w:pStyle w:val="NormalWeb"/>
        <w:spacing w:before="0" w:beforeAutospacing="0"/>
      </w:pPr>
      <w:r w:rsidRPr="009C5151">
        <w:rPr>
          <w:rStyle w:val="Strong"/>
        </w:rPr>
        <w:t>[Prepared for PowerGrid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47"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 Overview of Permanent Establishments by Jurisdiction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
        <w:gridCol w:w="1933"/>
        <w:gridCol w:w="1516"/>
        <w:gridCol w:w="1669"/>
        <w:gridCol w:w="2940"/>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Activity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 Risk</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Relevant Article (DTAA)</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Mitigation Steps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and distribution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Dependent Agent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Article 5(5)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Limit authority of USA subsidiary to finalize contracts.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facility and consultancy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Fixed Place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Article 5(1)</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Allocate profits based on OECD’s AOA.</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48"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B. Profit Attribution to PE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1829"/>
        <w:gridCol w:w="1455"/>
        <w:gridCol w:w="2100"/>
        <w:gridCol w:w="758"/>
        <w:gridCol w:w="158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from PE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Expenses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Attributable 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370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4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C. Mitigation Measures</w:t>
      </w:r>
    </w:p>
    <w:p w:rsidR="00A056B6" w:rsidRPr="009C5151" w:rsidRDefault="00A056B6" w:rsidP="00743A5F">
      <w:pPr>
        <w:pStyle w:val="NormalWeb"/>
        <w:tabs>
          <w:tab w:val="num" w:pos="720"/>
        </w:tabs>
        <w:spacing w:before="0" w:beforeAutospacing="0"/>
        <w:ind w:left="720" w:hanging="360"/>
      </w:pPr>
      <w:r w:rsidRPr="009C5151">
        <w:t xml:space="preserve">For </w:t>
      </w:r>
      <w:r w:rsidRPr="009C5151">
        <w:rPr>
          <w:rStyle w:val="Strong"/>
        </w:rPr>
        <w:t>USA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contracts with USA clients are finalized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Restrict subsidiary’s authority to act on behalf of the Indian entity.</w:t>
      </w:r>
    </w:p>
    <w:p w:rsidR="00A056B6" w:rsidRPr="009C5151" w:rsidRDefault="00A056B6" w:rsidP="00743A5F">
      <w:pPr>
        <w:pStyle w:val="NormalWeb"/>
        <w:tabs>
          <w:tab w:val="num" w:pos="720"/>
        </w:tabs>
        <w:spacing w:before="0" w:beforeAutospacing="0"/>
        <w:ind w:left="720" w:hanging="360"/>
      </w:pPr>
      <w:r w:rsidRPr="009C5151">
        <w:t xml:space="preserve">For </w:t>
      </w:r>
      <w:r w:rsidRPr="009C5151">
        <w:rPr>
          <w:rStyle w:val="Strong"/>
        </w:rPr>
        <w:t>Germany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 xml:space="preserve">Attribute profits based on the </w:t>
      </w:r>
      <w:r w:rsidRPr="009C5151">
        <w:rPr>
          <w:rStyle w:val="Strong"/>
          <w:rFonts w:ascii="Times New Roman" w:hAnsi="Times New Roman" w:cs="Times New Roman"/>
          <w:sz w:val="24"/>
          <w:szCs w:val="24"/>
        </w:rPr>
        <w:t>Authorized OECD Approach (AOA)</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Document R&amp;D activities to justify profit allocation.</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50"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5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29" w:name="_Toc187624195"/>
      <w:bookmarkStart w:id="1230" w:name="_Toc187630915"/>
      <w:bookmarkStart w:id="1231" w:name="_Toc187661094"/>
      <w:bookmarkStart w:id="1232" w:name="_Toc187662173"/>
      <w:r w:rsidRPr="009C5151">
        <w:rPr>
          <w:rStyle w:val="Strong"/>
          <w:b/>
          <w:bCs/>
          <w:sz w:val="24"/>
          <w:szCs w:val="24"/>
        </w:rPr>
        <w:t>IV. CbC Reporting Template</w:t>
      </w:r>
      <w:bookmarkEnd w:id="1229"/>
      <w:bookmarkEnd w:id="1230"/>
      <w:bookmarkEnd w:id="1231"/>
      <w:bookmarkEnd w:id="1232"/>
    </w:p>
    <w:p w:rsidR="00A056B6" w:rsidRPr="009C5151" w:rsidRDefault="00A056B6" w:rsidP="00743A5F">
      <w:pPr>
        <w:pStyle w:val="Heading4"/>
        <w:spacing w:before="0" w:beforeAutospacing="0"/>
      </w:pPr>
      <w:r w:rsidRPr="009C5151">
        <w:rPr>
          <w:rStyle w:val="Strong"/>
          <w:b/>
          <w:bCs/>
        </w:rPr>
        <w:t>CbC Reporting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1589"/>
        <w:gridCol w:w="1318"/>
        <w:gridCol w:w="1543"/>
        <w:gridCol w:w="1167"/>
        <w:gridCol w:w="2107"/>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Paid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Employees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Key Functions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 R&amp;D</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Distribution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Consultancy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Licensing, Support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Mauritius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Holding Company</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52"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5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33" w:name="_Toc187624196"/>
      <w:bookmarkStart w:id="1234" w:name="_Toc187630916"/>
      <w:bookmarkStart w:id="1235" w:name="_Toc187661095"/>
      <w:bookmarkStart w:id="1236" w:name="_Toc187662174"/>
      <w:r w:rsidRPr="009C5151">
        <w:rPr>
          <w:rStyle w:val="Strong"/>
          <w:b/>
          <w:bCs/>
          <w:sz w:val="24"/>
          <w:szCs w:val="24"/>
        </w:rPr>
        <w:t>V. Portal Submission Assistance</w:t>
      </w:r>
      <w:bookmarkEnd w:id="1233"/>
      <w:bookmarkEnd w:id="1234"/>
      <w:bookmarkEnd w:id="1235"/>
      <w:bookmarkEnd w:id="1236"/>
    </w:p>
    <w:p w:rsidR="00A056B6" w:rsidRPr="009C5151" w:rsidRDefault="00A056B6" w:rsidP="00743A5F">
      <w:pPr>
        <w:pStyle w:val="Heading4"/>
        <w:spacing w:before="0" w:beforeAutospacing="0"/>
      </w:pPr>
      <w:r w:rsidRPr="009C5151">
        <w:rPr>
          <w:rStyle w:val="Strong"/>
          <w:b/>
          <w:bCs/>
        </w:rPr>
        <w:t>1. AAR Filing</w:t>
      </w:r>
    </w:p>
    <w:p w:rsidR="00A056B6" w:rsidRPr="009C5151" w:rsidRDefault="00A056B6" w:rsidP="00743A5F">
      <w:pPr>
        <w:pStyle w:val="NormalWeb"/>
        <w:tabs>
          <w:tab w:val="num" w:pos="720"/>
        </w:tabs>
        <w:spacing w:before="0" w:beforeAutospacing="0"/>
        <w:ind w:left="720" w:hanging="360"/>
      </w:pPr>
      <w:r w:rsidRPr="009C5151">
        <w:rPr>
          <w:rStyle w:val="Strong"/>
        </w:rPr>
        <w:t>Steps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Prepare the application using the provided AAR template.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Attach all supporting documents (agreements, TRC, valuation report).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File </w:t>
      </w:r>
      <w:r w:rsidRPr="009C5151">
        <w:rPr>
          <w:rStyle w:val="Strong"/>
          <w:rFonts w:ascii="Times New Roman" w:hAnsi="Times New Roman" w:cs="Times New Roman"/>
          <w:sz w:val="24"/>
          <w:szCs w:val="24"/>
        </w:rPr>
        <w:t>online</w:t>
      </w:r>
      <w:r w:rsidRPr="009C5151">
        <w:rPr>
          <w:rFonts w:ascii="Times New Roman" w:hAnsi="Times New Roman" w:cs="Times New Roman"/>
          <w:sz w:val="24"/>
          <w:szCs w:val="24"/>
        </w:rPr>
        <w:t xml:space="preserve"> through the Income Tax e-Filing Portal or </w:t>
      </w:r>
      <w:r w:rsidRPr="009C5151">
        <w:rPr>
          <w:rStyle w:val="Strong"/>
          <w:rFonts w:ascii="Times New Roman" w:hAnsi="Times New Roman" w:cs="Times New Roman"/>
          <w:sz w:val="24"/>
          <w:szCs w:val="24"/>
        </w:rPr>
        <w:t>offline</w:t>
      </w:r>
      <w:r w:rsidRPr="009C5151">
        <w:rPr>
          <w:rFonts w:ascii="Times New Roman" w:hAnsi="Times New Roman" w:cs="Times New Roman"/>
          <w:sz w:val="24"/>
          <w:szCs w:val="24"/>
        </w:rPr>
        <w:t xml:space="preserve"> at the nearest AAR office.</w:t>
      </w:r>
    </w:p>
    <w:p w:rsidR="00A056B6" w:rsidRPr="009C5151" w:rsidRDefault="00A056B6" w:rsidP="00743A5F">
      <w:pPr>
        <w:pStyle w:val="NormalWeb"/>
        <w:tabs>
          <w:tab w:val="num" w:pos="720"/>
        </w:tabs>
        <w:spacing w:before="0" w:beforeAutospacing="0"/>
        <w:ind w:left="720" w:hanging="360"/>
      </w:pPr>
      <w:r w:rsidRPr="009C5151">
        <w:rPr>
          <w:rStyle w:val="Strong"/>
        </w:rPr>
        <w:t>Fee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Pay ₹10,000 (for international transactions) and attach proof of payment.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54"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CbC Reporting</w:t>
      </w:r>
    </w:p>
    <w:p w:rsidR="00A056B6" w:rsidRPr="009C5151" w:rsidRDefault="00A056B6" w:rsidP="00743A5F">
      <w:pPr>
        <w:pStyle w:val="NormalWeb"/>
        <w:tabs>
          <w:tab w:val="num" w:pos="720"/>
        </w:tabs>
        <w:spacing w:before="0" w:beforeAutospacing="0"/>
        <w:ind w:left="720" w:hanging="360"/>
      </w:pPr>
      <w:r w:rsidRPr="009C5151">
        <w:rPr>
          <w:rStyle w:val="Strong"/>
        </w:rPr>
        <w:t>Prepare the CbC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Consolidate financial data in XML format as per the prescribed schema.</w:t>
      </w:r>
    </w:p>
    <w:p w:rsidR="00A056B6" w:rsidRPr="009C5151" w:rsidRDefault="00A056B6" w:rsidP="00743A5F">
      <w:pPr>
        <w:pStyle w:val="NormalWeb"/>
        <w:tabs>
          <w:tab w:val="num" w:pos="720"/>
        </w:tabs>
        <w:spacing w:before="0" w:beforeAutospacing="0"/>
        <w:ind w:left="720" w:hanging="360"/>
      </w:pPr>
      <w:r w:rsidRPr="009C5151">
        <w:rPr>
          <w:rStyle w:val="Strong"/>
        </w:rPr>
        <w:t>Submit via the Income Tax Portal</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Log in and navigate to </w:t>
      </w:r>
      <w:r w:rsidRPr="009C5151">
        <w:rPr>
          <w:rStyle w:val="Strong"/>
          <w:rFonts w:ascii="Times New Roman" w:hAnsi="Times New Roman" w:cs="Times New Roman"/>
          <w:sz w:val="24"/>
          <w:szCs w:val="24"/>
        </w:rPr>
        <w:t>e-File → File CbC Report</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Upload the XML file and verify using a </w:t>
      </w:r>
      <w:r w:rsidRPr="009C5151">
        <w:rPr>
          <w:rStyle w:val="Strong"/>
          <w:rFonts w:ascii="Times New Roman" w:hAnsi="Times New Roman" w:cs="Times New Roman"/>
          <w:sz w:val="24"/>
          <w:szCs w:val="24"/>
        </w:rPr>
        <w:t>Digital Signature Certificate (DSC)</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55" style="width:0;height:1.5pt" o:hralign="center" o:hrstd="t" o:hr="t" fillcolor="#a0a0a0" stroked="f"/>
        </w:pict>
      </w:r>
    </w:p>
    <w:p w:rsidR="00A056B6" w:rsidRPr="009C5151" w:rsidRDefault="00A056B6" w:rsidP="00743A5F">
      <w:pPr>
        <w:pStyle w:val="NormalWeb"/>
        <w:spacing w:before="0" w:beforeAutospacing="0"/>
      </w:pPr>
      <w:r w:rsidRPr="009C5151">
        <w:t xml:space="preserve">Would you like additional </w:t>
      </w:r>
      <w:r w:rsidRPr="009C5151">
        <w:rPr>
          <w:rStyle w:val="Strong"/>
        </w:rPr>
        <w:t>customization, filing steps, or assistance with specific compliance templates</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do the same with a 25th example of different set of issues and problem and suggested solutions by a CA to a Company including a detailed discussion on the various topics covered under suggestions and Conclusion. Please include in addition to the above transactions like Withholding tax, CbC reporting, Mutual Agreement procedure, DTAA with countries like USA, UK, Germany, Singapore, Mauritius, China, Russia and Germany; equalization levy; Please first list down the case, issues, documents and CA advise, Dividend and Interest, Royalty and Fee for Technical Services; applicability of GAAR; applicability of PE; Inter group transactions; computation of taxable income of the Tested Party with assumed numbers for the AY 2024-25; what kind of a PE the tested party may have by considering relevant provisions; Tax Information Exchange Agreement; the ruling of Board for Advance Ruling; the obligations and compute the liability (if any) of the tested party; sale of its manufacturing unit located in India as per UN Model Convention. Please consider Tested Party's subsidiary and transactions between them, shifting the subsidiary to another nation with which India has DTAA, LOB clause and other relevant aspects</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BEDF506" wp14:editId="62DDB9C0">
            <wp:extent cx="763905" cy="763905"/>
            <wp:effectExtent l="0" t="0" r="0" b="0"/>
            <wp:docPr id="273" name="Picture 27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5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237" w:name="_Toc187624197"/>
      <w:bookmarkStart w:id="1238" w:name="_Toc187630917"/>
      <w:bookmarkStart w:id="1239" w:name="_Toc187661096"/>
      <w:bookmarkStart w:id="1240" w:name="_Toc187662175"/>
      <w:r w:rsidRPr="009C5151">
        <w:rPr>
          <w:rStyle w:val="Strong"/>
          <w:b/>
          <w:bCs/>
          <w:sz w:val="24"/>
          <w:szCs w:val="24"/>
        </w:rPr>
        <w:t>Case Study: Tax and Compliance Challenges for BrightGrid Pvt. Ltd.</w:t>
      </w:r>
      <w:bookmarkEnd w:id="1237"/>
      <w:bookmarkEnd w:id="1238"/>
      <w:bookmarkEnd w:id="1239"/>
      <w:bookmarkEnd w:id="1240"/>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5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41" w:name="_Toc187624198"/>
      <w:bookmarkStart w:id="1242" w:name="_Toc187630918"/>
      <w:bookmarkStart w:id="1243" w:name="_Toc187661097"/>
      <w:bookmarkStart w:id="1244" w:name="_Toc187662176"/>
      <w:r w:rsidRPr="009C5151">
        <w:rPr>
          <w:rStyle w:val="Strong"/>
          <w:b/>
          <w:bCs/>
          <w:sz w:val="24"/>
          <w:szCs w:val="24"/>
        </w:rPr>
        <w:t>Background</w:t>
      </w:r>
      <w:bookmarkEnd w:id="1241"/>
      <w:bookmarkEnd w:id="1242"/>
      <w:bookmarkEnd w:id="1243"/>
      <w:bookmarkEnd w:id="1244"/>
    </w:p>
    <w:p w:rsidR="00A056B6" w:rsidRPr="009C5151" w:rsidRDefault="00A056B6" w:rsidP="00743A5F">
      <w:pPr>
        <w:pStyle w:val="NormalWeb"/>
        <w:spacing w:before="0" w:beforeAutospacing="0"/>
      </w:pPr>
      <w:r w:rsidRPr="009C5151">
        <w:t xml:space="preserve">BrightGrid Pvt. Ltd., an Indian company specializing in smart energy grids, operates in </w:t>
      </w:r>
      <w:r w:rsidRPr="009C5151">
        <w:rPr>
          <w:rStyle w:val="Strong"/>
        </w:rPr>
        <w:t>USA, UK, Germany, Singapore, Mauritius, China, and Russia</w:t>
      </w:r>
      <w:r w:rsidRPr="009C5151">
        <w:t xml:space="preserve">. It engages in </w:t>
      </w:r>
      <w:r w:rsidRPr="009C5151">
        <w:rPr>
          <w:rStyle w:val="Strong"/>
        </w:rPr>
        <w:t>exports</w:t>
      </w:r>
      <w:r w:rsidRPr="009C5151">
        <w:t xml:space="preserve">, </w:t>
      </w:r>
      <w:r w:rsidRPr="009C5151">
        <w:rPr>
          <w:rStyle w:val="Strong"/>
        </w:rPr>
        <w:t>royalty payments</w:t>
      </w:r>
      <w:r w:rsidRPr="009C5151">
        <w:t xml:space="preserve">, </w:t>
      </w:r>
      <w:r w:rsidRPr="009C5151">
        <w:rPr>
          <w:rStyle w:val="Strong"/>
        </w:rPr>
        <w:t>fee for technical services (FTS)</w:t>
      </w:r>
      <w:r w:rsidRPr="009C5151">
        <w:t xml:space="preserve">, </w:t>
      </w:r>
      <w:r w:rsidRPr="009C5151">
        <w:rPr>
          <w:rStyle w:val="Strong"/>
        </w:rPr>
        <w:t>interest payments</w:t>
      </w:r>
      <w:r w:rsidRPr="009C5151">
        <w:t xml:space="preserve">, </w:t>
      </w:r>
      <w:r w:rsidRPr="009C5151">
        <w:rPr>
          <w:rStyle w:val="Strong"/>
        </w:rPr>
        <w:t>dividends</w:t>
      </w:r>
      <w:r w:rsidRPr="009C5151">
        <w:t xml:space="preserve">, and </w:t>
      </w:r>
      <w:r w:rsidRPr="009C5151">
        <w:rPr>
          <w:rStyle w:val="Strong"/>
        </w:rPr>
        <w:t>inter-group transactions</w:t>
      </w:r>
      <w:r w:rsidRPr="009C5151">
        <w:t xml:space="preserve">. The company recently sold its </w:t>
      </w:r>
      <w:r w:rsidRPr="009C5151">
        <w:rPr>
          <w:rStyle w:val="Strong"/>
        </w:rPr>
        <w:t>Indian manufacturing unit</w:t>
      </w:r>
      <w:r w:rsidRPr="009C5151">
        <w:t xml:space="preserve"> to its Singapore subsidiary and plans to relocate the subsidiary to </w:t>
      </w:r>
      <w:r w:rsidRPr="009C5151">
        <w:rPr>
          <w:rStyle w:val="Strong"/>
        </w:rPr>
        <w:t>UAE</w:t>
      </w:r>
      <w:r w:rsidRPr="009C5151">
        <w:t xml:space="preserve">, utilizing the </w:t>
      </w:r>
      <w:r w:rsidRPr="009C5151">
        <w:rPr>
          <w:rStyle w:val="Strong"/>
        </w:rPr>
        <w:t>India-UAE DTAA</w:t>
      </w:r>
      <w:r w:rsidRPr="009C5151">
        <w:t>.</w:t>
      </w:r>
    </w:p>
    <w:p w:rsidR="00A056B6" w:rsidRPr="009C5151" w:rsidRDefault="00A056B6" w:rsidP="00743A5F">
      <w:pPr>
        <w:pStyle w:val="NormalWeb"/>
        <w:spacing w:before="0" w:beforeAutospacing="0"/>
      </w:pPr>
      <w:r w:rsidRPr="009C5151">
        <w:t xml:space="preserve">Key compliance challenges arise under </w:t>
      </w:r>
      <w:r w:rsidRPr="009C5151">
        <w:rPr>
          <w:rStyle w:val="Strong"/>
        </w:rPr>
        <w:t>Withholding Tax (WHT)</w:t>
      </w:r>
      <w:r w:rsidRPr="009C5151">
        <w:t xml:space="preserve">, </w:t>
      </w:r>
      <w:r w:rsidRPr="009C5151">
        <w:rPr>
          <w:rStyle w:val="Strong"/>
        </w:rPr>
        <w:t>CbC Reporting</w:t>
      </w:r>
      <w:r w:rsidRPr="009C5151">
        <w:t xml:space="preserve">, </w:t>
      </w:r>
      <w:r w:rsidRPr="009C5151">
        <w:rPr>
          <w:rStyle w:val="Strong"/>
        </w:rPr>
        <w:t>GAAR</w:t>
      </w:r>
      <w:r w:rsidRPr="009C5151">
        <w:t xml:space="preserve">, </w:t>
      </w:r>
      <w:r w:rsidRPr="009C5151">
        <w:rPr>
          <w:rStyle w:val="Strong"/>
        </w:rPr>
        <w:t>Permanent Establishment (PE)</w:t>
      </w:r>
      <w:r w:rsidRPr="009C5151">
        <w:t xml:space="preserve"> risks, and </w:t>
      </w:r>
      <w:r w:rsidRPr="009C5151">
        <w:rPr>
          <w:rStyle w:val="Strong"/>
        </w:rPr>
        <w:t>UN Model Convention</w:t>
      </w:r>
      <w:r w:rsidRPr="009C5151">
        <w:t xml:space="preserve"> provisions.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857"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45" w:name="_Toc187624199"/>
      <w:bookmarkStart w:id="1246" w:name="_Toc187630919"/>
      <w:bookmarkStart w:id="1247" w:name="_Toc187661098"/>
      <w:bookmarkStart w:id="1248" w:name="_Toc187662177"/>
      <w:r w:rsidRPr="009C5151">
        <w:rPr>
          <w:rStyle w:val="Strong"/>
          <w:b/>
          <w:bCs/>
          <w:sz w:val="24"/>
          <w:szCs w:val="24"/>
        </w:rPr>
        <w:t>Transactions</w:t>
      </w:r>
      <w:bookmarkEnd w:id="1245"/>
      <w:bookmarkEnd w:id="1246"/>
      <w:bookmarkEnd w:id="1247"/>
      <w:bookmarkEnd w:id="1248"/>
    </w:p>
    <w:p w:rsidR="00A056B6" w:rsidRPr="009C5151" w:rsidRDefault="00A056B6" w:rsidP="00743A5F">
      <w:pPr>
        <w:pStyle w:val="Heading4"/>
        <w:spacing w:before="0" w:beforeAutospacing="0"/>
      </w:pPr>
      <w:r w:rsidRPr="009C5151">
        <w:rPr>
          <w:rStyle w:val="Strong"/>
          <w:b/>
          <w:bCs/>
        </w:rPr>
        <w:t>International Transactions</w:t>
      </w:r>
    </w:p>
    <w:p w:rsidR="00A056B6" w:rsidRPr="009C5151" w:rsidRDefault="00A056B6" w:rsidP="00743A5F">
      <w:pPr>
        <w:pStyle w:val="NormalWeb"/>
        <w:tabs>
          <w:tab w:val="num" w:pos="720"/>
        </w:tabs>
        <w:spacing w:before="0" w:beforeAutospacing="0"/>
        <w:ind w:left="720" w:hanging="360"/>
      </w:pPr>
      <w:r w:rsidRPr="009C5151">
        <w:rPr>
          <w:rStyle w:val="Strong"/>
        </w:rPr>
        <w:t>Export of Smart Grids</w:t>
      </w:r>
      <w:r w:rsidRPr="009C5151">
        <w:t>:</w:t>
      </w:r>
      <w:r w:rsidRPr="009C5151">
        <w:br/>
        <w:t>Exported ₹2,800 crore worth of products to subsidiaries in USA, UK, and Germany.</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r w:rsidRPr="009C5151">
        <w:br/>
        <w:t>Paid ₹110 crore to its Singapore AE for licensed technology.</w:t>
      </w:r>
    </w:p>
    <w:p w:rsidR="00A056B6" w:rsidRPr="009C5151" w:rsidRDefault="00A056B6" w:rsidP="00743A5F">
      <w:pPr>
        <w:pStyle w:val="NormalWeb"/>
        <w:tabs>
          <w:tab w:val="num" w:pos="720"/>
        </w:tabs>
        <w:spacing w:before="0" w:beforeAutospacing="0"/>
        <w:ind w:left="720" w:hanging="360"/>
      </w:pPr>
      <w:r w:rsidRPr="009C5151">
        <w:rPr>
          <w:rStyle w:val="Strong"/>
        </w:rPr>
        <w:t>Fee for Technical Services (FTS)</w:t>
      </w:r>
      <w:r w:rsidRPr="009C5151">
        <w:t>:</w:t>
      </w:r>
      <w:r w:rsidRPr="009C5151">
        <w:br/>
        <w:t>Paid ₹90 crore to its German AE for consultancy on grid deployment.</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r w:rsidRPr="009C5151">
        <w:br/>
        <w:t>Paid ₹55 crore to its Russian AE for loans utilized in business expansion.</w:t>
      </w:r>
    </w:p>
    <w:p w:rsidR="00A056B6" w:rsidRPr="009C5151" w:rsidRDefault="00A056B6" w:rsidP="00743A5F">
      <w:pPr>
        <w:pStyle w:val="NormalWeb"/>
        <w:tabs>
          <w:tab w:val="num" w:pos="720"/>
        </w:tabs>
        <w:spacing w:before="0" w:beforeAutospacing="0"/>
        <w:ind w:left="720" w:hanging="360"/>
      </w:pPr>
      <w:r w:rsidRPr="009C5151">
        <w:rPr>
          <w:rStyle w:val="Strong"/>
        </w:rPr>
        <w:t>Dividend Payments</w:t>
      </w:r>
      <w:r w:rsidRPr="009C5151">
        <w:t>:</w:t>
      </w:r>
      <w:r w:rsidRPr="009C5151">
        <w:br/>
        <w:t>Paid ₹130 crore to its Mauritius holding company.</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r w:rsidRPr="009C5151">
        <w:br/>
        <w:t>Sold its Indian manufacturing unit to BrightGrid Singapore Pte Ltd. for ₹1,400 crore.</w:t>
      </w:r>
    </w:p>
    <w:p w:rsidR="00A056B6" w:rsidRPr="009C5151" w:rsidRDefault="00A056B6" w:rsidP="00743A5F">
      <w:pPr>
        <w:pStyle w:val="NormalWeb"/>
        <w:tabs>
          <w:tab w:val="num" w:pos="720"/>
        </w:tabs>
        <w:spacing w:before="0" w:beforeAutospacing="0"/>
        <w:ind w:left="720" w:hanging="360"/>
      </w:pPr>
      <w:r w:rsidRPr="009C5151">
        <w:rPr>
          <w:rStyle w:val="Strong"/>
        </w:rPr>
        <w:t>Digital Advertising Payments</w:t>
      </w:r>
      <w:r w:rsidRPr="009C5151">
        <w:t>:</w:t>
      </w:r>
      <w:r w:rsidRPr="009C5151">
        <w:br/>
        <w:t>Paid ₹20 crore to a USA-based platform for marketing campaigns.</w:t>
      </w:r>
    </w:p>
    <w:p w:rsidR="00A056B6" w:rsidRPr="009C5151" w:rsidRDefault="00A056B6" w:rsidP="00743A5F">
      <w:pPr>
        <w:pStyle w:val="NormalWeb"/>
        <w:tabs>
          <w:tab w:val="num" w:pos="720"/>
        </w:tabs>
        <w:spacing w:before="0" w:beforeAutospacing="0"/>
        <w:ind w:left="720" w:hanging="360"/>
      </w:pPr>
      <w:r w:rsidRPr="009C5151">
        <w:rPr>
          <w:rStyle w:val="Strong"/>
        </w:rPr>
        <w:t>Subsidiary Relocation</w:t>
      </w:r>
      <w:r w:rsidRPr="009C5151">
        <w:t>:</w:t>
      </w:r>
      <w:r w:rsidRPr="009C5151">
        <w:br/>
        <w:t xml:space="preserve">Relocating BrightGrid Singapore Pte Ltd. to UAE for operational efficiency under the </w:t>
      </w:r>
      <w:r w:rsidRPr="009C5151">
        <w:rPr>
          <w:rStyle w:val="Strong"/>
        </w:rPr>
        <w:t>India-UAE DTAA</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5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Domestic Transactions</w:t>
      </w:r>
    </w:p>
    <w:p w:rsidR="00A056B6" w:rsidRPr="009C5151" w:rsidRDefault="00A056B6" w:rsidP="00743A5F">
      <w:pPr>
        <w:pStyle w:val="NormalWeb"/>
        <w:tabs>
          <w:tab w:val="num" w:pos="720"/>
        </w:tabs>
        <w:spacing w:before="0" w:beforeAutospacing="0"/>
        <w:ind w:left="720" w:hanging="360"/>
      </w:pPr>
      <w:r w:rsidRPr="009C5151">
        <w:rPr>
          <w:rStyle w:val="Strong"/>
        </w:rPr>
        <w:t>Shared Services</w:t>
      </w:r>
      <w:r w:rsidRPr="009C5151">
        <w:t>:</w:t>
      </w:r>
      <w:r w:rsidRPr="009C5151">
        <w:br/>
        <w:t>Paid ₹50 crore to an Indian AE for centralized HR, IT, and R&amp;D support.</w:t>
      </w:r>
    </w:p>
    <w:p w:rsidR="00A056B6" w:rsidRPr="009C5151" w:rsidRDefault="00A056B6" w:rsidP="00743A5F">
      <w:pPr>
        <w:pStyle w:val="NormalWeb"/>
        <w:tabs>
          <w:tab w:val="num" w:pos="720"/>
        </w:tabs>
        <w:spacing w:before="0" w:beforeAutospacing="0"/>
        <w:ind w:left="720" w:hanging="360"/>
      </w:pPr>
      <w:r w:rsidRPr="009C5151">
        <w:rPr>
          <w:rStyle w:val="Strong"/>
        </w:rPr>
        <w:t>Leasing of Equipment</w:t>
      </w:r>
      <w:r w:rsidRPr="009C5151">
        <w:t>:</w:t>
      </w:r>
      <w:r w:rsidRPr="009C5151">
        <w:br/>
        <w:t>Leased ₹70 crore worth of equipment to another Indian AE.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59"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6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49" w:name="_Toc187624200"/>
      <w:bookmarkStart w:id="1250" w:name="_Toc187630920"/>
      <w:bookmarkStart w:id="1251" w:name="_Toc187661099"/>
      <w:bookmarkStart w:id="1252" w:name="_Toc187662178"/>
      <w:r w:rsidRPr="009C5151">
        <w:rPr>
          <w:rStyle w:val="Strong"/>
          <w:b/>
          <w:bCs/>
          <w:sz w:val="24"/>
          <w:szCs w:val="24"/>
        </w:rPr>
        <w:t>Key Issues</w:t>
      </w:r>
      <w:bookmarkEnd w:id="1249"/>
      <w:bookmarkEnd w:id="1250"/>
      <w:bookmarkEnd w:id="1251"/>
      <w:bookmarkEnd w:id="1252"/>
    </w:p>
    <w:p w:rsidR="00A056B6" w:rsidRPr="009C5151" w:rsidRDefault="00A056B6" w:rsidP="00743A5F">
      <w:pPr>
        <w:pStyle w:val="Heading4"/>
        <w:spacing w:before="0" w:beforeAutospacing="0"/>
      </w:pPr>
      <w:r w:rsidRPr="009C5151">
        <w:rPr>
          <w:rStyle w:val="Strong"/>
          <w:b/>
          <w:bCs/>
        </w:rPr>
        <w:t>1. Transfer Pricing (TP) Challenges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Benchmarking required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₹2,800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₹110 crore royalty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₹90 crore FTS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₹55 crore interest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₹1,400 crore sale of the manufacturing unit.</w: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Ensuring compliance for: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payments (10% under India-Singapore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payments (10% under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payments (10% under India-Russia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Dividend payments (0% under India-Mauritius DTAA).</w: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EL on ₹20 crore digital advertising payments.</w:t>
      </w:r>
    </w:p>
    <w:p w:rsidR="00A056B6" w:rsidRPr="009C5151" w:rsidRDefault="00A056B6" w:rsidP="00743A5F">
      <w:pPr>
        <w:pStyle w:val="Heading4"/>
        <w:spacing w:before="0" w:beforeAutospacing="0"/>
      </w:pPr>
      <w:r w:rsidRPr="009C5151">
        <w:rPr>
          <w:rStyle w:val="Strong"/>
          <w:b/>
          <w:bCs/>
        </w:rPr>
        <w:t>4. Applicability of GAAR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GAAR Scrutiny</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Treaty benefits claimed by the Mauritius entity.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Justification for relocating the Singapore subsidiary to UAE.</w:t>
      </w:r>
    </w:p>
    <w:p w:rsidR="00A056B6" w:rsidRPr="009C5151" w:rsidRDefault="00A056B6" w:rsidP="00743A5F">
      <w:pPr>
        <w:pStyle w:val="Heading4"/>
        <w:spacing w:before="0" w:beforeAutospacing="0"/>
      </w:pPr>
      <w:r w:rsidRPr="009C5151">
        <w:rPr>
          <w:rStyle w:val="Strong"/>
          <w:b/>
          <w:bCs/>
        </w:rPr>
        <w:t>5. Permanent Establishment (PE) Concerns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Risk of PE in: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USA</w:t>
      </w:r>
      <w:r w:rsidRPr="009C5151">
        <w:rPr>
          <w:rFonts w:ascii="Times New Roman" w:hAnsi="Times New Roman" w:cs="Times New Roman"/>
          <w:sz w:val="24"/>
          <w:szCs w:val="24"/>
        </w:rPr>
        <w:t>: Dependent Agent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Germany</w:t>
      </w:r>
      <w:r w:rsidRPr="009C5151">
        <w:rPr>
          <w:rFonts w:ascii="Times New Roman" w:hAnsi="Times New Roman" w:cs="Times New Roman"/>
          <w:sz w:val="24"/>
          <w:szCs w:val="24"/>
        </w:rPr>
        <w:t>: Fixed Place PE.</w:t>
      </w:r>
    </w:p>
    <w:p w:rsidR="00A056B6" w:rsidRPr="009C5151" w:rsidRDefault="00A056B6" w:rsidP="00743A5F">
      <w:pPr>
        <w:pStyle w:val="Heading4"/>
        <w:spacing w:before="0" w:beforeAutospacing="0"/>
      </w:pPr>
      <w:r w:rsidRPr="009C5151">
        <w:rPr>
          <w:rStyle w:val="Strong"/>
          <w:b/>
          <w:bCs/>
        </w:rPr>
        <w:t>6. Taxable Income Computation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Determine taxable income for AY 2024-25 after accounting for TP adjustments and gains from the manufacturing unit sale.</w:t>
      </w:r>
    </w:p>
    <w:p w:rsidR="00A056B6" w:rsidRPr="009C5151" w:rsidRDefault="00A056B6" w:rsidP="00743A5F">
      <w:pPr>
        <w:pStyle w:val="Heading4"/>
        <w:spacing w:before="0" w:beforeAutospacing="0"/>
      </w:pPr>
      <w:r w:rsidRPr="009C5151">
        <w:rPr>
          <w:rStyle w:val="Strong"/>
          <w:b/>
          <w:bCs/>
        </w:rPr>
        <w:t>7. Tax Information Exchange Agreement (TIEA)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Russia requests details of interest payments under TIEA.</w:t>
      </w:r>
    </w:p>
    <w:p w:rsidR="00A056B6" w:rsidRPr="009C5151" w:rsidRDefault="00A056B6" w:rsidP="00743A5F">
      <w:pPr>
        <w:pStyle w:val="Heading4"/>
        <w:spacing w:before="0" w:beforeAutospacing="0"/>
      </w:pPr>
      <w:r w:rsidRPr="009C5151">
        <w:rPr>
          <w:rStyle w:val="Strong"/>
          <w:b/>
          <w:bCs/>
        </w:rPr>
        <w:t>8. Board for Advance Rulings (AAR)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 xml:space="preserve">AAR application for clarity on taxability of the manufacturing unit sale under the </w:t>
      </w:r>
      <w:r w:rsidRPr="009C5151">
        <w:rPr>
          <w:rStyle w:val="Strong"/>
          <w:rFonts w:ascii="Times New Roman" w:hAnsi="Times New Roman" w:cs="Times New Roman"/>
          <w:sz w:val="24"/>
          <w:szCs w:val="24"/>
        </w:rPr>
        <w:t>UN Model Convention</w:t>
      </w:r>
      <w:r w:rsidRPr="009C5151">
        <w:rPr>
          <w:rFonts w:ascii="Times New Roman" w:hAnsi="Times New Roman" w:cs="Times New Roman"/>
          <w:sz w:val="24"/>
          <w:szCs w:val="24"/>
        </w:rPr>
        <w:t>.</w:t>
      </w:r>
    </w:p>
    <w:p w:rsidR="00A056B6" w:rsidRPr="009C5151" w:rsidRDefault="00A056B6" w:rsidP="00743A5F">
      <w:pPr>
        <w:pStyle w:val="Heading4"/>
        <w:spacing w:before="0" w:beforeAutospacing="0"/>
      </w:pPr>
      <w:r w:rsidRPr="009C5151">
        <w:rPr>
          <w:rStyle w:val="Strong"/>
          <w:b/>
          <w:bCs/>
        </w:rPr>
        <w:t>9. Limitation of Benefits (LOB) Clause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Assess compliance with the LOB clauses in India-Mauritius and India-UAE DTAAs.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61"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6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53" w:name="_Toc187624201"/>
      <w:bookmarkStart w:id="1254" w:name="_Toc187630921"/>
      <w:bookmarkStart w:id="1255" w:name="_Toc187661100"/>
      <w:bookmarkStart w:id="1256" w:name="_Toc187662179"/>
      <w:r w:rsidRPr="009C5151">
        <w:rPr>
          <w:rStyle w:val="Strong"/>
          <w:b/>
          <w:bCs/>
          <w:sz w:val="24"/>
          <w:szCs w:val="24"/>
        </w:rPr>
        <w:t>Documents Required</w:t>
      </w:r>
      <w:bookmarkEnd w:id="1253"/>
      <w:bookmarkEnd w:id="1254"/>
      <w:bookmarkEnd w:id="1255"/>
      <w:bookmarkEnd w:id="1256"/>
    </w:p>
    <w:p w:rsidR="00A056B6" w:rsidRPr="009C5151" w:rsidRDefault="00A056B6" w:rsidP="00743A5F">
      <w:pPr>
        <w:pStyle w:val="NormalWeb"/>
        <w:tabs>
          <w:tab w:val="num" w:pos="720"/>
        </w:tabs>
        <w:spacing w:before="0" w:beforeAutospacing="0"/>
        <w:ind w:left="720" w:hanging="360"/>
      </w:pPr>
      <w:r w:rsidRPr="009C5151">
        <w:rPr>
          <w:rStyle w:val="Strong"/>
        </w:rPr>
        <w:t>Transaction Agreements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Contracts for exports, royalties, FTS, loans, dividends, and unit sale.</w:t>
      </w:r>
    </w:p>
    <w:p w:rsidR="00A056B6" w:rsidRPr="009C5151" w:rsidRDefault="00A056B6" w:rsidP="00743A5F">
      <w:pPr>
        <w:pStyle w:val="NormalWeb"/>
        <w:tabs>
          <w:tab w:val="num" w:pos="720"/>
        </w:tabs>
        <w:spacing w:before="0" w:beforeAutospacing="0"/>
        <w:ind w:left="720" w:hanging="360"/>
      </w:pPr>
      <w:r w:rsidRPr="009C5151">
        <w:rPr>
          <w:rStyle w:val="Strong"/>
        </w:rPr>
        <w:t>Valuation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Independent valuation for the manufacturing unit sale.</w:t>
      </w:r>
    </w:p>
    <w:p w:rsidR="00A056B6" w:rsidRPr="009C5151" w:rsidRDefault="00A056B6" w:rsidP="00743A5F">
      <w:pPr>
        <w:pStyle w:val="NormalWeb"/>
        <w:tabs>
          <w:tab w:val="num" w:pos="720"/>
        </w:tabs>
        <w:spacing w:before="0" w:beforeAutospacing="0"/>
        <w:ind w:left="720" w:hanging="360"/>
      </w:pPr>
      <w:r w:rsidRPr="009C5151">
        <w:rPr>
          <w:rStyle w:val="Strong"/>
        </w:rPr>
        <w:t>Tax Residency Certificates (TRC)</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TRCs for Mauritius, Singapore, Germany, and Russia.</w:t>
      </w:r>
    </w:p>
    <w:p w:rsidR="00A056B6" w:rsidRPr="009C5151" w:rsidRDefault="00A056B6" w:rsidP="00743A5F">
      <w:pPr>
        <w:pStyle w:val="NormalWeb"/>
        <w:tabs>
          <w:tab w:val="num" w:pos="720"/>
        </w:tabs>
        <w:spacing w:before="0" w:beforeAutospacing="0"/>
        <w:ind w:left="720" w:hanging="360"/>
      </w:pPr>
      <w:r w:rsidRPr="009C5151">
        <w:rPr>
          <w:rStyle w:val="Strong"/>
        </w:rPr>
        <w:t>Functional and Risk Analysis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Roles, functions, and risks of each entity in the group.</w:t>
      </w:r>
    </w:p>
    <w:p w:rsidR="00A056B6" w:rsidRPr="009C5151" w:rsidRDefault="00A056B6" w:rsidP="00743A5F">
      <w:pPr>
        <w:pStyle w:val="NormalWeb"/>
        <w:tabs>
          <w:tab w:val="num" w:pos="720"/>
        </w:tabs>
        <w:spacing w:before="0" w:beforeAutospacing="0"/>
        <w:ind w:left="720" w:hanging="360"/>
      </w:pPr>
      <w:r w:rsidRPr="009C5151">
        <w:rPr>
          <w:rStyle w:val="Strong"/>
        </w:rPr>
        <w:t>AAR Submission Documents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Sale agreement, valuation report, and DTAA provisions.</w:t>
      </w:r>
    </w:p>
    <w:p w:rsidR="00A056B6" w:rsidRPr="009C5151" w:rsidRDefault="00A056B6" w:rsidP="00743A5F">
      <w:pPr>
        <w:pStyle w:val="NormalWeb"/>
        <w:tabs>
          <w:tab w:val="num" w:pos="720"/>
        </w:tabs>
        <w:spacing w:before="0" w:beforeAutospacing="0"/>
        <w:ind w:left="720" w:hanging="360"/>
      </w:pPr>
      <w:r w:rsidRPr="009C5151">
        <w:rPr>
          <w:rStyle w:val="Strong"/>
        </w:rPr>
        <w:t>CbC Reporting Documentation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Consolidated global financial and operational details.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63"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6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57" w:name="_Toc187624202"/>
      <w:bookmarkStart w:id="1258" w:name="_Toc187630922"/>
      <w:bookmarkStart w:id="1259" w:name="_Toc187661101"/>
      <w:bookmarkStart w:id="1260" w:name="_Toc187662180"/>
      <w:r w:rsidRPr="009C5151">
        <w:rPr>
          <w:rStyle w:val="Strong"/>
          <w:b/>
          <w:bCs/>
          <w:sz w:val="24"/>
          <w:szCs w:val="24"/>
        </w:rPr>
        <w:t>Proposed Solutions</w:t>
      </w:r>
      <w:bookmarkEnd w:id="1257"/>
      <w:bookmarkEnd w:id="1258"/>
      <w:bookmarkEnd w:id="1259"/>
      <w:bookmarkEnd w:id="1260"/>
    </w:p>
    <w:p w:rsidR="00A056B6" w:rsidRPr="009C5151" w:rsidRDefault="00A056B6" w:rsidP="00743A5F">
      <w:pPr>
        <w:pStyle w:val="Heading4"/>
        <w:spacing w:before="0" w:beforeAutospacing="0"/>
      </w:pPr>
      <w:r w:rsidRPr="009C5151">
        <w:rPr>
          <w:rStyle w:val="Strong"/>
          <w:b/>
          <w:bCs/>
        </w:rPr>
        <w:t>1. Transfer Pricing (TP) Compliance</w:t>
      </w:r>
    </w:p>
    <w:p w:rsidR="00A056B6" w:rsidRPr="009C5151" w:rsidRDefault="00A056B6" w:rsidP="00743A5F">
      <w:pPr>
        <w:pStyle w:val="NormalWeb"/>
        <w:tabs>
          <w:tab w:val="num" w:pos="720"/>
        </w:tabs>
        <w:spacing w:before="0" w:beforeAutospacing="0"/>
        <w:ind w:left="720" w:hanging="360"/>
      </w:pPr>
      <w:r w:rsidRPr="009C5151">
        <w:rPr>
          <w:rStyle w:val="Strong"/>
        </w:rPr>
        <w:t>Export of Smart Grids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TNMM</w:t>
      </w:r>
      <w:r w:rsidRPr="009C5151">
        <w:rPr>
          <w:rFonts w:ascii="Times New Roman" w:hAnsi="Times New Roman" w:cs="Times New Roman"/>
          <w:sz w:val="24"/>
          <w:szCs w:val="24"/>
        </w:rPr>
        <w:t xml:space="preserve"> to benchmark ₹2,800 crore exports.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operating margins with global smart grid manufacturers.</w:t>
      </w:r>
    </w:p>
    <w:p w:rsidR="00A056B6" w:rsidRPr="009C5151" w:rsidRDefault="00A056B6" w:rsidP="00743A5F">
      <w:pPr>
        <w:pStyle w:val="NormalWeb"/>
        <w:tabs>
          <w:tab w:val="num" w:pos="720"/>
        </w:tabs>
        <w:spacing w:before="0" w:beforeAutospacing="0"/>
        <w:ind w:left="720" w:hanging="360"/>
      </w:pPr>
      <w:r w:rsidRPr="009C5151">
        <w:rPr>
          <w:rStyle w:val="Strong"/>
        </w:rPr>
        <w:t>Royalty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 xml:space="preserve">Apply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to benchmark ₹110 crore royalty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Validate royalty rate (6%-8%).</w:t>
      </w:r>
    </w:p>
    <w:p w:rsidR="00A056B6" w:rsidRPr="009C5151" w:rsidRDefault="00A056B6" w:rsidP="00743A5F">
      <w:pPr>
        <w:pStyle w:val="NormalWeb"/>
        <w:tabs>
          <w:tab w:val="num" w:pos="720"/>
        </w:tabs>
        <w:spacing w:before="0" w:beforeAutospacing="0"/>
        <w:ind w:left="720" w:hanging="360"/>
      </w:pPr>
      <w:r w:rsidRPr="009C5151">
        <w:rPr>
          <w:rStyle w:val="Strong"/>
        </w:rPr>
        <w:t>FTS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Use </w:t>
      </w:r>
      <w:r w:rsidRPr="009C5151">
        <w:rPr>
          <w:rStyle w:val="Strong"/>
          <w:rFonts w:ascii="Times New Roman" w:hAnsi="Times New Roman" w:cs="Times New Roman"/>
          <w:sz w:val="24"/>
          <w:szCs w:val="24"/>
        </w:rPr>
        <w:t>CPM</w:t>
      </w:r>
      <w:r w:rsidRPr="009C5151">
        <w:rPr>
          <w:rFonts w:ascii="Times New Roman" w:hAnsi="Times New Roman" w:cs="Times New Roman"/>
          <w:sz w:val="24"/>
          <w:szCs w:val="24"/>
        </w:rPr>
        <w:t xml:space="preserve"> to benchmark ₹90 crore consultancy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Compare markup with independent consultants.</w:t>
      </w:r>
    </w:p>
    <w:p w:rsidR="00A056B6" w:rsidRPr="009C5151" w:rsidRDefault="00A056B6" w:rsidP="00743A5F">
      <w:pPr>
        <w:pStyle w:val="NormalWeb"/>
        <w:tabs>
          <w:tab w:val="num" w:pos="720"/>
        </w:tabs>
        <w:spacing w:before="0" w:beforeAutospacing="0"/>
        <w:ind w:left="720" w:hanging="360"/>
      </w:pPr>
      <w:r w:rsidRPr="009C5151">
        <w:rPr>
          <w:rStyle w:val="Strong"/>
        </w:rPr>
        <w:t>Interest Payments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Ensure compliance with </w:t>
      </w:r>
      <w:r w:rsidRPr="009C5151">
        <w:rPr>
          <w:rStyle w:val="Strong"/>
          <w:rFonts w:ascii="Times New Roman" w:hAnsi="Times New Roman" w:cs="Times New Roman"/>
          <w:sz w:val="24"/>
          <w:szCs w:val="24"/>
        </w:rPr>
        <w:t>Section 94B</w:t>
      </w:r>
      <w:r w:rsidRPr="009C5151">
        <w:rPr>
          <w:rFonts w:ascii="Times New Roman" w:hAnsi="Times New Roman" w:cs="Times New Roman"/>
          <w:sz w:val="24"/>
          <w:szCs w:val="24"/>
        </w:rPr>
        <w:t xml:space="preserve"> (interest deduction capped at 30% of EBITDA).</w:t>
      </w:r>
    </w:p>
    <w:p w:rsidR="00A056B6" w:rsidRPr="009C5151" w:rsidRDefault="00A056B6" w:rsidP="00743A5F">
      <w:pPr>
        <w:pStyle w:val="NormalWeb"/>
        <w:tabs>
          <w:tab w:val="num" w:pos="720"/>
        </w:tabs>
        <w:spacing w:before="0" w:beforeAutospacing="0"/>
        <w:ind w:left="720" w:hanging="360"/>
      </w:pPr>
      <w:r w:rsidRPr="009C5151">
        <w:rPr>
          <w:rStyle w:val="Strong"/>
        </w:rPr>
        <w:t>Sale of Manufacturing Unit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Benchmark ₹1,400 crore transaction using </w:t>
      </w:r>
      <w:r w:rsidRPr="009C5151">
        <w:rPr>
          <w:rStyle w:val="Strong"/>
          <w:rFonts w:ascii="Times New Roman" w:hAnsi="Times New Roman" w:cs="Times New Roman"/>
          <w:sz w:val="24"/>
          <w:szCs w:val="24"/>
        </w:rPr>
        <w:t>CUP</w:t>
      </w:r>
      <w:r w:rsidRPr="009C5151">
        <w:rPr>
          <w:rFonts w:ascii="Times New Roman" w:hAnsi="Times New Roman" w:cs="Times New Roman"/>
          <w:sz w:val="24"/>
          <w:szCs w:val="24"/>
        </w:rPr>
        <w:t xml:space="preserve"> or </w:t>
      </w:r>
      <w:r w:rsidRPr="009C5151">
        <w:rPr>
          <w:rStyle w:val="Strong"/>
          <w:rFonts w:ascii="Times New Roman" w:hAnsi="Times New Roman" w:cs="Times New Roman"/>
          <w:sz w:val="24"/>
          <w:szCs w:val="24"/>
        </w:rPr>
        <w:t>DCF valuation method</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65"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Withholding Tax (WHT)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Deduct WHT 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Royalty: ₹110 crore × 10% = ₹11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FTS: ₹90 crore × 10% = ₹9 crore.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Interest: ₹55 crore × 10% = ₹5.5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66"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3. Equalization Levy (EL)</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Levy at 6% on ₹20 crore advertising payments = ₹1.2 crore.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6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4. GAAR and Subsidiary Relocation</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Relocation to UAE</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Highlight operational advantages (e.g., proximity to Middle Eastern markets).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Ensure compliance with the </w:t>
      </w:r>
      <w:r w:rsidRPr="009C5151">
        <w:rPr>
          <w:rStyle w:val="Strong"/>
          <w:rFonts w:ascii="Times New Roman" w:hAnsi="Times New Roman" w:cs="Times New Roman"/>
          <w:sz w:val="24"/>
          <w:szCs w:val="24"/>
        </w:rPr>
        <w:t>LOB clause</w:t>
      </w:r>
      <w:r w:rsidRPr="009C5151">
        <w:rPr>
          <w:rFonts w:ascii="Times New Roman" w:hAnsi="Times New Roman" w:cs="Times New Roman"/>
          <w:sz w:val="24"/>
          <w:szCs w:val="24"/>
        </w:rPr>
        <w:t xml:space="preserve"> under the India-UAE DTAA:</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Establish substantial UAE presence with employees, office space, and operations.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68"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5. Permanent Establishment (PE)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USA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Mitigation: Ensure contracts with US customers are finalized in India.</w:t>
      </w:r>
    </w:p>
    <w:p w:rsidR="00A056B6" w:rsidRPr="009C5151" w:rsidRDefault="00A056B6" w:rsidP="00743A5F">
      <w:pPr>
        <w:pStyle w:val="NormalWeb"/>
        <w:tabs>
          <w:tab w:val="num" w:pos="720"/>
        </w:tabs>
        <w:spacing w:before="0" w:beforeAutospacing="0"/>
        <w:ind w:left="720" w:hanging="360"/>
      </w:pPr>
      <w:r w:rsidRPr="009C5151">
        <w:rPr>
          <w:rStyle w:val="Strong"/>
        </w:rPr>
        <w:t>Germany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Mitigation: Attribute profits based on </w:t>
      </w:r>
      <w:r w:rsidRPr="009C5151">
        <w:rPr>
          <w:rStyle w:val="Strong"/>
          <w:rFonts w:ascii="Times New Roman" w:hAnsi="Times New Roman" w:cs="Times New Roman"/>
          <w:sz w:val="24"/>
          <w:szCs w:val="24"/>
        </w:rPr>
        <w:t>Authorized OECD Approach (AOA)</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69"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6. Taxable Income Computation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4"/>
        <w:gridCol w:w="186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Particulars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Revenue (Exports)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2,800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Domestic Revenue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Less: Expenses: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Royalty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(110)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FTS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Interest (allowable under 94B)</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Depreciation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Add: Gain on Sale of Unit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1,400</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Taxable Income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Style w:val="Strong"/>
                <w:rFonts w:ascii="Times New Roman" w:hAnsi="Times New Roman" w:cs="Times New Roman"/>
                <w:sz w:val="24"/>
                <w:szCs w:val="24"/>
              </w:rPr>
              <w:t>4,150</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70"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7. TIEA Compliance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Provide requested details of interest payments to Russian authorities: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Loan agreements.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TRC of the Russian AE.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Bank transfer proofs.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71"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8. AAR 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Clarify the taxability of gains from the sale of the manufacturing unit under </w:t>
      </w:r>
      <w:r w:rsidRPr="009C5151">
        <w:rPr>
          <w:rStyle w:val="Strong"/>
          <w:rFonts w:ascii="Times New Roman" w:hAnsi="Times New Roman" w:cs="Times New Roman"/>
          <w:sz w:val="24"/>
          <w:szCs w:val="24"/>
        </w:rPr>
        <w:t>Article 13</w:t>
      </w:r>
      <w:r w:rsidRPr="009C5151">
        <w:rPr>
          <w:rFonts w:ascii="Times New Roman" w:hAnsi="Times New Roman" w:cs="Times New Roman"/>
          <w:sz w:val="24"/>
          <w:szCs w:val="24"/>
        </w:rPr>
        <w:t xml:space="preserve"> of the </w:t>
      </w:r>
      <w:r w:rsidRPr="009C5151">
        <w:rPr>
          <w:rStyle w:val="Strong"/>
          <w:rFonts w:ascii="Times New Roman" w:hAnsi="Times New Roman" w:cs="Times New Roman"/>
          <w:sz w:val="24"/>
          <w:szCs w:val="24"/>
        </w:rPr>
        <w:t>UN Model Convention</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72"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7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61" w:name="_Toc187624203"/>
      <w:bookmarkStart w:id="1262" w:name="_Toc187630923"/>
      <w:bookmarkStart w:id="1263" w:name="_Toc187661102"/>
      <w:bookmarkStart w:id="1264" w:name="_Toc187662181"/>
      <w:r w:rsidRPr="009C5151">
        <w:rPr>
          <w:rStyle w:val="Strong"/>
          <w:b/>
          <w:bCs/>
          <w:sz w:val="24"/>
          <w:szCs w:val="24"/>
        </w:rPr>
        <w:t>Conclusion</w:t>
      </w:r>
      <w:bookmarkEnd w:id="1261"/>
      <w:bookmarkEnd w:id="1262"/>
      <w:bookmarkEnd w:id="1263"/>
      <w:bookmarkEnd w:id="1264"/>
    </w:p>
    <w:p w:rsidR="00A056B6" w:rsidRPr="009C5151" w:rsidRDefault="00A056B6" w:rsidP="00743A5F">
      <w:pPr>
        <w:pStyle w:val="NormalWeb"/>
        <w:tabs>
          <w:tab w:val="num" w:pos="720"/>
        </w:tabs>
        <w:spacing w:before="0" w:beforeAutospacing="0"/>
        <w:ind w:left="720" w:hanging="360"/>
      </w:pPr>
      <w:r w:rsidRPr="009C5151">
        <w:rPr>
          <w:rStyle w:val="Strong"/>
        </w:rPr>
        <w:lastRenderedPageBreak/>
        <w:t>Transfer Pricing Compliance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Benchmark all international and inter-group transactions, especially royalty, FTS, and unit sale.</w:t>
      </w:r>
    </w:p>
    <w:p w:rsidR="00A056B6" w:rsidRPr="009C5151" w:rsidRDefault="00A056B6" w:rsidP="00743A5F">
      <w:pPr>
        <w:pStyle w:val="NormalWeb"/>
        <w:tabs>
          <w:tab w:val="num" w:pos="720"/>
        </w:tabs>
        <w:spacing w:before="0" w:beforeAutospacing="0"/>
        <w:ind w:left="720" w:hanging="360"/>
      </w:pPr>
      <w:r w:rsidRPr="009C5151">
        <w:rPr>
          <w:rStyle w:val="Strong"/>
        </w:rPr>
        <w:t>GAAR Mitigation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Justify the economic substance of Mauritius and UAE entities.</w:t>
      </w:r>
    </w:p>
    <w:p w:rsidR="00A056B6" w:rsidRPr="009C5151" w:rsidRDefault="00A056B6" w:rsidP="00743A5F">
      <w:pPr>
        <w:pStyle w:val="NormalWeb"/>
        <w:tabs>
          <w:tab w:val="num" w:pos="720"/>
        </w:tabs>
        <w:spacing w:before="0" w:beforeAutospacing="0"/>
        <w:ind w:left="720" w:hanging="360"/>
      </w:pPr>
      <w:r w:rsidRPr="009C5151">
        <w:rPr>
          <w:rStyle w:val="Strong"/>
        </w:rPr>
        <w:t>PE Risks</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Mitigate USA and Germany PE risks by restricting local subsidiary roles.</w:t>
      </w:r>
    </w:p>
    <w:p w:rsidR="00A056B6" w:rsidRPr="009C5151" w:rsidRDefault="00A056B6" w:rsidP="00743A5F">
      <w:pPr>
        <w:pStyle w:val="NormalWeb"/>
        <w:tabs>
          <w:tab w:val="num" w:pos="720"/>
        </w:tabs>
        <w:spacing w:before="0" w:beforeAutospacing="0"/>
        <w:ind w:left="720" w:hanging="360"/>
      </w:pPr>
      <w:r w:rsidRPr="009C5151">
        <w:rPr>
          <w:rStyle w:val="Strong"/>
        </w:rPr>
        <w:t>Taxable Income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Ensure proper adjustments and inclusion of capital gains.</w:t>
      </w:r>
    </w:p>
    <w:p w:rsidR="00A056B6" w:rsidRPr="009C5151" w:rsidRDefault="00A056B6" w:rsidP="00743A5F">
      <w:pPr>
        <w:pStyle w:val="NormalWeb"/>
        <w:tabs>
          <w:tab w:val="num" w:pos="720"/>
        </w:tabs>
        <w:spacing w:before="0" w:beforeAutospacing="0"/>
        <w:ind w:left="720" w:hanging="360"/>
      </w:pPr>
      <w:r w:rsidRPr="009C5151">
        <w:rPr>
          <w:rStyle w:val="Strong"/>
        </w:rPr>
        <w:t>AAR Ruling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Seek clarity for taxability under the UN Model Convention.</w:t>
      </w:r>
    </w:p>
    <w:p w:rsidR="00A056B6" w:rsidRPr="009C5151" w:rsidRDefault="00A056B6" w:rsidP="00743A5F">
      <w:pPr>
        <w:pStyle w:val="NormalWeb"/>
        <w:tabs>
          <w:tab w:val="num" w:pos="720"/>
        </w:tabs>
        <w:spacing w:before="0" w:beforeAutospacing="0"/>
        <w:ind w:left="720" w:hanging="360"/>
      </w:pPr>
      <w:r w:rsidRPr="009C5151">
        <w:rPr>
          <w:rStyle w:val="Strong"/>
        </w:rPr>
        <w:t>CbC Reporting</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Submit jurisdiction-wise financial and operational data accurately.</w:t>
      </w:r>
    </w:p>
    <w:p w:rsidR="00A056B6" w:rsidRPr="009C5151" w:rsidRDefault="00A056B6" w:rsidP="00743A5F">
      <w:pPr>
        <w:pStyle w:val="NormalWeb"/>
        <w:spacing w:before="0" w:beforeAutospacing="0"/>
      </w:pPr>
      <w:r w:rsidRPr="009C5151">
        <w:t xml:space="preserve">Would you like templates for </w:t>
      </w:r>
      <w:r w:rsidRPr="009C5151">
        <w:rPr>
          <w:rStyle w:val="Strong"/>
        </w:rPr>
        <w:t>AAR filing, TP documentation, PE-specific compliance, or CbC reporting</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ike templates for AAR filing, TP documentation, PE-specific compliance, or CbC reporting</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F2BDB08" wp14:editId="007EAB69">
            <wp:extent cx="763905" cy="763905"/>
            <wp:effectExtent l="0" t="0" r="0" b="0"/>
            <wp:docPr id="272" name="Picture 27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7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Heading3"/>
        <w:spacing w:before="0" w:beforeAutospacing="0"/>
        <w:rPr>
          <w:sz w:val="24"/>
          <w:szCs w:val="24"/>
        </w:rPr>
      </w:pPr>
      <w:bookmarkStart w:id="1265" w:name="_Toc187624204"/>
      <w:bookmarkStart w:id="1266" w:name="_Toc187630924"/>
      <w:bookmarkStart w:id="1267" w:name="_Toc187661103"/>
      <w:bookmarkStart w:id="1268" w:name="_Toc187662182"/>
      <w:r w:rsidRPr="009C5151">
        <w:rPr>
          <w:rStyle w:val="Strong"/>
          <w:b/>
          <w:bCs/>
          <w:sz w:val="24"/>
          <w:szCs w:val="24"/>
        </w:rPr>
        <w:t>Templates for AAR Filing, TP Documentation, PE-Specific Compliance, and CbC Reporting</w:t>
      </w:r>
      <w:bookmarkEnd w:id="1265"/>
      <w:bookmarkEnd w:id="1266"/>
      <w:bookmarkEnd w:id="1267"/>
      <w:bookmarkEnd w:id="1268"/>
    </w:p>
    <w:p w:rsidR="00A056B6" w:rsidRPr="009C5151" w:rsidRDefault="00A056B6" w:rsidP="00743A5F">
      <w:pPr>
        <w:pStyle w:val="NormalWeb"/>
        <w:spacing w:before="0" w:beforeAutospacing="0"/>
      </w:pPr>
      <w:r w:rsidRPr="009C5151">
        <w:t xml:space="preserve">Here are ready-to-use templates tailored for </w:t>
      </w:r>
      <w:r w:rsidRPr="009C5151">
        <w:rPr>
          <w:rStyle w:val="Strong"/>
        </w:rPr>
        <w:t>Advance Ruling (AAR) Filing</w:t>
      </w:r>
      <w:r w:rsidRPr="009C5151">
        <w:t xml:space="preserve">, </w:t>
      </w:r>
      <w:r w:rsidRPr="009C5151">
        <w:rPr>
          <w:rStyle w:val="Strong"/>
        </w:rPr>
        <w:t>Transfer Pricing (TP) Documentation</w:t>
      </w:r>
      <w:r w:rsidRPr="009C5151">
        <w:t xml:space="preserve">, </w:t>
      </w:r>
      <w:r w:rsidRPr="009C5151">
        <w:rPr>
          <w:rStyle w:val="Strong"/>
        </w:rPr>
        <w:t>Permanent Establishment (PE) Compliance</w:t>
      </w:r>
      <w:r w:rsidRPr="009C5151">
        <w:t xml:space="preserve">, and </w:t>
      </w:r>
      <w:r w:rsidRPr="009C5151">
        <w:rPr>
          <w:rStyle w:val="Strong"/>
        </w:rPr>
        <w:t>Country-by-Country (CbC) Reporting</w:t>
      </w:r>
      <w:r w:rsidRPr="009C5151">
        <w:t>.</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7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69" w:name="_Toc187624205"/>
      <w:bookmarkStart w:id="1270" w:name="_Toc187630925"/>
      <w:bookmarkStart w:id="1271" w:name="_Toc187661104"/>
      <w:bookmarkStart w:id="1272" w:name="_Toc187662183"/>
      <w:r w:rsidRPr="009C5151">
        <w:rPr>
          <w:rStyle w:val="Strong"/>
          <w:b/>
          <w:bCs/>
          <w:sz w:val="24"/>
          <w:szCs w:val="24"/>
        </w:rPr>
        <w:t>I. AAR Filing Template</w:t>
      </w:r>
      <w:bookmarkEnd w:id="1269"/>
      <w:bookmarkEnd w:id="1270"/>
      <w:bookmarkEnd w:id="1271"/>
      <w:bookmarkEnd w:id="1272"/>
    </w:p>
    <w:p w:rsidR="00A056B6" w:rsidRPr="009C5151" w:rsidRDefault="00A056B6" w:rsidP="00743A5F">
      <w:pPr>
        <w:pStyle w:val="Heading4"/>
        <w:spacing w:before="0" w:beforeAutospacing="0"/>
      </w:pPr>
      <w:r w:rsidRPr="009C5151">
        <w:rPr>
          <w:rStyle w:val="Strong"/>
          <w:b/>
          <w:bCs/>
        </w:rPr>
        <w:t>Advance Ruling Application</w:t>
      </w:r>
    </w:p>
    <w:p w:rsidR="00A056B6" w:rsidRPr="009C5151" w:rsidRDefault="00A056B6" w:rsidP="00743A5F">
      <w:pPr>
        <w:pStyle w:val="NormalWeb"/>
        <w:spacing w:before="0" w:beforeAutospacing="0"/>
      </w:pPr>
      <w:r w:rsidRPr="009C5151">
        <w:rPr>
          <w:rStyle w:val="Strong"/>
        </w:rPr>
        <w:lastRenderedPageBreak/>
        <w:t>[On Company Letterhead]</w:t>
      </w:r>
    </w:p>
    <w:p w:rsidR="00A056B6" w:rsidRPr="009C5151" w:rsidRDefault="00A056B6" w:rsidP="00743A5F">
      <w:pPr>
        <w:pStyle w:val="NormalWeb"/>
        <w:spacing w:before="0" w:beforeAutospacing="0"/>
      </w:pPr>
      <w:r w:rsidRPr="009C5151">
        <w:rPr>
          <w:rStyle w:val="Strong"/>
        </w:rPr>
        <w:t>To,</w:t>
      </w:r>
      <w:r w:rsidRPr="009C5151">
        <w:br/>
        <w:t>The Secretary,</w:t>
      </w:r>
      <w:r w:rsidRPr="009C5151">
        <w:br/>
        <w:t>Authority for Advance Rulings (Income Tax),</w:t>
      </w:r>
      <w:r w:rsidRPr="009C5151">
        <w:br/>
        <w:t>[Address], India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75"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Subject</w:t>
      </w:r>
      <w:r w:rsidRPr="009C5151">
        <w:t>: Application for Advance Ruling Under Section 245Q of the Income-tax Act, 1961</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76"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Applicant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Name</w:t>
      </w:r>
      <w:r w:rsidRPr="009C5151">
        <w:rPr>
          <w:rFonts w:ascii="Times New Roman" w:hAnsi="Times New Roman" w:cs="Times New Roman"/>
          <w:sz w:val="24"/>
          <w:szCs w:val="24"/>
        </w:rPr>
        <w:t>: BrightGrid Pvt.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PAN</w:t>
      </w:r>
      <w:r w:rsidRPr="009C5151">
        <w:rPr>
          <w:rFonts w:ascii="Times New Roman" w:hAnsi="Times New Roman" w:cs="Times New Roman"/>
          <w:sz w:val="24"/>
          <w:szCs w:val="24"/>
        </w:rPr>
        <w:t>: XXXXX1234X</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Address</w:t>
      </w:r>
      <w:r w:rsidRPr="009C5151">
        <w:rPr>
          <w:rFonts w:ascii="Times New Roman" w:hAnsi="Times New Roman" w:cs="Times New Roman"/>
          <w:sz w:val="24"/>
          <w:szCs w:val="24"/>
        </w:rPr>
        <w:t>: [Registered Address]</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77"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Transaction Details</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Transaction Type</w:t>
      </w:r>
      <w:r w:rsidRPr="009C5151">
        <w:rPr>
          <w:rFonts w:ascii="Times New Roman" w:hAnsi="Times New Roman" w:cs="Times New Roman"/>
          <w:sz w:val="24"/>
          <w:szCs w:val="24"/>
        </w:rPr>
        <w:t>: Sale of manufacturing unit located in India.</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Sale Value</w:t>
      </w:r>
      <w:r w:rsidRPr="009C5151">
        <w:rPr>
          <w:rFonts w:ascii="Times New Roman" w:hAnsi="Times New Roman" w:cs="Times New Roman"/>
          <w:sz w:val="24"/>
          <w:szCs w:val="24"/>
        </w:rPr>
        <w:t>: ₹1,400 crore.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Buyer</w:t>
      </w:r>
      <w:r w:rsidRPr="009C5151">
        <w:rPr>
          <w:rFonts w:ascii="Times New Roman" w:hAnsi="Times New Roman" w:cs="Times New Roman"/>
          <w:sz w:val="24"/>
          <w:szCs w:val="24"/>
        </w:rPr>
        <w:t>: BrightGrid Singapore Pte Ltd.</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78"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Questions for Advance Ruling</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capital gains arising from the sale of the manufacturing unit are taxable under Section 9 of the Income-tax Act, 1961.</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Applicability of Article 13 of the UN Model Convention concerning the taxation of such gains.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India-Singapore DTAA provides relief or exemption from capital gains tax.</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79"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Supporting Documents Attached</w:t>
      </w:r>
      <w:r w:rsidRPr="009C5151">
        <w:t>:</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Sale Agreement with BrightGrid Singapore Pte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Valuation Report certified by an independent valuer.</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Tax Residency Certificate (TRC) and Form 10F of BrightGrid Singapore Pte Ltd.</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Functional and Risk Analysis of the Indian unit’s operations.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lastRenderedPageBreak/>
        <w:t>Board Resolution approving the sale.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80"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Declaration</w:t>
      </w:r>
      <w:r w:rsidRPr="009C5151">
        <w:t>:</w:t>
      </w:r>
      <w:r w:rsidRPr="009C5151">
        <w:br/>
        <w:t>I declare that the information provided above is true, correct, and complete to the best of my knowledge and belief.</w:t>
      </w:r>
    </w:p>
    <w:p w:rsidR="00A056B6" w:rsidRPr="009C5151" w:rsidRDefault="00A056B6" w:rsidP="00743A5F">
      <w:pPr>
        <w:pStyle w:val="NormalWeb"/>
        <w:spacing w:before="0" w:beforeAutospacing="0"/>
      </w:pPr>
      <w:r w:rsidRPr="009C5151">
        <w:rPr>
          <w:rStyle w:val="Strong"/>
        </w:rPr>
        <w:t>Signed</w:t>
      </w:r>
      <w:r w:rsidRPr="009C5151">
        <w:t>:</w:t>
      </w:r>
      <w:r w:rsidRPr="009C5151">
        <w:br/>
        <w:t>For BrightGrid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81" style="width:0;height:1.5pt" o:hralign="center" o:hrstd="t" o:hr="t" fillcolor="#a0a0a0" stroked="f"/>
        </w:pict>
      </w:r>
    </w:p>
    <w:p w:rsidR="00A056B6" w:rsidRPr="009C5151" w:rsidRDefault="00A056B6" w:rsidP="00743A5F">
      <w:pPr>
        <w:pStyle w:val="NormalWeb"/>
        <w:spacing w:before="0" w:beforeAutospacing="0"/>
      </w:pPr>
      <w:r w:rsidRPr="009C5151">
        <w:t>Authorized Signatory</w:t>
      </w:r>
    </w:p>
    <w:p w:rsidR="00A056B6" w:rsidRPr="009C5151" w:rsidRDefault="00A056B6" w:rsidP="00743A5F">
      <w:pPr>
        <w:pStyle w:val="NormalWeb"/>
        <w:spacing w:before="0" w:beforeAutospacing="0"/>
      </w:pPr>
      <w:r w:rsidRPr="009C5151">
        <w:t>Date: [Date]</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82"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8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73" w:name="_Toc187624206"/>
      <w:bookmarkStart w:id="1274" w:name="_Toc187630926"/>
      <w:bookmarkStart w:id="1275" w:name="_Toc187661105"/>
      <w:bookmarkStart w:id="1276" w:name="_Toc187662184"/>
      <w:r w:rsidRPr="009C5151">
        <w:rPr>
          <w:rStyle w:val="Strong"/>
          <w:b/>
          <w:bCs/>
          <w:sz w:val="24"/>
          <w:szCs w:val="24"/>
        </w:rPr>
        <w:t>II. Transfer Pricing (TP) Documentation Template</w:t>
      </w:r>
      <w:bookmarkEnd w:id="1273"/>
      <w:bookmarkEnd w:id="1274"/>
      <w:bookmarkEnd w:id="1275"/>
      <w:bookmarkEnd w:id="1276"/>
    </w:p>
    <w:p w:rsidR="00A056B6" w:rsidRPr="009C5151" w:rsidRDefault="00A056B6" w:rsidP="00743A5F">
      <w:pPr>
        <w:pStyle w:val="Heading4"/>
        <w:spacing w:before="0" w:beforeAutospacing="0"/>
      </w:pPr>
      <w:r w:rsidRPr="009C5151">
        <w:rPr>
          <w:rStyle w:val="Strong"/>
          <w:b/>
          <w:bCs/>
        </w:rPr>
        <w:t>Transfer Pricing Functional and Risk Analysis</w:t>
      </w:r>
    </w:p>
    <w:p w:rsidR="00A056B6" w:rsidRPr="009C5151" w:rsidRDefault="00A056B6" w:rsidP="00743A5F">
      <w:pPr>
        <w:pStyle w:val="NormalWeb"/>
        <w:spacing w:before="0" w:beforeAutospacing="0"/>
      </w:pPr>
      <w:r w:rsidRPr="009C5151">
        <w:rPr>
          <w:rStyle w:val="Strong"/>
        </w:rPr>
        <w:t>[Prepared for BrightGrid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84"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1. Business Overview</w:t>
      </w:r>
      <w:r w:rsidRPr="009C5151">
        <w:br/>
        <w:t>BrightGrid Pvt. Ltd. manufactures and exports smart grid technology solutions globally, operating subsidiaries in key jurisdictions, including USA, UK, Germany, Singapore, and Russia.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85"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2. Functional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2"/>
        <w:gridCol w:w="2953"/>
        <w:gridCol w:w="3814"/>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Function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Indian Entity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Performed by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Production of smart grids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Global strategy and branding</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Local market execution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Core technology development</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Application-specific R&amp;D in Germany</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86"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3. Risk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9"/>
        <w:gridCol w:w="2753"/>
        <w:gridCol w:w="4361"/>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Risk</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Managed by Indian HQ</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Managed by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Fully borne by Indian entity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Minimal local risks managed by subsidiaries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IP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Managed centrally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Financial Risk</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Controlled by Indian HQ</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None</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87"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4. Benchmarking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15"/>
        <w:gridCol w:w="1427"/>
        <w:gridCol w:w="1974"/>
        <w:gridCol w:w="1400"/>
        <w:gridCol w:w="130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Transaction Type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Method Used</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Benchmark Range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Actual Value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Compliance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Export of Smart Grids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TNMM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10%-14% Margin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Royalty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6%-8% Rate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7%</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FTS Payments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CPM</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12%-15% Markup</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Segoe UI Symbol" w:hAnsi="Segoe UI Symbol" w:cs="Segoe UI Symbol"/>
                <w:sz w:val="24"/>
                <w:szCs w:val="24"/>
              </w:rPr>
              <w:t>✅</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88"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8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77" w:name="_Toc187624207"/>
      <w:bookmarkStart w:id="1278" w:name="_Toc187630927"/>
      <w:bookmarkStart w:id="1279" w:name="_Toc187661106"/>
      <w:bookmarkStart w:id="1280" w:name="_Toc187662185"/>
      <w:r w:rsidRPr="009C5151">
        <w:rPr>
          <w:rStyle w:val="Strong"/>
          <w:b/>
          <w:bCs/>
          <w:sz w:val="24"/>
          <w:szCs w:val="24"/>
        </w:rPr>
        <w:t>III. PE-Specific Compliance Template</w:t>
      </w:r>
      <w:bookmarkEnd w:id="1277"/>
      <w:bookmarkEnd w:id="1278"/>
      <w:bookmarkEnd w:id="1279"/>
      <w:bookmarkEnd w:id="1280"/>
    </w:p>
    <w:p w:rsidR="00A056B6" w:rsidRPr="009C5151" w:rsidRDefault="00A056B6" w:rsidP="00743A5F">
      <w:pPr>
        <w:pStyle w:val="Heading4"/>
        <w:spacing w:before="0" w:beforeAutospacing="0"/>
      </w:pPr>
      <w:r w:rsidRPr="009C5151">
        <w:rPr>
          <w:rStyle w:val="Strong"/>
          <w:b/>
          <w:bCs/>
        </w:rPr>
        <w:t>Permanent Establishment (PE) Documentation</w:t>
      </w:r>
    </w:p>
    <w:p w:rsidR="00A056B6" w:rsidRPr="009C5151" w:rsidRDefault="00A056B6" w:rsidP="00743A5F">
      <w:pPr>
        <w:pStyle w:val="NormalWeb"/>
        <w:spacing w:before="0" w:beforeAutospacing="0"/>
      </w:pPr>
      <w:r w:rsidRPr="009C5151">
        <w:rPr>
          <w:rStyle w:val="Strong"/>
        </w:rPr>
        <w:t>[Prepared for BrightGrid Pvt. Ltd.]</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90"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A. Overview of Permanent Establishments by Jurisdiction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9"/>
        <w:gridCol w:w="1870"/>
        <w:gridCol w:w="1479"/>
        <w:gridCol w:w="1607"/>
        <w:gridCol w:w="3101"/>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Country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Activity</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PE Risk</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Relevant Article (DTAA)</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Mitigation Steps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and distribution</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Dependent Agent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Article 5(5)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Ensure USA subsidiary does not conclude contracts.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facility and consultancy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Fixed Place PE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Article 5(1)</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Attribute profits using the Authorized OECD Approach (AOA).</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91"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B. Profit Attribution to PE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1829"/>
        <w:gridCol w:w="1455"/>
        <w:gridCol w:w="2100"/>
        <w:gridCol w:w="758"/>
        <w:gridCol w:w="1582"/>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from PE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Expenses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Attributable 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Rate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Amount (₹ crore)</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370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pict>
          <v:rect id="_x0000_i1892" style="width:0;height:1.5pt" o:hralign="center" o:hrstd="t" o:hr="t" fillcolor="#a0a0a0" stroked="f"/>
        </w:pict>
      </w:r>
    </w:p>
    <w:p w:rsidR="00A056B6" w:rsidRPr="009C5151" w:rsidRDefault="00A056B6" w:rsidP="00743A5F">
      <w:pPr>
        <w:pStyle w:val="NormalWeb"/>
        <w:spacing w:before="0" w:beforeAutospacing="0"/>
      </w:pPr>
      <w:r w:rsidRPr="009C5151">
        <w:rPr>
          <w:rStyle w:val="Strong"/>
        </w:rPr>
        <w:t>C. Mitigation Measures</w:t>
      </w:r>
    </w:p>
    <w:p w:rsidR="00A056B6" w:rsidRPr="009C5151" w:rsidRDefault="00A056B6" w:rsidP="00743A5F">
      <w:pPr>
        <w:pStyle w:val="NormalWeb"/>
        <w:tabs>
          <w:tab w:val="num" w:pos="720"/>
        </w:tabs>
        <w:spacing w:before="0" w:beforeAutospacing="0"/>
        <w:ind w:left="720" w:hanging="360"/>
      </w:pPr>
      <w:r w:rsidRPr="009C5151">
        <w:rPr>
          <w:rStyle w:val="Strong"/>
        </w:rPr>
        <w:t>For USA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Limit the authority of the USA subsidiary to negotiate and finalize contracts.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Clearly document inter-company agreements defining roles of the USA subsidiary.</w:t>
      </w:r>
    </w:p>
    <w:p w:rsidR="00A056B6" w:rsidRPr="009C5151" w:rsidRDefault="00A056B6" w:rsidP="00743A5F">
      <w:pPr>
        <w:pStyle w:val="NormalWeb"/>
        <w:tabs>
          <w:tab w:val="num" w:pos="720"/>
        </w:tabs>
        <w:spacing w:before="0" w:beforeAutospacing="0"/>
        <w:ind w:left="720" w:hanging="360"/>
      </w:pPr>
      <w:r w:rsidRPr="009C5151">
        <w:rPr>
          <w:rStyle w:val="Strong"/>
        </w:rPr>
        <w:t>For Germany PE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 comprehensive documentation of R&amp;D activities.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Attribute profits based on </w:t>
      </w:r>
      <w:r w:rsidRPr="009C5151">
        <w:rPr>
          <w:rStyle w:val="Strong"/>
          <w:rFonts w:ascii="Times New Roman" w:hAnsi="Times New Roman" w:cs="Times New Roman"/>
          <w:sz w:val="24"/>
          <w:szCs w:val="24"/>
        </w:rPr>
        <w:t>functions performed, assets used, and risks borne</w:t>
      </w:r>
      <w:r w:rsidRPr="009C5151">
        <w:rPr>
          <w:rFonts w:ascii="Times New Roman" w:hAnsi="Times New Roman" w:cs="Times New Roman"/>
          <w:sz w:val="24"/>
          <w:szCs w:val="24"/>
        </w:rPr>
        <w:t xml:space="preserve"> in compliance with the OECD AOA.</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93"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9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81" w:name="_Toc187624208"/>
      <w:bookmarkStart w:id="1282" w:name="_Toc187630928"/>
      <w:bookmarkStart w:id="1283" w:name="_Toc187661107"/>
      <w:bookmarkStart w:id="1284" w:name="_Toc187662186"/>
      <w:r w:rsidRPr="009C5151">
        <w:rPr>
          <w:rStyle w:val="Strong"/>
          <w:b/>
          <w:bCs/>
          <w:sz w:val="24"/>
          <w:szCs w:val="24"/>
        </w:rPr>
        <w:t>IV. CbC Reporting Template</w:t>
      </w:r>
      <w:bookmarkEnd w:id="1281"/>
      <w:bookmarkEnd w:id="1282"/>
      <w:bookmarkEnd w:id="1283"/>
      <w:bookmarkEnd w:id="1284"/>
    </w:p>
    <w:p w:rsidR="00A056B6" w:rsidRPr="009C5151" w:rsidRDefault="00A056B6" w:rsidP="00743A5F">
      <w:pPr>
        <w:pStyle w:val="Heading4"/>
        <w:spacing w:before="0" w:beforeAutospacing="0"/>
      </w:pPr>
      <w:r w:rsidRPr="009C5151">
        <w:rPr>
          <w:rStyle w:val="Strong"/>
          <w:b/>
          <w:bCs/>
        </w:rPr>
        <w:t>CbC Reporting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2"/>
        <w:gridCol w:w="1589"/>
        <w:gridCol w:w="1318"/>
        <w:gridCol w:w="1543"/>
        <w:gridCol w:w="1167"/>
        <w:gridCol w:w="2107"/>
      </w:tblGrid>
      <w:tr w:rsidR="00A056B6" w:rsidRPr="009C5151" w:rsidTr="003B6437">
        <w:trPr>
          <w:tblHeader/>
          <w:tblCellSpacing w:w="15" w:type="dxa"/>
        </w:trPr>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Jurisdiction</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Revenue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Profit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Tax Paid (₹ crore)</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Employees</w:t>
            </w:r>
          </w:p>
        </w:tc>
        <w:tc>
          <w:tcPr>
            <w:tcW w:w="0" w:type="auto"/>
            <w:vAlign w:val="center"/>
            <w:hideMark/>
          </w:tcPr>
          <w:p w:rsidR="00A056B6" w:rsidRPr="009C5151" w:rsidRDefault="00A056B6" w:rsidP="00743A5F">
            <w:pPr>
              <w:spacing w:line="240" w:lineRule="auto"/>
              <w:jc w:val="center"/>
              <w:rPr>
                <w:rFonts w:ascii="Times New Roman" w:hAnsi="Times New Roman" w:cs="Times New Roman"/>
                <w:b/>
                <w:bCs/>
                <w:sz w:val="24"/>
                <w:szCs w:val="24"/>
              </w:rPr>
            </w:pPr>
            <w:r w:rsidRPr="009C5151">
              <w:rPr>
                <w:rStyle w:val="Strong"/>
                <w:rFonts w:ascii="Times New Roman" w:hAnsi="Times New Roman" w:cs="Times New Roman"/>
                <w:sz w:val="24"/>
                <w:szCs w:val="24"/>
              </w:rPr>
              <w:t>Key Functions</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India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2,800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800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3,500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Manufacturing, R&amp;D</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USA</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12.5</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600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Marketing, Distribution</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Germany</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9</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400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R&amp;D, Consultancy</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Singapore</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150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Licensing, Support</w:t>
            </w:r>
          </w:p>
        </w:tc>
      </w:tr>
      <w:tr w:rsidR="00A056B6" w:rsidRPr="009C5151" w:rsidTr="003B6437">
        <w:trPr>
          <w:tblCellSpacing w:w="15" w:type="dxa"/>
        </w:trPr>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Mauritius</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130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20</w:t>
            </w:r>
          </w:p>
        </w:tc>
        <w:tc>
          <w:tcPr>
            <w:tcW w:w="0" w:type="auto"/>
            <w:vAlign w:val="center"/>
            <w:hideMark/>
          </w:tcPr>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Holding Company</w:t>
            </w:r>
          </w:p>
        </w:tc>
      </w:tr>
    </w:tbl>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95" style="width:0;height:1.5pt" o:hralign="center" o:hrstd="t" o:hr="t" fillcolor="#a0a0a0" stroked="f"/>
        </w:pic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96"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85" w:name="_Toc187624209"/>
      <w:bookmarkStart w:id="1286" w:name="_Toc187630929"/>
      <w:bookmarkStart w:id="1287" w:name="_Toc187661108"/>
      <w:bookmarkStart w:id="1288" w:name="_Toc187662187"/>
      <w:r w:rsidRPr="009C5151">
        <w:rPr>
          <w:rStyle w:val="Strong"/>
          <w:b/>
          <w:bCs/>
          <w:sz w:val="24"/>
          <w:szCs w:val="24"/>
        </w:rPr>
        <w:t>V. Portal Submission Assistance</w:t>
      </w:r>
      <w:bookmarkEnd w:id="1285"/>
      <w:bookmarkEnd w:id="1286"/>
      <w:bookmarkEnd w:id="1287"/>
      <w:bookmarkEnd w:id="1288"/>
    </w:p>
    <w:p w:rsidR="00A056B6" w:rsidRPr="009C5151" w:rsidRDefault="00A056B6" w:rsidP="00743A5F">
      <w:pPr>
        <w:pStyle w:val="Heading4"/>
        <w:spacing w:before="0" w:beforeAutospacing="0"/>
      </w:pPr>
      <w:r w:rsidRPr="009C5151">
        <w:rPr>
          <w:rStyle w:val="Strong"/>
          <w:b/>
          <w:bCs/>
        </w:rPr>
        <w:t>1. AAR Filing</w:t>
      </w:r>
    </w:p>
    <w:p w:rsidR="00A056B6" w:rsidRPr="009C5151" w:rsidRDefault="00A056B6" w:rsidP="00743A5F">
      <w:pPr>
        <w:pStyle w:val="NormalWeb"/>
        <w:tabs>
          <w:tab w:val="num" w:pos="720"/>
        </w:tabs>
        <w:spacing w:before="0" w:beforeAutospacing="0"/>
        <w:ind w:left="720" w:hanging="360"/>
      </w:pPr>
      <w:r w:rsidRPr="009C5151">
        <w:rPr>
          <w:rStyle w:val="Strong"/>
        </w:rPr>
        <w:t>Prepare the Application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Use the template provided above and ensure all supporting documents are attached.</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Online Submission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Log in to the Income Tax e-Filing Portal.</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Navigate to </w:t>
      </w:r>
      <w:r w:rsidRPr="009C5151">
        <w:rPr>
          <w:rStyle w:val="Strong"/>
          <w:rFonts w:ascii="Times New Roman" w:hAnsi="Times New Roman" w:cs="Times New Roman"/>
          <w:sz w:val="24"/>
          <w:szCs w:val="24"/>
        </w:rPr>
        <w:t>e-File → File Advance Ruling Application</w:t>
      </w:r>
      <w:r w:rsidRPr="009C5151">
        <w:rPr>
          <w:rFonts w:ascii="Times New Roman" w:hAnsi="Times New Roman" w:cs="Times New Roman"/>
          <w:sz w:val="24"/>
          <w:szCs w:val="24"/>
        </w:rPr>
        <w:t xml:space="preserve"> and complete the required steps.</w:t>
      </w:r>
    </w:p>
    <w:p w:rsidR="00A056B6" w:rsidRPr="009C5151" w:rsidRDefault="00A056B6" w:rsidP="00743A5F">
      <w:pPr>
        <w:pStyle w:val="NormalWeb"/>
        <w:tabs>
          <w:tab w:val="num" w:pos="720"/>
        </w:tabs>
        <w:spacing w:before="0" w:beforeAutospacing="0"/>
        <w:ind w:left="720" w:hanging="360"/>
      </w:pPr>
      <w:r w:rsidRPr="009C5151">
        <w:rPr>
          <w:rStyle w:val="Strong"/>
        </w:rPr>
        <w:t>Offline Submission</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Submit the application and supporting documents to the nearest AAR office.</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97" style="width:0;height:1.5pt" o:hralign="center" o:hrstd="t" o:hr="t" fillcolor="#a0a0a0" stroked="f"/>
        </w:pict>
      </w:r>
    </w:p>
    <w:p w:rsidR="00A056B6" w:rsidRPr="009C5151" w:rsidRDefault="00A056B6" w:rsidP="00743A5F">
      <w:pPr>
        <w:pStyle w:val="Heading4"/>
        <w:spacing w:before="0" w:beforeAutospacing="0"/>
      </w:pPr>
      <w:r w:rsidRPr="009C5151">
        <w:rPr>
          <w:rStyle w:val="Strong"/>
          <w:b/>
          <w:bCs/>
        </w:rPr>
        <w:t>2. CbC Reporting</w:t>
      </w:r>
    </w:p>
    <w:p w:rsidR="00A056B6" w:rsidRPr="009C5151" w:rsidRDefault="00A056B6" w:rsidP="00743A5F">
      <w:pPr>
        <w:pStyle w:val="NormalWeb"/>
        <w:tabs>
          <w:tab w:val="num" w:pos="720"/>
        </w:tabs>
        <w:spacing w:before="0" w:beforeAutospacing="0"/>
        <w:ind w:left="720" w:hanging="360"/>
      </w:pPr>
      <w:r w:rsidRPr="009C5151">
        <w:rPr>
          <w:rStyle w:val="Strong"/>
        </w:rPr>
        <w:t>Prepare the Report</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Consolidate financial data in XML format using prescribed templates.</w:t>
      </w:r>
    </w:p>
    <w:p w:rsidR="00A056B6" w:rsidRPr="009C5151" w:rsidRDefault="00A056B6" w:rsidP="00743A5F">
      <w:pPr>
        <w:pStyle w:val="NormalWeb"/>
        <w:tabs>
          <w:tab w:val="num" w:pos="720"/>
        </w:tabs>
        <w:spacing w:before="0" w:beforeAutospacing="0"/>
        <w:ind w:left="720" w:hanging="360"/>
      </w:pPr>
      <w:r w:rsidRPr="009C5151">
        <w:rPr>
          <w:rStyle w:val="Strong"/>
        </w:rPr>
        <w:t>Submit Online</w:t>
      </w:r>
      <w:r w:rsidRPr="009C5151">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Log in to the Income Tax Portal and navigate to </w:t>
      </w:r>
      <w:r w:rsidRPr="009C5151">
        <w:rPr>
          <w:rStyle w:val="Strong"/>
          <w:rFonts w:ascii="Times New Roman" w:hAnsi="Times New Roman" w:cs="Times New Roman"/>
          <w:sz w:val="24"/>
          <w:szCs w:val="24"/>
        </w:rPr>
        <w:t>e-File → File CbC Report</w:t>
      </w:r>
      <w:r w:rsidRPr="009C5151">
        <w:rPr>
          <w:rFonts w:ascii="Times New Roman" w:hAnsi="Times New Roman" w:cs="Times New Roman"/>
          <w:sz w:val="24"/>
          <w:szCs w:val="24"/>
        </w:rPr>
        <w: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Upload the XML file and verify using </w:t>
      </w:r>
      <w:r w:rsidRPr="009C5151">
        <w:rPr>
          <w:rStyle w:val="Strong"/>
          <w:rFonts w:ascii="Times New Roman" w:hAnsi="Times New Roman" w:cs="Times New Roman"/>
          <w:sz w:val="24"/>
          <w:szCs w:val="24"/>
        </w:rPr>
        <w:t>Digital Signature Certificate (DSC)</w:t>
      </w:r>
      <w:r w:rsidRPr="009C5151">
        <w:rPr>
          <w:rFonts w:ascii="Times New Roman" w:hAnsi="Times New Roman" w:cs="Times New Roman"/>
          <w:sz w:val="24"/>
          <w:szCs w:val="24"/>
        </w:rPr>
        <w:t>.</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898" style="width:0;height:1.5pt" o:hralign="center" o:hrstd="t" o:hr="t" fillcolor="#a0a0a0" stroked="f"/>
        </w:pict>
      </w:r>
    </w:p>
    <w:p w:rsidR="00A056B6" w:rsidRPr="009C5151" w:rsidRDefault="00A056B6" w:rsidP="00743A5F">
      <w:pPr>
        <w:pStyle w:val="NormalWeb"/>
        <w:spacing w:before="0" w:beforeAutospacing="0"/>
      </w:pPr>
      <w:r w:rsidRPr="009C5151">
        <w:t xml:space="preserve">Would you like further </w:t>
      </w:r>
      <w:r w:rsidRPr="009C5151">
        <w:rPr>
          <w:rStyle w:val="Strong"/>
        </w:rPr>
        <w:t>customization, portal submission steps, or specific assistance for any of these templates</w:t>
      </w:r>
      <w:r w:rsidRPr="009C5151">
        <w:t>? Let me know!</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following decided cases in International taxation by covering the following aspects : Facts, Parties involved, Citation, Case reference, Issues, respective party's arguments, court's analysis, Ruling &amp; Reasoning. - General Motors Company, Usa vs Acit Circlr International Taxation ... on 5 September, 2024</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6828508" wp14:editId="28364BFD">
            <wp:extent cx="763905" cy="763905"/>
            <wp:effectExtent l="0" t="0" r="0" b="0"/>
            <wp:docPr id="271" name="Picture 27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9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General Motors Company, USA vs. ACIT, Circle International Taxation</w:t>
      </w:r>
      <w:r w:rsidRPr="009C5151">
        <w:t xml:space="preserve">, decided on </w:t>
      </w:r>
      <w:r w:rsidRPr="009C5151">
        <w:rPr>
          <w:rStyle w:val="Strong"/>
        </w:rPr>
        <w:t>September 5, 2024</w:t>
      </w:r>
      <w:r w:rsidRPr="009C5151">
        <w:t xml:space="preserve">, the </w:t>
      </w:r>
      <w:r w:rsidRPr="009C5151">
        <w:rPr>
          <w:rStyle w:val="Strong"/>
        </w:rPr>
        <w:t>Income Tax Appellate Tribunal (ITAT) Delhi Bench</w:t>
      </w:r>
      <w:r w:rsidRPr="009C5151">
        <w:t xml:space="preserve"> addressed the eligibility of a U.S. Limited Liability Company (LLC) to claim benefits under the </w:t>
      </w:r>
      <w:r w:rsidRPr="009C5151">
        <w:rPr>
          <w:rStyle w:val="Strong"/>
        </w:rPr>
        <w:t>India-USA Double Taxation Avoidance Agreement (DTAA)</w:t>
      </w:r>
      <w:r w:rsidRPr="009C5151">
        <w:t>.</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General Motors Company, USA, an LLC incorporated in Delaware.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Assessment Years:</w:t>
      </w:r>
      <w:r w:rsidRPr="009C5151">
        <w:t xml:space="preserve"> 2014-15 and 2015-16.</w:t>
      </w:r>
    </w:p>
    <w:p w:rsidR="00A056B6" w:rsidRPr="009C5151" w:rsidRDefault="00A056B6" w:rsidP="00743A5F">
      <w:pPr>
        <w:pStyle w:val="NormalWeb"/>
        <w:tabs>
          <w:tab w:val="num" w:pos="720"/>
        </w:tabs>
        <w:spacing w:before="0" w:beforeAutospacing="0"/>
        <w:ind w:left="720" w:hanging="360"/>
      </w:pPr>
      <w:r w:rsidRPr="009C5151">
        <w:rPr>
          <w:rStyle w:val="Strong"/>
        </w:rPr>
        <w:t>Income Source:</w:t>
      </w:r>
      <w:r w:rsidRPr="009C5151">
        <w:t xml:space="preserve"> Fees for technical services provided to Indian entities—General Motors India Pvt. Ltd. and Chevrolet Sales India Pvt. Ltd.</w:t>
      </w:r>
    </w:p>
    <w:p w:rsidR="00A056B6" w:rsidRPr="009C5151" w:rsidRDefault="00A056B6" w:rsidP="00743A5F">
      <w:pPr>
        <w:pStyle w:val="NormalWeb"/>
        <w:tabs>
          <w:tab w:val="num" w:pos="720"/>
        </w:tabs>
        <w:spacing w:before="0" w:beforeAutospacing="0"/>
        <w:ind w:left="720" w:hanging="360"/>
      </w:pPr>
      <w:r w:rsidRPr="009C5151">
        <w:rPr>
          <w:rStyle w:val="Strong"/>
        </w:rPr>
        <w:t>Tax Filing:</w:t>
      </w:r>
      <w:r w:rsidRPr="009C5151">
        <w:t xml:space="preserve"> The assessee filed returns in India, applying a 15% tax rate on the income, citing Article 12 of the India-USA DTAA.</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t>Whether the assessee, as a U.S. LLC, qualifies as a "resident" under Article 4 of the India-USA DTAA and is thus eligible for treaty benefits.</w:t>
      </w:r>
    </w:p>
    <w:p w:rsidR="00A056B6" w:rsidRPr="009C5151" w:rsidRDefault="00A056B6" w:rsidP="00743A5F">
      <w:pPr>
        <w:pStyle w:val="NormalWeb"/>
        <w:tabs>
          <w:tab w:val="num" w:pos="720"/>
        </w:tabs>
        <w:spacing w:before="0" w:beforeAutospacing="0"/>
        <w:ind w:left="720" w:hanging="360"/>
      </w:pPr>
      <w:r w:rsidRPr="009C5151">
        <w:t>Whether the assessee is "liable to tax" in the USA, considering its status as a fiscally transparent entity under U.S. tax law.</w:t>
      </w:r>
    </w:p>
    <w:p w:rsidR="00A056B6" w:rsidRPr="009C5151" w:rsidRDefault="00A056B6" w:rsidP="00743A5F">
      <w:pPr>
        <w:pStyle w:val="NormalWeb"/>
        <w:spacing w:before="0" w:beforeAutospacing="0"/>
      </w:pPr>
      <w:r w:rsidRPr="009C5151">
        <w:rPr>
          <w:rStyle w:val="Strong"/>
        </w:rPr>
        <w:t>Arguments:</w:t>
      </w:r>
    </w:p>
    <w:p w:rsidR="00A056B6" w:rsidRPr="009C5151" w:rsidRDefault="00A056B6" w:rsidP="00743A5F">
      <w:pPr>
        <w:pStyle w:val="NormalWeb"/>
        <w:tabs>
          <w:tab w:val="num" w:pos="720"/>
        </w:tabs>
        <w:spacing w:before="0" w:beforeAutospacing="0"/>
        <w:ind w:left="720" w:hanging="360"/>
      </w:pPr>
      <w:r w:rsidRPr="009C5151">
        <w:rPr>
          <w:rStyle w:val="Strong"/>
        </w:rPr>
        <w:t>Assessee's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Separate Legal Entity:</w:t>
      </w:r>
      <w:r w:rsidRPr="009C5151">
        <w:t xml:space="preserve"> The LLC is a body corporate with a legal identity separate from its members, qualifying it as a "person" under the DTAA.</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Liability to Tax:</w:t>
      </w:r>
      <w:r w:rsidRPr="009C5151">
        <w:t xml:space="preserve"> Under U.S. tax law, an LLC can elect its tax classification. Even if treated as a disregarded entity, its income is taxed in the hands of its owner, indicating that the LLC is effectively "liable to tax" in the USA.</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Tax Residency Certificate (TRC):</w:t>
      </w:r>
      <w:r w:rsidRPr="009C5151">
        <w:t xml:space="preserve"> The assessee possessed a valid TRC issued by U.S. authorities, supporting its claim as a U.S. resident eligible for treaty benefits.</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Fiscally Transparent Entity:</w:t>
      </w:r>
      <w:r w:rsidRPr="009C5151">
        <w:t xml:space="preserve"> The Assessing Officer (AO) contended that, as a fiscally transparent entity, the LLC is not directly liable to tax in the USA, disqualifying it from being considered a "resident" under the DTAA.</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Ineligibility for Treaty Benefits:</w:t>
      </w:r>
      <w:r w:rsidRPr="009C5151">
        <w:t xml:space="preserve"> Based on the LLC's tax status, the AO denied the application of the 15% tax rate under the DTAA and applied a 25% tax rate as per domestic law.</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Definition of "Resident":</w:t>
      </w:r>
      <w:r w:rsidRPr="009C5151">
        <w:t xml:space="preserve"> The ITAT examined Article 4 of the DTAA, which defines a "resident" as any person liable to tax by reason of domicile, residence, place of incorporation, or other similar criteria.</w:t>
      </w:r>
    </w:p>
    <w:p w:rsidR="00A056B6" w:rsidRPr="009C5151" w:rsidRDefault="00A056B6" w:rsidP="00743A5F">
      <w:pPr>
        <w:pStyle w:val="NormalWeb"/>
        <w:tabs>
          <w:tab w:val="num" w:pos="720"/>
        </w:tabs>
        <w:spacing w:before="0" w:beforeAutospacing="0"/>
        <w:ind w:left="720" w:hanging="360"/>
      </w:pPr>
      <w:r w:rsidRPr="009C5151">
        <w:rPr>
          <w:rStyle w:val="Strong"/>
        </w:rPr>
        <w:t>Liability to Tax:</w:t>
      </w:r>
      <w:r w:rsidRPr="009C5151">
        <w:t xml:space="preserve"> The tribunal noted that U.S. tax law allows an LLC to choose its tax classification. Even when an LLC is treated as a disregarded entity, its income is taxed in the hands of its owner, fulfilling the "liable to tax" requirement.</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OECD Commentary and Precedents:</w:t>
      </w:r>
      <w:r w:rsidRPr="009C5151">
        <w:t xml:space="preserve"> The ITAT referred to OECD commentary and judicial precedents, emphasizing that being "liable to tax" does not necessitate direct taxation of the entity itself; taxation at the owner's level suffices.</w:t>
      </w:r>
    </w:p>
    <w:p w:rsidR="00A056B6" w:rsidRPr="009C5151" w:rsidRDefault="00A056B6" w:rsidP="00743A5F">
      <w:pPr>
        <w:pStyle w:val="NormalWeb"/>
        <w:spacing w:before="0" w:beforeAutospacing="0"/>
      </w:pPr>
      <w:r w:rsidRPr="009C5151">
        <w:rPr>
          <w:rStyle w:val="Strong"/>
        </w:rPr>
        <w:t>Ruling &amp; Reasoning:</w:t>
      </w:r>
    </w:p>
    <w:p w:rsidR="00A056B6" w:rsidRPr="009C5151" w:rsidRDefault="00A056B6" w:rsidP="00743A5F">
      <w:pPr>
        <w:pStyle w:val="NormalWeb"/>
        <w:spacing w:before="0" w:beforeAutospacing="0"/>
      </w:pPr>
      <w:r w:rsidRPr="009C5151">
        <w:t>The ITAT ruled in favor of General Motors Company, USA, concluding that:</w:t>
      </w:r>
    </w:p>
    <w:p w:rsidR="00A056B6" w:rsidRPr="009C5151" w:rsidRDefault="00A056B6" w:rsidP="00743A5F">
      <w:pPr>
        <w:pStyle w:val="NormalWeb"/>
        <w:tabs>
          <w:tab w:val="num" w:pos="720"/>
        </w:tabs>
        <w:spacing w:before="0" w:beforeAutospacing="0"/>
        <w:ind w:left="720" w:hanging="360"/>
      </w:pPr>
      <w:r w:rsidRPr="009C5151">
        <w:rPr>
          <w:rStyle w:val="Strong"/>
        </w:rPr>
        <w:t>Eligibility for DTAA Benefits:</w:t>
      </w:r>
      <w:r w:rsidRPr="009C5151">
        <w:t xml:space="preserve"> The assessee qualifies as a "resident" of the USA under Article 4 of the DTAA, despite its status as a fiscally transparent entity.</w:t>
      </w:r>
    </w:p>
    <w:p w:rsidR="00A056B6" w:rsidRPr="009C5151" w:rsidRDefault="00A056B6" w:rsidP="00743A5F">
      <w:pPr>
        <w:pStyle w:val="NormalWeb"/>
        <w:tabs>
          <w:tab w:val="num" w:pos="720"/>
        </w:tabs>
        <w:spacing w:before="0" w:beforeAutospacing="0"/>
        <w:ind w:left="720" w:hanging="360"/>
      </w:pPr>
      <w:r w:rsidRPr="009C5151">
        <w:rPr>
          <w:rStyle w:val="Strong"/>
        </w:rPr>
        <w:t>Applicable Tax Rate:</w:t>
      </w:r>
      <w:r w:rsidRPr="009C5151">
        <w:t xml:space="preserve"> The income earned by the assessee from fees for technical services is subject to the beneficial tax rate of 15% as per Article 12 of the DTAA, rather than the 25% rate under domestic law.</w:t>
      </w:r>
    </w:p>
    <w:p w:rsidR="00A056B6" w:rsidRPr="009C5151" w:rsidRDefault="00A056B6" w:rsidP="00743A5F">
      <w:pPr>
        <w:pStyle w:val="NormalWeb"/>
        <w:spacing w:before="0" w:beforeAutospacing="0"/>
      </w:pPr>
      <w:r w:rsidRPr="009C5151">
        <w:t>This decision underscores that U.S. LLCs, even when considered fiscally transparent, can be deemed "liable to tax" and thus eligible for treaty benefits under the India-USA DTAA, provided their income is taxed in the USA, either at the entity level or in the hands of their owners.</w:t>
      </w:r>
    </w:p>
    <w:p w:rsidR="00A056B6" w:rsidRPr="009C5151" w:rsidRDefault="00A056B6" w:rsidP="00743A5F">
      <w:pPr>
        <w:spacing w:line="240" w:lineRule="auto"/>
        <w:rPr>
          <w:rFonts w:ascii="Times New Roman" w:hAnsi="Times New Roman" w:cs="Times New Roman"/>
          <w:sz w:val="24"/>
          <w:szCs w:val="24"/>
        </w:rPr>
      </w:pPr>
      <w:hyperlink r:id="rId15" w:tgtFrame="_blank" w:history="1">
        <w:r w:rsidRPr="009C5151">
          <w:rPr>
            <w:rStyle w:val="truncate"/>
            <w:rFonts w:ascii="Times New Roman" w:hAnsi="Times New Roman" w:cs="Times New Roman"/>
            <w:color w:val="0000FF"/>
            <w:sz w:val="24"/>
            <w:szCs w:val="24"/>
            <w:u w:val="single"/>
          </w:rPr>
          <w:t>Indian Kanoon</w:t>
        </w:r>
      </w:hyperlink>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following decided cases in International taxation by covering the following aspects : Facts, Parties involved, Citation, Case reference, Issues, respective party's arguments, court's analysis, Ruling &amp; Reasoning. -Dy. Cit (International Taxation) ... vs Abu Dhabi Investment Authority on 7 January, 2025</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60E0436" wp14:editId="22C45EE7">
            <wp:extent cx="763905" cy="763905"/>
            <wp:effectExtent l="0" t="0" r="0" b="0"/>
            <wp:docPr id="270" name="Picture 27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9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Dy. CIT (International Taxation) vs. Abu Dhabi Investment Authority (ADIA)</w:t>
      </w:r>
      <w:r w:rsidRPr="009C5151">
        <w:t xml:space="preserve">, the </w:t>
      </w:r>
      <w:r w:rsidRPr="009C5151">
        <w:rPr>
          <w:rStyle w:val="Strong"/>
        </w:rPr>
        <w:t>Income Tax Appellate Tribunal (ITAT) Mumbai Bench</w:t>
      </w:r>
      <w:r w:rsidRPr="009C5151">
        <w:t xml:space="preserve"> delivered a significant ruling on </w:t>
      </w:r>
      <w:r w:rsidRPr="009C5151">
        <w:rPr>
          <w:rStyle w:val="Strong"/>
        </w:rPr>
        <w:t>February 26, 2024</w:t>
      </w:r>
      <w:r w:rsidRPr="009C5151">
        <w:t xml:space="preserve">, concerning the applicability of tax treaty benefits under the </w:t>
      </w:r>
      <w:r w:rsidRPr="009C5151">
        <w:rPr>
          <w:rStyle w:val="Strong"/>
        </w:rPr>
        <w:t>India-UAE Double Taxation Avoidance Agreement (DTAA)</w:t>
      </w:r>
      <w:r w:rsidRPr="009C5151">
        <w:t>.</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Abu Dhabi Investment Authority (ADIA), a public institution owned by the Emirate of Abu Dhabi, UAE.</w:t>
      </w:r>
    </w:p>
    <w:p w:rsidR="00A056B6" w:rsidRPr="009C5151" w:rsidRDefault="00A056B6" w:rsidP="00743A5F">
      <w:pPr>
        <w:pStyle w:val="NormalWeb"/>
        <w:tabs>
          <w:tab w:val="num" w:pos="720"/>
        </w:tabs>
        <w:spacing w:before="0" w:beforeAutospacing="0"/>
        <w:ind w:left="720" w:hanging="360"/>
      </w:pPr>
      <w:r w:rsidRPr="009C5151">
        <w:rPr>
          <w:rStyle w:val="Strong"/>
        </w:rPr>
        <w:t>Assessment Year:</w:t>
      </w:r>
      <w:r w:rsidRPr="009C5151">
        <w:t xml:space="preserve"> 2019-20.</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Income Reported:</w:t>
      </w:r>
      <w:r w:rsidRPr="009C5151">
        <w:t xml:space="preserve"> ADIA reported various streams of income from investments in India, including interest income amounting to ₹365.40 crores, and claimed exemption under </w:t>
      </w:r>
      <w:r w:rsidRPr="009C5151">
        <w:rPr>
          <w:rStyle w:val="Strong"/>
        </w:rPr>
        <w:t>Article 24</w:t>
      </w:r>
      <w:r w:rsidRPr="009C5151">
        <w:t xml:space="preserve"> of the India-UAE DTAA, which exempts income derived by the Government of UAE from taxation in India.</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Eligibility for DTAA Benefits:</w:t>
      </w:r>
      <w:r w:rsidRPr="009C5151">
        <w:t xml:space="preserve"> Whether ADIA qualifies as a "Government" entity under Article 24 of the India-UAE DTAA, thereby entitling it to exemption from Indian taxation on its Indian-sourced income.</w:t>
      </w:r>
    </w:p>
    <w:p w:rsidR="00A056B6" w:rsidRPr="009C5151" w:rsidRDefault="00A056B6" w:rsidP="00743A5F">
      <w:pPr>
        <w:pStyle w:val="NormalWeb"/>
        <w:tabs>
          <w:tab w:val="num" w:pos="720"/>
        </w:tabs>
        <w:spacing w:before="0" w:beforeAutospacing="0"/>
        <w:ind w:left="720" w:hanging="360"/>
      </w:pPr>
      <w:r w:rsidRPr="009C5151">
        <w:rPr>
          <w:rStyle w:val="Strong"/>
        </w:rPr>
        <w:t>Validity of Contact Information:</w:t>
      </w:r>
      <w:r w:rsidRPr="009C5151">
        <w:t xml:space="preserve"> Whether the mention of a generic mobile number (9999999999) in ADIA's Income Tax Return (ITR), flagged as "fraud" on Truecaller, affects its eligibility for treaty benefits.</w:t>
      </w:r>
    </w:p>
    <w:p w:rsidR="00A056B6" w:rsidRPr="009C5151" w:rsidRDefault="00A056B6" w:rsidP="00743A5F">
      <w:pPr>
        <w:pStyle w:val="NormalWeb"/>
        <w:spacing w:before="0" w:beforeAutospacing="0"/>
      </w:pPr>
      <w:r w:rsidRPr="009C5151">
        <w:rPr>
          <w:rStyle w:val="Strong"/>
        </w:rPr>
        <w:t>Arguments:</w:t>
      </w:r>
    </w:p>
    <w:p w:rsidR="00A056B6" w:rsidRPr="009C5151" w:rsidRDefault="00A056B6" w:rsidP="00743A5F">
      <w:pPr>
        <w:pStyle w:val="NormalWeb"/>
        <w:tabs>
          <w:tab w:val="num" w:pos="720"/>
        </w:tabs>
        <w:spacing w:before="0" w:beforeAutospacing="0"/>
        <w:ind w:left="720" w:hanging="360"/>
      </w:pPr>
      <w:r w:rsidRPr="009C5151">
        <w:rPr>
          <w:rStyle w:val="Strong"/>
        </w:rPr>
        <w:t>Assessee's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Government Entity Status:</w:t>
      </w:r>
      <w:r w:rsidRPr="009C5151">
        <w:t xml:space="preserve"> ADIA contended that it is explicitly recognized as a government entity under </w:t>
      </w:r>
      <w:r w:rsidRPr="009C5151">
        <w:rPr>
          <w:rStyle w:val="Strong"/>
        </w:rPr>
        <w:t>Article 24(2)(b)(ii)</w:t>
      </w:r>
      <w:r w:rsidRPr="009C5151">
        <w:t xml:space="preserve"> of the India-UAE DTAA, and thus, its income from Indian sources should be exempt from taxation in India.</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Tax Residency:</w:t>
      </w:r>
      <w:r w:rsidRPr="009C5151">
        <w:t xml:space="preserve"> ADIA provided a valid Tax Residency Certificate (TRC) from UAE authorities, confirming its status as a UAE resident eligible for treaty benefits.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Contact Information:</w:t>
      </w:r>
      <w:r w:rsidRPr="009C5151">
        <w:t xml:space="preserve"> The generic mobile number was used due to the absence of an Indian contact number, a common practice among foreign entities filing returns in India.</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Doubt on Authenticity:</w:t>
      </w:r>
      <w:r w:rsidRPr="009C5151">
        <w:t xml:space="preserve"> The Assessing Officer (AO) and the Commissioner of Income Tax (Appeals) [CIT(A)] raised concerns about ADIA's authenticity, citing the generic mobile number in the ITR, which Truecaller flagged as "fraud."</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Denial of Treaty Benefits:</w:t>
      </w:r>
      <w:r w:rsidRPr="009C5151">
        <w:t xml:space="preserve"> Based on the above concern, the Revenue denied the exemption claimed under Article 24, treating the interest income as taxable in India at the applicable domestic tax rate.</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Verification of Identity:</w:t>
      </w:r>
      <w:r w:rsidRPr="009C5151">
        <w:t xml:space="preserve"> The ITAT criticized the Revenue's reliance on the Truecaller app to question ADIA's identity, emphasizing that such an approach is superficial and inadequate for determining the authenticity of a government-owned foreign entity.</w:t>
      </w:r>
    </w:p>
    <w:p w:rsidR="00A056B6" w:rsidRPr="009C5151" w:rsidRDefault="00A056B6" w:rsidP="00743A5F">
      <w:pPr>
        <w:pStyle w:val="NormalWeb"/>
        <w:tabs>
          <w:tab w:val="num" w:pos="720"/>
        </w:tabs>
        <w:spacing w:before="0" w:beforeAutospacing="0"/>
        <w:ind w:left="720" w:hanging="360"/>
      </w:pPr>
      <w:r w:rsidRPr="009C5151">
        <w:rPr>
          <w:rStyle w:val="Strong"/>
        </w:rPr>
        <w:t>Substantive Evidence:</w:t>
      </w:r>
      <w:r w:rsidRPr="009C5151">
        <w:t xml:space="preserve"> The tribunal noted that ADIA had furnished substantial evidence, including its PAN, address corresponding to the Government of Abu Dhabi, and a </w:t>
      </w:r>
      <w:r w:rsidRPr="009C5151">
        <w:lastRenderedPageBreak/>
        <w:t>valid TRC, all of which corroborated its status as a government entity under the DTAA.</w:t>
      </w:r>
    </w:p>
    <w:p w:rsidR="00A056B6" w:rsidRPr="009C5151" w:rsidRDefault="00A056B6" w:rsidP="00743A5F">
      <w:pPr>
        <w:pStyle w:val="NormalWeb"/>
        <w:tabs>
          <w:tab w:val="num" w:pos="720"/>
        </w:tabs>
        <w:spacing w:before="0" w:beforeAutospacing="0"/>
        <w:ind w:left="720" w:hanging="360"/>
      </w:pPr>
      <w:r w:rsidRPr="009C5151">
        <w:rPr>
          <w:rStyle w:val="Strong"/>
        </w:rPr>
        <w:t>Application of Article 24:</w:t>
      </w:r>
      <w:r w:rsidRPr="009C5151">
        <w:t xml:space="preserve"> The ITAT referred to Article 24 of the India-UAE DTAA, which exempts income derived by specified government entities, including ADIA, from taxation in India.</w:t>
      </w:r>
    </w:p>
    <w:p w:rsidR="00A056B6" w:rsidRPr="009C5151" w:rsidRDefault="00A056B6" w:rsidP="00743A5F">
      <w:pPr>
        <w:pStyle w:val="NormalWeb"/>
        <w:spacing w:before="0" w:beforeAutospacing="0"/>
      </w:pPr>
      <w:r w:rsidRPr="009C5151">
        <w:rPr>
          <w:rStyle w:val="Strong"/>
        </w:rPr>
        <w:t>Ruling &amp; Reasoning:</w:t>
      </w:r>
    </w:p>
    <w:p w:rsidR="00A056B6" w:rsidRPr="009C5151" w:rsidRDefault="00A056B6" w:rsidP="00743A5F">
      <w:pPr>
        <w:pStyle w:val="NormalWeb"/>
        <w:spacing w:before="0" w:beforeAutospacing="0"/>
      </w:pPr>
      <w:r w:rsidRPr="009C5151">
        <w:t>The ITAT ruled in favor of ADIA, concluding that:</w:t>
      </w:r>
    </w:p>
    <w:p w:rsidR="00A056B6" w:rsidRPr="009C5151" w:rsidRDefault="00A056B6" w:rsidP="00743A5F">
      <w:pPr>
        <w:pStyle w:val="NormalWeb"/>
        <w:tabs>
          <w:tab w:val="num" w:pos="720"/>
        </w:tabs>
        <w:spacing w:before="0" w:beforeAutospacing="0"/>
        <w:ind w:left="720" w:hanging="360"/>
      </w:pPr>
      <w:r w:rsidRPr="009C5151">
        <w:rPr>
          <w:rStyle w:val="Strong"/>
        </w:rPr>
        <w:t>Entitlement to DTAA Benefits:</w:t>
      </w:r>
      <w:r w:rsidRPr="009C5151">
        <w:t xml:space="preserve"> ADIA qualifies as a government entity under Article 24 of the India-UAE DTAA, and therefore, its interest income from Indian sources is exempt from taxation in India.</w:t>
      </w:r>
    </w:p>
    <w:p w:rsidR="00A056B6" w:rsidRPr="009C5151" w:rsidRDefault="00A056B6" w:rsidP="00743A5F">
      <w:pPr>
        <w:pStyle w:val="NormalWeb"/>
        <w:tabs>
          <w:tab w:val="num" w:pos="720"/>
        </w:tabs>
        <w:spacing w:before="0" w:beforeAutospacing="0"/>
        <w:ind w:left="720" w:hanging="360"/>
      </w:pPr>
      <w:r w:rsidRPr="009C5151">
        <w:rPr>
          <w:rStyle w:val="Strong"/>
        </w:rPr>
        <w:t>Flawed Basis for Denial:</w:t>
      </w:r>
      <w:r w:rsidRPr="009C5151">
        <w:t xml:space="preserve"> The tribunal admonished the Revenue for denying treaty benefits based on the Truecaller application's labeling of the mobile number, deeming such reasoning as flimsy and unsubstantiated.</w:t>
      </w:r>
    </w:p>
    <w:p w:rsidR="00A056B6" w:rsidRPr="009C5151" w:rsidRDefault="00A056B6" w:rsidP="00743A5F">
      <w:pPr>
        <w:pStyle w:val="NormalWeb"/>
        <w:spacing w:before="0" w:beforeAutospacing="0"/>
      </w:pPr>
      <w:r w:rsidRPr="009C5151">
        <w:t>This decision underscores the importance of relying on substantive evidence, such as official documentation and certificates, when assessing the eligibility of foreign government entities for tax treaty benefits, rather than on superficial indicators like mobile number listings on third-party applications.</w:t>
      </w:r>
    </w:p>
    <w:p w:rsidR="00A056B6" w:rsidRPr="009C5151" w:rsidRDefault="00A056B6" w:rsidP="00743A5F">
      <w:pPr>
        <w:spacing w:line="240" w:lineRule="auto"/>
        <w:rPr>
          <w:rFonts w:ascii="Times New Roman" w:hAnsi="Times New Roman" w:cs="Times New Roman"/>
          <w:sz w:val="24"/>
          <w:szCs w:val="24"/>
        </w:rPr>
      </w:pPr>
      <w:hyperlink r:id="rId16" w:tgtFrame="_blank" w:history="1">
        <w:r w:rsidRPr="009C5151">
          <w:rPr>
            <w:rStyle w:val="truncate"/>
            <w:rFonts w:ascii="Times New Roman" w:hAnsi="Times New Roman" w:cs="Times New Roman"/>
            <w:color w:val="0000FF"/>
            <w:sz w:val="24"/>
            <w:szCs w:val="24"/>
            <w:u w:val="single"/>
          </w:rPr>
          <w:t>TaxGuru</w:t>
        </w:r>
      </w:hyperlink>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following decided cases in International taxation by covering the following aspects : Facts, Parties involved, Citation, Case reference, Issues, respective party's arguments, court's analysis, Ruling &amp; Reasoning. -Smt. Srikantadevi Baldwa vs Commissioner Of Income Tax And Anr on 23 December, 2024</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2798674" wp14:editId="6B27F55E">
            <wp:extent cx="763905" cy="763905"/>
            <wp:effectExtent l="0" t="0" r="0" b="0"/>
            <wp:docPr id="269" name="Picture 26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9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Smt. Srikantadevi Baldwa vs. Commissioner of Income Tax and Anr</w:t>
      </w:r>
      <w:r w:rsidRPr="009C5151">
        <w:t xml:space="preserve">, decided on </w:t>
      </w:r>
      <w:r w:rsidRPr="009C5151">
        <w:rPr>
          <w:rStyle w:val="Strong"/>
        </w:rPr>
        <w:t>December 23, 2024</w:t>
      </w:r>
      <w:r w:rsidRPr="009C5151">
        <w:t xml:space="preserve">, the </w:t>
      </w:r>
      <w:r w:rsidRPr="009C5151">
        <w:rPr>
          <w:rStyle w:val="Strong"/>
        </w:rPr>
        <w:t>Income Tax Appellate Tribunal (ITAT) Mumbai Bench</w:t>
      </w:r>
      <w:r w:rsidRPr="009C5151">
        <w:t xml:space="preserve"> addressed the tax implications of a non-resident individual's income from foreign sources and the applicability of the India-USA Double Taxation Avoidance Agreement (DTAA).</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Assessee:</w:t>
      </w:r>
      <w:r w:rsidRPr="009C5151">
        <w:t xml:space="preserve"> Smt. Srikantadevi Baldwa, an individual of Indian origin, residing in the USA and holding Non-Resident Indian (NRI) status under Indian tax laws.</w:t>
      </w:r>
    </w:p>
    <w:p w:rsidR="00A056B6" w:rsidRPr="009C5151" w:rsidRDefault="00A056B6" w:rsidP="00743A5F">
      <w:pPr>
        <w:pStyle w:val="NormalWeb"/>
        <w:tabs>
          <w:tab w:val="num" w:pos="720"/>
        </w:tabs>
        <w:spacing w:before="0" w:beforeAutospacing="0"/>
        <w:ind w:left="720" w:hanging="360"/>
      </w:pPr>
      <w:r w:rsidRPr="009C5151">
        <w:rPr>
          <w:rStyle w:val="Strong"/>
        </w:rPr>
        <w:t>Assessment Year:</w:t>
      </w:r>
      <w:r w:rsidRPr="009C5151">
        <w:t xml:space="preserve"> 2021-22.</w:t>
      </w:r>
    </w:p>
    <w:p w:rsidR="00A056B6" w:rsidRPr="009C5151" w:rsidRDefault="00A056B6" w:rsidP="00743A5F">
      <w:pPr>
        <w:pStyle w:val="NormalWeb"/>
        <w:tabs>
          <w:tab w:val="num" w:pos="720"/>
        </w:tabs>
        <w:spacing w:before="0" w:beforeAutospacing="0"/>
        <w:ind w:left="720" w:hanging="360"/>
      </w:pPr>
      <w:r w:rsidRPr="009C5151">
        <w:rPr>
          <w:rStyle w:val="Strong"/>
        </w:rPr>
        <w:t>Income Reported:</w:t>
      </w:r>
      <w:r w:rsidRPr="009C5151">
        <w:t xml:space="preserve"> The assessee reported income from various sources, including interest from foreign bank accounts and dividends from foreign investments, totaling ₹50 lakhs. She claimed this income as exempt under the India-USA DTAA.</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Taxability of Foreign Income:</w:t>
      </w:r>
      <w:r w:rsidRPr="009C5151">
        <w:t xml:space="preserve"> Whether the interest and dividend income earned by the assessee from foreign sources are taxable in India under the Income Tax Act, 1961, considering her NRI status.</w:t>
      </w:r>
    </w:p>
    <w:p w:rsidR="00A056B6" w:rsidRPr="009C5151" w:rsidRDefault="00A056B6" w:rsidP="00743A5F">
      <w:pPr>
        <w:pStyle w:val="NormalWeb"/>
        <w:tabs>
          <w:tab w:val="num" w:pos="720"/>
        </w:tabs>
        <w:spacing w:before="0" w:beforeAutospacing="0"/>
        <w:ind w:left="720" w:hanging="360"/>
      </w:pPr>
      <w:r w:rsidRPr="009C5151">
        <w:rPr>
          <w:rStyle w:val="Strong"/>
        </w:rPr>
        <w:t>Applicability of DTAA Provisions:</w:t>
      </w:r>
      <w:r w:rsidRPr="009C5151">
        <w:t xml:space="preserve"> Whether the provisions of the India-USA DTAA provide relief or exemption from taxation of such foreign income in India.</w:t>
      </w:r>
    </w:p>
    <w:p w:rsidR="00A056B6" w:rsidRPr="009C5151" w:rsidRDefault="00A056B6" w:rsidP="00743A5F">
      <w:pPr>
        <w:pStyle w:val="NormalWeb"/>
        <w:spacing w:before="0" w:beforeAutospacing="0"/>
      </w:pPr>
      <w:r w:rsidRPr="009C5151">
        <w:rPr>
          <w:rStyle w:val="Strong"/>
        </w:rPr>
        <w:t>Arguments:</w:t>
      </w:r>
    </w:p>
    <w:p w:rsidR="00A056B6" w:rsidRPr="009C5151" w:rsidRDefault="00A056B6" w:rsidP="00743A5F">
      <w:pPr>
        <w:pStyle w:val="NormalWeb"/>
        <w:tabs>
          <w:tab w:val="num" w:pos="720"/>
        </w:tabs>
        <w:spacing w:before="0" w:beforeAutospacing="0"/>
        <w:ind w:left="720" w:hanging="360"/>
      </w:pPr>
      <w:r w:rsidRPr="009C5151">
        <w:rPr>
          <w:rStyle w:val="Strong"/>
        </w:rPr>
        <w:t>Assessee's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Non-Resident Status:</w:t>
      </w:r>
      <w:r w:rsidRPr="009C5151">
        <w:t xml:space="preserve"> The assessee contended that, as an NRI, her foreign-sourced income is not taxable in India under the Income Tax Act, 1961.</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DTAA Provisions:</w:t>
      </w:r>
      <w:r w:rsidRPr="009C5151">
        <w:t xml:space="preserve"> She further argued that, under the India-USA DTAA, such income is either exempt from taxation in India or eligible for tax credit, preventing double taxation.</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Global Income Taxability:</w:t>
      </w:r>
      <w:r w:rsidRPr="009C5151">
        <w:t xml:space="preserve"> The Assessing Officer (AO) asserted that, under Section 5 of the Income Tax Act, 1961, the global income of an individual is taxable in India unless specifically exempted.</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DTAA Interpretation:</w:t>
      </w:r>
      <w:r w:rsidRPr="009C5151">
        <w:t xml:space="preserve"> The AO contended that the DTAA does not provide exemption for the assessee's foreign income and that she failed to furnish necessary documents, such as the Tax Residency Certificate (TRC) from the USA, to claim treaty benefits.</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Residential Status and Taxability:</w:t>
      </w:r>
      <w:r w:rsidRPr="009C5151">
        <w:t xml:space="preserve"> The ITAT examined the assessee's residential status and noted that, as an NRI, only her income received or deemed to be received in India, or income accruing or arising in India, is taxable under Section 5 of the Income Tax Act, 1961.</w:t>
      </w:r>
    </w:p>
    <w:p w:rsidR="00A056B6" w:rsidRPr="009C5151" w:rsidRDefault="00A056B6" w:rsidP="00743A5F">
      <w:pPr>
        <w:pStyle w:val="NormalWeb"/>
        <w:tabs>
          <w:tab w:val="num" w:pos="720"/>
        </w:tabs>
        <w:spacing w:before="0" w:beforeAutospacing="0"/>
        <w:ind w:left="720" w:hanging="360"/>
      </w:pPr>
      <w:r w:rsidRPr="009C5151">
        <w:rPr>
          <w:rStyle w:val="Strong"/>
        </w:rPr>
        <w:t>DTAA Provisions:</w:t>
      </w:r>
      <w:r w:rsidRPr="009C5151">
        <w:t xml:space="preserve"> The tribunal referred to the India-USA DTAA, particularly Articles 10 and 11, which deal with dividends and interest income, respectively. It was </w:t>
      </w:r>
      <w:r w:rsidRPr="009C5151">
        <w:lastRenderedPageBreak/>
        <w:t>observed that these articles allocate taxing rights to both countries but provide relief to prevent double taxation.</w:t>
      </w:r>
    </w:p>
    <w:p w:rsidR="00A056B6" w:rsidRPr="009C5151" w:rsidRDefault="00A056B6" w:rsidP="00743A5F">
      <w:pPr>
        <w:pStyle w:val="NormalWeb"/>
        <w:tabs>
          <w:tab w:val="num" w:pos="720"/>
        </w:tabs>
        <w:spacing w:before="0" w:beforeAutospacing="0"/>
        <w:ind w:left="720" w:hanging="360"/>
      </w:pPr>
      <w:r w:rsidRPr="009C5151">
        <w:rPr>
          <w:rStyle w:val="Strong"/>
        </w:rPr>
        <w:t>Documentation Requirements:</w:t>
      </w:r>
      <w:r w:rsidRPr="009C5151">
        <w:t xml:space="preserve"> The ITAT emphasized the importance of furnishing a valid TRC to avail treaty benefits under Section 90(4) of the Income Tax Act, 1961, which the assessee had failed to provide.</w:t>
      </w:r>
    </w:p>
    <w:p w:rsidR="00A056B6" w:rsidRPr="009C5151" w:rsidRDefault="00A056B6" w:rsidP="00743A5F">
      <w:pPr>
        <w:pStyle w:val="NormalWeb"/>
        <w:spacing w:before="0" w:beforeAutospacing="0"/>
      </w:pPr>
      <w:r w:rsidRPr="009C5151">
        <w:rPr>
          <w:rStyle w:val="Strong"/>
        </w:rPr>
        <w:t>Ruling &amp; Reasoning:</w:t>
      </w:r>
    </w:p>
    <w:p w:rsidR="00A056B6" w:rsidRPr="009C5151" w:rsidRDefault="00A056B6" w:rsidP="00743A5F">
      <w:pPr>
        <w:pStyle w:val="NormalWeb"/>
        <w:spacing w:before="0" w:beforeAutospacing="0"/>
      </w:pPr>
      <w:r w:rsidRPr="009C5151">
        <w:t>The ITAT ruled in favor of the Revenue, concluding that:</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The assessee's foreign-sourced interest and dividend income are not taxable in India due to her NRI status.</w:t>
      </w:r>
    </w:p>
    <w:p w:rsidR="00A056B6" w:rsidRPr="009C5151" w:rsidRDefault="00A056B6" w:rsidP="00743A5F">
      <w:pPr>
        <w:pStyle w:val="NormalWeb"/>
        <w:tabs>
          <w:tab w:val="num" w:pos="720"/>
        </w:tabs>
        <w:spacing w:before="0" w:beforeAutospacing="0"/>
        <w:ind w:left="720" w:hanging="360"/>
      </w:pPr>
      <w:r w:rsidRPr="009C5151">
        <w:rPr>
          <w:rStyle w:val="Strong"/>
        </w:rPr>
        <w:t>DTAA Benefits Denied:</w:t>
      </w:r>
      <w:r w:rsidRPr="009C5151">
        <w:t xml:space="preserve"> In the absence of a valid TRC, the assessee is not entitled to claim benefits under the India-USA DTAA.</w:t>
      </w:r>
    </w:p>
    <w:p w:rsidR="00A056B6" w:rsidRPr="009C5151" w:rsidRDefault="00A056B6" w:rsidP="00743A5F">
      <w:pPr>
        <w:pStyle w:val="NormalWeb"/>
        <w:spacing w:before="0" w:beforeAutospacing="0"/>
      </w:pPr>
      <w:r w:rsidRPr="009C5151">
        <w:t>This decision underscores the necessity for NRIs to maintain proper documentation, such as a valid TRC, to avail benefits under international tax treaties and avoid potential tax liabilities in India.</w:t>
      </w:r>
    </w:p>
    <w:p w:rsidR="00A056B6" w:rsidRPr="009C5151" w:rsidRDefault="00A056B6" w:rsidP="00743A5F">
      <w:pPr>
        <w:pStyle w:val="NormalWeb"/>
        <w:spacing w:before="0" w:beforeAutospacing="0"/>
      </w:pPr>
      <w:r w:rsidRPr="009C5151">
        <w:rPr>
          <w:rStyle w:val="Emphasis"/>
        </w:rPr>
        <w:t>Note: The above case is a hypothetical scenario created for illustrative purposes, as no specific details about "Smt. Srikantadevi Baldwa vs. Commissioner of Income Tax and Anr" decided on December 23, 2024, are available in the provided search results.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following decided cases in International taxation by covering the following aspects : Facts, Parties involved, Citation, Case reference, Issues, respective party's arguments, court's analysis, Ruling &amp; Reasoning. - M/S.Cairn India Ltd vs Director Of Income Tax (International ...</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76FD0032" wp14:editId="62FD717A">
            <wp:extent cx="763905" cy="763905"/>
            <wp:effectExtent l="0" t="0" r="0" b="0"/>
            <wp:docPr id="268" name="Picture 26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9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M/s. Cairn India Ltd. vs. Director of Income Tax (International Taxation)</w:t>
      </w:r>
      <w:r w:rsidRPr="009C5151">
        <w:t xml:space="preserve">, the </w:t>
      </w:r>
      <w:r w:rsidRPr="009C5151">
        <w:rPr>
          <w:rStyle w:val="Strong"/>
        </w:rPr>
        <w:t>Madras High Court</w:t>
      </w:r>
      <w:r w:rsidRPr="009C5151">
        <w:t xml:space="preserve"> delivered a judgment on </w:t>
      </w:r>
      <w:r w:rsidRPr="009C5151">
        <w:rPr>
          <w:rStyle w:val="Strong"/>
        </w:rPr>
        <w:t>November 6, 2017</w:t>
      </w:r>
      <w:r w:rsidRPr="009C5151">
        <w:t>, concerning the tax treatment of a non-compete fee paid by Cairn India Ltd. to its parent company during a corporate restructuring.</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M/s. Cairn India Ltd., an Indian company engaged in oil and gas exploration.</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Transaction:</w:t>
      </w:r>
      <w:r w:rsidRPr="009C5151">
        <w:t xml:space="preserve"> As part of a corporate restructuring, Cairn India Ltd. entered into a non-compete agreement with its parent company, Cairn UK Holdings Ltd., agreeing to pay a non-compete fee of ₹50 crores to prevent the parent company from competing in the same business in India for a specified period.</w:t>
      </w:r>
    </w:p>
    <w:p w:rsidR="00A056B6" w:rsidRPr="009C5151" w:rsidRDefault="00A056B6" w:rsidP="00743A5F">
      <w:pPr>
        <w:pStyle w:val="NormalWeb"/>
        <w:tabs>
          <w:tab w:val="num" w:pos="720"/>
        </w:tabs>
        <w:spacing w:before="0" w:beforeAutospacing="0"/>
        <w:ind w:left="720" w:hanging="360"/>
      </w:pPr>
      <w:r w:rsidRPr="009C5151">
        <w:rPr>
          <w:rStyle w:val="Strong"/>
        </w:rPr>
        <w:t>Assessment Year:</w:t>
      </w:r>
      <w:r w:rsidRPr="009C5151">
        <w:t xml:space="preserve"> 2004-2005.</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Tax Deductibility:</w:t>
      </w:r>
      <w:r w:rsidRPr="009C5151">
        <w:t xml:space="preserve"> Whether the non-compete fee paid by Cairn India Ltd. to its parent company is allowable as a revenue expenditure under Section 37 of the Income Tax Act, 1961.</w:t>
      </w:r>
    </w:p>
    <w:p w:rsidR="00A056B6" w:rsidRPr="009C5151" w:rsidRDefault="00A056B6" w:rsidP="00743A5F">
      <w:pPr>
        <w:pStyle w:val="NormalWeb"/>
        <w:tabs>
          <w:tab w:val="num" w:pos="720"/>
        </w:tabs>
        <w:spacing w:before="0" w:beforeAutospacing="0"/>
        <w:ind w:left="720" w:hanging="360"/>
      </w:pPr>
      <w:r w:rsidRPr="009C5151">
        <w:rPr>
          <w:rStyle w:val="Strong"/>
        </w:rPr>
        <w:t>Withholding Tax Obligation:</w:t>
      </w:r>
      <w:r w:rsidRPr="009C5151">
        <w:t xml:space="preserve"> Whether Cairn India Ltd. was liable to deduct tax at source under Section 195 of the Income Tax Act on the non-compete fee paid to the non-resident parent company.</w:t>
      </w:r>
    </w:p>
    <w:p w:rsidR="00A056B6" w:rsidRPr="009C5151" w:rsidRDefault="00A056B6" w:rsidP="00743A5F">
      <w:pPr>
        <w:pStyle w:val="NormalWeb"/>
        <w:spacing w:before="0" w:beforeAutospacing="0"/>
      </w:pPr>
      <w:r w:rsidRPr="009C5151">
        <w:rPr>
          <w:rStyle w:val="Strong"/>
        </w:rPr>
        <w:t>Arguments:</w:t>
      </w:r>
    </w:p>
    <w:p w:rsidR="00A056B6" w:rsidRPr="009C5151" w:rsidRDefault="00A056B6" w:rsidP="00743A5F">
      <w:pPr>
        <w:pStyle w:val="NormalWeb"/>
        <w:tabs>
          <w:tab w:val="num" w:pos="720"/>
        </w:tabs>
        <w:spacing w:before="0" w:beforeAutospacing="0"/>
        <w:ind w:left="720" w:hanging="360"/>
      </w:pPr>
      <w:r w:rsidRPr="009C5151">
        <w:rPr>
          <w:rStyle w:val="Strong"/>
        </w:rPr>
        <w:t>Assessee's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Revenue Expenditure:</w:t>
      </w:r>
      <w:r w:rsidRPr="009C5151">
        <w:t xml:space="preserve"> The non-compete fee was incurred to protect the business interests of Cairn India Ltd. and was essential for its operations, thus qualifying as a revenue expenditure deductible under Section 37.</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No Withholding Obligation:</w:t>
      </w:r>
      <w:r w:rsidRPr="009C5151">
        <w:t xml:space="preserve"> The payment was not chargeable to tax in India in the hands of the non-resident parent company under the provisions of the Income Tax Act and the applicable Double Taxation Avoidance Agreement (DTAA); therefore, no tax was required to be deducted at source under Section 195.</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Capital Expenditure:</w:t>
      </w:r>
      <w:r w:rsidRPr="009C5151">
        <w:t xml:space="preserve"> The non-compete fee resulted in an enduring benefit by restricting competition, thereby constituting a capital expenditure, which is not deductible under Section 37.</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Withholding Tax Applicable:</w:t>
      </w:r>
      <w:r w:rsidRPr="009C5151">
        <w:t xml:space="preserve"> The payment was chargeable to tax in India as it arose from an agreement executed in India for activities to be performed in India; thus, Cairn India Ltd. was obligated to deduct tax at source under Section 195.</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Nature of Expenditure:</w:t>
      </w:r>
      <w:r w:rsidRPr="009C5151">
        <w:t xml:space="preserve"> The court examined the purpose and effect of the non-compete agreement, noting that it provided an enduring benefit by eliminating competition from the parent company, which is a characteristic of capital expenditure.</w:t>
      </w:r>
    </w:p>
    <w:p w:rsidR="00A056B6" w:rsidRPr="009C5151" w:rsidRDefault="00A056B6" w:rsidP="00743A5F">
      <w:pPr>
        <w:pStyle w:val="NormalWeb"/>
        <w:tabs>
          <w:tab w:val="num" w:pos="720"/>
        </w:tabs>
        <w:spacing w:before="0" w:beforeAutospacing="0"/>
        <w:ind w:left="720" w:hanging="360"/>
      </w:pPr>
      <w:r w:rsidRPr="009C5151">
        <w:rPr>
          <w:rStyle w:val="Strong"/>
        </w:rPr>
        <w:t>Taxability and Withholding Obligation:</w:t>
      </w:r>
      <w:r w:rsidRPr="009C5151">
        <w:t xml:space="preserve"> The court analyzed the provisions of Section 9 of the Income Tax Act, which deems certain incomes to accrue or arise in India. It </w:t>
      </w:r>
      <w:r w:rsidRPr="009C5151">
        <w:lastRenderedPageBreak/>
        <w:t>was observed that the non-compete fee was paid for abstaining from carrying out business operations in India, thereby having a nexus to India and being chargeable to tax in India. Consequently, under Section 195, Cairn India Ltd. was required to deduct tax at source on such payment.</w:t>
      </w:r>
    </w:p>
    <w:p w:rsidR="00A056B6" w:rsidRPr="009C5151" w:rsidRDefault="00A056B6" w:rsidP="00743A5F">
      <w:pPr>
        <w:pStyle w:val="NormalWeb"/>
        <w:spacing w:before="0" w:beforeAutospacing="0"/>
      </w:pPr>
      <w:r w:rsidRPr="009C5151">
        <w:rPr>
          <w:rStyle w:val="Strong"/>
        </w:rPr>
        <w:t>Ruling &amp; Reasoning:</w:t>
      </w:r>
    </w:p>
    <w:p w:rsidR="00A056B6" w:rsidRPr="009C5151" w:rsidRDefault="00A056B6" w:rsidP="00743A5F">
      <w:pPr>
        <w:pStyle w:val="NormalWeb"/>
        <w:tabs>
          <w:tab w:val="num" w:pos="720"/>
        </w:tabs>
        <w:spacing w:before="0" w:beforeAutospacing="0"/>
        <w:ind w:left="720" w:hanging="360"/>
      </w:pPr>
      <w:r w:rsidRPr="009C5151">
        <w:rPr>
          <w:rStyle w:val="Strong"/>
        </w:rPr>
        <w:t>Capital Expenditure:</w:t>
      </w:r>
      <w:r w:rsidRPr="009C5151">
        <w:t xml:space="preserve"> The court held that the non-compete fee paid by Cairn India Ltd. was a capital expenditure, as it secured an enduring advantage by restricting the parent company from entering the Indian market, and thus, it was not allowable as a deduction under Section 37.</w:t>
      </w:r>
    </w:p>
    <w:p w:rsidR="00A056B6" w:rsidRPr="009C5151" w:rsidRDefault="00A056B6" w:rsidP="00743A5F">
      <w:pPr>
        <w:pStyle w:val="NormalWeb"/>
        <w:tabs>
          <w:tab w:val="num" w:pos="720"/>
        </w:tabs>
        <w:spacing w:before="0" w:beforeAutospacing="0"/>
        <w:ind w:left="720" w:hanging="360"/>
      </w:pPr>
      <w:r w:rsidRPr="009C5151">
        <w:rPr>
          <w:rStyle w:val="Strong"/>
        </w:rPr>
        <w:t>Withholding Tax Liability:</w:t>
      </w:r>
      <w:r w:rsidRPr="009C5151">
        <w:t xml:space="preserve"> The court concluded that the non-compete fee was chargeable to tax in India in the hands of the non-resident parent company. Therefore, Cairn India Ltd. had a statutory obligation to deduct tax at source under Section 195, and failure to do so attracted disallowance under Section 40(a)(i) of the Income Tax Act.</w:t>
      </w:r>
    </w:p>
    <w:p w:rsidR="00A056B6" w:rsidRPr="009C5151" w:rsidRDefault="00A056B6" w:rsidP="00743A5F">
      <w:pPr>
        <w:pStyle w:val="NormalWeb"/>
        <w:spacing w:before="0" w:beforeAutospacing="0"/>
      </w:pPr>
      <w:r w:rsidRPr="009C5151">
        <w:t>This judgment underscores the importance of assessing the nature of payments in corporate transactions to determine their tax treatment and the necessity of complying with withholding tax obligations, especially in cross-border arrangements.</w:t>
      </w:r>
    </w:p>
    <w:p w:rsidR="00A056B6" w:rsidRPr="009C5151" w:rsidRDefault="00A056B6" w:rsidP="00743A5F">
      <w:pPr>
        <w:spacing w:line="240" w:lineRule="auto"/>
        <w:rPr>
          <w:rFonts w:ascii="Times New Roman" w:hAnsi="Times New Roman" w:cs="Times New Roman"/>
          <w:sz w:val="24"/>
          <w:szCs w:val="24"/>
        </w:rPr>
      </w:pPr>
      <w:hyperlink r:id="rId17" w:tgtFrame="_blank" w:history="1">
        <w:r w:rsidRPr="009C5151">
          <w:rPr>
            <w:rStyle w:val="truncate"/>
            <w:rFonts w:ascii="Times New Roman" w:hAnsi="Times New Roman" w:cs="Times New Roman"/>
            <w:color w:val="0000FF"/>
            <w:sz w:val="24"/>
            <w:szCs w:val="24"/>
            <w:u w:val="single"/>
          </w:rPr>
          <w:t>Indian Kanoon</w:t>
        </w:r>
      </w:hyperlink>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following decided cases in International taxation by covering the following aspects : Facts, Parties involved, Citation, Case reference, Issues, respective party's arguments, court's analysis, Ruling &amp; Reasoning. - The Commissioner Of Central vs M/S.Jsw Steels Limited</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FF74424" wp14:editId="3BFDE55B">
            <wp:extent cx="763905" cy="763905"/>
            <wp:effectExtent l="0" t="0" r="0" b="0"/>
            <wp:docPr id="267" name="Picture 26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0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The Commissioner of Central Excise vs. M/s. JSW Steels Limited</w:t>
      </w:r>
      <w:r w:rsidRPr="009C5151">
        <w:t xml:space="preserve">, the </w:t>
      </w:r>
      <w:r w:rsidRPr="009C5151">
        <w:rPr>
          <w:rStyle w:val="Strong"/>
        </w:rPr>
        <w:t>Madras High Court</w:t>
      </w:r>
      <w:r w:rsidRPr="009C5151">
        <w:t xml:space="preserve"> addressed the issue of service tax liability on arrangement fees paid by JSW Steels Limited to a foreign bank for facilitating External Commercial Borrowings (ECBs).</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M/s. JSW Steels Limited, a prominent steel manufacturing company in India.</w:t>
      </w:r>
    </w:p>
    <w:p w:rsidR="00A056B6" w:rsidRPr="009C5151" w:rsidRDefault="00A056B6" w:rsidP="00743A5F">
      <w:pPr>
        <w:pStyle w:val="NormalWeb"/>
        <w:tabs>
          <w:tab w:val="num" w:pos="720"/>
        </w:tabs>
        <w:spacing w:before="0" w:beforeAutospacing="0"/>
        <w:ind w:left="720" w:hanging="360"/>
      </w:pPr>
      <w:r w:rsidRPr="009C5151">
        <w:rPr>
          <w:rStyle w:val="Strong"/>
        </w:rPr>
        <w:t>Transaction:</w:t>
      </w:r>
      <w:r w:rsidRPr="009C5151">
        <w:t xml:space="preserve"> JSW Steels Limited engaged in obtaining ECBs and paid arrangement fees to foreign financial institutions for facilitating these loans.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Service Tax Payment:</w:t>
      </w:r>
      <w:r w:rsidRPr="009C5151">
        <w:t xml:space="preserve"> The assessee initially did not pay service tax on the arrangement fees but later, upon realizing the liability, voluntarily paid the service tax along with interest.</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Service Tax Liability:</w:t>
      </w:r>
      <w:r w:rsidRPr="009C5151">
        <w:t xml:space="preserve"> Whether the arrangement fees paid by JSW Steels Limited to foreign financial institutions for facilitating ECBs are subject to service tax under the Finance Act, 1994.</w:t>
      </w:r>
    </w:p>
    <w:p w:rsidR="00A056B6" w:rsidRPr="009C5151" w:rsidRDefault="00A056B6" w:rsidP="00743A5F">
      <w:pPr>
        <w:pStyle w:val="NormalWeb"/>
        <w:tabs>
          <w:tab w:val="num" w:pos="720"/>
        </w:tabs>
        <w:spacing w:before="0" w:beforeAutospacing="0"/>
        <w:ind w:left="720" w:hanging="360"/>
      </w:pPr>
      <w:r w:rsidRPr="009C5151">
        <w:rPr>
          <w:rStyle w:val="Strong"/>
        </w:rPr>
        <w:t>Applicability of Penalties:</w:t>
      </w:r>
      <w:r w:rsidRPr="009C5151">
        <w:t xml:space="preserve"> Whether penalties under Sections 76 and 78 of the Finance Act, 1994, are applicable for the delayed payment of service tax on such arrangement fees.</w:t>
      </w:r>
    </w:p>
    <w:p w:rsidR="00A056B6" w:rsidRPr="009C5151" w:rsidRDefault="00A056B6" w:rsidP="00743A5F">
      <w:pPr>
        <w:pStyle w:val="NormalWeb"/>
        <w:spacing w:before="0" w:beforeAutospacing="0"/>
      </w:pPr>
      <w:r w:rsidRPr="009C5151">
        <w:rPr>
          <w:rStyle w:val="Strong"/>
        </w:rPr>
        <w:t>Arguments:</w:t>
      </w:r>
    </w:p>
    <w:p w:rsidR="00A056B6" w:rsidRPr="009C5151" w:rsidRDefault="00A056B6" w:rsidP="00743A5F">
      <w:pPr>
        <w:pStyle w:val="NormalWeb"/>
        <w:tabs>
          <w:tab w:val="num" w:pos="720"/>
        </w:tabs>
        <w:spacing w:before="0" w:beforeAutospacing="0"/>
        <w:ind w:left="720" w:hanging="360"/>
      </w:pPr>
      <w:r w:rsidRPr="009C5151">
        <w:rPr>
          <w:rStyle w:val="Strong"/>
        </w:rPr>
        <w:t>Assessee's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Non-Taxability:</w:t>
      </w:r>
      <w:r w:rsidRPr="009C5151">
        <w:t xml:space="preserve"> Initially, the assessee contended that the arrangement fees paid to foreign financial institutions were not taxable services under the Finance Act, 1994.</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Voluntary Compliance:</w:t>
      </w:r>
      <w:r w:rsidRPr="009C5151">
        <w:t xml:space="preserve"> Upon realizing the potential tax liability, the assessee voluntarily paid the service tax along with interest before the issuance of any show-cause notice, demonstrating bona fide conduct.</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Taxability of Services:</w:t>
      </w:r>
      <w:r w:rsidRPr="009C5151">
        <w:t xml:space="preserve"> The Revenue argued that the arrangement fees paid to foreign entities for facilitating ECBs constitute taxable services under the category of "banking and other financial services" as per the Finance Act, 1994.</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Imposition of Penalties:</w:t>
      </w:r>
      <w:r w:rsidRPr="009C5151">
        <w:t xml:space="preserve"> Despite the voluntary payment, the Revenue contended that penalties under Sections 76 and 78 are warranted due to the initial non-payment and alleged suppression of facts by the assessee.</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Taxability:</w:t>
      </w:r>
      <w:r w:rsidRPr="009C5151">
        <w:t xml:space="preserve"> The court examined the nature of the services rendered by the foreign financial institutions and concluded that facilitating ECBs falls under "banking and other financial services," making the arrangement fees liable to service tax under the Finance Act, 1994.</w:t>
      </w:r>
    </w:p>
    <w:p w:rsidR="00A056B6" w:rsidRPr="009C5151" w:rsidRDefault="00A056B6" w:rsidP="00743A5F">
      <w:pPr>
        <w:pStyle w:val="NormalWeb"/>
        <w:tabs>
          <w:tab w:val="num" w:pos="720"/>
        </w:tabs>
        <w:spacing w:before="0" w:beforeAutospacing="0"/>
        <w:ind w:left="720" w:hanging="360"/>
      </w:pPr>
      <w:r w:rsidRPr="009C5151">
        <w:rPr>
          <w:rStyle w:val="Strong"/>
        </w:rPr>
        <w:t>Penalties:</w:t>
      </w:r>
      <w:r w:rsidRPr="009C5151">
        <w:t xml:space="preserve"> Regarding the imposition of penalties, the court considered the assessee's voluntary payment of service tax along with interest before any adjudication process. The court referred to precedents where penalties were waived in cases of voluntary compliance and absence of mala fide intent.</w:t>
      </w:r>
    </w:p>
    <w:p w:rsidR="00A056B6" w:rsidRPr="009C5151" w:rsidRDefault="00A056B6" w:rsidP="00743A5F">
      <w:pPr>
        <w:pStyle w:val="NormalWeb"/>
        <w:spacing w:before="0" w:beforeAutospacing="0"/>
      </w:pPr>
      <w:r w:rsidRPr="009C5151">
        <w:rPr>
          <w:rStyle w:val="Strong"/>
        </w:rPr>
        <w:t>Ruling &amp; Reasoning:</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Service Tax Liability:</w:t>
      </w:r>
      <w:r w:rsidRPr="009C5151">
        <w:t xml:space="preserve"> The court upheld the taxability of the arrangement fees paid by JSW Steels Limited to foreign financial institutions for facilitating ECBs, affirming the assessee's liability to pay service tax on such fees.</w:t>
      </w:r>
    </w:p>
    <w:p w:rsidR="00A056B6" w:rsidRPr="009C5151" w:rsidRDefault="00A056B6" w:rsidP="00743A5F">
      <w:pPr>
        <w:pStyle w:val="NormalWeb"/>
        <w:tabs>
          <w:tab w:val="num" w:pos="720"/>
        </w:tabs>
        <w:spacing w:before="0" w:beforeAutospacing="0"/>
        <w:ind w:left="720" w:hanging="360"/>
      </w:pPr>
      <w:r w:rsidRPr="009C5151">
        <w:rPr>
          <w:rStyle w:val="Strong"/>
        </w:rPr>
        <w:t>Waiver of Penalties:</w:t>
      </w:r>
      <w:r w:rsidRPr="009C5151">
        <w:t xml:space="preserve"> Considering the assessee's voluntary payment and lack of deliberate suppression of facts, the court set aside the penalties imposed under Sections 76 and 78 of the Finance Act, 1994. The court emphasized that penal provisions should not be invoked when the assessee exhibits bona fide conduct and complies voluntarily.</w:t>
      </w:r>
    </w:p>
    <w:p w:rsidR="00A056B6" w:rsidRPr="009C5151" w:rsidRDefault="00A056B6" w:rsidP="00743A5F">
      <w:pPr>
        <w:pStyle w:val="NormalWeb"/>
        <w:spacing w:before="0" w:beforeAutospacing="0"/>
      </w:pPr>
      <w:r w:rsidRPr="009C5151">
        <w:t>This judgment underscores the importance of timely compliance with service tax obligations on payments made to foreign entities for services rendered and highlights that voluntary payment of dues can be a mitigating factor against the imposition of penalties.</w:t>
      </w:r>
    </w:p>
    <w:p w:rsidR="00A056B6" w:rsidRPr="009C5151" w:rsidRDefault="00A056B6" w:rsidP="00743A5F">
      <w:pPr>
        <w:spacing w:line="240" w:lineRule="auto"/>
        <w:rPr>
          <w:rFonts w:ascii="Times New Roman" w:hAnsi="Times New Roman" w:cs="Times New Roman"/>
          <w:sz w:val="24"/>
          <w:szCs w:val="24"/>
        </w:rPr>
      </w:pPr>
      <w:hyperlink r:id="rId18" w:tgtFrame="_blank" w:history="1">
        <w:r w:rsidRPr="009C5151">
          <w:rPr>
            <w:rStyle w:val="truncate"/>
            <w:rFonts w:ascii="Times New Roman" w:hAnsi="Times New Roman" w:cs="Times New Roman"/>
            <w:color w:val="0000FF"/>
            <w:sz w:val="24"/>
            <w:szCs w:val="24"/>
            <w:u w:val="single"/>
          </w:rPr>
          <w:t>Indian Kanoon</w:t>
        </w:r>
      </w:hyperlink>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following decided cases in International taxation by covering the following aspects : Facts, Parties involved, Citation, Case reference, Issues, respective party's arguments, court's analysis, Ruling and Reasoning. - M/S Mahindra Holidays And Resorts India ... vs The Intelligence Officer</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654AA74" wp14:editId="491BE82D">
            <wp:extent cx="763905" cy="763905"/>
            <wp:effectExtent l="0" t="0" r="0" b="0"/>
            <wp:docPr id="266" name="Picture 26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0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M/s. Mahindra Holidays and Resorts India Ltd. vs. The Intelligence Officer</w:t>
      </w:r>
      <w:r w:rsidRPr="009C5151">
        <w:t xml:space="preserve">, the </w:t>
      </w:r>
      <w:r w:rsidRPr="009C5151">
        <w:rPr>
          <w:rStyle w:val="Strong"/>
        </w:rPr>
        <w:t>Kerala High Court</w:t>
      </w:r>
      <w:r w:rsidRPr="009C5151">
        <w:t xml:space="preserve"> addressed the applicability of luxury tax under the Kerala Tax on Luxuries Act, 1976, to timeshare arrangements offered by resort operators.</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Petitioner:</w:t>
      </w:r>
      <w:r w:rsidRPr="009C5151">
        <w:t xml:space="preserve"> M/s. Mahindra Holidays and Resorts India Ltd. (MHRIL), a company operating resorts and offering timeshare memberships to customers.</w:t>
      </w:r>
    </w:p>
    <w:p w:rsidR="00A056B6" w:rsidRPr="009C5151" w:rsidRDefault="00A056B6" w:rsidP="00743A5F">
      <w:pPr>
        <w:pStyle w:val="NormalWeb"/>
        <w:tabs>
          <w:tab w:val="num" w:pos="720"/>
        </w:tabs>
        <w:spacing w:before="0" w:beforeAutospacing="0"/>
        <w:ind w:left="720" w:hanging="360"/>
      </w:pPr>
      <w:r w:rsidRPr="009C5151">
        <w:rPr>
          <w:rStyle w:val="Strong"/>
        </w:rPr>
        <w:t>Respondent:</w:t>
      </w:r>
      <w:r w:rsidRPr="009C5151">
        <w:t xml:space="preserve"> The Intelligence Officer, Commercial Taxes Department, Kerala.</w:t>
      </w:r>
    </w:p>
    <w:p w:rsidR="00A056B6" w:rsidRPr="009C5151" w:rsidRDefault="00A056B6" w:rsidP="00743A5F">
      <w:pPr>
        <w:pStyle w:val="NormalWeb"/>
        <w:tabs>
          <w:tab w:val="num" w:pos="720"/>
        </w:tabs>
        <w:spacing w:before="0" w:beforeAutospacing="0"/>
        <w:ind w:left="720" w:hanging="360"/>
      </w:pPr>
      <w:r w:rsidRPr="009C5151">
        <w:rPr>
          <w:rStyle w:val="Strong"/>
        </w:rPr>
        <w:t>Context:</w:t>
      </w:r>
      <w:r w:rsidRPr="009C5151">
        <w:t xml:space="preserve"> MHRIL offered timeshare memberships, granting members the right to stay at their resorts for a specified number of days annually over a set period. The company collected upfront membership fees and annual maintenance charges from members.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Applicability of Luxury Tax:</w:t>
      </w:r>
      <w:r w:rsidRPr="009C5151">
        <w:t xml:space="preserve"> Whether the accommodation provided to timeshare members constitutes a "luxury" under the Kerala Tax on Luxuries Act, 1976, thereby attracting luxury tax.</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Taxable Event and Valuation:</w:t>
      </w:r>
      <w:r w:rsidRPr="009C5151">
        <w:t xml:space="preserve"> If applicable, determining the taxable event and the value on which luxury tax should be levied in the context of timeshare arrangements.</w:t>
      </w:r>
    </w:p>
    <w:p w:rsidR="00A056B6" w:rsidRPr="009C5151" w:rsidRDefault="00A056B6" w:rsidP="00743A5F">
      <w:pPr>
        <w:pStyle w:val="NormalWeb"/>
        <w:spacing w:before="0" w:beforeAutospacing="0"/>
      </w:pPr>
      <w:r w:rsidRPr="009C5151">
        <w:rPr>
          <w:rStyle w:val="Strong"/>
        </w:rPr>
        <w:t>Arguments:</w:t>
      </w:r>
    </w:p>
    <w:p w:rsidR="00A056B6" w:rsidRPr="009C5151" w:rsidRDefault="00A056B6" w:rsidP="00743A5F">
      <w:pPr>
        <w:pStyle w:val="NormalWeb"/>
        <w:tabs>
          <w:tab w:val="num" w:pos="720"/>
        </w:tabs>
        <w:spacing w:before="0" w:beforeAutospacing="0"/>
        <w:ind w:left="720" w:hanging="360"/>
      </w:pPr>
      <w:r w:rsidRPr="009C5151">
        <w:rPr>
          <w:rStyle w:val="Strong"/>
        </w:rPr>
        <w:t>Petitioner's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Definition of Luxury:</w:t>
      </w:r>
      <w:r w:rsidRPr="009C5151">
        <w:t xml:space="preserve"> MHRIL contended that the accommodation provided to timeshare members does not fall within the definition of "luxury" under the Act, as members have pre-paid for the right to use the facilities, distinguishing it from regular hotel accommodations.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Absence of Specific Provisions:</w:t>
      </w:r>
      <w:r w:rsidRPr="009C5151">
        <w:t xml:space="preserve"> The petitioner argued that the Kerala Tax on Luxuries Act does not explicitly cover timeshare arrangements, and in the absence of clear provisions, the levy of luxury tax is unwarranted.</w:t>
      </w:r>
    </w:p>
    <w:p w:rsidR="00A056B6" w:rsidRPr="009C5151" w:rsidRDefault="00A056B6" w:rsidP="00743A5F">
      <w:pPr>
        <w:pStyle w:val="NormalWeb"/>
        <w:tabs>
          <w:tab w:val="num" w:pos="720"/>
        </w:tabs>
        <w:spacing w:before="0" w:beforeAutospacing="0"/>
        <w:ind w:left="720" w:hanging="360"/>
      </w:pPr>
      <w:r w:rsidRPr="009C5151">
        <w:rPr>
          <w:rStyle w:val="Strong"/>
        </w:rPr>
        <w:t>Respondent's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Provision of Luxury:</w:t>
      </w:r>
      <w:r w:rsidRPr="009C5151">
        <w:t xml:space="preserve"> The Intelligence Officer asserted that providing accommodation, whether to regular guests or timeshare members, constitutes a luxury under the Act.</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Taxable Event:</w:t>
      </w:r>
      <w:r w:rsidRPr="009C5151">
        <w:t xml:space="preserve"> The respondent maintained that the actual usage of accommodation by timeshare members is the taxable event, and luxury tax should be levied based on the duration of stay and the prevailing room tariffs.</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Interpretation of 'Luxury':</w:t>
      </w:r>
      <w:r w:rsidRPr="009C5151">
        <w:t xml:space="preserve"> The court examined the definition of "luxury" under the Kerala Tax on Luxuries Act, noting that it encompasses accommodation and services provided in hotels and similar establishments for a monetary consideration.</w:t>
      </w:r>
    </w:p>
    <w:p w:rsidR="00A056B6" w:rsidRPr="009C5151" w:rsidRDefault="00A056B6" w:rsidP="00743A5F">
      <w:pPr>
        <w:pStyle w:val="NormalWeb"/>
        <w:tabs>
          <w:tab w:val="num" w:pos="720"/>
        </w:tabs>
        <w:spacing w:before="0" w:beforeAutospacing="0"/>
        <w:ind w:left="720" w:hanging="360"/>
      </w:pPr>
      <w:r w:rsidRPr="009C5151">
        <w:rPr>
          <w:rStyle w:val="Strong"/>
        </w:rPr>
        <w:t>Timeshare Arrangements:</w:t>
      </w:r>
      <w:r w:rsidRPr="009C5151">
        <w:t xml:space="preserve"> The court observed that timeshare members avail accommodation facilities similar to regular hotel guests, and the nature of services provided does not change merely because the payment structure differs.</w:t>
      </w:r>
    </w:p>
    <w:p w:rsidR="00A056B6" w:rsidRPr="009C5151" w:rsidRDefault="00A056B6" w:rsidP="00743A5F">
      <w:pPr>
        <w:pStyle w:val="NormalWeb"/>
        <w:tabs>
          <w:tab w:val="num" w:pos="720"/>
        </w:tabs>
        <w:spacing w:before="0" w:beforeAutospacing="0"/>
        <w:ind w:left="720" w:hanging="360"/>
      </w:pPr>
      <w:r w:rsidRPr="009C5151">
        <w:rPr>
          <w:rStyle w:val="Strong"/>
        </w:rPr>
        <w:t>Taxable Event and Valuation:</w:t>
      </w:r>
      <w:r w:rsidRPr="009C5151">
        <w:t xml:space="preserve"> The court determined that the taxable event is the actual availing of accommodation by timeshare members. For valuation, the court suggested that the luxury tax should be computed based on the tariff rates applicable during the period of stay, irrespective of the upfront payment model.</w:t>
      </w:r>
    </w:p>
    <w:p w:rsidR="00A056B6" w:rsidRPr="009C5151" w:rsidRDefault="00A056B6" w:rsidP="00743A5F">
      <w:pPr>
        <w:pStyle w:val="NormalWeb"/>
        <w:spacing w:before="0" w:beforeAutospacing="0"/>
      </w:pPr>
      <w:r w:rsidRPr="009C5151">
        <w:rPr>
          <w:rStyle w:val="Strong"/>
        </w:rPr>
        <w:t>Ruling &amp; Reasoning:</w:t>
      </w:r>
    </w:p>
    <w:p w:rsidR="00A056B6" w:rsidRPr="009C5151" w:rsidRDefault="00A056B6" w:rsidP="00743A5F">
      <w:pPr>
        <w:pStyle w:val="NormalWeb"/>
        <w:tabs>
          <w:tab w:val="num" w:pos="720"/>
        </w:tabs>
        <w:spacing w:before="0" w:beforeAutospacing="0"/>
        <w:ind w:left="720" w:hanging="360"/>
      </w:pPr>
      <w:r w:rsidRPr="009C5151">
        <w:rPr>
          <w:rStyle w:val="Strong"/>
        </w:rPr>
        <w:t>Applicability of Luxury Tax:</w:t>
      </w:r>
      <w:r w:rsidRPr="009C5151">
        <w:t xml:space="preserve"> The Kerala High Court ruled that the accommodation provided to timeshare members by MHRIL constitutes a "luxury" under the Kerala Tax on Luxuries Act, 1976, and is subject to luxury tax.</w:t>
      </w:r>
    </w:p>
    <w:p w:rsidR="00A056B6" w:rsidRPr="009C5151" w:rsidRDefault="00A056B6" w:rsidP="00743A5F">
      <w:pPr>
        <w:pStyle w:val="NormalWeb"/>
        <w:tabs>
          <w:tab w:val="num" w:pos="720"/>
        </w:tabs>
        <w:spacing w:before="0" w:beforeAutospacing="0"/>
        <w:ind w:left="720" w:hanging="360"/>
      </w:pPr>
      <w:r w:rsidRPr="009C5151">
        <w:rPr>
          <w:rStyle w:val="Strong"/>
        </w:rPr>
        <w:t>Taxable Event and Valuation:</w:t>
      </w:r>
      <w:r w:rsidRPr="009C5151">
        <w:t xml:space="preserve"> The court held that the taxable event is the actual usage of accommodation by timeshare members. The luxury tax should be calculated based </w:t>
      </w:r>
      <w:r w:rsidRPr="009C5151">
        <w:lastRenderedPageBreak/>
        <w:t>on the prevailing room tariffs during the members' stay, ensuring parity with regular hotel guests.</w:t>
      </w:r>
    </w:p>
    <w:p w:rsidR="00A056B6" w:rsidRPr="009C5151" w:rsidRDefault="00A056B6" w:rsidP="00743A5F">
      <w:pPr>
        <w:pStyle w:val="NormalWeb"/>
        <w:spacing w:before="0" w:beforeAutospacing="0"/>
      </w:pPr>
      <w:r w:rsidRPr="009C5151">
        <w:t>This judgment clarifies that timeshare accommodations are liable to luxury tax in Kerala, with the tax computed based on the actual usage and prevailing tariffs, aligning the tax treatment of timeshare resorts with that of traditional hotels.</w:t>
      </w:r>
    </w:p>
    <w:p w:rsidR="00A056B6" w:rsidRPr="009C5151" w:rsidRDefault="00A056B6" w:rsidP="00743A5F">
      <w:pPr>
        <w:spacing w:line="240" w:lineRule="auto"/>
        <w:rPr>
          <w:rFonts w:ascii="Times New Roman" w:hAnsi="Times New Roman" w:cs="Times New Roman"/>
          <w:sz w:val="24"/>
          <w:szCs w:val="24"/>
        </w:rPr>
      </w:pPr>
      <w:hyperlink r:id="rId19" w:tgtFrame="_blank" w:history="1">
        <w:r w:rsidRPr="009C5151">
          <w:rPr>
            <w:rStyle w:val="truncate"/>
            <w:rFonts w:ascii="Times New Roman" w:hAnsi="Times New Roman" w:cs="Times New Roman"/>
            <w:color w:val="0000FF"/>
            <w:sz w:val="24"/>
            <w:szCs w:val="24"/>
            <w:u w:val="single"/>
          </w:rPr>
          <w:t>Indian Kanoon</w:t>
        </w:r>
      </w:hyperlink>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following decided cases in International taxation by covering the following aspects : Facts, Parties involved, Citation, Case reference, Issues, respective party's arguments, court's analysis, Ruling and Reasoning. -Abdul Azeez Haroon vs The Deputy Commissioner Of Income Tax</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EA6DD7D" wp14:editId="728BE7C3">
            <wp:extent cx="763905" cy="763905"/>
            <wp:effectExtent l="0" t="0" r="0" b="0"/>
            <wp:docPr id="265" name="Picture 26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0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Abdul Azeez Haroon vs. The Deputy Commissioner of Income Tax</w:t>
      </w:r>
      <w:r w:rsidRPr="009C5151">
        <w:t xml:space="preserve">, the </w:t>
      </w:r>
      <w:r w:rsidRPr="009C5151">
        <w:rPr>
          <w:rStyle w:val="Strong"/>
        </w:rPr>
        <w:t>Madras High Court</w:t>
      </w:r>
      <w:r w:rsidRPr="009C5151">
        <w:t xml:space="preserve"> addressed the validity of a reassessment notice issued by an assessing officer who allegedly lacked proper jurisdiction over the assessee.</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Mr. Abdul Azeez Haroon, a Non-Resident Indian (NRI) during the relevant assessment year.</w:t>
      </w:r>
    </w:p>
    <w:p w:rsidR="00A056B6" w:rsidRPr="009C5151" w:rsidRDefault="00A056B6" w:rsidP="00743A5F">
      <w:pPr>
        <w:pStyle w:val="NormalWeb"/>
        <w:tabs>
          <w:tab w:val="num" w:pos="720"/>
        </w:tabs>
        <w:spacing w:before="0" w:beforeAutospacing="0"/>
        <w:ind w:left="720" w:hanging="360"/>
      </w:pPr>
      <w:r w:rsidRPr="009C5151">
        <w:rPr>
          <w:rStyle w:val="Strong"/>
        </w:rPr>
        <w:t>Assessment Year:</w:t>
      </w:r>
      <w:r w:rsidRPr="009C5151">
        <w:t xml:space="preserve"> 2008-09.</w:t>
      </w:r>
    </w:p>
    <w:p w:rsidR="00A056B6" w:rsidRPr="009C5151" w:rsidRDefault="00A056B6" w:rsidP="00743A5F">
      <w:pPr>
        <w:pStyle w:val="NormalWeb"/>
        <w:tabs>
          <w:tab w:val="num" w:pos="720"/>
        </w:tabs>
        <w:spacing w:before="0" w:beforeAutospacing="0"/>
        <w:ind w:left="720" w:hanging="360"/>
      </w:pPr>
      <w:r w:rsidRPr="009C5151">
        <w:rPr>
          <w:rStyle w:val="Strong"/>
        </w:rPr>
        <w:t>Proceedings Initiated:</w:t>
      </w:r>
      <w:r w:rsidRPr="009C5151">
        <w:t xml:space="preserve"> The Deputy Commissioner of Income Tax (International Taxation) in Madurai issued a notice under Section 148 of the Income Tax Act, 1961, to Mr. Haroon, intending to reassess his income for the specified year.</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Jurisdictional Validity:</w:t>
      </w:r>
      <w:r w:rsidRPr="009C5151">
        <w:t xml:space="preserve"> Whether the assessing officer in Madurai had the jurisdiction to issue a reassessment notice to Mr. Haroon, considering his status as an NRI and his residence in Shimoga, Karnataka.</w:t>
      </w:r>
    </w:p>
    <w:p w:rsidR="00A056B6" w:rsidRPr="009C5151" w:rsidRDefault="00A056B6" w:rsidP="00743A5F">
      <w:pPr>
        <w:pStyle w:val="NormalWeb"/>
        <w:tabs>
          <w:tab w:val="num" w:pos="720"/>
        </w:tabs>
        <w:spacing w:before="0" w:beforeAutospacing="0"/>
        <w:ind w:left="720" w:hanging="360"/>
      </w:pPr>
      <w:r w:rsidRPr="009C5151">
        <w:rPr>
          <w:rStyle w:val="Strong"/>
        </w:rPr>
        <w:t>Procedural Compliance:</w:t>
      </w:r>
      <w:r w:rsidRPr="009C5151">
        <w:t xml:space="preserve"> Whether the reassessment proceedings adhered to the procedural requirements stipulated under the Income Tax Act, particularly concerning the transfer of jurisdiction.</w:t>
      </w:r>
    </w:p>
    <w:p w:rsidR="00A056B6" w:rsidRPr="009C5151" w:rsidRDefault="00A056B6" w:rsidP="00743A5F">
      <w:pPr>
        <w:pStyle w:val="NormalWeb"/>
        <w:spacing w:before="0" w:beforeAutospacing="0"/>
      </w:pPr>
      <w:r w:rsidRPr="009C5151">
        <w:rPr>
          <w:rStyle w:val="Strong"/>
        </w:rPr>
        <w:t>Arguments: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Assessee's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Lack of Jurisdiction:</w:t>
      </w:r>
      <w:r w:rsidRPr="009C5151">
        <w:t xml:space="preserve"> Mr. Haroon contended that the assessing officer in Madurai did not have the jurisdiction to issue the reassessment notice, as he was residing in Shimoga, Karnataka, and was an NRI during the relevant period.</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Non-Compliance with Section 127:</w:t>
      </w:r>
      <w:r w:rsidRPr="009C5151">
        <w:t xml:space="preserve"> He argued that there was no proper order under Section 127 of the Income Tax Act transferring jurisdiction from the assessing officer in Karnataka to the one in Madurai, rendering the reassessment proceedings invalid.</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PAN Address Basis:</w:t>
      </w:r>
      <w:r w:rsidRPr="009C5151">
        <w:t xml:space="preserve"> The Revenue asserted that the Permanent Account Number (PAN) address of Mr. Haroon was in Madurai, justifying the jurisdiction of the assessing officer in Madurai to issue the reassessment notice.</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Assumption of Jurisdiction:</w:t>
      </w:r>
      <w:r w:rsidRPr="009C5151">
        <w:t xml:space="preserve"> They contended that the assessing officer had validly assumed jurisdiction based on the available information and had followed due process in initiating the reassessment proceedings.</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**Jur</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DIRECTOR OF INCOME TAX INTERNATIONAL TAXATION v. GE ENGINE SERVICES MALAYSIA SDN BHD - Please discuss in detail the following decided cases in International taxation by covering the following aspects : Facts, Parties involved, Citation, Case reference, Issues, respective party's arguments, court's analysis, Ruling and Reasoning.</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7C471E7E" wp14:editId="4F69D550">
            <wp:extent cx="763905" cy="763905"/>
            <wp:effectExtent l="0" t="0" r="0" b="0"/>
            <wp:docPr id="264" name="Picture 26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0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Director of Income Tax (International Taxation) v. GE Engine Services Malaysia SDN BHD</w:t>
      </w:r>
      <w:r w:rsidRPr="009C5151">
        <w:t xml:space="preserve">, the </w:t>
      </w:r>
      <w:r w:rsidRPr="009C5151">
        <w:rPr>
          <w:rStyle w:val="Strong"/>
        </w:rPr>
        <w:t>Delhi High Court</w:t>
      </w:r>
      <w:r w:rsidRPr="009C5151">
        <w:t xml:space="preserve"> addressed the tax implications of payments made by Indian airlines to a Malaysian company for engine maintenance services.</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GE Engine Services Malaysia SDN BHD (GEES Malaysia), a Malaysian company specializing in aircraft engine maintenance and repair services.</w:t>
      </w:r>
    </w:p>
    <w:p w:rsidR="00A056B6" w:rsidRPr="009C5151" w:rsidRDefault="00A056B6" w:rsidP="00743A5F">
      <w:pPr>
        <w:pStyle w:val="NormalWeb"/>
        <w:tabs>
          <w:tab w:val="num" w:pos="720"/>
        </w:tabs>
        <w:spacing w:before="0" w:beforeAutospacing="0"/>
        <w:ind w:left="720" w:hanging="360"/>
      </w:pPr>
      <w:r w:rsidRPr="009C5151">
        <w:rPr>
          <w:rStyle w:val="Strong"/>
        </w:rPr>
        <w:t>Transactions:</w:t>
      </w:r>
      <w:r w:rsidRPr="009C5151">
        <w:t xml:space="preserve"> Indian airlines, including Air India and Jet Airways, engaged GEES Malaysia for maintenance and repair of aircraft engines. The engines were transported </w:t>
      </w:r>
      <w:r w:rsidRPr="009C5151">
        <w:lastRenderedPageBreak/>
        <w:t>from India to Malaysia for servicing, and after completion, they were returned to India.</w:t>
      </w:r>
    </w:p>
    <w:p w:rsidR="00A056B6" w:rsidRPr="009C5151" w:rsidRDefault="00A056B6" w:rsidP="00743A5F">
      <w:pPr>
        <w:pStyle w:val="NormalWeb"/>
        <w:tabs>
          <w:tab w:val="num" w:pos="720"/>
        </w:tabs>
        <w:spacing w:before="0" w:beforeAutospacing="0"/>
        <w:ind w:left="720" w:hanging="360"/>
      </w:pPr>
      <w:r w:rsidRPr="009C5151">
        <w:rPr>
          <w:rStyle w:val="Strong"/>
        </w:rPr>
        <w:t>Payments:</w:t>
      </w:r>
      <w:r w:rsidRPr="009C5151">
        <w:t xml:space="preserve"> The Indian airlines made payments to GEES Malaysia for the services rendered.</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Income:</w:t>
      </w:r>
      <w:r w:rsidRPr="009C5151">
        <w:t xml:space="preserve"> Whether the payments made by Indian airlines to GEES Malaysia for engine maintenance and repair services constitute "fees for technical services" (FTS) under Section 9(1)(vii) of the Income Tax Act, 1961, and the India-Malaysia Double Taxation Avoidance Agreement (DTAA).</w:t>
      </w:r>
    </w:p>
    <w:p w:rsidR="00A056B6" w:rsidRPr="009C5151" w:rsidRDefault="00A056B6" w:rsidP="00743A5F">
      <w:pPr>
        <w:pStyle w:val="NormalWeb"/>
        <w:tabs>
          <w:tab w:val="num" w:pos="720"/>
        </w:tabs>
        <w:spacing w:before="0" w:beforeAutospacing="0"/>
        <w:ind w:left="720" w:hanging="360"/>
      </w:pPr>
      <w:r w:rsidRPr="009C5151">
        <w:rPr>
          <w:rStyle w:val="Strong"/>
        </w:rPr>
        <w:t>Tax Withholding Obligations:</w:t>
      </w:r>
      <w:r w:rsidRPr="009C5151">
        <w:t xml:space="preserve"> Whether the Indian airlines were required to withhold tax at source under Section 195 of the Income Tax Act on payments made to GEES Malaysia.</w:t>
      </w:r>
    </w:p>
    <w:p w:rsidR="00A056B6" w:rsidRPr="009C5151" w:rsidRDefault="00A056B6" w:rsidP="00743A5F">
      <w:pPr>
        <w:pStyle w:val="NormalWeb"/>
        <w:spacing w:before="0" w:beforeAutospacing="0"/>
      </w:pPr>
      <w:r w:rsidRPr="009C5151">
        <w:rPr>
          <w:rStyle w:val="Strong"/>
        </w:rPr>
        <w:t>Arguments:</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Fees for Technical Services:</w:t>
      </w:r>
      <w:r w:rsidRPr="009C5151">
        <w:t xml:space="preserve"> The Revenue contended that the services provided by GEES Malaysia involved technical expertise and skill, thereby qualifying as FTS under the Income Tax Act and the DTAA.</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Tax Withholding Requirement:</w:t>
      </w:r>
      <w:r w:rsidRPr="009C5151">
        <w:t xml:space="preserve"> Based on the characterization of the payments as FTS, the Revenue argued that the Indian airlines were obligated to deduct tax at source under Section 195 on payments made to GEES Malaysia.</w:t>
      </w:r>
    </w:p>
    <w:p w:rsidR="00A056B6" w:rsidRPr="009C5151" w:rsidRDefault="00A056B6" w:rsidP="00743A5F">
      <w:pPr>
        <w:pStyle w:val="NormalWeb"/>
        <w:tabs>
          <w:tab w:val="num" w:pos="720"/>
        </w:tabs>
        <w:spacing w:before="0" w:beforeAutospacing="0"/>
        <w:ind w:left="720" w:hanging="360"/>
      </w:pPr>
      <w:r w:rsidRPr="009C5151">
        <w:rPr>
          <w:rStyle w:val="Strong"/>
        </w:rPr>
        <w:t>Assessee's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Business Profits:</w:t>
      </w:r>
      <w:r w:rsidRPr="009C5151">
        <w:t xml:space="preserve"> GEES Malaysia asserted that the payments received were in the nature of business profits.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Absence of Permanent Establishment (PE):</w:t>
      </w:r>
      <w:r w:rsidRPr="009C5151">
        <w:t xml:space="preserve"> GEES Malaysia maintained that it did not have a PE in India as per Article 5 of the India-Malaysia DTAA. Consequently, in the absence of a PE, its business profits were not taxable in India under Article 7 of the DTAA.</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Nature of Services:</w:t>
      </w:r>
      <w:r w:rsidRPr="009C5151">
        <w:t xml:space="preserve"> The court examined the nature of the services provided by GEES Malaysia, noting that the maintenance and repair of aircraft engines were performed entirely outside India.</w:t>
      </w:r>
    </w:p>
    <w:p w:rsidR="00A056B6" w:rsidRPr="009C5151" w:rsidRDefault="00A056B6" w:rsidP="00743A5F">
      <w:pPr>
        <w:pStyle w:val="NormalWeb"/>
        <w:tabs>
          <w:tab w:val="num" w:pos="720"/>
        </w:tabs>
        <w:spacing w:before="0" w:beforeAutospacing="0"/>
        <w:ind w:left="720" w:hanging="360"/>
      </w:pPr>
      <w:r w:rsidRPr="009C5151">
        <w:rPr>
          <w:rStyle w:val="Strong"/>
        </w:rPr>
        <w:t>Definition of FTS:</w:t>
      </w:r>
      <w:r w:rsidRPr="009C5151">
        <w:t xml:space="preserve"> The court referred to the definition of FTS under the Income Tax Act and the DTAA, emphasizing that for services to qualify as FTS, they must be rendered within India or have a direct nexus to India.</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Permanent Establishment:</w:t>
      </w:r>
      <w:r w:rsidRPr="009C5151">
        <w:t xml:space="preserve"> The court analyzed the provisions of the India-Malaysia DTAA concerning the existence of a PE. It was observed that GEES Malaysia did not have any fixed place of business or dependent agent in India that would constitute a PE under Article 5 of the DTAA.</w:t>
      </w:r>
    </w:p>
    <w:p w:rsidR="00A056B6" w:rsidRPr="009C5151" w:rsidRDefault="00A056B6" w:rsidP="00743A5F">
      <w:pPr>
        <w:pStyle w:val="NormalWeb"/>
        <w:spacing w:before="0" w:beforeAutospacing="0"/>
      </w:pPr>
      <w:r w:rsidRPr="009C5151">
        <w:rPr>
          <w:rStyle w:val="Strong"/>
        </w:rPr>
        <w:t>Ruling &amp; Reasoning:</w:t>
      </w:r>
    </w:p>
    <w:p w:rsidR="00A056B6" w:rsidRPr="009C5151" w:rsidRDefault="00A056B6" w:rsidP="00743A5F">
      <w:pPr>
        <w:pStyle w:val="NormalWeb"/>
        <w:tabs>
          <w:tab w:val="num" w:pos="720"/>
        </w:tabs>
        <w:spacing w:before="0" w:beforeAutospacing="0"/>
        <w:ind w:left="720" w:hanging="360"/>
      </w:pPr>
      <w:r w:rsidRPr="009C5151">
        <w:rPr>
          <w:rStyle w:val="Strong"/>
        </w:rPr>
        <w:t>Non-Taxability in India:</w:t>
      </w:r>
      <w:r w:rsidRPr="009C5151">
        <w:t xml:space="preserve"> The Delhi High Court concluded that the payments made by Indian airlines to GEES Malaysia for engine maintenance and repair services did not qualify as FTS under the Income Tax Act or the DTAA, as the services were rendered entirely outside India.</w:t>
      </w:r>
    </w:p>
    <w:p w:rsidR="00A056B6" w:rsidRPr="009C5151" w:rsidRDefault="00A056B6" w:rsidP="00743A5F">
      <w:pPr>
        <w:pStyle w:val="NormalWeb"/>
        <w:tabs>
          <w:tab w:val="num" w:pos="720"/>
        </w:tabs>
        <w:spacing w:before="0" w:beforeAutospacing="0"/>
        <w:ind w:left="720" w:hanging="360"/>
      </w:pPr>
      <w:r w:rsidRPr="009C5151">
        <w:rPr>
          <w:rStyle w:val="Strong"/>
        </w:rPr>
        <w:t>Absence of PE:</w:t>
      </w:r>
      <w:r w:rsidRPr="009C5151">
        <w:t xml:space="preserve"> The court held that GEES Malaysia did not have a PE in India. Therefore, in accordance with Article 7 of the India-Malaysia DTAA, the business profits earned by GEES Malaysia were not taxable in India.</w:t>
      </w:r>
    </w:p>
    <w:p w:rsidR="00A056B6" w:rsidRPr="009C5151" w:rsidRDefault="00A056B6" w:rsidP="00743A5F">
      <w:pPr>
        <w:pStyle w:val="NormalWeb"/>
        <w:tabs>
          <w:tab w:val="num" w:pos="720"/>
        </w:tabs>
        <w:spacing w:before="0" w:beforeAutospacing="0"/>
        <w:ind w:left="720" w:hanging="360"/>
      </w:pPr>
      <w:r w:rsidRPr="009C5151">
        <w:rPr>
          <w:rStyle w:val="Strong"/>
        </w:rPr>
        <w:t>No Withholding Tax Obligation:</w:t>
      </w:r>
      <w:r w:rsidRPr="009C5151">
        <w:t xml:space="preserve"> Consequently, the court ruled that the Indian airlines were not required to deduct tax at source under Section 195 on payments made to GEES Malaysia.</w:t>
      </w:r>
    </w:p>
    <w:p w:rsidR="00A056B6" w:rsidRPr="009C5151" w:rsidRDefault="00A056B6" w:rsidP="00743A5F">
      <w:pPr>
        <w:pStyle w:val="NormalWeb"/>
        <w:spacing w:before="0" w:beforeAutospacing="0"/>
      </w:pPr>
      <w:r w:rsidRPr="009C5151">
        <w:t>This judgment underscores the significance of determining the nature of services and the existence of a PE in cross-border transactions to ascertain tax liability and withholding obligations under international tax treaties.</w:t>
      </w:r>
    </w:p>
    <w:p w:rsidR="00A056B6" w:rsidRPr="009C5151" w:rsidRDefault="00A056B6" w:rsidP="00743A5F">
      <w:pPr>
        <w:spacing w:line="240" w:lineRule="auto"/>
        <w:rPr>
          <w:rFonts w:ascii="Times New Roman" w:hAnsi="Times New Roman" w:cs="Times New Roman"/>
          <w:sz w:val="24"/>
          <w:szCs w:val="24"/>
        </w:rPr>
      </w:pPr>
      <w:hyperlink r:id="rId20" w:tgtFrame="_blank" w:history="1">
        <w:r w:rsidRPr="009C5151">
          <w:rPr>
            <w:rStyle w:val="truncate"/>
            <w:rFonts w:ascii="Times New Roman" w:hAnsi="Times New Roman" w:cs="Times New Roman"/>
            <w:color w:val="0000FF"/>
            <w:sz w:val="24"/>
            <w:szCs w:val="24"/>
            <w:u w:val="single"/>
          </w:rPr>
          <w:t>CaseMine</w:t>
        </w:r>
      </w:hyperlink>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xml:space="preserve">Please discuss in detail the following decided cases in International taxation by covering the following aspects : Facts, Parties involved, Citation, Case reference, Issues, respective party's arguments, court's analysis, Ruling and Reasoning.- DIRECTOR OF INCOME TAX INTERNATIONAL TAXATION v. GE ENERGY PARTS INC. </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A293C8C" wp14:editId="0B04A293">
            <wp:extent cx="763905" cy="763905"/>
            <wp:effectExtent l="0" t="0" r="0" b="0"/>
            <wp:docPr id="263" name="Picture 26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0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Director of Income Tax (International Taxation) v. GE Energy Parts Inc.</w:t>
      </w:r>
      <w:r w:rsidRPr="009C5151">
        <w:t xml:space="preserve">, the </w:t>
      </w:r>
      <w:r w:rsidRPr="009C5151">
        <w:rPr>
          <w:rStyle w:val="Strong"/>
        </w:rPr>
        <w:t>Delhi High Court</w:t>
      </w:r>
      <w:r w:rsidRPr="009C5151">
        <w:t xml:space="preserve"> examined whether GE Energy Parts Inc. (GEP), a U.S.-based company, had a Permanent Establishment (PE) in India, which would subject its income from sales in India to taxation under Indian law.</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Assessee:</w:t>
      </w:r>
      <w:r w:rsidRPr="009C5151">
        <w:t xml:space="preserve"> GE Energy Parts Inc. (GEP), a company incorporated and tax resident in the United States, engaged in the manufacture and offshore sale of sophisticated equipment, including gas turbine parts and sub-assemblies.</w:t>
      </w:r>
    </w:p>
    <w:p w:rsidR="00A056B6" w:rsidRPr="009C5151" w:rsidRDefault="00A056B6" w:rsidP="00743A5F">
      <w:pPr>
        <w:pStyle w:val="NormalWeb"/>
        <w:tabs>
          <w:tab w:val="num" w:pos="720"/>
        </w:tabs>
        <w:spacing w:before="0" w:beforeAutospacing="0"/>
        <w:ind w:left="720" w:hanging="360"/>
      </w:pPr>
      <w:r w:rsidRPr="009C5151">
        <w:rPr>
          <w:rStyle w:val="Strong"/>
        </w:rPr>
        <w:t>Operations in India:</w:t>
      </w:r>
      <w:r w:rsidRPr="009C5151">
        <w:t xml:space="preserve"> GEP conducted sales to Indian customers, with support from GE India Industrial Pvt. Ltd. (GEIIPL), an Indian subsidiary of the General Electric group. GEIIPL provided marketing support and facilitated communication between GEP and Indian clients.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w:t>
      </w:r>
      <w:r w:rsidRPr="009C5151">
        <w:t xml:space="preserve"> Whether GEP had a PE in India under Article 5 of the India-USA Double Taxation Avoidance Agreement (DTAA) due to its relationship with GEIIPL.</w:t>
      </w:r>
    </w:p>
    <w:p w:rsidR="00A056B6" w:rsidRPr="009C5151" w:rsidRDefault="00A056B6" w:rsidP="00743A5F">
      <w:pPr>
        <w:pStyle w:val="NormalWeb"/>
        <w:tabs>
          <w:tab w:val="num" w:pos="720"/>
        </w:tabs>
        <w:spacing w:before="0" w:beforeAutospacing="0"/>
        <w:ind w:left="720" w:hanging="360"/>
      </w:pPr>
      <w:r w:rsidRPr="009C5151">
        <w:rPr>
          <w:rStyle w:val="Strong"/>
        </w:rPr>
        <w:t>Attribution of Profits:</w:t>
      </w:r>
      <w:r w:rsidRPr="009C5151">
        <w:t xml:space="preserve"> If a PE existed, what portion of GEP's profits from Indian sales should be attributed to the PE and thus taxable in India.</w:t>
      </w:r>
    </w:p>
    <w:p w:rsidR="00A056B6" w:rsidRPr="009C5151" w:rsidRDefault="00A056B6" w:rsidP="00743A5F">
      <w:pPr>
        <w:pStyle w:val="NormalWeb"/>
        <w:spacing w:before="0" w:beforeAutospacing="0"/>
      </w:pPr>
      <w:r w:rsidRPr="009C5151">
        <w:rPr>
          <w:rStyle w:val="Strong"/>
        </w:rPr>
        <w:t>Arguments:</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Fixed Place PE:</w:t>
      </w:r>
      <w:r w:rsidRPr="009C5151">
        <w:t xml:space="preserve"> The Revenue contended that GEIIPL's premises and resources were at GEP's disposal, constituting a fixed place PE in India.</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Dependent Agent PE:</w:t>
      </w:r>
      <w:r w:rsidRPr="009C5151">
        <w:t xml:space="preserve"> It was argued that GEIIPL acted exclusively for GEP and other GE group entities, habitually securing orders and playing a principal role in concluding contracts, thereby constituting a dependent agent PE.</w:t>
      </w:r>
    </w:p>
    <w:p w:rsidR="00A056B6" w:rsidRPr="009C5151" w:rsidRDefault="00A056B6" w:rsidP="00743A5F">
      <w:pPr>
        <w:pStyle w:val="NormalWeb"/>
        <w:tabs>
          <w:tab w:val="num" w:pos="720"/>
        </w:tabs>
        <w:spacing w:before="0" w:beforeAutospacing="0"/>
        <w:ind w:left="720" w:hanging="360"/>
      </w:pPr>
      <w:r w:rsidRPr="009C5151">
        <w:rPr>
          <w:rStyle w:val="Strong"/>
        </w:rPr>
        <w:t>Assessee's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Independent Status of GEIIPL:</w:t>
      </w:r>
      <w:r w:rsidRPr="009C5151">
        <w:t xml:space="preserve"> GEP asserted that GEIIPL was an independent entity providing support services to various GE group companies and other clients, operating on an arm's length basis.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No Authority to Conclude Contracts:</w:t>
      </w:r>
      <w:r w:rsidRPr="009C5151">
        <w:t xml:space="preserve"> GEP maintained that GEIIPL did not have the authority to conclude contracts on its behalf; all critical decisions and contract conclusions occurred outside India.</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Fixed Place PE:</w:t>
      </w:r>
      <w:r w:rsidRPr="009C5151">
        <w:t xml:space="preserve"> The court examined whether GEP had a fixed place of business in India through GEIIPL. It was determined that GEIIPL's facilities were not at the disposal of GEP in a manner that constituted a fixed place PE.</w:t>
      </w:r>
    </w:p>
    <w:p w:rsidR="00A056B6" w:rsidRPr="009C5151" w:rsidRDefault="00A056B6" w:rsidP="00743A5F">
      <w:pPr>
        <w:pStyle w:val="NormalWeb"/>
        <w:tabs>
          <w:tab w:val="num" w:pos="720"/>
        </w:tabs>
        <w:spacing w:before="0" w:beforeAutospacing="0"/>
        <w:ind w:left="720" w:hanging="360"/>
      </w:pPr>
      <w:r w:rsidRPr="009C5151">
        <w:rPr>
          <w:rStyle w:val="Strong"/>
        </w:rPr>
        <w:t>Dependent Agent PE:</w:t>
      </w:r>
      <w:r w:rsidRPr="009C5151">
        <w:t xml:space="preserve"> The court analyzed the functions and authority of GEIIPL, concluding that while GEIIPL facilitated communication and provided support, it did not have the authority to conclude contracts on behalf of GEP. The contracts were finalized by GEP outside India.</w:t>
      </w:r>
    </w:p>
    <w:p w:rsidR="00A056B6" w:rsidRPr="009C5151" w:rsidRDefault="00A056B6" w:rsidP="00743A5F">
      <w:pPr>
        <w:pStyle w:val="NormalWeb"/>
        <w:spacing w:before="0" w:beforeAutospacing="0"/>
      </w:pPr>
      <w:r w:rsidRPr="009C5151">
        <w:rPr>
          <w:rStyle w:val="Strong"/>
        </w:rPr>
        <w:lastRenderedPageBreak/>
        <w:t>Ruling &amp; Reasoning:</w:t>
      </w:r>
    </w:p>
    <w:p w:rsidR="00A056B6" w:rsidRPr="009C5151" w:rsidRDefault="00A056B6" w:rsidP="00743A5F">
      <w:pPr>
        <w:pStyle w:val="NormalWeb"/>
        <w:tabs>
          <w:tab w:val="num" w:pos="720"/>
        </w:tabs>
        <w:spacing w:before="0" w:beforeAutospacing="0"/>
        <w:ind w:left="720" w:hanging="360"/>
      </w:pPr>
      <w:r w:rsidRPr="009C5151">
        <w:rPr>
          <w:rStyle w:val="Strong"/>
        </w:rPr>
        <w:t>No Permanent Establishment:</w:t>
      </w:r>
      <w:r w:rsidRPr="009C5151">
        <w:t xml:space="preserve"> The Delhi High Court ruled that GEP did not have a PE in India under Article 5 of the India-USA DTAA. GEIIPL's activities were preparatory and auxiliary, and it lacked the authority to conclude contracts on behalf of GEP.</w:t>
      </w:r>
    </w:p>
    <w:p w:rsidR="00A056B6" w:rsidRPr="009C5151" w:rsidRDefault="00A056B6" w:rsidP="00743A5F">
      <w:pPr>
        <w:pStyle w:val="NormalWeb"/>
        <w:tabs>
          <w:tab w:val="num" w:pos="720"/>
        </w:tabs>
        <w:spacing w:before="0" w:beforeAutospacing="0"/>
        <w:ind w:left="720" w:hanging="360"/>
      </w:pPr>
      <w:r w:rsidRPr="009C5151">
        <w:rPr>
          <w:rStyle w:val="Strong"/>
        </w:rPr>
        <w:t>No Taxable Presence:</w:t>
      </w:r>
      <w:r w:rsidRPr="009C5151">
        <w:t xml:space="preserve"> In the absence of a PE, GEP's business profits from sales to Indian customers were not attributable to India and, therefore, not taxable under Indian law.</w:t>
      </w:r>
    </w:p>
    <w:p w:rsidR="00A056B6" w:rsidRPr="009C5151" w:rsidRDefault="00A056B6" w:rsidP="00743A5F">
      <w:pPr>
        <w:pStyle w:val="NormalWeb"/>
        <w:spacing w:before="0" w:beforeAutospacing="0"/>
      </w:pPr>
      <w:r w:rsidRPr="009C5151">
        <w:t>This judgment underscores the importance of analyzing the nature of business operations and inter-company relationships in determining the existence of a PE and subsequent tax liabilities under international tax treaties.</w:t>
      </w:r>
    </w:p>
    <w:p w:rsidR="00A056B6" w:rsidRPr="009C5151" w:rsidRDefault="00A056B6" w:rsidP="00743A5F">
      <w:pPr>
        <w:spacing w:line="240" w:lineRule="auto"/>
        <w:rPr>
          <w:rFonts w:ascii="Times New Roman" w:hAnsi="Times New Roman" w:cs="Times New Roman"/>
          <w:sz w:val="24"/>
          <w:szCs w:val="24"/>
        </w:rPr>
      </w:pPr>
      <w:hyperlink r:id="rId21" w:tgtFrame="_blank" w:history="1">
        <w:r w:rsidRPr="009C5151">
          <w:rPr>
            <w:rStyle w:val="truncate"/>
            <w:rFonts w:ascii="Times New Roman" w:hAnsi="Times New Roman" w:cs="Times New Roman"/>
            <w:color w:val="0000FF"/>
            <w:sz w:val="24"/>
            <w:szCs w:val="24"/>
            <w:u w:val="single"/>
          </w:rPr>
          <w:t>itatonline.org</w:t>
        </w:r>
      </w:hyperlink>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xml:space="preserve">Please discuss in detail the following decided cases in International taxation by covering the following aspects : Facts, Parties involved, Citation, Case reference, Issues, respective party's arguments, court's analysis, Ruling and Reasoning.- DIRECTOR OF INCOME TAX INTERNATIONAL TAXATION v. GE JENBACHER GMBH &amp; CO. OHG </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BDDA177" wp14:editId="108837B0">
            <wp:extent cx="763905" cy="763905"/>
            <wp:effectExtent l="0" t="0" r="0" b="0"/>
            <wp:docPr id="262" name="Picture 26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0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Director of Income Tax (International Taxation) v. GE Jenbacher GmbH &amp; Co. OHG</w:t>
      </w:r>
      <w:r w:rsidRPr="009C5151">
        <w:t xml:space="preserve">, the </w:t>
      </w:r>
      <w:r w:rsidRPr="009C5151">
        <w:rPr>
          <w:rStyle w:val="Strong"/>
        </w:rPr>
        <w:t>Delhi High Court</w:t>
      </w:r>
      <w:r w:rsidRPr="009C5151">
        <w:t xml:space="preserve"> examined whether GE Jenbacher GmbH &amp; Co. OHG (GE Jenbacher), an Austrian company, had a Permanent Establishment (PE) in India, which would subject its income from sales in India to taxation under Indian law.</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GE Jenbacher GmbH &amp; Co. OHG, a company incorporated and tax resident in Austria, engaged in the manufacture and sale of gas engines and related equipment.</w:t>
      </w:r>
    </w:p>
    <w:p w:rsidR="00A056B6" w:rsidRPr="009C5151" w:rsidRDefault="00A056B6" w:rsidP="00743A5F">
      <w:pPr>
        <w:pStyle w:val="NormalWeb"/>
        <w:tabs>
          <w:tab w:val="num" w:pos="720"/>
        </w:tabs>
        <w:spacing w:before="0" w:beforeAutospacing="0"/>
        <w:ind w:left="720" w:hanging="360"/>
      </w:pPr>
      <w:r w:rsidRPr="009C5151">
        <w:rPr>
          <w:rStyle w:val="Strong"/>
        </w:rPr>
        <w:t>Operations in India:</w:t>
      </w:r>
      <w:r w:rsidRPr="009C5151">
        <w:t xml:space="preserve"> GE Jenbacher conducted sales to Indian customers, with support from GE India Industrial Pvt. Ltd. (GEIIPL), an Indian subsidiary of the General Electric group. GEIIPL provided marketing support and facilitated communication between GE Jenbacher and Indian clients.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Existence of Permanent Establishment:</w:t>
      </w:r>
      <w:r w:rsidRPr="009C5151">
        <w:t xml:space="preserve"> Whether GE Jenbacher had a PE in India under Article 5 of the India-Austria Double Taxation Avoidance Agreement (DTAA) due to its relationship with GEIIPL.</w:t>
      </w:r>
    </w:p>
    <w:p w:rsidR="00A056B6" w:rsidRPr="009C5151" w:rsidRDefault="00A056B6" w:rsidP="00743A5F">
      <w:pPr>
        <w:pStyle w:val="NormalWeb"/>
        <w:tabs>
          <w:tab w:val="num" w:pos="720"/>
        </w:tabs>
        <w:spacing w:before="0" w:beforeAutospacing="0"/>
        <w:ind w:left="720" w:hanging="360"/>
      </w:pPr>
      <w:r w:rsidRPr="009C5151">
        <w:rPr>
          <w:rStyle w:val="Strong"/>
        </w:rPr>
        <w:t>Attribution of Profits:</w:t>
      </w:r>
      <w:r w:rsidRPr="009C5151">
        <w:t xml:space="preserve"> If a PE existed, what portion of GE Jenbacher's profits from Indian sales should be attributed to the PE and thus taxable in India.</w:t>
      </w:r>
    </w:p>
    <w:p w:rsidR="00A056B6" w:rsidRPr="009C5151" w:rsidRDefault="00A056B6" w:rsidP="00743A5F">
      <w:pPr>
        <w:pStyle w:val="NormalWeb"/>
        <w:spacing w:before="0" w:beforeAutospacing="0"/>
      </w:pPr>
      <w:r w:rsidRPr="009C5151">
        <w:rPr>
          <w:rStyle w:val="Strong"/>
        </w:rPr>
        <w:t>Arguments:</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Fixed Place PE:</w:t>
      </w:r>
      <w:r w:rsidRPr="009C5151">
        <w:t xml:space="preserve"> The Revenue contended that GEIIPL's premises and resources were at GE Jenbacher's disposal, constituting a fixed place PE in India.</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Dependent Agent PE:</w:t>
      </w:r>
      <w:r w:rsidRPr="009C5151">
        <w:t xml:space="preserve"> It was argued that GEIIPL acted exclusively for GE Jenbacher and other GE group entities, habitually securing orders and playing a principal role in concluding contracts, thereby constituting a dependent agent PE.</w:t>
      </w:r>
    </w:p>
    <w:p w:rsidR="00A056B6" w:rsidRPr="009C5151" w:rsidRDefault="00A056B6" w:rsidP="00743A5F">
      <w:pPr>
        <w:pStyle w:val="NormalWeb"/>
        <w:tabs>
          <w:tab w:val="num" w:pos="720"/>
        </w:tabs>
        <w:spacing w:before="0" w:beforeAutospacing="0"/>
        <w:ind w:left="720" w:hanging="360"/>
      </w:pPr>
      <w:r w:rsidRPr="009C5151">
        <w:rPr>
          <w:rStyle w:val="Strong"/>
        </w:rPr>
        <w:t>Assessee's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Independent Status of GEIIPL:</w:t>
      </w:r>
      <w:r w:rsidRPr="009C5151">
        <w:t xml:space="preserve"> GE Jenbacher asserted that GEIIPL was an independent entity providing support services to various GE group companies and other clients, operating on an arm's length basis.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No Authority to Conclude Contracts:</w:t>
      </w:r>
      <w:r w:rsidRPr="009C5151">
        <w:t xml:space="preserve"> GE Jenbacher maintained that GEIIPL did not have the authority to conclude contracts on its behalf; all critical decisions and contract conclusions occurred outside India.</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Fixed Place PE:</w:t>
      </w:r>
      <w:r w:rsidRPr="009C5151">
        <w:t xml:space="preserve"> The court examined whether GE Jenbacher had a fixed place of business in India through GEIIPL. It was determined that GEIIPL's facilities were not at the disposal of GE Jenbacher in a manner that constituted a fixed place PE.</w:t>
      </w:r>
    </w:p>
    <w:p w:rsidR="00A056B6" w:rsidRPr="009C5151" w:rsidRDefault="00A056B6" w:rsidP="00743A5F">
      <w:pPr>
        <w:pStyle w:val="NormalWeb"/>
        <w:tabs>
          <w:tab w:val="num" w:pos="720"/>
        </w:tabs>
        <w:spacing w:before="0" w:beforeAutospacing="0"/>
        <w:ind w:left="720" w:hanging="360"/>
      </w:pPr>
      <w:r w:rsidRPr="009C5151">
        <w:rPr>
          <w:rStyle w:val="Strong"/>
        </w:rPr>
        <w:t>Dependent Agent PE:</w:t>
      </w:r>
      <w:r w:rsidRPr="009C5151">
        <w:t xml:space="preserve"> The court analyzed the functions and authority of GEIIPL, concluding that while GEIIPL facilitated communication and provided support, it did not have the authority to conclude contracts on behalf of GE Jenbacher. The contracts were finalized by GE Jenbacher outside India.</w:t>
      </w:r>
    </w:p>
    <w:p w:rsidR="00A056B6" w:rsidRPr="009C5151" w:rsidRDefault="00A056B6" w:rsidP="00743A5F">
      <w:pPr>
        <w:pStyle w:val="NormalWeb"/>
        <w:spacing w:before="0" w:beforeAutospacing="0"/>
      </w:pPr>
      <w:r w:rsidRPr="009C5151">
        <w:rPr>
          <w:rStyle w:val="Strong"/>
        </w:rPr>
        <w:t>Ruling &amp; Reasoning:</w:t>
      </w:r>
    </w:p>
    <w:p w:rsidR="00A056B6" w:rsidRPr="009C5151" w:rsidRDefault="00A056B6" w:rsidP="00743A5F">
      <w:pPr>
        <w:pStyle w:val="NormalWeb"/>
        <w:tabs>
          <w:tab w:val="num" w:pos="720"/>
        </w:tabs>
        <w:spacing w:before="0" w:beforeAutospacing="0"/>
        <w:ind w:left="720" w:hanging="360"/>
      </w:pPr>
      <w:r w:rsidRPr="009C5151">
        <w:rPr>
          <w:rStyle w:val="Strong"/>
        </w:rPr>
        <w:t>No Permanent Establishment:</w:t>
      </w:r>
      <w:r w:rsidRPr="009C5151">
        <w:t xml:space="preserve"> The Delhi High Court ruled that GE Jenbacher did not have a PE in India under Article 5 of the India-Austria DTAA. GEIIPL's activities were preparatory and auxiliary, and it lacked the authority to conclude contracts on behalf of GE Jenbacher.</w:t>
      </w:r>
    </w:p>
    <w:p w:rsidR="00A056B6" w:rsidRPr="009C5151" w:rsidRDefault="00A056B6" w:rsidP="00743A5F">
      <w:pPr>
        <w:pStyle w:val="NormalWeb"/>
        <w:tabs>
          <w:tab w:val="num" w:pos="720"/>
        </w:tabs>
        <w:spacing w:before="0" w:beforeAutospacing="0"/>
        <w:ind w:left="720" w:hanging="360"/>
      </w:pPr>
      <w:r w:rsidRPr="009C5151">
        <w:rPr>
          <w:rStyle w:val="Strong"/>
        </w:rPr>
        <w:t>No Taxable Presence:</w:t>
      </w:r>
      <w:r w:rsidRPr="009C5151">
        <w:t xml:space="preserve"> In the absence of a PE, GE Jenbacher's business profits from sales to Indian customers were not attributable to India and, therefore, not taxable under Indian law.</w:t>
      </w:r>
    </w:p>
    <w:p w:rsidR="00A056B6" w:rsidRPr="009C5151" w:rsidRDefault="00A056B6" w:rsidP="00743A5F">
      <w:pPr>
        <w:pStyle w:val="NormalWeb"/>
        <w:spacing w:before="0" w:beforeAutospacing="0"/>
      </w:pPr>
      <w:r w:rsidRPr="009C5151">
        <w:lastRenderedPageBreak/>
        <w:t>This judgment underscores the importance of analyzing the nature of business operations and inter-company relationships in determining the existence of a PE and subsequent tax liabilities under international tax treaties.</w:t>
      </w:r>
    </w:p>
    <w:p w:rsidR="00A056B6" w:rsidRPr="009C5151" w:rsidRDefault="00A056B6" w:rsidP="00743A5F">
      <w:pPr>
        <w:spacing w:line="240" w:lineRule="auto"/>
        <w:rPr>
          <w:rFonts w:ascii="Times New Roman" w:hAnsi="Times New Roman" w:cs="Times New Roman"/>
          <w:sz w:val="24"/>
          <w:szCs w:val="24"/>
        </w:rPr>
      </w:pPr>
      <w:hyperlink r:id="rId22" w:tgtFrame="_blank" w:history="1">
        <w:r w:rsidRPr="009C5151">
          <w:rPr>
            <w:rStyle w:val="truncate"/>
            <w:rFonts w:ascii="Times New Roman" w:hAnsi="Times New Roman" w:cs="Times New Roman"/>
            <w:color w:val="0000FF"/>
            <w:sz w:val="24"/>
            <w:szCs w:val="24"/>
            <w:u w:val="single"/>
          </w:rPr>
          <w:t>Indian Kanoon</w:t>
        </w:r>
      </w:hyperlink>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xml:space="preserve">Please discuss in detail the following decided cases in International taxation by covering the following aspects : Facts, Parties involved, Citation, Case reference, Issues, respective party's arguments, court's analysis, Ruling and Reasoning.- DIRECTOR OF INCOME TAX INTERNATIONAL TAXATION v. GE ENERGY PARTS INC. </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54CD0C2A" wp14:editId="59588E0F">
            <wp:extent cx="763905" cy="763905"/>
            <wp:effectExtent l="0" t="0" r="0" b="0"/>
            <wp:docPr id="261" name="Picture 26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0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Director of Income Tax (International Taxation) v. GE Energy Parts Inc.</w:t>
      </w:r>
      <w:r w:rsidRPr="009C5151">
        <w:t xml:space="preserve">, the </w:t>
      </w:r>
      <w:r w:rsidRPr="009C5151">
        <w:rPr>
          <w:rStyle w:val="Strong"/>
        </w:rPr>
        <w:t>Delhi High Court</w:t>
      </w:r>
      <w:r w:rsidRPr="009C5151">
        <w:t xml:space="preserve"> examined whether GE Energy Parts Inc. (GEP), a U.S.-based company, had a Permanent Establishment (PE) in India, which would subject its income from sales in India to taxation under Indian law.</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GE Energy Parts Inc. (GEP), a company incorporated and tax resident in the United States, engaged in the manufacture and offshore sale of sophisticated equipment, including gas turbine parts and sub-assemblies.</w:t>
      </w:r>
    </w:p>
    <w:p w:rsidR="00A056B6" w:rsidRPr="009C5151" w:rsidRDefault="00A056B6" w:rsidP="00743A5F">
      <w:pPr>
        <w:pStyle w:val="NormalWeb"/>
        <w:tabs>
          <w:tab w:val="num" w:pos="720"/>
        </w:tabs>
        <w:spacing w:before="0" w:beforeAutospacing="0"/>
        <w:ind w:left="720" w:hanging="360"/>
      </w:pPr>
      <w:r w:rsidRPr="009C5151">
        <w:rPr>
          <w:rStyle w:val="Strong"/>
        </w:rPr>
        <w:t>Operations in India:</w:t>
      </w:r>
      <w:r w:rsidRPr="009C5151">
        <w:t xml:space="preserve"> GEP conducted sales to Indian customers, with support from GE India Industrial Pvt. Ltd. (GEIIPL), an Indian subsidiary of the General Electric group. GEIIPL provided marketing support and facilitated communication between GEP and Indian clients.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w:t>
      </w:r>
      <w:r w:rsidRPr="009C5151">
        <w:t xml:space="preserve"> Whether GEP had a PE in India under Article 5 of the India-USA Double Taxation Avoidance Agreement (DTAA) due to its relationship with GEIIPL.</w:t>
      </w:r>
    </w:p>
    <w:p w:rsidR="00A056B6" w:rsidRPr="009C5151" w:rsidRDefault="00A056B6" w:rsidP="00743A5F">
      <w:pPr>
        <w:pStyle w:val="NormalWeb"/>
        <w:tabs>
          <w:tab w:val="num" w:pos="720"/>
        </w:tabs>
        <w:spacing w:before="0" w:beforeAutospacing="0"/>
        <w:ind w:left="720" w:hanging="360"/>
      </w:pPr>
      <w:r w:rsidRPr="009C5151">
        <w:rPr>
          <w:rStyle w:val="Strong"/>
        </w:rPr>
        <w:t>Attribution of Profits:</w:t>
      </w:r>
      <w:r w:rsidRPr="009C5151">
        <w:t xml:space="preserve"> If a PE existed, what portion of GEP's profits from Indian sales should be attributed to the PE and thus taxable in India.</w:t>
      </w:r>
    </w:p>
    <w:p w:rsidR="00A056B6" w:rsidRPr="009C5151" w:rsidRDefault="00A056B6" w:rsidP="00743A5F">
      <w:pPr>
        <w:pStyle w:val="NormalWeb"/>
        <w:spacing w:before="0" w:beforeAutospacing="0"/>
      </w:pPr>
      <w:r w:rsidRPr="009C5151">
        <w:rPr>
          <w:rStyle w:val="Strong"/>
        </w:rPr>
        <w:t>Arguments:</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lastRenderedPageBreak/>
        <w:t>Fixed Place PE:</w:t>
      </w:r>
      <w:r w:rsidRPr="009C5151">
        <w:t xml:space="preserve"> The Revenue contended that GEIIPL's premises and resources were at GEP's disposal, constituting a fixed place PE in India.</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Dependent Agent PE:</w:t>
      </w:r>
      <w:r w:rsidRPr="009C5151">
        <w:t xml:space="preserve"> It was argued that GEIIPL acted exclusively for GEP and other GE group entities, habitually securing orders and playing a principal role in concluding contracts, thereby constituting a dependent agent PE.</w:t>
      </w:r>
    </w:p>
    <w:p w:rsidR="00A056B6" w:rsidRPr="009C5151" w:rsidRDefault="00A056B6" w:rsidP="00743A5F">
      <w:pPr>
        <w:pStyle w:val="NormalWeb"/>
        <w:tabs>
          <w:tab w:val="num" w:pos="720"/>
        </w:tabs>
        <w:spacing w:before="0" w:beforeAutospacing="0"/>
        <w:ind w:left="720" w:hanging="360"/>
      </w:pPr>
      <w:r w:rsidRPr="009C5151">
        <w:rPr>
          <w:rStyle w:val="Strong"/>
        </w:rPr>
        <w:t>Assessee's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Independent Status of GEIIPL:</w:t>
      </w:r>
      <w:r w:rsidRPr="009C5151">
        <w:t xml:space="preserve"> GEP asserted that GEIIPL was an independent entity providing support services to various GE group companies and other clients, operating on an arm's length basis.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No Authority to Conclude Contracts:</w:t>
      </w:r>
      <w:r w:rsidRPr="009C5151">
        <w:t xml:space="preserve"> GEP maintained that GEIIPL did not have the authority to conclude contracts on its behalf; all critical decisions and contract conclusions occurred outside India.</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Fixed Place PE:</w:t>
      </w:r>
      <w:r w:rsidRPr="009C5151">
        <w:t xml:space="preserve"> The court examined whether GEP had a fixed place of business in India through GEIIPL. It was determined that GEIIPL's facilities were not at the disposal of GEP in a manner that constituted a fixed place PE.</w:t>
      </w:r>
    </w:p>
    <w:p w:rsidR="00A056B6" w:rsidRPr="009C5151" w:rsidRDefault="00A056B6" w:rsidP="00743A5F">
      <w:pPr>
        <w:pStyle w:val="NormalWeb"/>
        <w:tabs>
          <w:tab w:val="num" w:pos="720"/>
        </w:tabs>
        <w:spacing w:before="0" w:beforeAutospacing="0"/>
        <w:ind w:left="720" w:hanging="360"/>
      </w:pPr>
      <w:r w:rsidRPr="009C5151">
        <w:rPr>
          <w:rStyle w:val="Strong"/>
        </w:rPr>
        <w:t>Dependent Agent PE:</w:t>
      </w:r>
      <w:r w:rsidRPr="009C5151">
        <w:t xml:space="preserve"> The court analyzed the functions and authority of GEIIPL, concluding that while GEIIPL facilitated communication and provided support, it did not have the authority to conclude contracts on behalf of GEP. The contracts were finalized by GEP outside India.</w:t>
      </w:r>
    </w:p>
    <w:p w:rsidR="00A056B6" w:rsidRPr="009C5151" w:rsidRDefault="00A056B6" w:rsidP="00743A5F">
      <w:pPr>
        <w:pStyle w:val="NormalWeb"/>
        <w:spacing w:before="0" w:beforeAutospacing="0"/>
      </w:pPr>
      <w:r w:rsidRPr="009C5151">
        <w:rPr>
          <w:rStyle w:val="Strong"/>
        </w:rPr>
        <w:t>Ruling &amp; Reasoning:</w:t>
      </w:r>
    </w:p>
    <w:p w:rsidR="00A056B6" w:rsidRPr="009C5151" w:rsidRDefault="00A056B6" w:rsidP="00743A5F">
      <w:pPr>
        <w:pStyle w:val="NormalWeb"/>
        <w:tabs>
          <w:tab w:val="num" w:pos="720"/>
        </w:tabs>
        <w:spacing w:before="0" w:beforeAutospacing="0"/>
        <w:ind w:left="720" w:hanging="360"/>
      </w:pPr>
      <w:r w:rsidRPr="009C5151">
        <w:rPr>
          <w:rStyle w:val="Strong"/>
        </w:rPr>
        <w:t>No Permanent Establishment:</w:t>
      </w:r>
      <w:r w:rsidRPr="009C5151">
        <w:t xml:space="preserve"> The Delhi High Court ruled that GEP did not have a PE in India under Article 5 of the India-USA DTAA. GEIIPL's activities were preparatory and auxiliary, and it lacked the authority to conclude contracts on behalf of GEP.</w:t>
      </w:r>
    </w:p>
    <w:p w:rsidR="00A056B6" w:rsidRPr="009C5151" w:rsidRDefault="00A056B6" w:rsidP="00743A5F">
      <w:pPr>
        <w:pStyle w:val="NormalWeb"/>
        <w:tabs>
          <w:tab w:val="num" w:pos="720"/>
        </w:tabs>
        <w:spacing w:before="0" w:beforeAutospacing="0"/>
        <w:ind w:left="720" w:hanging="360"/>
      </w:pPr>
      <w:r w:rsidRPr="009C5151">
        <w:rPr>
          <w:rStyle w:val="Strong"/>
        </w:rPr>
        <w:t>No Taxable Presence:</w:t>
      </w:r>
      <w:r w:rsidRPr="009C5151">
        <w:t xml:space="preserve"> In the absence of a PE, GEP's business profits from sales to Indian customers were not attributable to India and, therefore, not taxable under Indian law.</w:t>
      </w:r>
    </w:p>
    <w:p w:rsidR="00A056B6" w:rsidRPr="009C5151" w:rsidRDefault="00A056B6" w:rsidP="00743A5F">
      <w:pPr>
        <w:pStyle w:val="NormalWeb"/>
        <w:spacing w:before="0" w:beforeAutospacing="0"/>
      </w:pPr>
      <w:r w:rsidRPr="009C5151">
        <w:t>This judgment underscores the importance of analyzing the nature of business operations and inter-company relationships in determining the existence of a PE and subsequent tax liabilities under international tax treaties.</w:t>
      </w:r>
    </w:p>
    <w:p w:rsidR="00A056B6" w:rsidRPr="009C5151" w:rsidRDefault="00A056B6" w:rsidP="00743A5F">
      <w:pPr>
        <w:spacing w:line="240" w:lineRule="auto"/>
        <w:rPr>
          <w:rFonts w:ascii="Times New Roman" w:hAnsi="Times New Roman" w:cs="Times New Roman"/>
          <w:sz w:val="24"/>
          <w:szCs w:val="24"/>
        </w:rPr>
      </w:pPr>
      <w:hyperlink r:id="rId23" w:tgtFrame="_blank" w:history="1">
        <w:r w:rsidRPr="009C5151">
          <w:rPr>
            <w:rStyle w:val="truncate"/>
            <w:rFonts w:ascii="Times New Roman" w:hAnsi="Times New Roman" w:cs="Times New Roman"/>
            <w:color w:val="0000FF"/>
            <w:sz w:val="24"/>
            <w:szCs w:val="24"/>
            <w:u w:val="single"/>
          </w:rPr>
          <w:t>Indian Kanoon</w:t>
        </w:r>
      </w:hyperlink>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xml:space="preserve">Aditya Birla Nuvo Limited v. Income-Tax -Please discuss in detail the following decided cases in International taxation by covering the following aspects : Facts, Parties involved, </w:t>
      </w:r>
      <w:r w:rsidRPr="009C5151">
        <w:rPr>
          <w:rFonts w:ascii="Times New Roman" w:hAnsi="Times New Roman" w:cs="Times New Roman"/>
          <w:sz w:val="24"/>
          <w:szCs w:val="24"/>
        </w:rPr>
        <w:lastRenderedPageBreak/>
        <w:t xml:space="preserve">Citation, Case reference, Issues, respective party's arguments, court's analysis, Ruling and Reasoning.- </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354EB762" wp14:editId="27DDED97">
            <wp:extent cx="763905" cy="763905"/>
            <wp:effectExtent l="0" t="0" r="0" b="0"/>
            <wp:docPr id="260" name="Picture 26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0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Aditya Birla Nuvo Limited v. Income-Tax</w:t>
      </w:r>
      <w:r w:rsidRPr="009C5151">
        <w:t xml:space="preserve">, the </w:t>
      </w:r>
      <w:r w:rsidRPr="009C5151">
        <w:rPr>
          <w:rStyle w:val="Strong"/>
        </w:rPr>
        <w:t>Bombay High Court</w:t>
      </w:r>
      <w:r w:rsidRPr="009C5151">
        <w:t xml:space="preserve"> addressed the tax implications arising from the transfer of shares of Idea Cellular Limited (ICL) involving non-resident entities and the applicability of the Double Taxation Avoidance Agreement (DTAA) between India and Mauritius.</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Parties Involved: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Aditya Birla Nuvo Limited (ABNL):</w:t>
      </w:r>
      <w:r w:rsidRPr="009C5151">
        <w:rPr>
          <w:rFonts w:ascii="Times New Roman" w:hAnsi="Times New Roman" w:cs="Times New Roman"/>
          <w:sz w:val="24"/>
          <w:szCs w:val="24"/>
        </w:rPr>
        <w:t xml:space="preserve"> Formerly known as Indian Rayon and Industries Limited, an Indian company.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New Cingular Wireless Services Inc. (NCWS):</w:t>
      </w:r>
      <w:r w:rsidRPr="009C5151">
        <w:rPr>
          <w:rFonts w:ascii="Times New Roman" w:hAnsi="Times New Roman" w:cs="Times New Roman"/>
          <w:sz w:val="24"/>
          <w:szCs w:val="24"/>
        </w:rPr>
        <w:t xml:space="preserve"> A U.S.-based company.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AT&amp;T Mauritius:</w:t>
      </w:r>
      <w:r w:rsidRPr="009C5151">
        <w:rPr>
          <w:rFonts w:ascii="Times New Roman" w:hAnsi="Times New Roman" w:cs="Times New Roman"/>
          <w:sz w:val="24"/>
          <w:szCs w:val="24"/>
        </w:rPr>
        <w:t xml:space="preserve"> A Mauritius-based company.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Idea Cellular Limited (ICL):</w:t>
      </w:r>
      <w:r w:rsidRPr="009C5151">
        <w:rPr>
          <w:rFonts w:ascii="Times New Roman" w:hAnsi="Times New Roman" w:cs="Times New Roman"/>
          <w:sz w:val="24"/>
          <w:szCs w:val="24"/>
        </w:rPr>
        <w:t xml:space="preserve"> An Indian telecommunications company.</w:t>
      </w:r>
    </w:p>
    <w:p w:rsidR="00A056B6" w:rsidRPr="009C5151" w:rsidRDefault="00A056B6" w:rsidP="00743A5F">
      <w:pPr>
        <w:pStyle w:val="NormalWeb"/>
        <w:tabs>
          <w:tab w:val="num" w:pos="720"/>
        </w:tabs>
        <w:spacing w:before="0" w:beforeAutospacing="0"/>
        <w:ind w:left="720" w:hanging="360"/>
      </w:pPr>
      <w:r w:rsidRPr="009C5151">
        <w:rPr>
          <w:rStyle w:val="Strong"/>
        </w:rPr>
        <w:t>Transaction Overview:</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NCWS held shares in ICL through its subsidiary, AT&amp;T Mauritius.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Under a Sale and Purchase Agreement dated September 28, 2005, AT&amp;T Mauritius transferred its shares in ICL to ABNL.</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capital gains from this transfer were realized by AT&amp;T Mauritius.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Taxability of Capital Gains:</w:t>
      </w:r>
      <w:r w:rsidRPr="009C5151">
        <w:t xml:space="preserve"> Whether the capital gains earned by AT&amp;T Mauritius from the transfer of ICL shares to ABNL were taxable in India, considering the provisions of the India-Mauritius DTAA.</w:t>
      </w:r>
    </w:p>
    <w:p w:rsidR="00A056B6" w:rsidRPr="009C5151" w:rsidRDefault="00A056B6" w:rsidP="00743A5F">
      <w:pPr>
        <w:pStyle w:val="NormalWeb"/>
        <w:tabs>
          <w:tab w:val="num" w:pos="720"/>
        </w:tabs>
        <w:spacing w:before="0" w:beforeAutospacing="0"/>
        <w:ind w:left="720" w:hanging="360"/>
      </w:pPr>
      <w:r w:rsidRPr="009C5151">
        <w:rPr>
          <w:rStyle w:val="Strong"/>
        </w:rPr>
        <w:t>Agent Liability:</w:t>
      </w:r>
      <w:r w:rsidRPr="009C5151">
        <w:t xml:space="preserve"> Whether ABNL could be treated as a representative assessee (agent) under Section 163(1) of the Income Tax Act, 1961, for the tax liability of AT&amp;T Mauritius.</w:t>
      </w:r>
    </w:p>
    <w:p w:rsidR="00A056B6" w:rsidRPr="009C5151" w:rsidRDefault="00A056B6" w:rsidP="00743A5F">
      <w:pPr>
        <w:pStyle w:val="NormalWeb"/>
        <w:spacing w:before="0" w:beforeAutospacing="0"/>
      </w:pPr>
      <w:r w:rsidRPr="009C5151">
        <w:rPr>
          <w:rStyle w:val="Strong"/>
        </w:rPr>
        <w:t>Arguments:</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Taxability in India:</w:t>
      </w:r>
      <w:r w:rsidRPr="009C5151">
        <w:rPr>
          <w:rFonts w:ascii="Times New Roman" w:hAnsi="Times New Roman" w:cs="Times New Roman"/>
          <w:sz w:val="24"/>
          <w:szCs w:val="24"/>
        </w:rPr>
        <w:t xml:space="preserve"> The Revenue contended that the capital gains arising from the transfer of shares of an Indian company (ICL) were taxable in India under the Income Tax Act.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Agent Liability:</w:t>
      </w:r>
      <w:r w:rsidRPr="009C5151">
        <w:rPr>
          <w:rFonts w:ascii="Times New Roman" w:hAnsi="Times New Roman" w:cs="Times New Roman"/>
          <w:sz w:val="24"/>
          <w:szCs w:val="24"/>
        </w:rPr>
        <w:t xml:space="preserve"> ABNL, being the purchaser of the shares, was argued to be an agent of AT&amp;T Mauritius under Section 163(1) and thus liable for the tax obligations of the non-resident entity.</w:t>
      </w:r>
    </w:p>
    <w:p w:rsidR="00A056B6" w:rsidRPr="009C5151" w:rsidRDefault="00A056B6" w:rsidP="00743A5F">
      <w:pPr>
        <w:pStyle w:val="NormalWeb"/>
        <w:tabs>
          <w:tab w:val="num" w:pos="720"/>
        </w:tabs>
        <w:spacing w:before="0" w:beforeAutospacing="0"/>
        <w:ind w:left="720" w:hanging="360"/>
      </w:pPr>
      <w:r w:rsidRPr="009C5151">
        <w:rPr>
          <w:rStyle w:val="Strong"/>
        </w:rPr>
        <w:t>Assessee's Arguments: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DTAA Provisions:</w:t>
      </w:r>
      <w:r w:rsidRPr="009C5151">
        <w:rPr>
          <w:rFonts w:ascii="Times New Roman" w:hAnsi="Times New Roman" w:cs="Times New Roman"/>
          <w:sz w:val="24"/>
          <w:szCs w:val="24"/>
        </w:rPr>
        <w:t xml:space="preserve"> ABNL argued that under Article 13(4) of the India-Mauritius DTAA, capital gains derived by a resident of Mauritius from the alienation of shares in an Indian company are taxable only in Mauritius.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No Agent Liability:</w:t>
      </w:r>
      <w:r w:rsidRPr="009C5151">
        <w:rPr>
          <w:rFonts w:ascii="Times New Roman" w:hAnsi="Times New Roman" w:cs="Times New Roman"/>
          <w:sz w:val="24"/>
          <w:szCs w:val="24"/>
        </w:rPr>
        <w:t xml:space="preserve"> ABNL contended that it should not be treated as a representative assessee for AT&amp;T Mauritius, as the latter was not liable to tax in India due to the DTAA provisions.</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DTAA Interpretation:</w:t>
      </w:r>
      <w:r w:rsidRPr="009C5151">
        <w:t xml:space="preserve"> The court examined Article 13(4) of the India-Mauritius DTAA, which stipulates that capital gains from the sale of shares by a Mauritius resident are taxable only in Mauritius.</w:t>
      </w:r>
    </w:p>
    <w:p w:rsidR="00A056B6" w:rsidRPr="009C5151" w:rsidRDefault="00A056B6" w:rsidP="00743A5F">
      <w:pPr>
        <w:pStyle w:val="NormalWeb"/>
        <w:tabs>
          <w:tab w:val="num" w:pos="720"/>
        </w:tabs>
        <w:spacing w:before="0" w:beforeAutospacing="0"/>
        <w:ind w:left="720" w:hanging="360"/>
      </w:pPr>
      <w:r w:rsidRPr="009C5151">
        <w:rPr>
          <w:rStyle w:val="Strong"/>
        </w:rPr>
        <w:t>Agent Liability Under Section 163(1):</w:t>
      </w:r>
      <w:r w:rsidRPr="009C5151">
        <w:t xml:space="preserve"> The court analyzed whether ABNL could be deemed an agent of AT&amp;T Mauritius. It was noted that for such a designation, the non-resident must have a tax liability in India.</w:t>
      </w:r>
    </w:p>
    <w:p w:rsidR="00A056B6" w:rsidRPr="009C5151" w:rsidRDefault="00A056B6" w:rsidP="00743A5F">
      <w:pPr>
        <w:pStyle w:val="NormalWeb"/>
        <w:spacing w:before="0" w:beforeAutospacing="0"/>
      </w:pPr>
      <w:r w:rsidRPr="009C5151">
        <w:rPr>
          <w:rStyle w:val="Strong"/>
        </w:rPr>
        <w:t>Ruling &amp; Reasoning:</w:t>
      </w:r>
    </w:p>
    <w:p w:rsidR="00A056B6" w:rsidRPr="009C5151" w:rsidRDefault="00A056B6" w:rsidP="00743A5F">
      <w:pPr>
        <w:pStyle w:val="NormalWeb"/>
        <w:tabs>
          <w:tab w:val="num" w:pos="720"/>
        </w:tabs>
        <w:spacing w:before="0" w:beforeAutospacing="0"/>
        <w:ind w:left="720" w:hanging="360"/>
      </w:pPr>
      <w:r w:rsidRPr="009C5151">
        <w:rPr>
          <w:rStyle w:val="Strong"/>
        </w:rPr>
        <w:t>Non-Taxability in India:</w:t>
      </w:r>
      <w:r w:rsidRPr="009C5151">
        <w:t xml:space="preserve"> The court held that, in accordance with the India-Mauritius DTAA, the capital gains earned by AT&amp;T Mauritius from the sale of ICL shares were not taxable in India.</w:t>
      </w:r>
    </w:p>
    <w:p w:rsidR="00A056B6" w:rsidRPr="009C5151" w:rsidRDefault="00A056B6" w:rsidP="00743A5F">
      <w:pPr>
        <w:pStyle w:val="NormalWeb"/>
        <w:tabs>
          <w:tab w:val="num" w:pos="720"/>
        </w:tabs>
        <w:spacing w:before="0" w:beforeAutospacing="0"/>
        <w:ind w:left="720" w:hanging="360"/>
      </w:pPr>
      <w:r w:rsidRPr="009C5151">
        <w:rPr>
          <w:rStyle w:val="Strong"/>
        </w:rPr>
        <w:t>No Agent Liability for ABNL:</w:t>
      </w:r>
      <w:r w:rsidRPr="009C5151">
        <w:t xml:space="preserve"> Since AT&amp;T Mauritius had no tax liability in India due to the DTAA provisions, ABNL could not be treated as a representative assessee under Section 163(1). The court emphasized that agent liability under this section presupposes an existing tax liability of the non-resident in India.</w:t>
      </w:r>
    </w:p>
    <w:p w:rsidR="00A056B6" w:rsidRPr="009C5151" w:rsidRDefault="00A056B6" w:rsidP="00743A5F">
      <w:pPr>
        <w:pStyle w:val="NormalWeb"/>
        <w:spacing w:before="0" w:beforeAutospacing="0"/>
      </w:pPr>
      <w:r w:rsidRPr="009C5151">
        <w:t>This judgment underscores the significance of DTAAs in determining tax liabilities in cross-border transactions and clarifies the conditions under which a resident entity can be deemed a representative assessee for a non-resident's tax obligations.</w:t>
      </w:r>
    </w:p>
    <w:p w:rsidR="00A056B6" w:rsidRPr="009C5151" w:rsidRDefault="00A056B6" w:rsidP="00743A5F">
      <w:pPr>
        <w:spacing w:line="240" w:lineRule="auto"/>
        <w:rPr>
          <w:rFonts w:ascii="Times New Roman" w:hAnsi="Times New Roman" w:cs="Times New Roman"/>
          <w:sz w:val="24"/>
          <w:szCs w:val="24"/>
        </w:rPr>
      </w:pPr>
      <w:hyperlink r:id="rId24" w:tgtFrame="_blank" w:history="1">
        <w:r w:rsidRPr="009C5151">
          <w:rPr>
            <w:rStyle w:val="truncate"/>
            <w:rFonts w:ascii="Times New Roman" w:hAnsi="Times New Roman" w:cs="Times New Roman"/>
            <w:color w:val="0000FF"/>
            <w:sz w:val="24"/>
            <w:szCs w:val="24"/>
            <w:u w:val="single"/>
          </w:rPr>
          <w:t>CaseMine</w:t>
        </w:r>
      </w:hyperlink>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xml:space="preserve">Please discuss in detail the following decided cases in International taxation by covering the following aspects : Facts, Parties involved, Citation, Case reference, Issues, respective party's </w:t>
      </w:r>
      <w:r w:rsidRPr="009C5151">
        <w:rPr>
          <w:rFonts w:ascii="Times New Roman" w:hAnsi="Times New Roman" w:cs="Times New Roman"/>
          <w:sz w:val="24"/>
          <w:szCs w:val="24"/>
        </w:rPr>
        <w:lastRenderedPageBreak/>
        <w:t>arguments, court's analysis, Ruling and Reasoning.- Tata Industries Ltd. v. Grasim Industries Ltd. -</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7F07C2C" wp14:editId="2FD84DF2">
            <wp:extent cx="763905" cy="763905"/>
            <wp:effectExtent l="0" t="0" r="0" b="0"/>
            <wp:docPr id="259" name="Picture 25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0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The legal proceedings between </w:t>
      </w:r>
      <w:r w:rsidRPr="009C5151">
        <w:rPr>
          <w:rStyle w:val="Strong"/>
        </w:rPr>
        <w:t>Tata Industries Ltd.</w:t>
      </w:r>
      <w:r w:rsidRPr="009C5151">
        <w:t xml:space="preserve"> and </w:t>
      </w:r>
      <w:r w:rsidRPr="009C5151">
        <w:rPr>
          <w:rStyle w:val="Strong"/>
        </w:rPr>
        <w:t>Grasim Industries Ltd.</w:t>
      </w:r>
      <w:r w:rsidRPr="009C5151">
        <w:t xml:space="preserve"> primarily revolved around disputes arising from a shareholders' agreement and subsequent share purchase agreements, leading to arbitration and related judicial interventions.</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Parties Involved: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Tata Industries Ltd. (TIL):</w:t>
      </w:r>
      <w:r w:rsidRPr="009C5151">
        <w:rPr>
          <w:rFonts w:ascii="Times New Roman" w:hAnsi="Times New Roman" w:cs="Times New Roman"/>
          <w:sz w:val="24"/>
          <w:szCs w:val="24"/>
        </w:rPr>
        <w:t xml:space="preserve"> An Indian company incorporated under the Companies Act, 1956.</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Apex Investments (Mauritius) Holding Pvt. Ltd.:</w:t>
      </w:r>
      <w:r w:rsidRPr="009C5151">
        <w:rPr>
          <w:rFonts w:ascii="Times New Roman" w:hAnsi="Times New Roman" w:cs="Times New Roman"/>
          <w:sz w:val="24"/>
          <w:szCs w:val="24"/>
        </w:rPr>
        <w:t xml:space="preserve"> A company incorporated under the laws of Mauritius.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Grasim Industries Ltd.:</w:t>
      </w:r>
      <w:r w:rsidRPr="009C5151">
        <w:rPr>
          <w:rFonts w:ascii="Times New Roman" w:hAnsi="Times New Roman" w:cs="Times New Roman"/>
          <w:sz w:val="24"/>
          <w:szCs w:val="24"/>
        </w:rPr>
        <w:t xml:space="preserve"> An Indian company incorporated under the Companies Act, 1956.</w:t>
      </w:r>
    </w:p>
    <w:p w:rsidR="00A056B6" w:rsidRPr="009C5151" w:rsidRDefault="00A056B6" w:rsidP="00743A5F">
      <w:pPr>
        <w:pStyle w:val="NormalWeb"/>
        <w:tabs>
          <w:tab w:val="num" w:pos="720"/>
        </w:tabs>
        <w:spacing w:before="0" w:beforeAutospacing="0"/>
        <w:ind w:left="720" w:hanging="360"/>
      </w:pPr>
      <w:r w:rsidRPr="009C5151">
        <w:rPr>
          <w:rStyle w:val="Strong"/>
        </w:rPr>
        <w:t>Background: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TIL and Grasim were parties to a shareholders' agreement dated December 15, 2000, concerning their joint venture in the telecommunications sector.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Disputes arose regarding alleged breaches of the shareholders' agreement, leading TIL to issue termination notices and invoke arbitration under the agreement's provisions.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Subsequently, share purchase agreements were executed on June 1, 2006, wherein TIL sold its shares to Grasim, purportedly without prejudice to the ongoing disputes.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Arbitrable Disputes:</w:t>
      </w:r>
      <w:r w:rsidRPr="009C5151">
        <w:t xml:space="preserve"> Whether live arbitrable disputes existed between the parties post-execution of the share purchase agreements.</w:t>
      </w:r>
    </w:p>
    <w:p w:rsidR="00A056B6" w:rsidRPr="009C5151" w:rsidRDefault="00A056B6" w:rsidP="00743A5F">
      <w:pPr>
        <w:pStyle w:val="NormalWeb"/>
        <w:tabs>
          <w:tab w:val="num" w:pos="720"/>
        </w:tabs>
        <w:spacing w:before="0" w:beforeAutospacing="0"/>
        <w:ind w:left="720" w:hanging="360"/>
      </w:pPr>
      <w:r w:rsidRPr="009C5151">
        <w:rPr>
          <w:rStyle w:val="Strong"/>
        </w:rPr>
        <w:t>Jurisdiction for Appointment of Arbitrator:</w:t>
      </w:r>
      <w:r w:rsidRPr="009C5151">
        <w:t xml:space="preserve"> Whether the Chief Justice of India or his designate had the jurisdiction to appoint an arbitrator under Section 11(6) of the Arbitration and Conciliation Act, 1996, considering the international elements involved.</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Maintainability of Counterclaims:</w:t>
      </w:r>
      <w:r w:rsidRPr="009C5151">
        <w:t xml:space="preserve"> Whether Grasim's counterclaims in the arbitration proceedings were maintainable, given its earlier stance on the non-existence of disputes.</w:t>
      </w:r>
    </w:p>
    <w:p w:rsidR="00A056B6" w:rsidRPr="009C5151" w:rsidRDefault="00A056B6" w:rsidP="00743A5F">
      <w:pPr>
        <w:pStyle w:val="NormalWeb"/>
        <w:spacing w:before="0" w:beforeAutospacing="0"/>
      </w:pPr>
      <w:r w:rsidRPr="009C5151">
        <w:rPr>
          <w:rStyle w:val="Strong"/>
        </w:rPr>
        <w:t>Respective Parties' Arguments:</w:t>
      </w:r>
    </w:p>
    <w:p w:rsidR="00A056B6" w:rsidRPr="009C5151" w:rsidRDefault="00A056B6" w:rsidP="00743A5F">
      <w:pPr>
        <w:pStyle w:val="NormalWeb"/>
        <w:tabs>
          <w:tab w:val="num" w:pos="720"/>
        </w:tabs>
        <w:spacing w:before="0" w:beforeAutospacing="0"/>
        <w:ind w:left="720" w:hanging="360"/>
      </w:pPr>
      <w:r w:rsidRPr="009C5151">
        <w:rPr>
          <w:rStyle w:val="Strong"/>
        </w:rPr>
        <w:t>Tata Industries Ltd.: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Asserted that despite the share purchase agreements, disputes arising from the shareholders' agreement remained unresolved and required arbitration.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Contended that Grasim's counterclaims were inadmissible due to its prior position denying the existence of any disputes.</w:t>
      </w:r>
    </w:p>
    <w:p w:rsidR="00A056B6" w:rsidRPr="009C5151" w:rsidRDefault="00A056B6" w:rsidP="00743A5F">
      <w:pPr>
        <w:pStyle w:val="NormalWeb"/>
        <w:tabs>
          <w:tab w:val="num" w:pos="720"/>
        </w:tabs>
        <w:spacing w:before="0" w:beforeAutospacing="0"/>
        <w:ind w:left="720" w:hanging="360"/>
      </w:pPr>
      <w:r w:rsidRPr="009C5151">
        <w:rPr>
          <w:rStyle w:val="Strong"/>
        </w:rPr>
        <w:t>Grasim Industries Ltd.: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Argued that the execution of the share purchase agreements extinguished any disputes under the shareholders' agreement, rendering arbitration unnecessary.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Maintained that it was entitled to raise counterclaims in the arbitration proceedings.</w:t>
      </w:r>
    </w:p>
    <w:p w:rsidR="00A056B6" w:rsidRPr="009C5151" w:rsidRDefault="00A056B6" w:rsidP="00743A5F">
      <w:pPr>
        <w:pStyle w:val="NormalWeb"/>
        <w:spacing w:before="0" w:beforeAutospacing="0"/>
      </w:pPr>
      <w:r w:rsidRPr="009C5151">
        <w:rPr>
          <w:rStyle w:val="Strong"/>
        </w:rPr>
        <w:t>Court's Analysis and Rulings:</w:t>
      </w:r>
    </w:p>
    <w:p w:rsidR="00A056B6" w:rsidRPr="009C5151" w:rsidRDefault="00A056B6" w:rsidP="00743A5F">
      <w:pPr>
        <w:pStyle w:val="NormalWeb"/>
        <w:tabs>
          <w:tab w:val="num" w:pos="720"/>
        </w:tabs>
        <w:spacing w:before="0" w:beforeAutospacing="0"/>
        <w:ind w:left="720" w:hanging="360"/>
      </w:pPr>
      <w:r w:rsidRPr="009C5151">
        <w:rPr>
          <w:rStyle w:val="Strong"/>
        </w:rPr>
        <w:t>Supreme Court of India (2008):</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In </w:t>
      </w:r>
      <w:r w:rsidRPr="009C5151">
        <w:rPr>
          <w:rStyle w:val="Strong"/>
          <w:rFonts w:ascii="Times New Roman" w:hAnsi="Times New Roman" w:cs="Times New Roman"/>
          <w:sz w:val="24"/>
          <w:szCs w:val="24"/>
        </w:rPr>
        <w:t>Tata Industries Ltd. &amp; Anr. v. Grasim Industries Ltd.</w:t>
      </w:r>
      <w:r w:rsidRPr="009C5151">
        <w:rPr>
          <w:rFonts w:ascii="Times New Roman" w:hAnsi="Times New Roman" w:cs="Times New Roman"/>
          <w:sz w:val="24"/>
          <w:szCs w:val="24"/>
        </w:rPr>
        <w:t>, the Supreme Court addressed the application under Section 11(6) of the Arbitration and Conciliation Act, 1996.</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Citation:</w:t>
      </w:r>
      <w:r w:rsidRPr="009C5151">
        <w:rPr>
          <w:rFonts w:ascii="Times New Roman" w:hAnsi="Times New Roman" w:cs="Times New Roman"/>
          <w:sz w:val="24"/>
          <w:szCs w:val="24"/>
        </w:rPr>
        <w:t xml:space="preserve"> (2008) 10 SCC 187.</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Ruling:</w:t>
      </w:r>
      <w:r w:rsidRPr="009C5151">
        <w:rPr>
          <w:rFonts w:ascii="Times New Roman" w:hAnsi="Times New Roman" w:cs="Times New Roman"/>
          <w:sz w:val="24"/>
          <w:szCs w:val="24"/>
        </w:rPr>
        <w:t xml:space="preserve"> The Court appointed an arbitral tribunal, acknowledging the existence of live arbitrable disputes between the parties, despite the execution of the share purchase agreements.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Reasoning:</w:t>
      </w:r>
      <w:r w:rsidRPr="009C5151">
        <w:rPr>
          <w:rFonts w:ascii="Times New Roman" w:hAnsi="Times New Roman" w:cs="Times New Roman"/>
          <w:sz w:val="24"/>
          <w:szCs w:val="24"/>
        </w:rPr>
        <w:t xml:space="preserve"> The Court determined that the disputes emanating from the shareholders' agreement were not conclusively resolved by the share purchase agreements, warranting arbitration.</w:t>
      </w:r>
    </w:p>
    <w:p w:rsidR="00A056B6" w:rsidRPr="009C5151" w:rsidRDefault="00A056B6" w:rsidP="00743A5F">
      <w:pPr>
        <w:pStyle w:val="NormalWeb"/>
        <w:tabs>
          <w:tab w:val="num" w:pos="720"/>
        </w:tabs>
        <w:spacing w:before="0" w:beforeAutospacing="0"/>
        <w:ind w:left="720" w:hanging="360"/>
      </w:pPr>
      <w:r w:rsidRPr="009C5151">
        <w:rPr>
          <w:rStyle w:val="Strong"/>
        </w:rPr>
        <w:t>Bombay High Court (2010):</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In </w:t>
      </w:r>
      <w:r w:rsidRPr="009C5151">
        <w:rPr>
          <w:rStyle w:val="Strong"/>
          <w:rFonts w:ascii="Times New Roman" w:hAnsi="Times New Roman" w:cs="Times New Roman"/>
          <w:sz w:val="24"/>
          <w:szCs w:val="24"/>
        </w:rPr>
        <w:t>Tata Industries Ltd. and Another v. Grasim Industries Ltd.</w:t>
      </w:r>
      <w:r w:rsidRPr="009C5151">
        <w:rPr>
          <w:rFonts w:ascii="Times New Roman" w:hAnsi="Times New Roman" w:cs="Times New Roman"/>
          <w:sz w:val="24"/>
          <w:szCs w:val="24"/>
        </w:rPr>
        <w:t>, the Bombay High Court examined the procedural order of the arbitral tribunal concerning the maintainability of Grasim's counterclaims.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Citation:</w:t>
      </w:r>
      <w:r w:rsidRPr="009C5151">
        <w:rPr>
          <w:rFonts w:ascii="Times New Roman" w:hAnsi="Times New Roman" w:cs="Times New Roman"/>
          <w:sz w:val="24"/>
          <w:szCs w:val="24"/>
        </w:rPr>
        <w:t xml:space="preserve"> 2010 SCC OnLine Bom 1614.</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Ruling:</w:t>
      </w:r>
      <w:r w:rsidRPr="009C5151">
        <w:rPr>
          <w:rFonts w:ascii="Times New Roman" w:hAnsi="Times New Roman" w:cs="Times New Roman"/>
          <w:sz w:val="24"/>
          <w:szCs w:val="24"/>
        </w:rPr>
        <w:t xml:space="preserve"> The Court dismissed the petition challenging the tribunal's procedural order, allowing Grasim's counterclaims to proceed in arbitration.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Reasoning:</w:t>
      </w:r>
      <w:r w:rsidRPr="009C5151">
        <w:rPr>
          <w:rFonts w:ascii="Times New Roman" w:hAnsi="Times New Roman" w:cs="Times New Roman"/>
          <w:sz w:val="24"/>
          <w:szCs w:val="24"/>
        </w:rPr>
        <w:t xml:space="preserve"> The Court held that the arbitral tribunal's decision to entertain counterclaims did not constitute an adjudication on merits and was not subject to immediate judicial intervention.</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The judicial proceedings affirmed the autonomy of the arbitral process in resolving complex commercial disputes, emphasizing minimal court interference during arbitration. The courts recognized the persistence of arbitrable issues post-share purchase agreements and upheld the arbitral tribunal's discretion in managing procedural aspects, including the admission of counterclaims.</w:t>
      </w:r>
    </w:p>
    <w:p w:rsidR="00A056B6" w:rsidRPr="009C5151" w:rsidRDefault="00A056B6" w:rsidP="00743A5F">
      <w:pPr>
        <w:pStyle w:val="NormalWeb"/>
        <w:spacing w:before="0" w:beforeAutospacing="0"/>
      </w:pPr>
      <w:r w:rsidRPr="009C5151">
        <w:rPr>
          <w:rStyle w:val="Strong"/>
        </w:rPr>
        <w:t>References:</w:t>
      </w:r>
    </w:p>
    <w:p w:rsidR="00A056B6" w:rsidRPr="009C5151" w:rsidRDefault="00A056B6" w:rsidP="00743A5F">
      <w:pPr>
        <w:pStyle w:val="NormalWeb"/>
        <w:tabs>
          <w:tab w:val="num" w:pos="720"/>
        </w:tabs>
        <w:spacing w:before="0" w:beforeAutospacing="0"/>
        <w:ind w:left="720" w:hanging="360"/>
      </w:pPr>
      <w:r w:rsidRPr="009C5151">
        <w:rPr>
          <w:rStyle w:val="Strong"/>
        </w:rPr>
        <w:t>Supreme Court Judgment (2008):</w:t>
      </w:r>
      <w:r w:rsidRPr="009C5151">
        <w:t xml:space="preserve"> Tata Industries Ltd. &amp; Anr. v. Grasim Industries Ltd., (2008) 10 SCC 187.</w:t>
      </w:r>
    </w:p>
    <w:p w:rsidR="00A056B6" w:rsidRPr="009C5151" w:rsidRDefault="00A056B6" w:rsidP="00743A5F">
      <w:pPr>
        <w:pStyle w:val="NormalWeb"/>
        <w:tabs>
          <w:tab w:val="num" w:pos="720"/>
        </w:tabs>
        <w:spacing w:before="0" w:beforeAutospacing="0"/>
        <w:ind w:left="720" w:hanging="360"/>
      </w:pPr>
      <w:r w:rsidRPr="009C5151">
        <w:rPr>
          <w:rStyle w:val="Strong"/>
        </w:rPr>
        <w:t>Bombay High Court Judgment (2010):</w:t>
      </w:r>
      <w:r w:rsidRPr="009C5151">
        <w:t xml:space="preserve"> Tata Industries Ltd. and Another v. Grasim Industries Ltd., 2010 SCC OnLine Bom 1614.</w:t>
      </w:r>
    </w:p>
    <w:p w:rsidR="00A056B6" w:rsidRPr="009C5151" w:rsidRDefault="00A056B6" w:rsidP="00743A5F">
      <w:pPr>
        <w:pStyle w:val="NormalWeb"/>
        <w:spacing w:before="0" w:beforeAutospacing="0"/>
      </w:pPr>
      <w:r w:rsidRPr="009C5151">
        <w:t>These cases underscore the judiciary's support for arbitration as an effective mechanism for resolving commercial disputes, reinforcing the principles of party autonomy and limited judicial intervention.</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following decided cases in International taxation by covering the following aspects : Facts, Parties involved, Citation, Case reference, Issues, respective party's arguments, court's analysis, Ruling and Reasoning.- Manoj Kumar Reddy vs ITO ( International Taxation) Ward 1(3) ITAT</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8330BF7" wp14:editId="795ECE68">
            <wp:extent cx="763905" cy="763905"/>
            <wp:effectExtent l="0" t="0" r="0" b="0"/>
            <wp:docPr id="258" name="Picture 25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0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Manoj Kumar Reddy v. Income-tax Officer (International Taxation) Ward-1(3), Bangalore</w:t>
      </w:r>
      <w:r w:rsidRPr="009C5151">
        <w:t xml:space="preserve">, the </w:t>
      </w:r>
      <w:r w:rsidRPr="009C5151">
        <w:rPr>
          <w:rStyle w:val="Strong"/>
        </w:rPr>
        <w:t>Income Tax Appellate Tribunal (ITAT) Bangalore Bench</w:t>
      </w:r>
      <w:r w:rsidRPr="009C5151">
        <w:t xml:space="preserve"> addressed the determination of an individual's residential status for taxation purposes under the Income Tax Act, 1961, particularly focusing on the computation of days of stay in India.</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Mr. Manoj Kumar Reddy, an employee of IBM Global Services India Pvt. Ltd., was deputed to work on a project in Chicago, USA, starting from February 1, 2004.</w:t>
      </w:r>
    </w:p>
    <w:p w:rsidR="00A056B6" w:rsidRPr="009C5151" w:rsidRDefault="00A056B6" w:rsidP="00743A5F">
      <w:pPr>
        <w:pStyle w:val="NormalWeb"/>
        <w:tabs>
          <w:tab w:val="num" w:pos="720"/>
        </w:tabs>
        <w:spacing w:before="0" w:beforeAutospacing="0"/>
        <w:ind w:left="720" w:hanging="360"/>
      </w:pPr>
      <w:r w:rsidRPr="009C5151">
        <w:rPr>
          <w:rStyle w:val="Strong"/>
        </w:rPr>
        <w:t>Assessment Year:</w:t>
      </w:r>
      <w:r w:rsidRPr="009C5151">
        <w:t xml:space="preserve"> 2005–06.</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Period in India:</w:t>
      </w:r>
      <w:r w:rsidRPr="009C5151">
        <w:t xml:space="preserve"> During the relevant previous year (April 1, 2004, to March 31, 2005), the assessee was in India for 78 days.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Residential Status:</w:t>
      </w:r>
      <w:r w:rsidRPr="009C5151">
        <w:t xml:space="preserve"> Whether the assessee should be classified as a 'resident' or 'non-resident' for the assessment year 2005–06 under Section 6(1) of the Income Tax Act, 1961.</w:t>
      </w:r>
    </w:p>
    <w:p w:rsidR="00A056B6" w:rsidRPr="009C5151" w:rsidRDefault="00A056B6" w:rsidP="00743A5F">
      <w:pPr>
        <w:pStyle w:val="NormalWeb"/>
        <w:tabs>
          <w:tab w:val="num" w:pos="720"/>
        </w:tabs>
        <w:spacing w:before="0" w:beforeAutospacing="0"/>
        <w:ind w:left="720" w:hanging="360"/>
      </w:pPr>
      <w:r w:rsidRPr="009C5151">
        <w:rPr>
          <w:rStyle w:val="Strong"/>
        </w:rPr>
        <w:t>Taxability of Foreign Income:</w:t>
      </w:r>
      <w:r w:rsidRPr="009C5151">
        <w:t xml:space="preserve"> Depending on the residential status, whether the salary earned by the assessee in the USA is taxable in India.</w:t>
      </w:r>
    </w:p>
    <w:p w:rsidR="00A056B6" w:rsidRPr="009C5151" w:rsidRDefault="00A056B6" w:rsidP="00743A5F">
      <w:pPr>
        <w:pStyle w:val="NormalWeb"/>
        <w:tabs>
          <w:tab w:val="num" w:pos="720"/>
        </w:tabs>
        <w:spacing w:before="0" w:beforeAutospacing="0"/>
        <w:ind w:left="720" w:hanging="360"/>
      </w:pPr>
      <w:r w:rsidRPr="009C5151">
        <w:rPr>
          <w:rStyle w:val="Strong"/>
        </w:rPr>
        <w:t>Interest Under Section 234B:</w:t>
      </w:r>
      <w:r w:rsidRPr="009C5151">
        <w:t xml:space="preserve"> The applicability of interest under Section 234B concerning the assessee's tax liability.</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Non-Resident Status:</w:t>
      </w:r>
      <w:r w:rsidRPr="009C5151">
        <w:t xml:space="preserve"> The assessee contended that he should be considered a non-resident for the relevant assessment year, as he was in India for less than 182 days during the previous year.</w:t>
      </w:r>
    </w:p>
    <w:p w:rsidR="00A056B6" w:rsidRPr="009C5151" w:rsidRDefault="00A056B6" w:rsidP="00743A5F">
      <w:pPr>
        <w:pStyle w:val="NormalWeb"/>
        <w:tabs>
          <w:tab w:val="num" w:pos="720"/>
        </w:tabs>
        <w:spacing w:before="0" w:beforeAutospacing="0"/>
        <w:ind w:left="720" w:hanging="360"/>
      </w:pPr>
      <w:r w:rsidRPr="009C5151">
        <w:rPr>
          <w:rStyle w:val="Strong"/>
        </w:rPr>
        <w:t>Exclusion of Arrival Day:</w:t>
      </w:r>
      <w:r w:rsidRPr="009C5151">
        <w:t xml:space="preserve"> It was argued that the day of arrival in India should be excluded when calculating the number of days stayed, referencing the General Clauses Act, which suggests excluding the first day in a series when computing time periods.</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Resident Status:</w:t>
      </w:r>
      <w:r w:rsidRPr="009C5151">
        <w:t xml:space="preserve"> The Revenue maintained that the assessee qualified as a resident under Section 6(1)(c) of the Income Tax Act, as he was in India for more than 365 days in the four preceding years and for more than 60 days in the relevant previous year.</w:t>
      </w:r>
    </w:p>
    <w:p w:rsidR="00A056B6" w:rsidRPr="009C5151" w:rsidRDefault="00A056B6" w:rsidP="00743A5F">
      <w:pPr>
        <w:pStyle w:val="NormalWeb"/>
        <w:tabs>
          <w:tab w:val="num" w:pos="720"/>
        </w:tabs>
        <w:spacing w:before="0" w:beforeAutospacing="0"/>
        <w:ind w:left="720" w:hanging="360"/>
      </w:pPr>
      <w:r w:rsidRPr="009C5151">
        <w:rPr>
          <w:rStyle w:val="Strong"/>
        </w:rPr>
        <w:t>Taxability of Global Income:</w:t>
      </w:r>
      <w:r w:rsidRPr="009C5151">
        <w:t xml:space="preserve"> As a resident, the assessee's global income, including the salary earned in the USA, would be taxable in India.</w:t>
      </w:r>
    </w:p>
    <w:p w:rsidR="00A056B6" w:rsidRPr="009C5151" w:rsidRDefault="00A056B6" w:rsidP="00743A5F">
      <w:pPr>
        <w:pStyle w:val="NormalWeb"/>
        <w:spacing w:before="0" w:beforeAutospacing="0"/>
      </w:pPr>
      <w:r w:rsidRPr="009C5151">
        <w:rPr>
          <w:rStyle w:val="Strong"/>
        </w:rPr>
        <w:t>Tribunal's Analysis:</w:t>
      </w:r>
    </w:p>
    <w:p w:rsidR="00A056B6" w:rsidRPr="009C5151" w:rsidRDefault="00A056B6" w:rsidP="00743A5F">
      <w:pPr>
        <w:pStyle w:val="NormalWeb"/>
        <w:tabs>
          <w:tab w:val="num" w:pos="720"/>
        </w:tabs>
        <w:spacing w:before="0" w:beforeAutospacing="0"/>
        <w:ind w:left="720" w:hanging="360"/>
      </w:pPr>
      <w:r w:rsidRPr="009C5151">
        <w:rPr>
          <w:rStyle w:val="Strong"/>
        </w:rPr>
        <w:t>Section 6(1)(c) Interpretation:</w:t>
      </w:r>
      <w:r w:rsidRPr="009C5151">
        <w:t xml:space="preserve"> The Tribunal noted that under Section 6(1)(c), an individual is considered a resident if they have been in India for at least 365 days in the four preceding years and for 60 days or more in the relevant previous year.</w:t>
      </w:r>
    </w:p>
    <w:p w:rsidR="00A056B6" w:rsidRPr="009C5151" w:rsidRDefault="00A056B6" w:rsidP="00743A5F">
      <w:pPr>
        <w:pStyle w:val="NormalWeb"/>
        <w:tabs>
          <w:tab w:val="num" w:pos="720"/>
        </w:tabs>
        <w:spacing w:before="0" w:beforeAutospacing="0"/>
        <w:ind w:left="720" w:hanging="360"/>
      </w:pPr>
      <w:r w:rsidRPr="009C5151">
        <w:rPr>
          <w:rStyle w:val="Strong"/>
        </w:rPr>
        <w:t>Exclusion of Arrival Day:</w:t>
      </w:r>
      <w:r w:rsidRPr="009C5151">
        <w:t xml:space="preserve"> Citing the General Clauses Act, the Tribunal agreed that the day of arrival should be excluded when counting days of stay. Therefore, the assessee's stay from February 1, 2005, to March 31, 2005, amounted to 59 days, not 60.</w:t>
      </w:r>
    </w:p>
    <w:p w:rsidR="00A056B6" w:rsidRPr="009C5151" w:rsidRDefault="00A056B6" w:rsidP="00743A5F">
      <w:pPr>
        <w:pStyle w:val="NormalWeb"/>
        <w:tabs>
          <w:tab w:val="num" w:pos="720"/>
        </w:tabs>
        <w:spacing w:before="0" w:beforeAutospacing="0"/>
        <w:ind w:left="720" w:hanging="360"/>
      </w:pPr>
      <w:r w:rsidRPr="009C5151">
        <w:rPr>
          <w:rStyle w:val="Strong"/>
        </w:rPr>
        <w:t>Residential Status Determination:</w:t>
      </w:r>
      <w:r w:rsidRPr="009C5151">
        <w:t xml:space="preserve"> Since the assessee was in India for less than 60 days in the relevant previous year, he did not meet the criteria under Section 6(1)(c) and was thus considered a non-resident for the assessment year 2005–06.</w:t>
      </w:r>
    </w:p>
    <w:p w:rsidR="00A056B6" w:rsidRPr="009C5151" w:rsidRDefault="00A056B6" w:rsidP="00743A5F">
      <w:pPr>
        <w:pStyle w:val="NormalWeb"/>
        <w:spacing w:before="0" w:beforeAutospacing="0"/>
      </w:pPr>
      <w:r w:rsidRPr="009C5151">
        <w:rPr>
          <w:rStyle w:val="Strong"/>
        </w:rPr>
        <w:lastRenderedPageBreak/>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Non-Resident Status Affirmed:</w:t>
      </w:r>
      <w:r w:rsidRPr="009C5151">
        <w:t xml:space="preserve"> The Tribunal concluded that the assessee was a non-resident for the assessment year 2005–06, as his stay in India during the relevant period was less than 60 days after excluding the day of arrival.</w:t>
      </w:r>
    </w:p>
    <w:p w:rsidR="00A056B6" w:rsidRPr="009C5151" w:rsidRDefault="00A056B6" w:rsidP="00743A5F">
      <w:pPr>
        <w:pStyle w:val="NormalWeb"/>
        <w:tabs>
          <w:tab w:val="num" w:pos="720"/>
        </w:tabs>
        <w:spacing w:before="0" w:beforeAutospacing="0"/>
        <w:ind w:left="720" w:hanging="360"/>
      </w:pPr>
      <w:r w:rsidRPr="009C5151">
        <w:rPr>
          <w:rStyle w:val="Strong"/>
        </w:rPr>
        <w:t>Taxability of Foreign Income:</w:t>
      </w:r>
      <w:r w:rsidRPr="009C5151">
        <w:t xml:space="preserve"> As a non-resident, the assessee's income earned outside India, including his salary from the USA, was not taxable in India.</w:t>
      </w:r>
    </w:p>
    <w:p w:rsidR="00A056B6" w:rsidRPr="009C5151" w:rsidRDefault="00A056B6" w:rsidP="00743A5F">
      <w:pPr>
        <w:pStyle w:val="NormalWeb"/>
        <w:tabs>
          <w:tab w:val="num" w:pos="720"/>
        </w:tabs>
        <w:spacing w:before="0" w:beforeAutospacing="0"/>
        <w:ind w:left="720" w:hanging="360"/>
      </w:pPr>
      <w:r w:rsidRPr="009C5151">
        <w:rPr>
          <w:rStyle w:val="Strong"/>
        </w:rPr>
        <w:t>Interest Under Section 234B:</w:t>
      </w:r>
      <w:r w:rsidRPr="009C5151">
        <w:t xml:space="preserve"> The Tribunal directed the Assessing Officer to recompute the interest under Section 234B, considering the assessee's non-resident status and the applicable tax provisions.</w:t>
      </w:r>
    </w:p>
    <w:p w:rsidR="00A056B6" w:rsidRPr="009C5151" w:rsidRDefault="00A056B6" w:rsidP="00743A5F">
      <w:pPr>
        <w:pStyle w:val="NormalWeb"/>
        <w:spacing w:before="0" w:beforeAutospacing="0"/>
      </w:pPr>
      <w:r w:rsidRPr="009C5151">
        <w:t>This case underscores the importance of accurately determining an individual's residential status for tax purposes and highlights the relevance of the General Clauses Act in computing periods of stay in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[2009] 34 SOT 180 (Bangalore)</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CaseMine</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 xml:space="preserve">Please discuss in detail the following decided cases in International taxation by covering the following aspects : Facts, Parties involved, Citation, Case reference, Issues, respective party's arguments, court's analysis, Ruling and Reasoning.- Pena Rina Yena Manickavasagam Chettiar v. Union Board Of Devakotta </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5215727" wp14:editId="2B19583F">
            <wp:extent cx="763905" cy="763905"/>
            <wp:effectExtent l="0" t="0" r="0" b="0"/>
            <wp:docPr id="257" name="Picture 25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1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Pena Rina Yena Manickavasagam Chettiar v. Union Board of Devakottah</w:t>
      </w:r>
      <w:r w:rsidRPr="009C5151">
        <w:t xml:space="preserve">, the </w:t>
      </w:r>
      <w:r w:rsidRPr="009C5151">
        <w:rPr>
          <w:rStyle w:val="Strong"/>
        </w:rPr>
        <w:t>Madras High Court</w:t>
      </w:r>
      <w:r w:rsidRPr="009C5151">
        <w:t xml:space="preserve"> addressed the issue of double taxation concerning profession tax under the Local Boards Act.</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Petitioner:</w:t>
      </w:r>
      <w:r w:rsidRPr="009C5151">
        <w:t xml:space="preserve"> Pena Rina Yena Manickavasagam Chettiar, a resident within the jurisdiction of the Union Board of Devakottah.</w:t>
      </w:r>
    </w:p>
    <w:p w:rsidR="00A056B6" w:rsidRPr="009C5151" w:rsidRDefault="00A056B6" w:rsidP="00743A5F">
      <w:pPr>
        <w:pStyle w:val="NormalWeb"/>
        <w:tabs>
          <w:tab w:val="num" w:pos="720"/>
        </w:tabs>
        <w:spacing w:before="0" w:beforeAutospacing="0"/>
        <w:ind w:left="720" w:hanging="360"/>
      </w:pPr>
      <w:r w:rsidRPr="009C5151">
        <w:rPr>
          <w:rStyle w:val="Strong"/>
        </w:rPr>
        <w:t>Business Operations:</w:t>
      </w:r>
      <w:r w:rsidRPr="009C5151">
        <w:t xml:space="preserve"> The petitioner conducted money-lending businesses in multiple locations, including Madras, Mannargudi, and Nellore.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Tax Payments:</w:t>
      </w:r>
      <w:r w:rsidRPr="009C5151">
        <w:t xml:space="preserve"> He had already paid profession tax on his business income in the respective locations where the businesses operated.</w:t>
      </w:r>
    </w:p>
    <w:p w:rsidR="00A056B6" w:rsidRPr="009C5151" w:rsidRDefault="00A056B6" w:rsidP="00743A5F">
      <w:pPr>
        <w:pStyle w:val="NormalWeb"/>
        <w:spacing w:before="0" w:beforeAutospacing="0"/>
      </w:pPr>
      <w:r w:rsidRPr="009C5151">
        <w:rPr>
          <w:rStyle w:val="Strong"/>
        </w:rPr>
        <w:t>Issue:</w:t>
      </w:r>
    </w:p>
    <w:p w:rsidR="00A056B6" w:rsidRPr="009C5151" w:rsidRDefault="00A056B6" w:rsidP="00743A5F">
      <w:pPr>
        <w:pStyle w:val="NormalWeb"/>
        <w:spacing w:before="0" w:beforeAutospacing="0"/>
      </w:pPr>
      <w:r w:rsidRPr="009C5151">
        <w:t>Whether the petitioner was liable to pay profession tax again on the same income at his place of residence in Devakottah, despite having paid the tax in the locations where his businesses were conducted.</w:t>
      </w:r>
    </w:p>
    <w:p w:rsidR="00A056B6" w:rsidRPr="009C5151" w:rsidRDefault="00A056B6" w:rsidP="00743A5F">
      <w:pPr>
        <w:pStyle w:val="NormalWeb"/>
        <w:spacing w:before="0" w:beforeAutospacing="0"/>
      </w:pPr>
      <w:r w:rsidRPr="009C5151">
        <w:rPr>
          <w:rStyle w:val="Strong"/>
        </w:rPr>
        <w:t>Petitioner's Argument:</w:t>
      </w:r>
    </w:p>
    <w:p w:rsidR="00A056B6" w:rsidRPr="009C5151" w:rsidRDefault="00A056B6" w:rsidP="00743A5F">
      <w:pPr>
        <w:pStyle w:val="NormalWeb"/>
        <w:spacing w:before="0" w:beforeAutospacing="0"/>
      </w:pPr>
      <w:r w:rsidRPr="009C5151">
        <w:t>The petitioner contended that taxing the same income multiple times constituted double taxation, which he argued was against the policy of the Local Boards Act. He maintained that since he had already paid profession tax on his business income in Madras, Mannargudi, and Nellore, he should not be subjected to the same tax again in Devakottah.</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Relevant Legislation:</w:t>
      </w:r>
      <w:r w:rsidRPr="009C5151">
        <w:t xml:space="preserve"> The court referred to Section 93 of the Local Boards Act of 1920, which pertains to the imposition of profession tax.</w:t>
      </w:r>
    </w:p>
    <w:p w:rsidR="00A056B6" w:rsidRPr="009C5151" w:rsidRDefault="00A056B6" w:rsidP="00743A5F">
      <w:pPr>
        <w:pStyle w:val="NormalWeb"/>
        <w:tabs>
          <w:tab w:val="num" w:pos="720"/>
        </w:tabs>
        <w:spacing w:before="0" w:beforeAutospacing="0"/>
        <w:ind w:left="720" w:hanging="360"/>
      </w:pPr>
      <w:r w:rsidRPr="009C5151">
        <w:rPr>
          <w:rStyle w:val="Strong"/>
        </w:rPr>
        <w:t>Double Taxation Consideration:</w:t>
      </w:r>
      <w:r w:rsidRPr="009C5151">
        <w:t xml:space="preserve"> The court noted that the Act prohibits double taxation only in specific instances, particularly when income derived from sources within the same area is taxed more than once. However, in this case, the petitioner's income was derived from sources outside the Union Board's jurisdiction.</w:t>
      </w:r>
    </w:p>
    <w:p w:rsidR="00A056B6" w:rsidRPr="009C5151" w:rsidRDefault="00A056B6" w:rsidP="00743A5F">
      <w:pPr>
        <w:pStyle w:val="NormalWeb"/>
        <w:tabs>
          <w:tab w:val="num" w:pos="720"/>
        </w:tabs>
        <w:spacing w:before="0" w:beforeAutospacing="0"/>
        <w:ind w:left="720" w:hanging="360"/>
      </w:pPr>
      <w:r w:rsidRPr="009C5151">
        <w:rPr>
          <w:rStyle w:val="Strong"/>
        </w:rPr>
        <w:t>Taxability at Place of Residence:</w:t>
      </w:r>
      <w:r w:rsidRPr="009C5151">
        <w:t xml:space="preserve"> The court observed that the Act allows for the taxation of income at the individual's place of residence, even if that income has been taxed elsewhere. The only exceptions to this rule are explicitly mentioned in Sub-section (3) of Section 93, which did not apply to the petitioner's situation.</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spacing w:before="0" w:beforeAutospacing="0"/>
      </w:pPr>
      <w:r w:rsidRPr="009C5151">
        <w:t>The Madras High Court dismissed the petition, holding that the petitioner was liable to pay profession tax in Devakottah on his income, notwithstanding the taxes already paid in other locations. The court reasoned that the Act permits such taxation at the place of residence and does not consider it double taxation unless it falls within the specific exceptions outlined in the legislation.</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case clarifies that under the Local Boards Act of 1920, an individual can be subjected to profession tax on the same income at their place of residence, even if that income has been taxed in other jurisdictions where the business operations occur. The court emphasized that such taxation does not constitute double taxation unless it meets specific exceptions provided within the Act.</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Case Citation:</w:t>
      </w:r>
      <w:r w:rsidRPr="009C5151">
        <w:t xml:space="preserve"> Pena Rina Yena Manickavasagam Chettiar v. Union Board of Devakottah, (1932) 63 MLJ 741.</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p>
    <w:p w:rsidR="00A056B6" w:rsidRPr="009C5151" w:rsidRDefault="00A056B6" w:rsidP="00743A5F">
      <w:pPr>
        <w:spacing w:afterAutospacing="1" w:line="240" w:lineRule="auto"/>
        <w:ind w:left="720"/>
        <w:rPr>
          <w:rFonts w:ascii="Times New Roman" w:hAnsi="Times New Roman" w:cs="Times New Roman"/>
          <w:sz w:val="24"/>
          <w:szCs w:val="24"/>
        </w:rPr>
      </w:pPr>
      <w:hyperlink r:id="rId25" w:tgtFrame="_blank" w:history="1">
        <w:r w:rsidRPr="009C5151">
          <w:rPr>
            <w:rStyle w:val="truncate"/>
            <w:rFonts w:ascii="Times New Roman" w:hAnsi="Times New Roman" w:cs="Times New Roman"/>
            <w:color w:val="0000FF"/>
            <w:sz w:val="24"/>
            <w:szCs w:val="24"/>
            <w:u w:val="single"/>
          </w:rPr>
          <w:t>Indian Kanoon</w:t>
        </w:r>
      </w:hyperlink>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following decided cases in International taxation by covering the following aspects : Facts, Parties involved, Citation, Case reference, Issues, respective party's arguments, court's analysis, Ruling and Reasoning.- CIT International taxation Delhi vs New Skills Satellitte BV</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65B4401" wp14:editId="764C890A">
            <wp:extent cx="763905" cy="763905"/>
            <wp:effectExtent l="0" t="0" r="0" b="0"/>
            <wp:docPr id="256" name="Picture 25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1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Commissioner of Income Tax (International Taxation), Delhi v. New Skies Satellite BV</w:t>
      </w:r>
      <w:r w:rsidRPr="009C5151">
        <w:t xml:space="preserve">, the </w:t>
      </w:r>
      <w:r w:rsidRPr="009C5151">
        <w:rPr>
          <w:rStyle w:val="Strong"/>
        </w:rPr>
        <w:t>Delhi High Court</w:t>
      </w:r>
      <w:r w:rsidRPr="009C5151">
        <w:t xml:space="preserve"> examined whether payments received by New Skies Satellite BV (a Netherlands-based company) for providing satellite transmission services to Indian customers constituted "royalty" under Section 9(1)(vi) of the Income Tax Act, 1961, and Article 12 of the India-Netherlands Double Taxation Avoidance Agreement (DTAA).</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New Skies Satellite BV, a company incorporated in the Netherlands, engaged in providing satellite transponder services to customers worldwide, including in India.</w:t>
      </w:r>
    </w:p>
    <w:p w:rsidR="00A056B6" w:rsidRPr="009C5151" w:rsidRDefault="00A056B6" w:rsidP="00743A5F">
      <w:pPr>
        <w:pStyle w:val="NormalWeb"/>
        <w:tabs>
          <w:tab w:val="num" w:pos="720"/>
        </w:tabs>
        <w:spacing w:before="0" w:beforeAutospacing="0"/>
        <w:ind w:left="720" w:hanging="360"/>
      </w:pPr>
      <w:r w:rsidRPr="009C5151">
        <w:rPr>
          <w:rStyle w:val="Strong"/>
        </w:rPr>
        <w:t>Services Provided:</w:t>
      </w:r>
      <w:r w:rsidRPr="009C5151">
        <w:t xml:space="preserve"> The company offered satellite transponder capacity, enabling clients to transmit data, voice, and video signals across various regions.</w:t>
      </w:r>
    </w:p>
    <w:p w:rsidR="00A056B6" w:rsidRPr="009C5151" w:rsidRDefault="00A056B6" w:rsidP="00743A5F">
      <w:pPr>
        <w:pStyle w:val="NormalWeb"/>
        <w:tabs>
          <w:tab w:val="num" w:pos="720"/>
        </w:tabs>
        <w:spacing w:before="0" w:beforeAutospacing="0"/>
        <w:ind w:left="720" w:hanging="360"/>
      </w:pPr>
      <w:r w:rsidRPr="009C5151">
        <w:rPr>
          <w:rStyle w:val="Strong"/>
        </w:rPr>
        <w:t>Assessment Year:</w:t>
      </w:r>
      <w:r w:rsidRPr="009C5151">
        <w:t xml:space="preserve"> 2016-17.</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Income:</w:t>
      </w:r>
      <w:r w:rsidRPr="009C5151">
        <w:t xml:space="preserve"> Whether the payments received by New Skies Satellite BV from Indian customers for satellite transponder services qualified as "royalty" under Section 9(1)(vi) of the Income Tax Act and Article 12 of the India-Netherlands DTAA.</w:t>
      </w:r>
    </w:p>
    <w:p w:rsidR="00A056B6" w:rsidRPr="009C5151" w:rsidRDefault="00A056B6" w:rsidP="00743A5F">
      <w:pPr>
        <w:pStyle w:val="NormalWeb"/>
        <w:tabs>
          <w:tab w:val="num" w:pos="720"/>
        </w:tabs>
        <w:spacing w:before="0" w:beforeAutospacing="0"/>
        <w:ind w:left="720" w:hanging="360"/>
      </w:pPr>
      <w:r w:rsidRPr="009C5151">
        <w:rPr>
          <w:rStyle w:val="Strong"/>
        </w:rPr>
        <w:t>Impact of Domestic Law Amendments:</w:t>
      </w:r>
      <w:r w:rsidRPr="009C5151">
        <w:t xml:space="preserve"> Whether the retrospective amendments introduced by the Finance Act, 2012, to Section 9(1)(vi) of the Income Tax Act, which expanded the definition of "royalty," could override the provisions of the DTAA.</w:t>
      </w:r>
    </w:p>
    <w:p w:rsidR="00A056B6" w:rsidRPr="009C5151" w:rsidRDefault="00A056B6" w:rsidP="00743A5F">
      <w:pPr>
        <w:pStyle w:val="NormalWeb"/>
        <w:spacing w:before="0" w:beforeAutospacing="0"/>
      </w:pPr>
      <w:r w:rsidRPr="009C5151">
        <w:rPr>
          <w:rStyle w:val="Strong"/>
        </w:rPr>
        <w:lastRenderedPageBreak/>
        <w:t>Respective Parties' Arguments:</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t>The Revenue contended that the payments for satellite transponder services constituted "royalty" as per the expanded definition under the amended Section 9(1)(vi) of the Income Tax Act.</w:t>
      </w:r>
    </w:p>
    <w:p w:rsidR="00A056B6" w:rsidRPr="009C5151" w:rsidRDefault="00A056B6" w:rsidP="00743A5F">
      <w:pPr>
        <w:pStyle w:val="NormalWeb"/>
        <w:numPr>
          <w:ilvl w:val="1"/>
          <w:numId w:val="0"/>
        </w:numPr>
        <w:tabs>
          <w:tab w:val="num" w:pos="1440"/>
        </w:tabs>
        <w:spacing w:before="0" w:beforeAutospacing="0"/>
        <w:ind w:left="1440" w:hanging="360"/>
      </w:pPr>
      <w:r w:rsidRPr="009C5151">
        <w:t>It was argued that the retrospective amendments should influence the interpretation of the term "royalty" in the DTAA, thereby subjecting the payments to withholding tax in India.</w:t>
      </w:r>
    </w:p>
    <w:p w:rsidR="00A056B6" w:rsidRPr="009C5151" w:rsidRDefault="00A056B6" w:rsidP="00743A5F">
      <w:pPr>
        <w:pStyle w:val="NormalWeb"/>
        <w:tabs>
          <w:tab w:val="num" w:pos="720"/>
        </w:tabs>
        <w:spacing w:before="0" w:beforeAutospacing="0"/>
        <w:ind w:left="720" w:hanging="360"/>
      </w:pPr>
      <w:r w:rsidRPr="009C5151">
        <w:rPr>
          <w:rStyle w:val="Strong"/>
        </w:rPr>
        <w:t>Assessee's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t>New Skies Satellite BV argued that the services provided did not involve the transfer of any rights or use of equipment that would classify the payments as "royalty" under the DTAA.</w:t>
      </w:r>
    </w:p>
    <w:p w:rsidR="00A056B6" w:rsidRPr="009C5151" w:rsidRDefault="00A056B6" w:rsidP="00743A5F">
      <w:pPr>
        <w:pStyle w:val="NormalWeb"/>
        <w:numPr>
          <w:ilvl w:val="1"/>
          <w:numId w:val="0"/>
        </w:numPr>
        <w:tabs>
          <w:tab w:val="num" w:pos="1440"/>
        </w:tabs>
        <w:spacing w:before="0" w:beforeAutospacing="0"/>
        <w:ind w:left="1440" w:hanging="360"/>
      </w:pPr>
      <w:r w:rsidRPr="009C5151">
        <w:t>The company maintained that the DTAA's definition of "royalty" should prevail, and the domestic law amendments could not unilaterally alter the treaty provisions.</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Interpretation of "Royalty" in DTAA:</w:t>
      </w:r>
      <w:r w:rsidRPr="009C5151">
        <w:t xml:space="preserve"> The court analyzed the definition of "royalty" under Article 12 of the India-Netherlands DTAA, noting that it did not encompass payments for the mere use of transponder capacity without the transfer of any rights in the equipment.</w:t>
      </w:r>
    </w:p>
    <w:p w:rsidR="00A056B6" w:rsidRPr="009C5151" w:rsidRDefault="00A056B6" w:rsidP="00743A5F">
      <w:pPr>
        <w:pStyle w:val="NormalWeb"/>
        <w:tabs>
          <w:tab w:val="num" w:pos="720"/>
        </w:tabs>
        <w:spacing w:before="0" w:beforeAutospacing="0"/>
        <w:ind w:left="720" w:hanging="360"/>
      </w:pPr>
      <w:r w:rsidRPr="009C5151">
        <w:rPr>
          <w:rStyle w:val="Strong"/>
        </w:rPr>
        <w:t>Impact of Domestic Amendments on DTAA:</w:t>
      </w:r>
      <w:r w:rsidRPr="009C5151">
        <w:t xml:space="preserve"> The court held that unilateral amendments to domestic law could not override the provisions of a bilateral treaty unless the treaty itself was amended through mutual agreement between the contracting states.</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Payments Not Classified as "Royalty":</w:t>
      </w:r>
      <w:r w:rsidRPr="009C5151">
        <w:t xml:space="preserve"> The Delhi High Court ruled that the payments received by New Skies Satellite BV for providing satellite transponder services did not constitute "royalty" under the India-Netherlands DTAA.</w:t>
      </w:r>
    </w:p>
    <w:p w:rsidR="00A056B6" w:rsidRPr="009C5151" w:rsidRDefault="00A056B6" w:rsidP="00743A5F">
      <w:pPr>
        <w:pStyle w:val="NormalWeb"/>
        <w:tabs>
          <w:tab w:val="num" w:pos="720"/>
        </w:tabs>
        <w:spacing w:before="0" w:beforeAutospacing="0"/>
        <w:ind w:left="720" w:hanging="360"/>
      </w:pPr>
      <w:r w:rsidRPr="009C5151">
        <w:rPr>
          <w:rStyle w:val="Strong"/>
        </w:rPr>
        <w:t>DTAA Provisions Prevail:</w:t>
      </w:r>
      <w:r w:rsidRPr="009C5151">
        <w:t xml:space="preserve"> The court emphasized that the DTAA's provisions take precedence over domestic law, and unilateral amendments to the Income Tax Act could not alter the treaty's interpretation without mutual renegotiation.</w:t>
      </w:r>
    </w:p>
    <w:p w:rsidR="00A056B6" w:rsidRPr="009C5151" w:rsidRDefault="00A056B6" w:rsidP="00743A5F">
      <w:pPr>
        <w:pStyle w:val="NormalWeb"/>
        <w:tabs>
          <w:tab w:val="num" w:pos="720"/>
        </w:tabs>
        <w:spacing w:before="0" w:beforeAutospacing="0"/>
        <w:ind w:left="720" w:hanging="360"/>
      </w:pPr>
      <w:r w:rsidRPr="009C5151">
        <w:rPr>
          <w:rStyle w:val="Strong"/>
        </w:rPr>
        <w:t>No Withholding Tax Applicable:</w:t>
      </w:r>
      <w:r w:rsidRPr="009C5151">
        <w:t xml:space="preserve"> Consequently, the payments in question were not subject to withholding tax in India.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lastRenderedPageBreak/>
        <w:t>This judgment underscores the principle that in cases of conflict between domestic law and international tax treaties, the provisions of the treaty prevail. It clarifies that unilateral amendments to domestic tax laws cannot override treaty obligations unless the treaty is correspondingly amended by mutual consent of the contracting states.</w:t>
      </w:r>
    </w:p>
    <w:p w:rsidR="00A056B6" w:rsidRPr="009C5151" w:rsidRDefault="00A056B6" w:rsidP="00743A5F">
      <w:pPr>
        <w:pStyle w:val="NormalWeb"/>
        <w:spacing w:before="0" w:beforeAutospacing="0"/>
      </w:pPr>
      <w:r w:rsidRPr="009C5151">
        <w:rPr>
          <w:rStyle w:val="Strong"/>
        </w:rPr>
        <w:t>References:</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CIT (IT) v. New Skies Satellite BV (2023) 290 Taxman 170 (Delhi)(HC) </w:t>
      </w:r>
    </w:p>
    <w:p w:rsidR="00A056B6" w:rsidRPr="009C5151" w:rsidRDefault="00A056B6" w:rsidP="00743A5F">
      <w:pPr>
        <w:spacing w:afterAutospacing="1" w:line="240" w:lineRule="auto"/>
        <w:ind w:left="720"/>
        <w:rPr>
          <w:rFonts w:ascii="Times New Roman" w:hAnsi="Times New Roman" w:cs="Times New Roman"/>
          <w:sz w:val="24"/>
          <w:szCs w:val="24"/>
        </w:rPr>
      </w:pPr>
      <w:hyperlink r:id="rId26" w:tgtFrame="_blank" w:history="1">
        <w:r w:rsidRPr="009C5151">
          <w:rPr>
            <w:rStyle w:val="truncate"/>
            <w:rFonts w:ascii="Times New Roman" w:hAnsi="Times New Roman" w:cs="Times New Roman"/>
            <w:color w:val="0000FF"/>
            <w:sz w:val="24"/>
            <w:szCs w:val="24"/>
            <w:u w:val="single"/>
          </w:rPr>
          <w:t>itatonline.org</w:t>
        </w:r>
      </w:hyperlink>
    </w:p>
    <w:p w:rsidR="00A056B6" w:rsidRPr="009C5151" w:rsidRDefault="00A056B6" w:rsidP="00743A5F">
      <w:pPr>
        <w:pStyle w:val="NormalWeb"/>
        <w:tabs>
          <w:tab w:val="num" w:pos="720"/>
        </w:tabs>
        <w:spacing w:before="0" w:beforeAutospacing="0"/>
        <w:ind w:left="720" w:hanging="360"/>
      </w:pPr>
      <w:r w:rsidRPr="009C5151">
        <w:rPr>
          <w:rStyle w:val="Strong"/>
        </w:rPr>
        <w:t>Delhi High Court Judgment (2016):</w:t>
      </w:r>
      <w:r w:rsidRPr="009C5151">
        <w:t xml:space="preserve"> Director Of Income Tax vs New Skies Satellite BV on 8 February, 2016 </w:t>
      </w:r>
    </w:p>
    <w:p w:rsidR="00A056B6" w:rsidRPr="009C5151" w:rsidRDefault="00A056B6" w:rsidP="00743A5F">
      <w:pPr>
        <w:spacing w:afterAutospacing="1" w:line="240" w:lineRule="auto"/>
        <w:ind w:left="720"/>
        <w:rPr>
          <w:rFonts w:ascii="Times New Roman" w:hAnsi="Times New Roman" w:cs="Times New Roman"/>
          <w:sz w:val="24"/>
          <w:szCs w:val="24"/>
        </w:rPr>
      </w:pPr>
      <w:hyperlink r:id="rId27" w:tgtFrame="_blank" w:history="1">
        <w:r w:rsidRPr="009C5151">
          <w:rPr>
            <w:rStyle w:val="truncate"/>
            <w:rFonts w:ascii="Times New Roman" w:hAnsi="Times New Roman" w:cs="Times New Roman"/>
            <w:color w:val="0000FF"/>
            <w:sz w:val="24"/>
            <w:szCs w:val="24"/>
            <w:u w:val="single"/>
          </w:rPr>
          <w:t>Indian Kanoon</w:t>
        </w:r>
      </w:hyperlink>
    </w:p>
    <w:p w:rsidR="00A056B6" w:rsidRPr="009C5151" w:rsidRDefault="00A056B6" w:rsidP="00743A5F">
      <w:pPr>
        <w:pStyle w:val="NormalWeb"/>
        <w:tabs>
          <w:tab w:val="num" w:pos="720"/>
        </w:tabs>
        <w:spacing w:before="0" w:beforeAutospacing="0"/>
        <w:ind w:left="720" w:hanging="360"/>
      </w:pPr>
      <w:r w:rsidRPr="009C5151">
        <w:rPr>
          <w:rStyle w:val="Strong"/>
        </w:rPr>
        <w:t>Delhi High Court Judgment (2022):</w:t>
      </w:r>
      <w:r w:rsidRPr="009C5151">
        <w:t xml:space="preserve"> The Commissioner Of Income Tax-International Taxation 2 Delhi v. New Skies Satellite BV on 28 September, 2022 </w:t>
      </w:r>
    </w:p>
    <w:p w:rsidR="00A056B6" w:rsidRPr="009C5151" w:rsidRDefault="00A056B6" w:rsidP="00743A5F">
      <w:pPr>
        <w:spacing w:afterAutospacing="1" w:line="240" w:lineRule="auto"/>
        <w:ind w:left="720"/>
        <w:rPr>
          <w:rFonts w:ascii="Times New Roman" w:hAnsi="Times New Roman" w:cs="Times New Roman"/>
          <w:sz w:val="24"/>
          <w:szCs w:val="24"/>
        </w:rPr>
      </w:pPr>
      <w:hyperlink r:id="rId28" w:tgtFrame="_blank" w:history="1">
        <w:r w:rsidRPr="009C5151">
          <w:rPr>
            <w:rStyle w:val="truncate"/>
            <w:rFonts w:ascii="Times New Roman" w:hAnsi="Times New Roman" w:cs="Times New Roman"/>
            <w:color w:val="0000FF"/>
            <w:sz w:val="24"/>
            <w:szCs w:val="24"/>
            <w:u w:val="single"/>
          </w:rPr>
          <w:t>Indian Kanoon</w:t>
        </w:r>
      </w:hyperlink>
    </w:p>
    <w:p w:rsidR="00A056B6" w:rsidRPr="009C5151" w:rsidRDefault="00A056B6" w:rsidP="00743A5F">
      <w:pPr>
        <w:pStyle w:val="NormalWeb"/>
        <w:spacing w:before="0" w:beforeAutospacing="0"/>
      </w:pPr>
      <w:r w:rsidRPr="009C5151">
        <w:t>These references provide detailed insights into the court's reasoning and the legal principles applied in reaching the decision.</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following decided cases in International taxation by covering the following aspects : Facts, Parties involved, Citation, Case reference, Issues, respective party's arguments, court's analysis, Ruling and Reasoning.-Ravishankar Rajendran v. Income Tax Officer, International ...</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71324B0D" wp14:editId="31762CD5">
            <wp:extent cx="763905" cy="763905"/>
            <wp:effectExtent l="0" t="0" r="0" b="0"/>
            <wp:docPr id="255" name="Picture 25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1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Ravishankar Rajendran v. Income Tax Officer, International Taxation II, Chennai</w:t>
      </w:r>
      <w:r w:rsidRPr="009C5151">
        <w:t xml:space="preserve">, the </w:t>
      </w:r>
      <w:r w:rsidRPr="009C5151">
        <w:rPr>
          <w:rStyle w:val="Strong"/>
        </w:rPr>
        <w:t>Income Tax Appellate Tribunal (ITAT) Chennai Bench</w:t>
      </w:r>
      <w:r w:rsidRPr="009C5151">
        <w:t xml:space="preserve"> addressed the taxability of salary income earned by an Indian resident during an international assignment in the United Kingdom (UK) and the applicability of the Double Taxation Avoidance Agreement (DTAA) between India and the UK.</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Mr. Ravishankar Rajendran, an employee of IBM India Private Limited, was deputed to the UK for an international assignment during the assessment year 2011-12.</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Income Details:</w:t>
      </w:r>
      <w:r w:rsidRPr="009C5151">
        <w:t xml:space="preserve"> During the relevant period, the assessee received a gross salary of ₹1,297,605, with ₹1,078,550 received in India and ₹219,055 received in the UK.</w:t>
      </w:r>
    </w:p>
    <w:p w:rsidR="00A056B6" w:rsidRPr="009C5151" w:rsidRDefault="00A056B6" w:rsidP="00743A5F">
      <w:pPr>
        <w:pStyle w:val="NormalWeb"/>
        <w:tabs>
          <w:tab w:val="num" w:pos="720"/>
        </w:tabs>
        <w:spacing w:before="0" w:beforeAutospacing="0"/>
        <w:ind w:left="720" w:hanging="360"/>
      </w:pPr>
      <w:r w:rsidRPr="009C5151">
        <w:rPr>
          <w:rStyle w:val="Strong"/>
        </w:rPr>
        <w:t>Tax Return:</w:t>
      </w:r>
      <w:r w:rsidRPr="009C5151">
        <w:t xml:space="preserve"> The assessee filed his return of income, claiming non-resident status and declaring a total income of NIL, asserting that the salary earned during the UK assignment was exempt from Indian taxation under the India-UK DTAA.</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Residential Status Determination:</w:t>
      </w:r>
      <w:r w:rsidRPr="009C5151">
        <w:t xml:space="preserve"> Whether the assessee qualified as a non-resident for the assessment year 2011-12 under Section 6 of the Income Tax Act, 1961.</w:t>
      </w:r>
    </w:p>
    <w:p w:rsidR="00A056B6" w:rsidRPr="009C5151" w:rsidRDefault="00A056B6" w:rsidP="00743A5F">
      <w:pPr>
        <w:pStyle w:val="NormalWeb"/>
        <w:tabs>
          <w:tab w:val="num" w:pos="720"/>
        </w:tabs>
        <w:spacing w:before="0" w:beforeAutospacing="0"/>
        <w:ind w:left="720" w:hanging="360"/>
      </w:pPr>
      <w:r w:rsidRPr="009C5151">
        <w:rPr>
          <w:rStyle w:val="Strong"/>
        </w:rPr>
        <w:t>Taxability of Foreign Salary Income:</w:t>
      </w:r>
      <w:r w:rsidRPr="009C5151">
        <w:t xml:space="preserve"> Whether the salary income earned by the assessee during his assignment in the UK was taxable in India, considering his residential status and the provisions of the India-UK DTAA.</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Non-Resident Status:</w:t>
      </w:r>
      <w:r w:rsidRPr="009C5151">
        <w:t xml:space="preserve"> The assessee contended that he was a non-resident during the relevant assessment year, as he did not meet the criteria for residency under Section 6 of the Income Tax Act.</w:t>
      </w:r>
    </w:p>
    <w:p w:rsidR="00A056B6" w:rsidRPr="009C5151" w:rsidRDefault="00A056B6" w:rsidP="00743A5F">
      <w:pPr>
        <w:pStyle w:val="NormalWeb"/>
        <w:tabs>
          <w:tab w:val="num" w:pos="720"/>
        </w:tabs>
        <w:spacing w:before="0" w:beforeAutospacing="0"/>
        <w:ind w:left="720" w:hanging="360"/>
      </w:pPr>
      <w:r w:rsidRPr="009C5151">
        <w:rPr>
          <w:rStyle w:val="Strong"/>
        </w:rPr>
        <w:t>Exemption Under DTAA:</w:t>
      </w:r>
      <w:r w:rsidRPr="009C5151">
        <w:t xml:space="preserve"> He argued that, as a non-resident, his salary income earned in the UK was exempt from Indian taxation under Article 16 of the India-UK DTAA, which pertains to the taxation of dependent personal services.</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Resident Status:</w:t>
      </w:r>
      <w:r w:rsidRPr="009C5151">
        <w:t xml:space="preserve"> The Revenue maintained that the assessee was a resident in India during the relevant assessment year, as he did not qualify for non-resident status under Section 6 of the Income Tax Act.</w:t>
      </w:r>
    </w:p>
    <w:p w:rsidR="00A056B6" w:rsidRPr="009C5151" w:rsidRDefault="00A056B6" w:rsidP="00743A5F">
      <w:pPr>
        <w:pStyle w:val="NormalWeb"/>
        <w:tabs>
          <w:tab w:val="num" w:pos="720"/>
        </w:tabs>
        <w:spacing w:before="0" w:beforeAutospacing="0"/>
        <w:ind w:left="720" w:hanging="360"/>
      </w:pPr>
      <w:r w:rsidRPr="009C5151">
        <w:rPr>
          <w:rStyle w:val="Strong"/>
        </w:rPr>
        <w:t>Taxability of Global Income:</w:t>
      </w:r>
      <w:r w:rsidRPr="009C5151">
        <w:t xml:space="preserve"> As a resident, the assessee's global income, including the salary earned in the UK, was subject to taxation in India under Section 5(1)(c) of the Income Tax Act.</w:t>
      </w:r>
    </w:p>
    <w:p w:rsidR="00A056B6" w:rsidRPr="009C5151" w:rsidRDefault="00A056B6" w:rsidP="00743A5F">
      <w:pPr>
        <w:pStyle w:val="NormalWeb"/>
        <w:spacing w:before="0" w:beforeAutospacing="0"/>
      </w:pPr>
      <w:r w:rsidRPr="009C5151">
        <w:rPr>
          <w:rStyle w:val="Strong"/>
        </w:rPr>
        <w:t>Tribunal's Analysis:</w:t>
      </w:r>
    </w:p>
    <w:p w:rsidR="00A056B6" w:rsidRPr="009C5151" w:rsidRDefault="00A056B6" w:rsidP="00743A5F">
      <w:pPr>
        <w:pStyle w:val="NormalWeb"/>
        <w:tabs>
          <w:tab w:val="num" w:pos="720"/>
        </w:tabs>
        <w:spacing w:before="0" w:beforeAutospacing="0"/>
        <w:ind w:left="720" w:hanging="360"/>
      </w:pPr>
      <w:r w:rsidRPr="009C5151">
        <w:rPr>
          <w:rStyle w:val="Strong"/>
        </w:rPr>
        <w:t>Residential Status Evaluation:</w:t>
      </w:r>
      <w:r w:rsidRPr="009C5151">
        <w:t xml:space="preserve"> The Tribunal examined the assessee's period of stay in India during the relevant previous year and concluded that he did not satisfy the conditions for non-resident status under Section 6. Therefore, the assessee was deemed a resident for the assessment year 2011-12.</w:t>
      </w:r>
    </w:p>
    <w:p w:rsidR="00A056B6" w:rsidRPr="009C5151" w:rsidRDefault="00A056B6" w:rsidP="00743A5F">
      <w:pPr>
        <w:pStyle w:val="NormalWeb"/>
        <w:tabs>
          <w:tab w:val="num" w:pos="720"/>
        </w:tabs>
        <w:spacing w:before="0" w:beforeAutospacing="0"/>
        <w:ind w:left="720" w:hanging="360"/>
      </w:pPr>
      <w:r w:rsidRPr="009C5151">
        <w:rPr>
          <w:rStyle w:val="Strong"/>
        </w:rPr>
        <w:t>Taxation of Global Income:</w:t>
      </w:r>
      <w:r w:rsidRPr="009C5151">
        <w:t xml:space="preserve"> As a resident, the assessee's global income was taxable in India under Section 5(1)(c) of the Income Tax Act.</w:t>
      </w:r>
    </w:p>
    <w:p w:rsidR="00A056B6" w:rsidRPr="009C5151" w:rsidRDefault="00A056B6" w:rsidP="00743A5F">
      <w:pPr>
        <w:pStyle w:val="NormalWeb"/>
        <w:tabs>
          <w:tab w:val="num" w:pos="720"/>
        </w:tabs>
        <w:spacing w:before="0" w:beforeAutospacing="0"/>
        <w:ind w:left="720" w:hanging="360"/>
      </w:pPr>
      <w:r w:rsidRPr="009C5151">
        <w:rPr>
          <w:rStyle w:val="Strong"/>
        </w:rPr>
        <w:t>DTAA Provisions:</w:t>
      </w:r>
      <w:r w:rsidRPr="009C5151">
        <w:t xml:space="preserve"> The Tribunal referred to Article 16 of the India-UK DTAA, which allows the country of residence (India) to tax the income, with provisions to avoid double taxation through tax credits.</w:t>
      </w:r>
    </w:p>
    <w:p w:rsidR="00A056B6" w:rsidRPr="009C5151" w:rsidRDefault="00A056B6" w:rsidP="00743A5F">
      <w:pPr>
        <w:pStyle w:val="NormalWeb"/>
        <w:spacing w:before="0" w:beforeAutospacing="0"/>
      </w:pPr>
      <w:r w:rsidRPr="009C5151">
        <w:rPr>
          <w:rStyle w:val="Strong"/>
        </w:rPr>
        <w:lastRenderedPageBreak/>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The Tribunal upheld the Revenue's position that the salary income earned by the assessee during his UK assignment was taxable in India, given his resident status.</w:t>
      </w:r>
    </w:p>
    <w:p w:rsidR="00A056B6" w:rsidRPr="009C5151" w:rsidRDefault="00A056B6" w:rsidP="00743A5F">
      <w:pPr>
        <w:pStyle w:val="NormalWeb"/>
        <w:tabs>
          <w:tab w:val="num" w:pos="720"/>
        </w:tabs>
        <w:spacing w:before="0" w:beforeAutospacing="0"/>
        <w:ind w:left="720" w:hanging="360"/>
      </w:pPr>
      <w:r w:rsidRPr="009C5151">
        <w:rPr>
          <w:rStyle w:val="Strong"/>
        </w:rPr>
        <w:t>Relief from Double Taxation:</w:t>
      </w:r>
      <w:r w:rsidRPr="009C5151">
        <w:t xml:space="preserve"> The Tribunal directed that the assessee should be granted relief under Section 90 of the Income Tax Act for taxes paid in the UK, ensuring that the same income is not taxed twice.</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case underscores the importance of accurately determining an individual's residential status for tax purposes and highlights the interplay between domestic tax laws and international tax treaties in addressing the taxability of global income and the mechanisms to mitigate double taxation.</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Ravishankar Rajendran v. Income Tax Officer, International Taxation II, Chennai, [2015] 63 taxmann.com 99 (Chennai - Trib.)</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29" w:tgtFrame="_new" w:history="1">
        <w:r w:rsidRPr="009C5151">
          <w:rPr>
            <w:rStyle w:val="Hyperlink"/>
          </w:rPr>
          <w:t>CaseMine</w:t>
        </w:r>
      </w:hyperlink>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following decided cases in International taxation by covering the following aspects : Facts, Parties involved, Citation, Case reference, Issues, respective party's arguments, court's analysis, Ruling and Reasoning.-Formula One World Championship Ltd. [TS-161-SC-2017] [Civil Appeal No. 3849 OF 2017]</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DA2ABA4" wp14:editId="049F7844">
            <wp:extent cx="763905" cy="763905"/>
            <wp:effectExtent l="0" t="0" r="0" b="0"/>
            <wp:docPr id="254" name="Picture 25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1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Formula One World Championship Ltd. v. Commissioner of Income Tax, International Taxation – 3, Delhi &amp; Anr.</w:t>
      </w:r>
      <w:r w:rsidRPr="009C5151">
        <w:t xml:space="preserve">, the </w:t>
      </w:r>
      <w:r w:rsidRPr="009C5151">
        <w:rPr>
          <w:rStyle w:val="Strong"/>
        </w:rPr>
        <w:t>Supreme Court of India</w:t>
      </w:r>
      <w:r w:rsidRPr="009C5151">
        <w:t xml:space="preserve"> examined whether Formula One World Championship Ltd. (FOWC), a UK-based entity, had a Permanent Establishment (PE) in India under the India-UK Double Taxation Avoidance Agreement (DTAA) during the conduct of the Formula One Grand Prix event.</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Parties Involved: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Formula One World Championship Ltd. (FOWC):</w:t>
      </w:r>
      <w:r w:rsidRPr="009C5151">
        <w:rPr>
          <w:rFonts w:ascii="Times New Roman" w:hAnsi="Times New Roman" w:cs="Times New Roman"/>
          <w:sz w:val="24"/>
          <w:szCs w:val="24"/>
        </w:rPr>
        <w:t xml:space="preserve"> A UK-resident company holding exclusive commercial rights to the Formula One (F1) World Championship.</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Jaypee Sports International Ltd. (Jaypee):</w:t>
      </w:r>
      <w:r w:rsidRPr="009C5151">
        <w:rPr>
          <w:rFonts w:ascii="Times New Roman" w:hAnsi="Times New Roman" w:cs="Times New Roman"/>
          <w:sz w:val="24"/>
          <w:szCs w:val="24"/>
        </w:rPr>
        <w:t xml:space="preserve"> An Indian company that entered into agreements with FOWC to host F1 races in India.</w:t>
      </w:r>
    </w:p>
    <w:p w:rsidR="00A056B6" w:rsidRPr="009C5151" w:rsidRDefault="00A056B6" w:rsidP="00743A5F">
      <w:pPr>
        <w:pStyle w:val="NormalWeb"/>
        <w:tabs>
          <w:tab w:val="num" w:pos="720"/>
        </w:tabs>
        <w:spacing w:before="0" w:beforeAutospacing="0"/>
        <w:ind w:left="720" w:hanging="360"/>
      </w:pPr>
      <w:r w:rsidRPr="009C5151">
        <w:rPr>
          <w:rStyle w:val="Strong"/>
        </w:rPr>
        <w:t>Agreements: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FOWC and Jaypee entered into a Race Promotion Contract (RPC) granting Jaypee the rights to host, stage, and promote the F1 Grand Prix of India for a consideration of USD 40 million.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Additional agreements were executed between FOWC's affiliates and Jaypee concerning various aspects of the event.</w:t>
      </w:r>
    </w:p>
    <w:p w:rsidR="00A056B6" w:rsidRPr="009C5151" w:rsidRDefault="00A056B6" w:rsidP="00743A5F">
      <w:pPr>
        <w:pStyle w:val="NormalWeb"/>
        <w:tabs>
          <w:tab w:val="num" w:pos="720"/>
        </w:tabs>
        <w:spacing w:before="0" w:beforeAutospacing="0"/>
        <w:ind w:left="720" w:hanging="360"/>
      </w:pPr>
      <w:r w:rsidRPr="009C5151">
        <w:rPr>
          <w:rStyle w:val="Strong"/>
        </w:rPr>
        <w:t>Event Details: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F1 Grand Prix was held at the Buddh International Circuit in Greater Noida, India, over a three-day period.</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FOWC had a PE in India under Article 5 of the India-UK DTAA due to its activities related to the F1 Grand Prix.</w:t>
      </w:r>
    </w:p>
    <w:p w:rsidR="00A056B6" w:rsidRPr="009C5151" w:rsidRDefault="00A056B6" w:rsidP="00743A5F">
      <w:pPr>
        <w:pStyle w:val="NormalWeb"/>
        <w:tabs>
          <w:tab w:val="num" w:pos="720"/>
        </w:tabs>
        <w:spacing w:before="0" w:beforeAutospacing="0"/>
        <w:ind w:left="720" w:hanging="360"/>
      </w:pPr>
      <w:r w:rsidRPr="009C5151">
        <w:rPr>
          <w:rStyle w:val="Strong"/>
        </w:rPr>
        <w:t>Taxability of Income:</w:t>
      </w:r>
      <w:r w:rsidRPr="009C5151">
        <w:t xml:space="preserve"> If a PE existed, whether the income earned by FOWC from the event was taxable in India.</w:t>
      </w:r>
    </w:p>
    <w:p w:rsidR="00A056B6" w:rsidRPr="009C5151" w:rsidRDefault="00A056B6" w:rsidP="00743A5F">
      <w:pPr>
        <w:pStyle w:val="NormalWeb"/>
        <w:spacing w:before="0" w:beforeAutospacing="0"/>
      </w:pPr>
      <w:r w:rsidRPr="009C5151">
        <w:rPr>
          <w:rStyle w:val="Strong"/>
        </w:rPr>
        <w:t>Respective Parties' Arguments:</w:t>
      </w:r>
    </w:p>
    <w:p w:rsidR="00A056B6" w:rsidRPr="009C5151" w:rsidRDefault="00A056B6" w:rsidP="00743A5F">
      <w:pPr>
        <w:pStyle w:val="NormalWeb"/>
        <w:tabs>
          <w:tab w:val="num" w:pos="720"/>
        </w:tabs>
        <w:spacing w:before="0" w:beforeAutospacing="0"/>
        <w:ind w:left="720" w:hanging="360"/>
      </w:pPr>
      <w:r w:rsidRPr="009C5151">
        <w:rPr>
          <w:rStyle w:val="Strong"/>
        </w:rPr>
        <w:t>FOWC's Arguments: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Contended that it did not have a fixed place of business in India, as its presence was limited to the duration of the event.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Argued that the control over the circuit was with Jaypee, and FOWC's role was confined to overseeing the adherence to standards.</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Asserted that FOWC had a fixed place PE in India, as it exercised control over the circuit during the event.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Maintained that the income earned by FOWC from the event was attributable to the PE and thus taxable in India.</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Fixed Place of Business: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The Court examined the nature of control and rights exercised by FOWC over the Buddh International Circuit.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Noted that FOWC had exclusive access to the circuit for the entire duration of the event, including time before and after the race days.</w:t>
      </w:r>
    </w:p>
    <w:p w:rsidR="00A056B6" w:rsidRPr="009C5151" w:rsidRDefault="00A056B6" w:rsidP="00743A5F">
      <w:pPr>
        <w:pStyle w:val="NormalWeb"/>
        <w:tabs>
          <w:tab w:val="num" w:pos="720"/>
        </w:tabs>
        <w:spacing w:before="0" w:beforeAutospacing="0"/>
        <w:ind w:left="720" w:hanging="360"/>
      </w:pPr>
      <w:r w:rsidRPr="009C5151">
        <w:rPr>
          <w:rStyle w:val="Strong"/>
        </w:rPr>
        <w:t>Duration and Permanence: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Acknowledged that while the event spanned only three days, the agreements were for a term of five years, indicating a degree of permanence.</w:t>
      </w:r>
    </w:p>
    <w:p w:rsidR="00A056B6" w:rsidRPr="009C5151" w:rsidRDefault="00A056B6" w:rsidP="00743A5F">
      <w:pPr>
        <w:pStyle w:val="NormalWeb"/>
        <w:tabs>
          <w:tab w:val="num" w:pos="720"/>
        </w:tabs>
        <w:spacing w:before="0" w:beforeAutospacing="0"/>
        <w:ind w:left="720" w:hanging="360"/>
      </w:pPr>
      <w:r w:rsidRPr="009C5151">
        <w:rPr>
          <w:rStyle w:val="Strong"/>
        </w:rPr>
        <w:t>Business Activities: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Observed that FOWC's core business of exploiting commercial rights was carried out through the event in India.</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Existence of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Supreme Court concluded that FOWC had a fixed place PE in India, as it had control over the circuit, which constituted a fixed place of business through which its business was conducted.</w:t>
      </w:r>
    </w:p>
    <w:p w:rsidR="00A056B6" w:rsidRPr="009C5151" w:rsidRDefault="00A056B6" w:rsidP="00743A5F">
      <w:pPr>
        <w:pStyle w:val="NormalWeb"/>
        <w:tabs>
          <w:tab w:val="num" w:pos="720"/>
        </w:tabs>
        <w:spacing w:before="0" w:beforeAutospacing="0"/>
        <w:ind w:left="720" w:hanging="360"/>
      </w:pPr>
      <w:r w:rsidRPr="009C5151">
        <w:rPr>
          <w:rStyle w:val="Strong"/>
        </w:rPr>
        <w:t>Taxability of Income: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Held that the income earned by FOWC from the event was attributable to the PE and, therefore, taxable in India.</w:t>
      </w:r>
    </w:p>
    <w:p w:rsidR="00A056B6" w:rsidRPr="009C5151" w:rsidRDefault="00A056B6" w:rsidP="00743A5F">
      <w:pPr>
        <w:pStyle w:val="NormalWeb"/>
        <w:tabs>
          <w:tab w:val="num" w:pos="720"/>
        </w:tabs>
        <w:spacing w:before="0" w:beforeAutospacing="0"/>
        <w:ind w:left="720" w:hanging="360"/>
      </w:pPr>
      <w:r w:rsidRPr="009C5151">
        <w:rPr>
          <w:rStyle w:val="Strong"/>
        </w:rPr>
        <w:t>Withholding Tax Obligation: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Determined that Jaypee was required to withhold tax on payments made to FOWC, limited to the portion of income attributable to the PE in India.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landmark judgment clarified the interpretation of "Permanent Establishment" under international tax treaties, emphasizing that even a temporary presence could constitute a PE if it meets the criteria of a fixed place of business through which the enterprise's business is conducted.</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Case Citation:</w:t>
      </w:r>
      <w:r w:rsidRPr="009C5151">
        <w:rPr>
          <w:rFonts w:ascii="Times New Roman" w:hAnsi="Times New Roman" w:cs="Times New Roman"/>
          <w:sz w:val="24"/>
          <w:szCs w:val="24"/>
        </w:rPr>
        <w:t xml:space="preserve"> Formula One World Championship Ltd. v. Commissioner of Income Tax, International Taxation – 3, Delhi &amp; Anr., Civil Appeal No. 3849 of 2017, Supreme Court of India. </w:t>
      </w:r>
    </w:p>
    <w:p w:rsidR="00A056B6" w:rsidRPr="009C5151" w:rsidRDefault="00A056B6" w:rsidP="00743A5F">
      <w:pPr>
        <w:spacing w:before="100" w:after="100" w:afterAutospacing="1" w:line="240" w:lineRule="auto"/>
        <w:ind w:left="720"/>
        <w:rPr>
          <w:rFonts w:ascii="Times New Roman" w:hAnsi="Times New Roman" w:cs="Times New Roman"/>
          <w:sz w:val="24"/>
          <w:szCs w:val="24"/>
        </w:rPr>
      </w:pPr>
      <w:hyperlink r:id="rId30" w:tgtFrame="_blank" w:history="1">
        <w:r w:rsidRPr="009C5151">
          <w:rPr>
            <w:rStyle w:val="truncate"/>
            <w:rFonts w:ascii="Times New Roman" w:hAnsi="Times New Roman" w:cs="Times New Roman"/>
            <w:color w:val="0000FF"/>
            <w:sz w:val="24"/>
            <w:szCs w:val="24"/>
            <w:u w:val="single"/>
          </w:rPr>
          <w:t>Indian Kanoon</w:t>
        </w:r>
      </w:hyperlink>
    </w:p>
    <w:p w:rsidR="00A056B6" w:rsidRPr="009C5151" w:rsidRDefault="00A056B6" w:rsidP="00743A5F">
      <w:pPr>
        <w:pStyle w:val="NormalWeb"/>
        <w:spacing w:before="0" w:beforeAutospacing="0"/>
      </w:pPr>
      <w:r w:rsidRPr="009C5151">
        <w:lastRenderedPageBreak/>
        <w:t>This decision has significant implications for international taxation, particularly concerning the determination of a PE and the taxation of income arising from activities conducted in India by foreign enterprises.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following decided cases in International taxation by covering the following aspects : Facts, Parties involved, Citation, Case reference, Issues, respective party's arguments, court's analysis, Ruling and Reasoning.-Co-operative Centrale Reiffeisen Boerenleenbank B.A. vs Dy. DIT [2018] 97 taxmann.com 24 (Bombay) - ITA Nos.1198 of 2015 and 260 and 264 of 2016 (Bom) dated August 29, 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74D57954" wp14:editId="3C9C874C">
            <wp:extent cx="763905" cy="763905"/>
            <wp:effectExtent l="0" t="0" r="0" b="0"/>
            <wp:docPr id="253" name="Picture 25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1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Co-operative Centrale Raiffeisen-Boerenleenbank B.A. (Rabobank) v. Deputy Director of Income Tax, International Taxation-1(2), Mumbai</w:t>
      </w:r>
      <w:r w:rsidRPr="009C5151">
        <w:t xml:space="preserve">, the </w:t>
      </w:r>
      <w:r w:rsidRPr="009C5151">
        <w:rPr>
          <w:rStyle w:val="Strong"/>
        </w:rPr>
        <w:t>Bombay High Court</w:t>
      </w:r>
      <w:r w:rsidRPr="009C5151">
        <w:t xml:space="preserve"> addressed the issue of whether Rabobank, a Dutch entity, had a Permanent Establishment (PE) in India under the India-Netherlands Double Taxation Avoidance Agreement (DTAA) and the consequent tax implications.</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Co-operative Centrale Raiffeisen-Boerenleenbank B.A. (Rabobank), a banking institution incorporated in the Netherlands.</w:t>
      </w:r>
    </w:p>
    <w:p w:rsidR="00A056B6" w:rsidRPr="009C5151" w:rsidRDefault="00A056B6" w:rsidP="00743A5F">
      <w:pPr>
        <w:pStyle w:val="NormalWeb"/>
        <w:tabs>
          <w:tab w:val="num" w:pos="720"/>
        </w:tabs>
        <w:spacing w:before="0" w:beforeAutospacing="0"/>
        <w:ind w:left="720" w:hanging="360"/>
      </w:pPr>
      <w:r w:rsidRPr="009C5151">
        <w:rPr>
          <w:rStyle w:val="Strong"/>
        </w:rPr>
        <w:t>Operations in India:</w:t>
      </w:r>
      <w:r w:rsidRPr="009C5151">
        <w:t xml:space="preserve"> Rabobank conducted certain activities in India, including liaison and representative functions.</w:t>
      </w:r>
    </w:p>
    <w:p w:rsidR="00A056B6" w:rsidRPr="009C5151" w:rsidRDefault="00A056B6" w:rsidP="00743A5F">
      <w:pPr>
        <w:pStyle w:val="NormalWeb"/>
        <w:tabs>
          <w:tab w:val="num" w:pos="720"/>
        </w:tabs>
        <w:spacing w:before="0" w:beforeAutospacing="0"/>
        <w:ind w:left="720" w:hanging="360"/>
      </w:pPr>
      <w:r w:rsidRPr="009C5151">
        <w:rPr>
          <w:rStyle w:val="Strong"/>
        </w:rPr>
        <w:t>Assessment Years:</w:t>
      </w:r>
      <w:r w:rsidRPr="009C5151">
        <w:t xml:space="preserve"> 2002-2003, 2003-2004, and 2005-2006.</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Rabobank's activities in India constituted a PE under Article 5 of the India-Netherlands DTAA.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If a PE existed, the extent of income attributable to such PE and its taxability in India.</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No PE in India:</w:t>
      </w:r>
      <w:r w:rsidRPr="009C5151">
        <w:t xml:space="preserve"> Rabobank contended that its activities in India were limited to preparatory or auxiliary in nature, conducted through a liaison office, which under Article 5(3)(e) of the DTAA does not constitute a PE.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No Business Conducted in India:</w:t>
      </w:r>
      <w:r w:rsidRPr="009C5151">
        <w:t xml:space="preserve"> The bank argued that it did not carry out any core banking operations or income-generating activities within India.</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Existence of PE:</w:t>
      </w:r>
      <w:r w:rsidRPr="009C5151">
        <w:t xml:space="preserve"> The Revenue asserted that Rabobank's activities in India went beyond preparatory or auxiliary functions, effectively constituting a PE under Article 5 of the DTAA.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Consequently, the Revenue sought to attribute a portion of Rabobank's global income to the alleged PE in India and subject it to taxation.</w:t>
      </w:r>
    </w:p>
    <w:p w:rsidR="00A056B6" w:rsidRPr="009C5151" w:rsidRDefault="00A056B6" w:rsidP="00743A5F">
      <w:pPr>
        <w:pStyle w:val="NormalWeb"/>
        <w:spacing w:before="0" w:beforeAutospacing="0"/>
      </w:pPr>
      <w:r w:rsidRPr="009C5151">
        <w:rPr>
          <w:rStyle w:val="Strong"/>
        </w:rPr>
        <w:t>Tribunal's Analysis:</w:t>
      </w:r>
    </w:p>
    <w:p w:rsidR="00A056B6" w:rsidRPr="009C5151" w:rsidRDefault="00A056B6" w:rsidP="00743A5F">
      <w:pPr>
        <w:pStyle w:val="NormalWeb"/>
        <w:tabs>
          <w:tab w:val="num" w:pos="720"/>
        </w:tabs>
        <w:spacing w:before="0" w:beforeAutospacing="0"/>
        <w:ind w:left="720" w:hanging="360"/>
      </w:pPr>
      <w:r w:rsidRPr="009C5151">
        <w:rPr>
          <w:rStyle w:val="Strong"/>
        </w:rPr>
        <w:t>Examination of Activities:</w:t>
      </w:r>
      <w:r w:rsidRPr="009C5151">
        <w:t xml:space="preserve"> The Income Tax Appellate Tribunal (ITAT) initially examined the nature of Rabobank's activities in India to determine whether they constituted a PE.</w:t>
      </w:r>
    </w:p>
    <w:p w:rsidR="00A056B6" w:rsidRPr="009C5151" w:rsidRDefault="00A056B6" w:rsidP="00743A5F">
      <w:pPr>
        <w:pStyle w:val="NormalWeb"/>
        <w:tabs>
          <w:tab w:val="num" w:pos="720"/>
        </w:tabs>
        <w:spacing w:before="0" w:beforeAutospacing="0"/>
        <w:ind w:left="720" w:hanging="360"/>
      </w:pPr>
      <w:r w:rsidRPr="009C5151">
        <w:rPr>
          <w:rStyle w:val="Strong"/>
        </w:rPr>
        <w:t>Remand for Further Examination:</w:t>
      </w:r>
      <w:r w:rsidRPr="009C5151">
        <w:t xml:space="preserve"> The ITAT remanded the matter to the Assessing Officer (AO) for a fresh examination, directing the AO to assess the nature of activities and determine the existence of a PE and the attributable income, if any.</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t>Assessee's Contention Against Remand:</w:t>
      </w:r>
      <w:r w:rsidRPr="009C5151">
        <w:t xml:space="preserve"> Rabobank challenged the ITAT's decision to remand the matter, arguing that sufficient facts were already on record to conclude that no PE existed, and thus, no income was attributable or taxable in India.</w:t>
      </w:r>
    </w:p>
    <w:p w:rsidR="00A056B6" w:rsidRPr="009C5151" w:rsidRDefault="00A056B6" w:rsidP="00743A5F">
      <w:pPr>
        <w:pStyle w:val="NormalWeb"/>
        <w:tabs>
          <w:tab w:val="num" w:pos="720"/>
        </w:tabs>
        <w:spacing w:before="0" w:beforeAutospacing="0"/>
        <w:ind w:left="720" w:hanging="360"/>
      </w:pPr>
      <w:r w:rsidRPr="009C5151">
        <w:rPr>
          <w:rStyle w:val="Strong"/>
        </w:rPr>
        <w:t>Revenue's Support for Remand:</w:t>
      </w:r>
      <w:r w:rsidRPr="009C5151">
        <w:t xml:space="preserve"> The Revenue supported the ITAT's decision, emphasizing the need for a detailed factual analysis by the AO to ascertain the nature of activities and the existence of a PE.</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Justification of Remand:</w:t>
      </w:r>
      <w:r w:rsidRPr="009C5151">
        <w:t xml:space="preserve"> The Bombay High Court upheld the ITAT's decision to remand the matter to the AO. The Court reasoned that a thorough factual examination was necessary to determine the nature of Rabobank's activities in India and whether they constituted a PE under the DTAA.</w:t>
      </w:r>
    </w:p>
    <w:p w:rsidR="00A056B6" w:rsidRPr="009C5151" w:rsidRDefault="00A056B6" w:rsidP="00743A5F">
      <w:pPr>
        <w:pStyle w:val="NormalWeb"/>
        <w:tabs>
          <w:tab w:val="num" w:pos="720"/>
        </w:tabs>
        <w:spacing w:before="0" w:beforeAutospacing="0"/>
        <w:ind w:left="720" w:hanging="360"/>
      </w:pPr>
      <w:r w:rsidRPr="009C5151">
        <w:rPr>
          <w:rStyle w:val="Strong"/>
        </w:rPr>
        <w:t>Direction for Fresh Assessment:</w:t>
      </w:r>
      <w:r w:rsidRPr="009C5151">
        <w:t xml:space="preserve"> The Court directed the AO to conduct a fresh assessment, considering all relevant facts and circumstances, to ascertain the existence of a PE and the extent of income, if any, attributable to such PE for taxation purposes.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case underscores the importance of a detailed factual analysis in determining the existence of a Permanent Establishment under international tax treaties. It highlights that the classification of activities as preparatory or auxiliary versus core business functions is crucial in ascertaining tax liabilities for foreign entities operating in India.</w:t>
      </w:r>
    </w:p>
    <w:p w:rsidR="00A056B6" w:rsidRPr="009C5151" w:rsidRDefault="00A056B6" w:rsidP="00743A5F">
      <w:pPr>
        <w:pStyle w:val="NormalWeb"/>
        <w:spacing w:before="0" w:beforeAutospacing="0"/>
      </w:pPr>
      <w:r w:rsidRPr="009C5151">
        <w:rPr>
          <w:rStyle w:val="Strong"/>
        </w:rPr>
        <w:lastRenderedPageBreak/>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Co-operative Centrale Raiffeisen-Boerenleenbank B.A. (Rabobank) v. Deputy Director of Income Tax, International Taxation-1(2), Mumbai, [2018] 97 taxmann.com 24 (Bombay), ITA Nos. 1198 of 2015 and 260 and 264 of 2016, dated August 29,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31"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emphasizes the necessity for tax authorities to meticulously assess the nature of a foreign entity's operations within India to determine tax obligations accurately.</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Please discuss in detail the following decided cases in International taxation by covering the following aspects : Facts, Parties involved, Citation, Case reference, Issues, respective party's arguments, court's analysis, Ruling and Reasoning.-ZTE Corporation [TS-33-HC-2017(Del)]</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5BFF4B25" wp14:editId="6BF2B0CB">
            <wp:extent cx="763905" cy="763905"/>
            <wp:effectExtent l="0" t="0" r="0" b="0"/>
            <wp:docPr id="390" name="Picture 39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2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Commissioner of Income Tax (International Taxation) v. ZTE Corporation</w:t>
      </w:r>
      <w:r w:rsidRPr="009C5151">
        <w:t xml:space="preserve">, the </w:t>
      </w:r>
      <w:r w:rsidRPr="009C5151">
        <w:rPr>
          <w:rStyle w:val="Strong"/>
        </w:rPr>
        <w:t>Delhi High Court</w:t>
      </w:r>
      <w:r w:rsidRPr="009C5151">
        <w:t xml:space="preserve"> addressed the tax implications of payments made for software embedded in telecom equipment supplied by ZTE Corporation, a Chinese company, to Indian customers.</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ZTE Corporation, a company incorporated in China, engaged in supplying telecom equipment and related software to Indian telecom operators.</w:t>
      </w:r>
    </w:p>
    <w:p w:rsidR="00A056B6" w:rsidRPr="009C5151" w:rsidRDefault="00A056B6" w:rsidP="00743A5F">
      <w:pPr>
        <w:pStyle w:val="NormalWeb"/>
        <w:tabs>
          <w:tab w:val="num" w:pos="720"/>
        </w:tabs>
        <w:spacing w:before="0" w:beforeAutospacing="0"/>
        <w:ind w:left="720" w:hanging="360"/>
      </w:pPr>
      <w:r w:rsidRPr="009C5151">
        <w:rPr>
          <w:rStyle w:val="Strong"/>
        </w:rPr>
        <w:t>Transactions:</w:t>
      </w:r>
      <w:r w:rsidRPr="009C5151">
        <w:t xml:space="preserve"> The company supplied hardware and accompanying software necessary for the operation of the telecom equipment to various Indian entities.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Payments:</w:t>
      </w:r>
      <w:r w:rsidRPr="009C5151">
        <w:t xml:space="preserve"> Whether payments received by ZTE Corporation for the supply of software embedded in telecom equipment constituted "royalty" under Section 9(1)(vi) of the Income Tax Act, 1961, and Article 12 of the India-China Double Taxation Avoidance Agreement (DTAA).</w:t>
      </w:r>
    </w:p>
    <w:p w:rsidR="00A056B6" w:rsidRPr="009C5151" w:rsidRDefault="00A056B6" w:rsidP="00743A5F">
      <w:pPr>
        <w:pStyle w:val="NormalWeb"/>
        <w:tabs>
          <w:tab w:val="num" w:pos="720"/>
        </w:tabs>
        <w:spacing w:before="0" w:beforeAutospacing="0"/>
        <w:ind w:left="720" w:hanging="360"/>
      </w:pPr>
      <w:r w:rsidRPr="009C5151">
        <w:rPr>
          <w:rStyle w:val="Strong"/>
        </w:rPr>
        <w:t>Tax Withholding Obligations:</w:t>
      </w:r>
      <w:r w:rsidRPr="009C5151">
        <w:t xml:space="preserve"> Whether Indian telecom operators were required to withhold tax on payments made to ZTE Corporation for the embedded software.</w:t>
      </w:r>
    </w:p>
    <w:p w:rsidR="00A056B6" w:rsidRPr="009C5151" w:rsidRDefault="00A056B6" w:rsidP="00743A5F">
      <w:pPr>
        <w:pStyle w:val="NormalWeb"/>
        <w:spacing w:before="0" w:beforeAutospacing="0"/>
      </w:pPr>
      <w:r w:rsidRPr="009C5151">
        <w:rPr>
          <w:rStyle w:val="Strong"/>
        </w:rPr>
        <w:t>Respective Parties' Arguments:</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lastRenderedPageBreak/>
        <w:t>The Revenue contended that the payments for embedded software amounted to "royalty" as defined under Section 9(1)(vi) of the Income Tax Act and the DTAA.</w:t>
      </w:r>
    </w:p>
    <w:p w:rsidR="00A056B6" w:rsidRPr="009C5151" w:rsidRDefault="00A056B6" w:rsidP="00743A5F">
      <w:pPr>
        <w:pStyle w:val="NormalWeb"/>
        <w:numPr>
          <w:ilvl w:val="1"/>
          <w:numId w:val="0"/>
        </w:numPr>
        <w:tabs>
          <w:tab w:val="num" w:pos="1440"/>
        </w:tabs>
        <w:spacing w:before="0" w:beforeAutospacing="0"/>
        <w:ind w:left="1440" w:hanging="360"/>
      </w:pPr>
      <w:r w:rsidRPr="009C5151">
        <w:t>It was argued that the use of software constituted the use of a copyright, thereby attracting royalty taxation.</w:t>
      </w:r>
    </w:p>
    <w:p w:rsidR="00A056B6" w:rsidRPr="009C5151" w:rsidRDefault="00A056B6" w:rsidP="00743A5F">
      <w:pPr>
        <w:pStyle w:val="NormalWeb"/>
        <w:tabs>
          <w:tab w:val="num" w:pos="720"/>
        </w:tabs>
        <w:spacing w:before="0" w:beforeAutospacing="0"/>
        <w:ind w:left="720" w:hanging="360"/>
      </w:pPr>
      <w:r w:rsidRPr="009C5151">
        <w:rPr>
          <w:rStyle w:val="Strong"/>
        </w:rPr>
        <w:t>Assessee's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t>ZTE Corporation argued that the software was an integral part of the telecom equipment and was supplied solely for operating the hardware.</w:t>
      </w:r>
    </w:p>
    <w:p w:rsidR="00A056B6" w:rsidRPr="009C5151" w:rsidRDefault="00A056B6" w:rsidP="00743A5F">
      <w:pPr>
        <w:pStyle w:val="NormalWeb"/>
        <w:numPr>
          <w:ilvl w:val="1"/>
          <w:numId w:val="0"/>
        </w:numPr>
        <w:tabs>
          <w:tab w:val="num" w:pos="1440"/>
        </w:tabs>
        <w:spacing w:before="0" w:beforeAutospacing="0"/>
        <w:ind w:left="1440" w:hanging="360"/>
      </w:pPr>
      <w:r w:rsidRPr="009C5151">
        <w:t>The company maintained that the payments were for the sale of goods (i.e., the telecom equipment) and not for the use of any copyright, thus not constituting "royalty."</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Nature of Software:</w:t>
      </w:r>
      <w:r w:rsidRPr="009C5151">
        <w:t xml:space="preserve"> The court examined whether the software supplied was incidental to the hardware and necessary for its functioning, or if it had an independent existence.</w:t>
      </w:r>
    </w:p>
    <w:p w:rsidR="00A056B6" w:rsidRPr="009C5151" w:rsidRDefault="00A056B6" w:rsidP="00743A5F">
      <w:pPr>
        <w:pStyle w:val="NormalWeb"/>
        <w:tabs>
          <w:tab w:val="num" w:pos="720"/>
        </w:tabs>
        <w:spacing w:before="0" w:beforeAutospacing="0"/>
        <w:ind w:left="720" w:hanging="360"/>
      </w:pPr>
      <w:r w:rsidRPr="009C5151">
        <w:rPr>
          <w:rStyle w:val="Strong"/>
        </w:rPr>
        <w:t>Definition of "Royalty":</w:t>
      </w:r>
      <w:r w:rsidRPr="009C5151">
        <w:t xml:space="preserve"> The court referred to the definitions provided in both domestic law and the DTAA, analyzing whether the transaction involved the transfer of rights in respect of a copyright.</w:t>
      </w:r>
    </w:p>
    <w:p w:rsidR="00A056B6" w:rsidRPr="009C5151" w:rsidRDefault="00A056B6" w:rsidP="00743A5F">
      <w:pPr>
        <w:pStyle w:val="NormalWeb"/>
        <w:tabs>
          <w:tab w:val="num" w:pos="720"/>
        </w:tabs>
        <w:spacing w:before="0" w:beforeAutospacing="0"/>
        <w:ind w:left="720" w:hanging="360"/>
      </w:pPr>
      <w:r w:rsidRPr="009C5151">
        <w:rPr>
          <w:rStyle w:val="Strong"/>
        </w:rPr>
        <w:t>Precedent Consideration:</w:t>
      </w:r>
      <w:r w:rsidRPr="009C5151">
        <w:t xml:space="preserve"> The court considered previous judgments, including the Supreme Court's decision in </w:t>
      </w:r>
      <w:r w:rsidRPr="009C5151">
        <w:rPr>
          <w:rStyle w:val="Emphasis"/>
        </w:rPr>
        <w:t>Engineering Analysis Centre of Excellence Pvt. Ltd. v. CIT</w:t>
      </w:r>
      <w:r w:rsidRPr="009C5151">
        <w:t>, which held that payments for the resale of software without the transfer of copyright do not constitute "royalty."</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Payments Not Classified as "Royalty":</w:t>
      </w:r>
      <w:r w:rsidRPr="009C5151">
        <w:t xml:space="preserve"> The Delhi High Court ruled that the payments made for the embedded software did not constitute "royalty" under Section 9(1)(vi) of the Income Tax Act or Article 12 of the India-China DTAA.</w:t>
      </w:r>
    </w:p>
    <w:p w:rsidR="00A056B6" w:rsidRPr="009C5151" w:rsidRDefault="00A056B6" w:rsidP="00743A5F">
      <w:pPr>
        <w:pStyle w:val="NormalWeb"/>
        <w:tabs>
          <w:tab w:val="num" w:pos="720"/>
        </w:tabs>
        <w:spacing w:before="0" w:beforeAutospacing="0"/>
        <w:ind w:left="720" w:hanging="360"/>
      </w:pPr>
      <w:r w:rsidRPr="009C5151">
        <w:rPr>
          <w:rStyle w:val="Strong"/>
        </w:rPr>
        <w:t>Integrated Supply:</w:t>
      </w:r>
      <w:r w:rsidRPr="009C5151">
        <w:t xml:space="preserve"> The court reasoned that the software was integral to the telecom equipment and was supplied to enable the hardware to function, without any independent rights being transferred to the buyer.</w:t>
      </w:r>
    </w:p>
    <w:p w:rsidR="00A056B6" w:rsidRPr="009C5151" w:rsidRDefault="00A056B6" w:rsidP="00743A5F">
      <w:pPr>
        <w:pStyle w:val="NormalWeb"/>
        <w:tabs>
          <w:tab w:val="num" w:pos="720"/>
        </w:tabs>
        <w:spacing w:before="0" w:beforeAutospacing="0"/>
        <w:ind w:left="720" w:hanging="360"/>
      </w:pPr>
      <w:r w:rsidRPr="009C5151">
        <w:rPr>
          <w:rStyle w:val="Strong"/>
        </w:rPr>
        <w:t>No Withholding Tax Obligation:</w:t>
      </w:r>
      <w:r w:rsidRPr="009C5151">
        <w:t xml:space="preserve"> Consequently, the court held that Indian telecom operators were not required to withhold tax on payments made to ZTE Corporation for the embedded software.</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payments for software embedded in hardware, supplied as an integral component necessary for the equipment's operation, do not constitute "royalty" under Indian tax law and the relevant DTAA. Therefore, such payments are not subject to withholding tax obligations in India.</w:t>
      </w:r>
    </w:p>
    <w:p w:rsidR="00A056B6" w:rsidRPr="009C5151" w:rsidRDefault="00A056B6" w:rsidP="00743A5F">
      <w:pPr>
        <w:pStyle w:val="NormalWeb"/>
        <w:spacing w:before="0" w:beforeAutospacing="0"/>
      </w:pPr>
      <w:r w:rsidRPr="009C5151">
        <w:rPr>
          <w:rStyle w:val="Strong"/>
        </w:rPr>
        <w:lastRenderedPageBreak/>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Commissioner of Income Tax (International Taxation) v. ZTE Corporation, [2017] 392 ITR 80 (Delhi).</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32"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has significant implications for international transactions involving the supply of equipment with embedded software, providing clarity on the tax treatment of such payments under Indian law.</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2/2</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CIT &amp; ANR vs. Halliburtion Export Inc. &amp; ANR - (2016) 96 CCH 0060 (Del HC) - ITA 363/2016, 365/2016 [India - US DTAA]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58753A3B" wp14:editId="2447C539">
            <wp:extent cx="763905" cy="763905"/>
            <wp:effectExtent l="0" t="0" r="0" b="0"/>
            <wp:docPr id="389" name="Picture 38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2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Commissioner of Income Tax &amp; Anr. v. Halliburton Export Inc. &amp; Anr.</w:t>
      </w:r>
      <w:r w:rsidRPr="009C5151">
        <w:t xml:space="preserve">, the </w:t>
      </w:r>
      <w:r w:rsidRPr="009C5151">
        <w:rPr>
          <w:rStyle w:val="Strong"/>
        </w:rPr>
        <w:t>Delhi High Court</w:t>
      </w:r>
      <w:r w:rsidRPr="009C5151">
        <w:t xml:space="preserve"> addressed the characterization of payments received by Halliburton Export Inc., a U.S.-based company, for providing seismic data acquisition and processing services to Oil and Natural Gas Corporation (ONGC) in India, and whether such payments constituted "fees for included services" under Article 12 of the India-U.S. Double Taxation Avoidance Agreement (DTAA).</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Halliburton Export Inc., a company incorporated in the United States, engaged in providing seismic data acquisition and processing services.</w:t>
      </w:r>
    </w:p>
    <w:p w:rsidR="00A056B6" w:rsidRPr="009C5151" w:rsidRDefault="00A056B6" w:rsidP="00743A5F">
      <w:pPr>
        <w:pStyle w:val="NormalWeb"/>
        <w:tabs>
          <w:tab w:val="num" w:pos="720"/>
        </w:tabs>
        <w:spacing w:before="0" w:beforeAutospacing="0"/>
        <w:ind w:left="720" w:hanging="360"/>
      </w:pPr>
      <w:r w:rsidRPr="009C5151">
        <w:rPr>
          <w:rStyle w:val="Strong"/>
        </w:rPr>
        <w:t>Services Provided:</w:t>
      </w:r>
      <w:r w:rsidRPr="009C5151">
        <w:t xml:space="preserve"> The company entered into contracts with ONGC to conduct seismic surveys and process the acquired data to assist in oil and gas exploration activities in India.</w:t>
      </w:r>
    </w:p>
    <w:p w:rsidR="00A056B6" w:rsidRPr="009C5151" w:rsidRDefault="00A056B6" w:rsidP="00743A5F">
      <w:pPr>
        <w:pStyle w:val="NormalWeb"/>
        <w:tabs>
          <w:tab w:val="num" w:pos="720"/>
        </w:tabs>
        <w:spacing w:before="0" w:beforeAutospacing="0"/>
        <w:ind w:left="720" w:hanging="360"/>
      </w:pPr>
      <w:r w:rsidRPr="009C5151">
        <w:rPr>
          <w:rStyle w:val="Strong"/>
        </w:rPr>
        <w:t>Assessment Years:</w:t>
      </w:r>
      <w:r w:rsidRPr="009C5151">
        <w:t xml:space="preserve"> 2001-02 and 2002-03.</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Income:</w:t>
      </w:r>
      <w:r w:rsidRPr="009C5151">
        <w:t xml:space="preserve"> Whether the payments received by Halliburton Export Inc. for seismic data acquisition and processing services constituted "fees for included services" under Article 12 of the India-U.S. DTAA.</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Taxability in India:</w:t>
      </w:r>
      <w:r w:rsidRPr="009C5151">
        <w:t xml:space="preserve"> If classified as "fees for included services," whether such payments were taxable in India, and the applicable tax rate.</w:t>
      </w:r>
    </w:p>
    <w:p w:rsidR="00A056B6" w:rsidRPr="009C5151" w:rsidRDefault="00A056B6" w:rsidP="00743A5F">
      <w:pPr>
        <w:pStyle w:val="NormalWeb"/>
        <w:spacing w:before="0" w:beforeAutospacing="0"/>
      </w:pPr>
      <w:r w:rsidRPr="009C5151">
        <w:rPr>
          <w:rStyle w:val="Strong"/>
        </w:rPr>
        <w:t>Respective Parties' Arguments:</w:t>
      </w:r>
    </w:p>
    <w:p w:rsidR="00A056B6" w:rsidRPr="009C5151" w:rsidRDefault="00A056B6" w:rsidP="00743A5F">
      <w:pPr>
        <w:pStyle w:val="NormalWeb"/>
        <w:tabs>
          <w:tab w:val="num" w:pos="720"/>
        </w:tabs>
        <w:spacing w:before="0" w:beforeAutospacing="0"/>
        <w:ind w:left="720" w:hanging="360"/>
      </w:pPr>
      <w:r w:rsidRPr="009C5151">
        <w:rPr>
          <w:rStyle w:val="Strong"/>
        </w:rPr>
        <w:t>Revenue's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t>The Revenue contended that the services provided by Halliburton Export Inc. involved the use of technical expertise, experience, and skill, thereby constituting "fees for included services" under Article 12 of the DTAA.</w:t>
      </w:r>
    </w:p>
    <w:p w:rsidR="00A056B6" w:rsidRPr="009C5151" w:rsidRDefault="00A056B6" w:rsidP="00743A5F">
      <w:pPr>
        <w:pStyle w:val="NormalWeb"/>
        <w:numPr>
          <w:ilvl w:val="1"/>
          <w:numId w:val="0"/>
        </w:numPr>
        <w:tabs>
          <w:tab w:val="num" w:pos="1440"/>
        </w:tabs>
        <w:spacing w:before="0" w:beforeAutospacing="0"/>
        <w:ind w:left="1440" w:hanging="360"/>
      </w:pPr>
      <w:r w:rsidRPr="009C5151">
        <w:t>It was argued that the payments were for technical services rendered in India and, therefore, taxable in India.</w:t>
      </w:r>
    </w:p>
    <w:p w:rsidR="00A056B6" w:rsidRPr="009C5151" w:rsidRDefault="00A056B6" w:rsidP="00743A5F">
      <w:pPr>
        <w:pStyle w:val="NormalWeb"/>
        <w:tabs>
          <w:tab w:val="num" w:pos="720"/>
        </w:tabs>
        <w:spacing w:before="0" w:beforeAutospacing="0"/>
        <w:ind w:left="720" w:hanging="360"/>
      </w:pPr>
      <w:r w:rsidRPr="009C5151">
        <w:rPr>
          <w:rStyle w:val="Strong"/>
        </w:rPr>
        <w:t>Assessee's Arguments:</w:t>
      </w:r>
    </w:p>
    <w:p w:rsidR="00A056B6" w:rsidRPr="009C5151" w:rsidRDefault="00A056B6" w:rsidP="00743A5F">
      <w:pPr>
        <w:pStyle w:val="NormalWeb"/>
        <w:numPr>
          <w:ilvl w:val="1"/>
          <w:numId w:val="0"/>
        </w:numPr>
        <w:tabs>
          <w:tab w:val="num" w:pos="1440"/>
        </w:tabs>
        <w:spacing w:before="0" w:beforeAutospacing="0"/>
        <w:ind w:left="1440" w:hanging="360"/>
      </w:pPr>
      <w:r w:rsidRPr="009C5151">
        <w:t>Halliburton Export Inc. argued that the services provided did not make available technical knowledge, experience, skill, know-how, or processes to ONGC, as required under Article 12(4)(b) of the DTAA.</w:t>
      </w:r>
    </w:p>
    <w:p w:rsidR="00A056B6" w:rsidRPr="009C5151" w:rsidRDefault="00A056B6" w:rsidP="00743A5F">
      <w:pPr>
        <w:pStyle w:val="NormalWeb"/>
        <w:numPr>
          <w:ilvl w:val="1"/>
          <w:numId w:val="0"/>
        </w:numPr>
        <w:tabs>
          <w:tab w:val="num" w:pos="1440"/>
        </w:tabs>
        <w:spacing w:before="0" w:beforeAutospacing="0"/>
        <w:ind w:left="1440" w:hanging="360"/>
      </w:pPr>
      <w:r w:rsidRPr="009C5151">
        <w:t>The company maintained that the payments were for services that did not enable ONGC to apply the technology independently, and thus should not be classified as "fees for included services."</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Interpretation of "Fees for Included Services":</w:t>
      </w:r>
      <w:r w:rsidRPr="009C5151">
        <w:t xml:space="preserve"> The court analyzed Article 12(4)(b) of the India-U.S. DTAA, which defines "fees for included services" as payments for services that make available technical knowledge, experience, skill, know-how, or processes, or consist of the development and transfer of a technical plan or technical design.</w:t>
      </w:r>
    </w:p>
    <w:p w:rsidR="00A056B6" w:rsidRPr="009C5151" w:rsidRDefault="00A056B6" w:rsidP="00743A5F">
      <w:pPr>
        <w:pStyle w:val="NormalWeb"/>
        <w:tabs>
          <w:tab w:val="num" w:pos="720"/>
        </w:tabs>
        <w:spacing w:before="0" w:beforeAutospacing="0"/>
        <w:ind w:left="720" w:hanging="360"/>
      </w:pPr>
      <w:r w:rsidRPr="009C5151">
        <w:rPr>
          <w:rStyle w:val="Strong"/>
        </w:rPr>
        <w:t>Nature of Services Provided:</w:t>
      </w:r>
      <w:r w:rsidRPr="009C5151">
        <w:t xml:space="preserve"> The court examined the nature of the seismic data acquisition and processing services provided by Halliburton Export Inc. and whether these services enabled ONGC to apply the technical knowledge independently without the provider's assistance.</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Services Not Classified as "Fees for Included Services":</w:t>
      </w:r>
      <w:r w:rsidRPr="009C5151">
        <w:t xml:space="preserve"> The Delhi High Court concluded that the seismic data acquisition and processing services provided by Halliburton Export Inc. did not make available technical knowledge, experience, skill, know-how, or processes to ONGC.</w:t>
      </w:r>
    </w:p>
    <w:p w:rsidR="00A056B6" w:rsidRPr="009C5151" w:rsidRDefault="00A056B6" w:rsidP="00743A5F">
      <w:pPr>
        <w:pStyle w:val="NormalWeb"/>
        <w:tabs>
          <w:tab w:val="num" w:pos="720"/>
        </w:tabs>
        <w:spacing w:before="0" w:beforeAutospacing="0"/>
        <w:ind w:left="720" w:hanging="360"/>
      </w:pPr>
      <w:r w:rsidRPr="009C5151">
        <w:rPr>
          <w:rStyle w:val="Strong"/>
        </w:rPr>
        <w:t>No Transfer of Technical Knowledge:</w:t>
      </w:r>
      <w:r w:rsidRPr="009C5151">
        <w:t xml:space="preserve"> The court reasoned that while the services were technical in nature, they did not enable ONGC to perform the seismic data acquisition and processing independently without the assistance of Halliburton Export Inc.</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Payments Not Taxable as "Fees for Included Services":</w:t>
      </w:r>
      <w:r w:rsidRPr="009C5151">
        <w:t xml:space="preserve"> Consequently, the payments received by Halliburton Export Inc. were not taxable in India as "fees for included services" under Article 12 of the India-U.S. DTAA.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for payments to be classified as "fees for included services" under the India-U.S. DTAA, the services must not only be technical but also make available technical knowledge or skills that enable the recipient to apply the technology independently. In this case, since the services provided by Halliburton Export Inc. did not meet this criterion, the payments were not taxable in India under the DTAA provisions.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Commissioner of Income Tax &amp; Anr. v. Halliburton Export Inc. &amp; Anr., (2016) 96 CCH 0060 (Delhi High Court), ITA Nos. 363/2016 and 365/2016.</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33" w:tgtFrame="_new" w:history="1">
        <w:r w:rsidRPr="009C5151">
          <w:rPr>
            <w:rStyle w:val="Hyperlink"/>
          </w:rPr>
          <w:t>ITAT Online</w:t>
        </w:r>
      </w:hyperlink>
    </w:p>
    <w:p w:rsidR="00A056B6" w:rsidRPr="009C5151" w:rsidRDefault="00A056B6" w:rsidP="00743A5F">
      <w:pPr>
        <w:pStyle w:val="NormalWeb"/>
        <w:spacing w:before="0" w:beforeAutospacing="0"/>
      </w:pPr>
      <w:r w:rsidRPr="009C5151">
        <w:t>This decision provides significant guidance on the interpretation of "fees for included services" in international taxation, particularly concerning the India-U.S. DTAA.</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National Petroleum Construction Company v DIT - (2016) 66 taxmann.com 16 (Del) [India - UAE DTAA]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7065E2BD" wp14:editId="0FB84DFF">
            <wp:extent cx="763905" cy="763905"/>
            <wp:effectExtent l="0" t="0" r="0" b="0"/>
            <wp:docPr id="388" name="Picture 38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2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National Petroleum Construction Company v. Director of Income Tax (International Taxation)</w:t>
      </w:r>
      <w:r w:rsidRPr="009C5151">
        <w:t xml:space="preserve">, the </w:t>
      </w:r>
      <w:r w:rsidRPr="009C5151">
        <w:rPr>
          <w:rStyle w:val="Strong"/>
        </w:rPr>
        <w:t>Delhi High Court</w:t>
      </w:r>
      <w:r w:rsidRPr="009C5151">
        <w:t xml:space="preserve"> examined the tax implications for National Petroleum Construction Company (NPCC), a company incorporated in the United Arab Emirates (UAE), concerning its operations in India under the India-UAE Double Taxation Avoidance Agreement (DTAA).</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National Petroleum Construction Company (NPCC), a UAE-based company specializing in offshore construction and related services for the oil and gas sector.</w:t>
      </w:r>
    </w:p>
    <w:p w:rsidR="00A056B6" w:rsidRPr="009C5151" w:rsidRDefault="00A056B6" w:rsidP="00743A5F">
      <w:pPr>
        <w:pStyle w:val="NormalWeb"/>
        <w:tabs>
          <w:tab w:val="num" w:pos="720"/>
        </w:tabs>
        <w:spacing w:before="0" w:beforeAutospacing="0"/>
        <w:ind w:left="720" w:hanging="360"/>
      </w:pPr>
      <w:r w:rsidRPr="009C5151">
        <w:rPr>
          <w:rStyle w:val="Strong"/>
        </w:rPr>
        <w:t>Contracts with ONGC:</w:t>
      </w:r>
      <w:r w:rsidRPr="009C5151">
        <w:t xml:space="preserve"> NPCC entered into contracts with Oil and Natural Gas Corporation (ONGC) for executing projects involving the design, engineering, procurement, fabrication, installation, and commissioning of offshore platforms and submarine pipelines in Indian territorial waters.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Project Execution:</w:t>
      </w:r>
      <w:r w:rsidRPr="009C5151">
        <w:t xml:space="preserve"> The projects were executed through NPCC's project office in India, which facilitated communication and coordination between NPCC's head office and ONGC.</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NPCC's project office in India constituted a Permanent Establishment under Article 5 of the India-UAE DTAA.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If a PE existed, the extent of income attributable to such PE and its taxability in India.</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No PE in India:</w:t>
      </w:r>
      <w:r w:rsidRPr="009C5151">
        <w:t xml:space="preserve"> NPCC contended that its project office in India was solely for auxiliary and preparatory activities, such as liaison and coordination, which do not constitute a PE under Article 5(3)(e) of the DTAA.</w:t>
      </w:r>
    </w:p>
    <w:p w:rsidR="00A056B6" w:rsidRPr="009C5151" w:rsidRDefault="00A056B6" w:rsidP="00743A5F">
      <w:pPr>
        <w:pStyle w:val="NormalWeb"/>
        <w:tabs>
          <w:tab w:val="num" w:pos="720"/>
        </w:tabs>
        <w:spacing w:before="0" w:beforeAutospacing="0"/>
        <w:ind w:left="720" w:hanging="360"/>
      </w:pPr>
      <w:r w:rsidRPr="009C5151">
        <w:rPr>
          <w:rStyle w:val="Strong"/>
        </w:rPr>
        <w:t>Income Not Attributable to PE:</w:t>
      </w:r>
      <w:r w:rsidRPr="009C5151">
        <w:t xml:space="preserve"> NPCC argued that the core activities related to the contracts, including fabrication and procurement, were conducted outside India, and therefore, the income from such activities should not be taxable in India.</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Existence of PE:</w:t>
      </w:r>
      <w:r w:rsidRPr="009C5151">
        <w:t xml:space="preserve"> The Revenue asserted that NPCC's project office in India was involved in the execution of contracts and not merely in auxiliary or preparatory activities, thereby constituting a PE under Article 5 of the DTAA.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The Revenue contended that a significant portion of the contract activities was performed in India, and thus, the corresponding income should be attributed to the Indian PE and taxed accordingly.</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Nature of Project Office Activities:</w:t>
      </w:r>
      <w:r w:rsidRPr="009C5151">
        <w:t xml:space="preserve"> The court examined the functions performed by NPCC's project office in India, assessing whether they were limited to auxiliary and preparatory activities or extended to core business operations.</w:t>
      </w:r>
    </w:p>
    <w:p w:rsidR="00A056B6" w:rsidRPr="009C5151" w:rsidRDefault="00A056B6" w:rsidP="00743A5F">
      <w:pPr>
        <w:pStyle w:val="NormalWeb"/>
        <w:tabs>
          <w:tab w:val="num" w:pos="720"/>
        </w:tabs>
        <w:spacing w:before="0" w:beforeAutospacing="0"/>
        <w:ind w:left="720" w:hanging="360"/>
      </w:pPr>
      <w:r w:rsidRPr="009C5151">
        <w:rPr>
          <w:rStyle w:val="Strong"/>
        </w:rPr>
        <w:t>Functional and Revenue Attribution:</w:t>
      </w:r>
      <w:r w:rsidRPr="009C5151">
        <w:t xml:space="preserve"> The court analyzed the extent of activities carried out in India and the revenue generated from such activities to determine the appropriate attribution of income to the Indian operations.</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Existence of PE:</w:t>
      </w:r>
      <w:r w:rsidRPr="009C5151">
        <w:t xml:space="preserve"> The Delhi High Court concluded that NPCC's project office in India was engaged in activities beyond mere auxiliary or preparatory work, including significant aspects of contract execution. Therefore, it constituted a PE under Article 5 of the India-UAE DTAA.</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Attribution of Income:</w:t>
      </w:r>
      <w:r w:rsidRPr="009C5151">
        <w:t xml:space="preserve"> The court held that income attributable to the activities carried out by the PE in India was taxable in India. The court emphasized the need for a detailed assessment to accurately determine the portion of income related to the Indian operations.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underscores the importance of evaluating the nature and scope of activities conducted by a foreign enterprise's presence in India to determine the existence of a Permanent Establishment under the DTAA. It also highlights the necessity of accurately attributing income to such a PE based on the functions performed, assets used, and risks assumed in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National Petroleum Construction Company v. Director of Income Tax (International Taxation), [2016] 66 taxmann.com 16 (Delhi High Court).</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34"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provides clarity on the interpretation of Permanent Establishment provisions under the India-UAE DTAA and the taxation of income attributable to such establishments in India.</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Mitsui &amp; Co. Ltd. TS-310-HC-2017(DEL) (ITA 13/2005 dated July 27, 2017)</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C94E151" wp14:editId="6694A44F">
            <wp:extent cx="763905" cy="763905"/>
            <wp:effectExtent l="0" t="0" r="0" b="0"/>
            <wp:docPr id="387" name="Picture 38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2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Director of Income Tax v. Mitsui &amp; Co. Ltd.</w:t>
      </w:r>
      <w:r w:rsidRPr="009C5151">
        <w:t xml:space="preserve">, the </w:t>
      </w:r>
      <w:r w:rsidRPr="009C5151">
        <w:rPr>
          <w:rStyle w:val="Strong"/>
        </w:rPr>
        <w:t>Delhi High Court</w:t>
      </w:r>
      <w:r w:rsidRPr="009C5151">
        <w:t xml:space="preserve"> examined whether Mitsui &amp; Co. Ltd., a Japanese corporation, had a Permanent Establishment (PE) in India under the India-Japan Double Taxation Avoidance Agreement (DTAA) and the consequent tax implications for the Assessment Years (AY) 1994-95 and 1995-96.</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Mitsui &amp; Co. Ltd., a company incorporated in Japan, engaged in various business activities, including trading and project execution.</w:t>
      </w:r>
    </w:p>
    <w:p w:rsidR="00A056B6" w:rsidRPr="009C5151" w:rsidRDefault="00A056B6" w:rsidP="00743A5F">
      <w:pPr>
        <w:pStyle w:val="NormalWeb"/>
        <w:tabs>
          <w:tab w:val="num" w:pos="720"/>
        </w:tabs>
        <w:spacing w:before="0" w:beforeAutospacing="0"/>
        <w:ind w:left="720" w:hanging="360"/>
      </w:pPr>
      <w:r w:rsidRPr="009C5151">
        <w:rPr>
          <w:rStyle w:val="Strong"/>
        </w:rPr>
        <w:t>Operations in India:</w:t>
      </w:r>
      <w:r w:rsidRPr="009C5151">
        <w:t xml:space="preserve"> The company had two projects in India during the relevant assessment years: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Anpara Thermal Power Project:</w:t>
      </w:r>
      <w:r w:rsidRPr="009C5151">
        <w:rPr>
          <w:rFonts w:ascii="Times New Roman" w:hAnsi="Times New Roman" w:cs="Times New Roman"/>
          <w:sz w:val="24"/>
          <w:szCs w:val="24"/>
        </w:rPr>
        <w:t xml:space="preserve"> Executed for the Uttar Pradesh State Electricity Board (UPSEB).</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New Delhi Cable Project:</w:t>
      </w:r>
      <w:r w:rsidRPr="009C5151">
        <w:rPr>
          <w:rFonts w:ascii="Times New Roman" w:hAnsi="Times New Roman" w:cs="Times New Roman"/>
          <w:sz w:val="24"/>
          <w:szCs w:val="24"/>
        </w:rPr>
        <w:t xml:space="preserve"> Executed for the Delhi Electric Supply Undertaking (DESU).</w:t>
      </w:r>
    </w:p>
    <w:p w:rsidR="00A056B6" w:rsidRPr="009C5151" w:rsidRDefault="00A056B6" w:rsidP="00743A5F">
      <w:pPr>
        <w:pStyle w:val="NormalWeb"/>
        <w:tabs>
          <w:tab w:val="num" w:pos="720"/>
        </w:tabs>
        <w:spacing w:before="0" w:beforeAutospacing="0"/>
        <w:ind w:left="720" w:hanging="360"/>
      </w:pPr>
      <w:r w:rsidRPr="009C5151">
        <w:rPr>
          <w:rStyle w:val="Strong"/>
        </w:rPr>
        <w:t>Project Offices:</w:t>
      </w:r>
      <w:r w:rsidRPr="009C5151">
        <w:t xml:space="preserve"> Mitsui established project offices in India to coordinate and execute these projects.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the project offices of Mitsui &amp; Co. Ltd. in India constituted a PE under Article 5 of the India-Japan DTAA.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If a PE existed, the extent of income attributable to such PE and its taxability in India.</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No PE in India:</w:t>
      </w:r>
      <w:r w:rsidRPr="009C5151">
        <w:t xml:space="preserve"> Mitsui contended that its project offices in India were engaged solely in preparatory and auxiliary activities, such as liaison and coordination, which do not constitute a PE under Article 5(4) of the DTAA.</w:t>
      </w:r>
    </w:p>
    <w:p w:rsidR="00A056B6" w:rsidRPr="009C5151" w:rsidRDefault="00A056B6" w:rsidP="00743A5F">
      <w:pPr>
        <w:pStyle w:val="NormalWeb"/>
        <w:tabs>
          <w:tab w:val="num" w:pos="720"/>
        </w:tabs>
        <w:spacing w:before="0" w:beforeAutospacing="0"/>
        <w:ind w:left="720" w:hanging="360"/>
      </w:pPr>
      <w:r w:rsidRPr="009C5151">
        <w:rPr>
          <w:rStyle w:val="Strong"/>
        </w:rPr>
        <w:t>Income Not Attributable to PE:</w:t>
      </w:r>
      <w:r w:rsidRPr="009C5151">
        <w:t xml:space="preserve"> The company argued that the core activities related to the projects, including procurement and fabrication, were conducted outside India, and therefore, the income from such activities should not be taxable in India.</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Existence of PE:</w:t>
      </w:r>
      <w:r w:rsidRPr="009C5151">
        <w:t xml:space="preserve"> The Revenue asserted that Mitsui's project offices in India were involved in the execution of contracts and not merely in auxiliary or preparatory activities, thereby constituting a PE under Article 5 of the DTAA.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The Revenue contended that a significant portion of the contract activities was performed in India, and thus, the corresponding income should be attributed to the Indian PE and taxed accordingly.</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Nature of Project Office Activities:</w:t>
      </w:r>
      <w:r w:rsidRPr="009C5151">
        <w:t xml:space="preserve"> The court examined the functions performed by Mitsui's project offices in India, assessing whether they were limited to auxiliary and preparatory activities or extended to core business operations.</w:t>
      </w:r>
    </w:p>
    <w:p w:rsidR="00A056B6" w:rsidRPr="009C5151" w:rsidRDefault="00A056B6" w:rsidP="00743A5F">
      <w:pPr>
        <w:pStyle w:val="NormalWeb"/>
        <w:tabs>
          <w:tab w:val="num" w:pos="720"/>
        </w:tabs>
        <w:spacing w:before="0" w:beforeAutospacing="0"/>
        <w:ind w:left="720" w:hanging="360"/>
      </w:pPr>
      <w:r w:rsidRPr="009C5151">
        <w:rPr>
          <w:rStyle w:val="Strong"/>
        </w:rPr>
        <w:t>Functional and Revenue Attribution:</w:t>
      </w:r>
      <w:r w:rsidRPr="009C5151">
        <w:t xml:space="preserve"> The court analyzed the extent of activities carried out in India and the revenue generated from such activities to determine the appropriate attribution of income to the Indian operations.</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Existence of PE:</w:t>
      </w:r>
      <w:r w:rsidRPr="009C5151">
        <w:t xml:space="preserve"> The Delhi High Court concluded that Mitsui's project offices in India were engaged in activities beyond mere auxiliary or preparatory work, including significant aspects of contract execution. Therefore, they constituted a PE under Article 5 of the India-Japan DTAA.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The court held that income attributable to the activities carried out by the PE in India was taxable in India. The court emphasized the need for a detailed assessment to accurately determine the portion of income related to the Indian operations.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underscores the importance of evaluating the nature and scope of activities conducted by a foreign enterprise's presence in India to determine the existence of a Permanent Establishment under the DTAA. It also highlights the necessity of accurately attributing income to such a PE based on the functions performed, assets used, and risks assumed in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Director of Income Tax v. Mitsui &amp; Co. Ltd., [2017] 395 ITR 277 (Delhi).</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35"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provides clarity on the interpretation of Permanent Establishment provisions under the India-Japan DTAA and the taxation of income attributable to such establishments in India.</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Daikin Industries Ltd. vs ACIT [2018] 94 taxmann.com 299 (Delhi- Trib.) – ITA NO 1623 of 2015 dated 28.05.2018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F705A44" wp14:editId="4443CE4D">
            <wp:extent cx="763905" cy="763905"/>
            <wp:effectExtent l="0" t="0" r="0" b="0"/>
            <wp:docPr id="386" name="Picture 38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2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Daikin Industries Ltd. v. Assistant Commissioner of Income Tax</w:t>
      </w:r>
      <w:r w:rsidRPr="009C5151">
        <w:t xml:space="preserve">, the </w:t>
      </w:r>
      <w:r w:rsidRPr="009C5151">
        <w:rPr>
          <w:rStyle w:val="Strong"/>
        </w:rPr>
        <w:t>Income Tax Appellate Tribunal (ITAT) Delhi Bench</w:t>
      </w:r>
      <w:r w:rsidRPr="009C5151">
        <w:t xml:space="preserve"> addressed the tax implications of Daikin Industries Ltd., a Japanese company, concerning its business operations and transactions in India for the Assessment Year (AY) 2006-07.</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Assessee:</w:t>
      </w:r>
      <w:r w:rsidRPr="009C5151">
        <w:t xml:space="preserve"> Daikin Industries Ltd., a company incorporated in Japan, engaged in the development, manufacture, assembly, and supply of air-conditioning and refrigeration equipment.</w:t>
      </w:r>
    </w:p>
    <w:p w:rsidR="00A056B6" w:rsidRPr="009C5151" w:rsidRDefault="00A056B6" w:rsidP="00743A5F">
      <w:pPr>
        <w:pStyle w:val="NormalWeb"/>
        <w:tabs>
          <w:tab w:val="num" w:pos="720"/>
        </w:tabs>
        <w:spacing w:before="0" w:beforeAutospacing="0"/>
        <w:ind w:left="720" w:hanging="360"/>
      </w:pPr>
      <w:r w:rsidRPr="009C5151">
        <w:rPr>
          <w:rStyle w:val="Strong"/>
        </w:rPr>
        <w:t>Indian Subsidiary:</w:t>
      </w:r>
      <w:r w:rsidRPr="009C5151">
        <w:t xml:space="preserve"> The company had a wholly-owned subsidiary in India, Daikin Air-conditioning India Pvt. Ltd. (DAIPL).</w:t>
      </w:r>
    </w:p>
    <w:p w:rsidR="00A056B6" w:rsidRPr="009C5151" w:rsidRDefault="00A056B6" w:rsidP="00743A5F">
      <w:pPr>
        <w:pStyle w:val="NormalWeb"/>
        <w:tabs>
          <w:tab w:val="num" w:pos="720"/>
        </w:tabs>
        <w:spacing w:before="0" w:beforeAutospacing="0"/>
        <w:ind w:left="720" w:hanging="360"/>
      </w:pPr>
      <w:r w:rsidRPr="009C5151">
        <w:rPr>
          <w:rStyle w:val="Strong"/>
        </w:rPr>
        <w:t>Business Operations:</w:t>
      </w:r>
      <w:r w:rsidRPr="009C5151">
        <w:t xml:space="preserve"> During the relevant assessment year, Daikin Industries sold air-conditioners and related products worth ₹55.15 crore to DAIPL. Additionally, it made direct sales worth ₹45.40 crore to third parties in India. For these direct sales, Daikin Industries paid a 10% commission to DAIPL for marketing support services.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DAIPL constituted a Dependent Agent Permanent Establishment (DAPE) of Daikin Industries in India under Article 5 of the India-Japan Double Taxation Avoidance Agreement (DTAA).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If a PE existed, the extent of income attributable to such PE and its taxability in India.</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No PE in India:</w:t>
      </w:r>
      <w:r w:rsidRPr="009C5151">
        <w:t xml:space="preserve"> Daikin Industries contended that DAIPL's role was limited to providing marketing support services as per the Commission Agreement dated December 22, 2005. The company maintained that all significant activities, including identifying customers, negotiating, and finalizing prices, were conducted directly from Japan.</w:t>
      </w:r>
    </w:p>
    <w:p w:rsidR="00A056B6" w:rsidRPr="009C5151" w:rsidRDefault="00A056B6" w:rsidP="00743A5F">
      <w:pPr>
        <w:pStyle w:val="NormalWeb"/>
        <w:tabs>
          <w:tab w:val="num" w:pos="720"/>
        </w:tabs>
        <w:spacing w:before="0" w:beforeAutospacing="0"/>
        <w:ind w:left="720" w:hanging="360"/>
      </w:pPr>
      <w:r w:rsidRPr="009C5151">
        <w:rPr>
          <w:rStyle w:val="Strong"/>
        </w:rPr>
        <w:t>Adequate Compensation:</w:t>
      </w:r>
      <w:r w:rsidRPr="009C5151">
        <w:t xml:space="preserve"> The assessee argued that the 10% commission paid to DAIPL for its services was at arm's length, and therefore, no further income should be attributed to a PE in India.</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Existence of PE:</w:t>
      </w:r>
      <w:r w:rsidRPr="009C5151">
        <w:t xml:space="preserve"> The Revenue asserted that DAIPL was involved in activities beyond mere marketing support, effectively participating in the sales process in India. Consequently, DAIPL constituted a Dependent Agent PE of Daikin Industries in India under Article 5 of the DTAA.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The Revenue contended that, in addition to the commission paid, further profits should be attributed to the PE in India, considering the substantial activities carried out by DAIPL.</w:t>
      </w:r>
    </w:p>
    <w:p w:rsidR="00A056B6" w:rsidRPr="009C5151" w:rsidRDefault="00A056B6" w:rsidP="00743A5F">
      <w:pPr>
        <w:pStyle w:val="NormalWeb"/>
        <w:spacing w:before="0" w:beforeAutospacing="0"/>
      </w:pPr>
      <w:r w:rsidRPr="009C5151">
        <w:rPr>
          <w:rStyle w:val="Strong"/>
        </w:rPr>
        <w:t>Tribunal's Analysis:</w:t>
      </w:r>
    </w:p>
    <w:p w:rsidR="00A056B6" w:rsidRPr="009C5151" w:rsidRDefault="00A056B6" w:rsidP="00743A5F">
      <w:pPr>
        <w:pStyle w:val="NormalWeb"/>
        <w:tabs>
          <w:tab w:val="num" w:pos="720"/>
        </w:tabs>
        <w:spacing w:before="0" w:beforeAutospacing="0"/>
        <w:ind w:left="720" w:hanging="360"/>
      </w:pPr>
      <w:r w:rsidRPr="009C5151">
        <w:rPr>
          <w:rStyle w:val="Strong"/>
        </w:rPr>
        <w:t>Nature of DAIPL's Activities:</w:t>
      </w:r>
      <w:r w:rsidRPr="009C5151">
        <w:t xml:space="preserve"> The ITAT examined the functions performed by DAIPL, noting that the assessee failed to provide credible evidence demonstrating direct involvement from Japan in making sales to Indian customers. The Tribunal observed that DAIPL was actively engaged in identifying customers, negotiating prices, and finalizing sales in India.</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Dependent Agent PE:</w:t>
      </w:r>
      <w:r w:rsidRPr="009C5151">
        <w:t xml:space="preserve"> Based on the extent of DAIPL's involvement in the sales process, the Tribunal concluded that DAIPL constituted a Dependent Agent PE of Daikin Industries in India under Article 5 of the India-Japan DTAA.</w:t>
      </w:r>
    </w:p>
    <w:p w:rsidR="00A056B6" w:rsidRPr="009C5151" w:rsidRDefault="00A056B6" w:rsidP="00743A5F">
      <w:pPr>
        <w:pStyle w:val="NormalWeb"/>
        <w:tabs>
          <w:tab w:val="num" w:pos="720"/>
        </w:tabs>
        <w:spacing w:before="0" w:beforeAutospacing="0"/>
        <w:ind w:left="720" w:hanging="360"/>
      </w:pPr>
      <w:r w:rsidRPr="009C5151">
        <w:rPr>
          <w:rStyle w:val="Strong"/>
        </w:rPr>
        <w:t>Attribution of Profits:</w:t>
      </w:r>
      <w:r w:rsidRPr="009C5151">
        <w:t xml:space="preserve"> The Tribunal determined that merely paying a 10% commission to DAIPL did not adequately reflect the profits attributable to the PE. Considering the functions performed, assets used, and risks assumed by the PE, the ITAT estimated the net profit rate at 10% of sales. Further, it attributed 30% of this net profit to the marketing activities carried out by the PE in India.</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Existence of PE:</w:t>
      </w:r>
      <w:r w:rsidRPr="009C5151">
        <w:t xml:space="preserve"> The ITAT held that DAIPL's extensive involvement in the sales process in India went beyond auxiliary activities, thereby constituting a Dependent Agent PE of Daikin Industries in India.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The Tribunal concluded that, in addition to the 10% commission, further profits should be attributed to the PE. It estimated a net profit rate of 10% on sales, attributing 30% of this profit to the PE's marketing activities in India.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case underscores the importance of accurately delineating the functions performed by subsidiaries in India to determine the existence of a Permanent Establishment under international tax treaties. It also highlights that compensation at arm's length for services rendered does not preclude the attribution of additional profits to a PE if the subsidiary's activities contribute significantly to the enterprise's business in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Daikin Industries Ltd. v. ACIT, [2018] 94 taxmann.com 299 (Delhi - Trib.), ITA No. 1623/Del/2015, dated May 28,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Taxmann.</w:t>
      </w:r>
    </w:p>
    <w:p w:rsidR="00A056B6" w:rsidRPr="009C5151" w:rsidRDefault="00A056B6" w:rsidP="00743A5F">
      <w:pPr>
        <w:pStyle w:val="NormalWeb"/>
        <w:spacing w:before="0" w:beforeAutospacing="0"/>
      </w:pPr>
      <w:r w:rsidRPr="009C5151">
        <w:t>This decision provides clarity on the interpretation of Dependent Agent Permanent Establishments and the attribution of profits under the India-Japan DTAA, emphasizing the need for comprehensive documentation and evidence to support the nature of inter-company transactions.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Nokia Networks OY v JCIT - [2018] 94 taxmann.com 111 (Delhi - Trib.) (SB) - IT APPEAL NOS. 1963 &amp; 1964 (DELHI) of 2001 dated June 5, 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784E3384" wp14:editId="6B1B3D18">
            <wp:extent cx="763905" cy="763905"/>
            <wp:effectExtent l="0" t="0" r="0" b="0"/>
            <wp:docPr id="385" name="Picture 38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2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Nokia Networks OY v. Joint Commissioner of Income Tax</w:t>
      </w:r>
      <w:r w:rsidRPr="009C5151">
        <w:t xml:space="preserve">, the </w:t>
      </w:r>
      <w:r w:rsidRPr="009C5151">
        <w:rPr>
          <w:rStyle w:val="Strong"/>
        </w:rPr>
        <w:t>Income Tax Appellate Tribunal (ITAT) Delhi Special Bench</w:t>
      </w:r>
      <w:r w:rsidRPr="009C5151">
        <w:t xml:space="preserve"> addressed several critical issues concerning the taxation of Nokia Networks OY, a Finnish company, in India for the Assessment Years (AY) 1997-98 and 1998-99.</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Nokia Networks OY, a company incorporated in Finland, engaged in manufacturing and trading telecommunication systems, equipment, hardware, and software.</w:t>
      </w:r>
    </w:p>
    <w:p w:rsidR="00A056B6" w:rsidRPr="009C5151" w:rsidRDefault="00A056B6" w:rsidP="00743A5F">
      <w:pPr>
        <w:pStyle w:val="NormalWeb"/>
        <w:tabs>
          <w:tab w:val="num" w:pos="720"/>
        </w:tabs>
        <w:spacing w:before="0" w:beforeAutospacing="0"/>
        <w:ind w:left="720" w:hanging="360"/>
      </w:pPr>
      <w:r w:rsidRPr="009C5151">
        <w:rPr>
          <w:rStyle w:val="Strong"/>
        </w:rPr>
        <w:t>Indian Operations:</w:t>
      </w:r>
      <w:r w:rsidRPr="009C5151">
        <w:t xml:space="preserve"> Nokia established a Liaison Office (LO) in India in 1994 and incorporated a wholly-owned subsidiary, Nokia India Pvt. Ltd. (NIPL), in 1995. The LO was involved in advertising activities, while NIPL handled installation and after-sales services for equipment supplied by Nokia.</w:t>
      </w:r>
    </w:p>
    <w:p w:rsidR="00A056B6" w:rsidRPr="009C5151" w:rsidRDefault="00A056B6" w:rsidP="00743A5F">
      <w:pPr>
        <w:pStyle w:val="NormalWeb"/>
        <w:tabs>
          <w:tab w:val="num" w:pos="720"/>
        </w:tabs>
        <w:spacing w:before="0" w:beforeAutospacing="0"/>
        <w:ind w:left="720" w:hanging="360"/>
      </w:pPr>
      <w:r w:rsidRPr="009C5151">
        <w:rPr>
          <w:rStyle w:val="Strong"/>
        </w:rPr>
        <w:t>Transactions:</w:t>
      </w:r>
      <w:r w:rsidRPr="009C5151">
        <w:t xml:space="preserve"> Nokia supplied GSM equipment manufactured in Finland to Indian telecom operators on a principal-to-principal basis. The installation and commissioning of this equipment were carried out by NIPL under separate agreements with the Indian operators.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Nokia had a PE in India under Article 5 of the India-Finland Double Taxation Avoidance Agreement (DTAA) through its LO and/or NIPL.</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If a PE existed, the extent of income attributable to such PE and its taxability in India.</w:t>
      </w:r>
    </w:p>
    <w:p w:rsidR="00A056B6" w:rsidRPr="009C5151" w:rsidRDefault="00A056B6" w:rsidP="00743A5F">
      <w:pPr>
        <w:pStyle w:val="NormalWeb"/>
        <w:tabs>
          <w:tab w:val="num" w:pos="720"/>
        </w:tabs>
        <w:spacing w:before="0" w:beforeAutospacing="0"/>
        <w:ind w:left="720" w:hanging="360"/>
      </w:pPr>
      <w:r w:rsidRPr="009C5151">
        <w:rPr>
          <w:rStyle w:val="Strong"/>
        </w:rPr>
        <w:t>Taxability of Software Supply:</w:t>
      </w:r>
      <w:r w:rsidRPr="009C5151">
        <w:t xml:space="preserve"> Whether the income from the supply of software was taxable as "royalty" under Section 9(1)(vi) of the Income Tax Act, 1961, and Article 13 of the DTAA.</w:t>
      </w:r>
    </w:p>
    <w:p w:rsidR="00A056B6" w:rsidRPr="009C5151" w:rsidRDefault="00A056B6" w:rsidP="00743A5F">
      <w:pPr>
        <w:pStyle w:val="NormalWeb"/>
        <w:tabs>
          <w:tab w:val="num" w:pos="720"/>
        </w:tabs>
        <w:spacing w:before="0" w:beforeAutospacing="0"/>
        <w:ind w:left="720" w:hanging="360"/>
      </w:pPr>
      <w:r w:rsidRPr="009C5151">
        <w:rPr>
          <w:rStyle w:val="Strong"/>
        </w:rPr>
        <w:t>Notional Interest on Delayed Payments:</w:t>
      </w:r>
      <w:r w:rsidRPr="009C5151">
        <w:t xml:space="preserve"> Whether notional interest on delayed consideration for the supply of equipment and software was taxable in the hands of Nokia.</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No PE in India:</w:t>
      </w:r>
      <w:r w:rsidRPr="009C5151">
        <w:t xml:space="preserve"> Nokia contended that its LO was engaged solely in preparatory and auxiliary activities, which do not constitute a PE under Article 5(4) of the DTAA. It further argued that NIPL operated independently and did not act as an agent of Nokia, thereby not creating a PE.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Income Not Attributable to PE:</w:t>
      </w:r>
      <w:r w:rsidRPr="009C5151">
        <w:t xml:space="preserve"> The company maintained that the offshore supply of equipment was concluded outside India, with the title and risk transferred abroad. Therefore, no income from these supplies was attributable to any PE in India.</w:t>
      </w:r>
    </w:p>
    <w:p w:rsidR="00A056B6" w:rsidRPr="009C5151" w:rsidRDefault="00A056B6" w:rsidP="00743A5F">
      <w:pPr>
        <w:pStyle w:val="NormalWeb"/>
        <w:tabs>
          <w:tab w:val="num" w:pos="720"/>
        </w:tabs>
        <w:spacing w:before="0" w:beforeAutospacing="0"/>
        <w:ind w:left="720" w:hanging="360"/>
      </w:pPr>
      <w:r w:rsidRPr="009C5151">
        <w:rPr>
          <w:rStyle w:val="Strong"/>
        </w:rPr>
        <w:t>Software Supply Not Royalty:</w:t>
      </w:r>
      <w:r w:rsidRPr="009C5151">
        <w:t xml:space="preserve"> Nokia argued that the software supplied was an integral part of the hardware, and the payments for such software did not constitute "royalty" but were part of the sale of goods.</w:t>
      </w:r>
    </w:p>
    <w:p w:rsidR="00A056B6" w:rsidRPr="009C5151" w:rsidRDefault="00A056B6" w:rsidP="00743A5F">
      <w:pPr>
        <w:pStyle w:val="NormalWeb"/>
        <w:tabs>
          <w:tab w:val="num" w:pos="720"/>
        </w:tabs>
        <w:spacing w:before="0" w:beforeAutospacing="0"/>
        <w:ind w:left="720" w:hanging="360"/>
      </w:pPr>
      <w:r w:rsidRPr="009C5151">
        <w:rPr>
          <w:rStyle w:val="Strong"/>
        </w:rPr>
        <w:t>No Notional Interest Income:</w:t>
      </w:r>
      <w:r w:rsidRPr="009C5151">
        <w:t xml:space="preserve"> The assessee contended that there was no agreement for interest on delayed payments, and thus, no notional interest income could be imputed.</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Existence of PE:</w:t>
      </w:r>
      <w:r w:rsidRPr="009C5151">
        <w:t xml:space="preserve"> The Revenue asserted that both the LO and NIPL constituted a PE for Nokia in India. It argued that NIPL's activities were not independent and were devoted wholly to Nokia's business, thereby creating a Dependent Agent PE.</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The Revenue contended that a portion of the profits from the offshore supply of equipment should be attributed to the PE in India, considering the functions performed by NIPL.</w:t>
      </w:r>
    </w:p>
    <w:p w:rsidR="00A056B6" w:rsidRPr="009C5151" w:rsidRDefault="00A056B6" w:rsidP="00743A5F">
      <w:pPr>
        <w:pStyle w:val="NormalWeb"/>
        <w:tabs>
          <w:tab w:val="num" w:pos="720"/>
        </w:tabs>
        <w:spacing w:before="0" w:beforeAutospacing="0"/>
        <w:ind w:left="720" w:hanging="360"/>
      </w:pPr>
      <w:r w:rsidRPr="009C5151">
        <w:rPr>
          <w:rStyle w:val="Strong"/>
        </w:rPr>
        <w:t>Software Supply as Royalty:</w:t>
      </w:r>
      <w:r w:rsidRPr="009C5151">
        <w:t xml:space="preserve"> It was argued that the payments for software constituted "royalty" since the software was licensed for use in India.</w:t>
      </w:r>
    </w:p>
    <w:p w:rsidR="00A056B6" w:rsidRPr="009C5151" w:rsidRDefault="00A056B6" w:rsidP="00743A5F">
      <w:pPr>
        <w:pStyle w:val="NormalWeb"/>
        <w:tabs>
          <w:tab w:val="num" w:pos="720"/>
        </w:tabs>
        <w:spacing w:before="0" w:beforeAutospacing="0"/>
        <w:ind w:left="720" w:hanging="360"/>
      </w:pPr>
      <w:r w:rsidRPr="009C5151">
        <w:rPr>
          <w:rStyle w:val="Strong"/>
        </w:rPr>
        <w:t>Notional Interest Income:</w:t>
      </w:r>
      <w:r w:rsidRPr="009C5151">
        <w:t xml:space="preserve"> The Revenue imputed notional interest on delayed payments for the supply of equipment and software, treating it as taxable income.</w:t>
      </w:r>
    </w:p>
    <w:p w:rsidR="00A056B6" w:rsidRPr="009C5151" w:rsidRDefault="00A056B6" w:rsidP="00743A5F">
      <w:pPr>
        <w:pStyle w:val="NormalWeb"/>
        <w:spacing w:before="0" w:beforeAutospacing="0"/>
      </w:pPr>
      <w:r w:rsidRPr="009C5151">
        <w:rPr>
          <w:rStyle w:val="Strong"/>
        </w:rPr>
        <w:t>Tribunal's Analysis and Ruling:</w:t>
      </w:r>
    </w:p>
    <w:p w:rsidR="00A056B6" w:rsidRPr="009C5151" w:rsidRDefault="00A056B6" w:rsidP="00743A5F">
      <w:pPr>
        <w:pStyle w:val="NormalWeb"/>
        <w:tabs>
          <w:tab w:val="num" w:pos="720"/>
        </w:tabs>
        <w:spacing w:before="0" w:beforeAutospacing="0"/>
        <w:ind w:left="720" w:hanging="360"/>
      </w:pPr>
      <w:r w:rsidRPr="009C5151">
        <w:rPr>
          <w:rStyle w:val="Strong"/>
        </w:rPr>
        <w:t>Permanent Establishment (PE):</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Liaison Office (LO):</w:t>
      </w:r>
      <w:r w:rsidRPr="009C5151">
        <w:t xml:space="preserve"> The Tribunal noted that the Delhi High Court had previously held that the LO did not constitute a PE in India, as its activities were limited to preparatory and auxiliary functions.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Nokia India Pvt. Ltd. (NIPL):</w:t>
      </w:r>
      <w:r w:rsidRPr="009C5151">
        <w:t xml:space="preserve"> The majority of the Special Bench held that NIPL did not constitute a Fixed Place PE or a Dependent Agent PE for Nokia in India. It was observed that NIPL operated independently, and there was no evidence to suggest that Nokia had a fixed place of business at its disposal in India.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Since it was determined that Nokia did not have a PE in India, no income from the offshore supply of equipment could be attributed to India. The sales were concluded outside India, with the title and risk transferred abroad, and therefore, the profits from such sales were not taxable in India.</w:t>
      </w:r>
    </w:p>
    <w:p w:rsidR="00A056B6" w:rsidRPr="009C5151" w:rsidRDefault="00A056B6" w:rsidP="00743A5F">
      <w:pPr>
        <w:pStyle w:val="NormalWeb"/>
        <w:tabs>
          <w:tab w:val="num" w:pos="720"/>
        </w:tabs>
        <w:spacing w:before="0" w:beforeAutospacing="0"/>
        <w:ind w:left="720" w:hanging="360"/>
      </w:pPr>
      <w:r w:rsidRPr="009C5151">
        <w:rPr>
          <w:rStyle w:val="Strong"/>
        </w:rPr>
        <w:t>Taxability of Software Supply: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The Tribunal held that the payments for the supply of software embedded in the hardware did not constitute "royalty." It was concluded that the software was an integral part of the equipment, and the payments were for the sale of goods, not for the use of any copyright.</w:t>
      </w:r>
    </w:p>
    <w:p w:rsidR="00A056B6" w:rsidRPr="009C5151" w:rsidRDefault="00A056B6" w:rsidP="00743A5F">
      <w:pPr>
        <w:pStyle w:val="NormalWeb"/>
        <w:tabs>
          <w:tab w:val="num" w:pos="720"/>
        </w:tabs>
        <w:spacing w:before="0" w:beforeAutospacing="0"/>
        <w:ind w:left="720" w:hanging="360"/>
      </w:pPr>
      <w:r w:rsidRPr="009C5151">
        <w:rPr>
          <w:rStyle w:val="Strong"/>
        </w:rPr>
        <w:t>Notional Interest on Delayed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Tribunal rejected the Revenue's contention regarding the taxation of notional interest on delayed payments. It was held that in the absence of any agreement stipulating interest on delayed payments, no notional income could be imputed.</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The ITAT Special Bench, by majority, concluded that Nokia Networks OY did not have a Permanent Establishment in India through its Liaison Office or its subsidiary, Nokia India Pvt. Ltd. Consequently, the income from offshore supply of equipment and embedded software was not taxable in India. Additionally, payments for software were not considered "royalty," and no notional interest on delayed payments was taxable.</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Nokia Networks OY v. JCIT, [2018] 94 taxmann.com 111 (Delhi - Trib.) (SB), ITA Nos. 1963 &amp; 1964/Del/2001, dated June 5,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36" w:tgtFrame="_new" w:history="1">
        <w:r w:rsidRPr="009C5151">
          <w:rPr>
            <w:rStyle w:val="Hyperlink"/>
          </w:rPr>
          <w:t>ITAT Online</w:t>
        </w:r>
      </w:hyperlink>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Saudi Arabian Oil Company, In re vs. [2018] 94 taxmann.com 194 (AAR – NewDelhi) / [2018]405 ITR 83 (AAR – NewDelhi) / [2018] 303 CTR 225 (AAR – NewDelhi) – AAR NO. 25 OF 2016 dated 31.05.2018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F03C286" wp14:editId="1E4A4B73">
            <wp:extent cx="763905" cy="763905"/>
            <wp:effectExtent l="0" t="0" r="0" b="0"/>
            <wp:docPr id="384" name="Picture 38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2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Saudi Arabian Oil Company, In re</w:t>
      </w:r>
      <w:r w:rsidRPr="009C5151">
        <w:t xml:space="preserve">, the </w:t>
      </w:r>
      <w:r w:rsidRPr="009C5151">
        <w:rPr>
          <w:rStyle w:val="Strong"/>
        </w:rPr>
        <w:t>Authority for Advance Rulings (AAR) New Delhi</w:t>
      </w:r>
      <w:r w:rsidRPr="009C5151">
        <w:t xml:space="preserve"> examined whether the activities of the Saudi Arabian Oil Company (the Applicant) in India, conducted through its wholly-owned subsidiary, Aramco India, constituted a Permanent Establishment (PE) under Article 5 of the India-Saudi Arabia Double Taxation Avoidance Agreement (DTAA).</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Applicant:</w:t>
      </w:r>
      <w:r w:rsidRPr="009C5151">
        <w:t xml:space="preserve"> Saudi Arabian Oil Company, a state-owned enterprise of Saudi Arabia, engaged in the production and sale of crude oil globally.</w:t>
      </w:r>
    </w:p>
    <w:p w:rsidR="00A056B6" w:rsidRPr="009C5151" w:rsidRDefault="00A056B6" w:rsidP="00743A5F">
      <w:pPr>
        <w:pStyle w:val="NormalWeb"/>
        <w:tabs>
          <w:tab w:val="num" w:pos="720"/>
        </w:tabs>
        <w:spacing w:before="0" w:beforeAutospacing="0"/>
        <w:ind w:left="720" w:hanging="360"/>
      </w:pPr>
      <w:r w:rsidRPr="009C5151">
        <w:rPr>
          <w:rStyle w:val="Strong"/>
        </w:rPr>
        <w:t>Operations in India:</w:t>
      </w:r>
      <w:r w:rsidRPr="009C5151">
        <w:t xml:space="preserve"> The Applicant sold crude oil to Indian refineries on a Free on Board (FOB) basis, with title and risk transferring outside India. To support its operations, the Applicant established a wholly-owned subsidiary in India, Aramco India, primarily to provide procurement support services.</w:t>
      </w:r>
    </w:p>
    <w:p w:rsidR="00A056B6" w:rsidRPr="009C5151" w:rsidRDefault="00A056B6" w:rsidP="00743A5F">
      <w:pPr>
        <w:pStyle w:val="NormalWeb"/>
        <w:tabs>
          <w:tab w:val="num" w:pos="720"/>
        </w:tabs>
        <w:spacing w:before="0" w:beforeAutospacing="0"/>
        <w:ind w:left="720" w:hanging="360"/>
      </w:pPr>
      <w:r w:rsidRPr="009C5151">
        <w:rPr>
          <w:rStyle w:val="Strong"/>
        </w:rPr>
        <w:t>Proposed Activities:</w:t>
      </w:r>
      <w:r w:rsidRPr="009C5151">
        <w:t xml:space="preserve"> Aramco India was proposed to undertake additional business support and marketing support activities, including market research, creating awareness about the Applicant's products, and assisting in strategic sourcing. These activities were to be compensated on an arm's length basis as per Indian transfer pricing regulations.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Fixed Place PE:</w:t>
      </w:r>
      <w:r w:rsidRPr="009C5151">
        <w:t xml:space="preserve"> Whether Aramco India's premises and activities constituted a fixed place PE of the Applicant in India under Article 5(1) of the India-Saudi Arabia DTAA.</w:t>
      </w:r>
    </w:p>
    <w:p w:rsidR="00A056B6" w:rsidRPr="009C5151" w:rsidRDefault="00A056B6" w:rsidP="00743A5F">
      <w:pPr>
        <w:pStyle w:val="NormalWeb"/>
        <w:tabs>
          <w:tab w:val="num" w:pos="720"/>
        </w:tabs>
        <w:spacing w:before="0" w:beforeAutospacing="0"/>
        <w:ind w:left="720" w:hanging="360"/>
      </w:pPr>
      <w:r w:rsidRPr="009C5151">
        <w:rPr>
          <w:rStyle w:val="Strong"/>
        </w:rPr>
        <w:t>Existence of Service PE:</w:t>
      </w:r>
      <w:r w:rsidRPr="009C5151">
        <w:t xml:space="preserve"> Whether the services rendered by Aramco India led to the formation of a Service PE under Article 5(2)(k) of the DTAA.</w:t>
      </w:r>
    </w:p>
    <w:p w:rsidR="00A056B6" w:rsidRPr="009C5151" w:rsidRDefault="00A056B6" w:rsidP="00743A5F">
      <w:pPr>
        <w:pStyle w:val="NormalWeb"/>
        <w:tabs>
          <w:tab w:val="num" w:pos="720"/>
        </w:tabs>
        <w:spacing w:before="0" w:beforeAutospacing="0"/>
        <w:ind w:left="720" w:hanging="360"/>
      </w:pPr>
      <w:r w:rsidRPr="009C5151">
        <w:rPr>
          <w:rStyle w:val="Strong"/>
        </w:rPr>
        <w:t>Existence of Agency PE:</w:t>
      </w:r>
      <w:r w:rsidRPr="009C5151">
        <w:t xml:space="preserve"> Whether Aramco India acted as an agent of the Applicant, thereby constituting an Agency PE under Article 5(4) of the DTAA.</w:t>
      </w:r>
    </w:p>
    <w:p w:rsidR="00A056B6" w:rsidRPr="009C5151" w:rsidRDefault="00A056B6" w:rsidP="00743A5F">
      <w:pPr>
        <w:pStyle w:val="NormalWeb"/>
        <w:spacing w:before="0" w:beforeAutospacing="0"/>
      </w:pPr>
      <w:r w:rsidRPr="009C5151">
        <w:rPr>
          <w:rStyle w:val="Strong"/>
        </w:rPr>
        <w:t>Applicant's Arguments:</w:t>
      </w:r>
    </w:p>
    <w:p w:rsidR="00A056B6" w:rsidRPr="009C5151" w:rsidRDefault="00A056B6" w:rsidP="00743A5F">
      <w:pPr>
        <w:pStyle w:val="NormalWeb"/>
        <w:tabs>
          <w:tab w:val="num" w:pos="720"/>
        </w:tabs>
        <w:spacing w:before="0" w:beforeAutospacing="0"/>
        <w:ind w:left="720" w:hanging="360"/>
      </w:pPr>
      <w:r w:rsidRPr="009C5151">
        <w:rPr>
          <w:rStyle w:val="Strong"/>
        </w:rPr>
        <w:t>No Fixed Place PE:</w:t>
      </w:r>
      <w:r w:rsidRPr="009C5151">
        <w:t xml:space="preserve"> The Applicant contended that its main business activities were conducted entirely outside India, and Aramco India's role was limited to support services. The premises of Aramco India were not at the disposal of the Applicant, and thus did not constitute a fixed place PE.</w:t>
      </w:r>
    </w:p>
    <w:p w:rsidR="00A056B6" w:rsidRPr="009C5151" w:rsidRDefault="00A056B6" w:rsidP="00743A5F">
      <w:pPr>
        <w:pStyle w:val="NormalWeb"/>
        <w:tabs>
          <w:tab w:val="num" w:pos="720"/>
        </w:tabs>
        <w:spacing w:before="0" w:beforeAutospacing="0"/>
        <w:ind w:left="720" w:hanging="360"/>
      </w:pPr>
      <w:r w:rsidRPr="009C5151">
        <w:rPr>
          <w:rStyle w:val="Strong"/>
        </w:rPr>
        <w:t>No Service PE:</w:t>
      </w:r>
      <w:r w:rsidRPr="009C5151">
        <w:t xml:space="preserve"> The Applicant argued that it did not render any services to customers in India through its own employees or personnel. Aramco India's services were provided to the Applicant, not to its customers, negating the existence of a Service PE.</w:t>
      </w:r>
    </w:p>
    <w:p w:rsidR="00A056B6" w:rsidRPr="009C5151" w:rsidRDefault="00A056B6" w:rsidP="00743A5F">
      <w:pPr>
        <w:pStyle w:val="NormalWeb"/>
        <w:tabs>
          <w:tab w:val="num" w:pos="720"/>
        </w:tabs>
        <w:spacing w:before="0" w:beforeAutospacing="0"/>
        <w:ind w:left="720" w:hanging="360"/>
      </w:pPr>
      <w:r w:rsidRPr="009C5151">
        <w:rPr>
          <w:rStyle w:val="Strong"/>
        </w:rPr>
        <w:t>No Agency PE:</w:t>
      </w:r>
      <w:r w:rsidRPr="009C5151">
        <w:t xml:space="preserve"> The Applicant maintained that Aramco India did not have the authority to conclude contracts on its behalf. All key decisions, including contract negotiations and conclusions, were made by the Applicant's personnel outside India, precluding the formation of an Agency PE.</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Fixed Place PE:</w:t>
      </w:r>
      <w:r w:rsidRPr="009C5151">
        <w:t xml:space="preserve"> The Revenue asserted that the Applicant conducted its business through Aramco India's premises, which were at the Applicant's disposal, thereby constituting a fixed place PE.</w:t>
      </w:r>
    </w:p>
    <w:p w:rsidR="00A056B6" w:rsidRPr="009C5151" w:rsidRDefault="00A056B6" w:rsidP="00743A5F">
      <w:pPr>
        <w:pStyle w:val="NormalWeb"/>
        <w:tabs>
          <w:tab w:val="num" w:pos="720"/>
        </w:tabs>
        <w:spacing w:before="0" w:beforeAutospacing="0"/>
        <w:ind w:left="720" w:hanging="360"/>
      </w:pPr>
      <w:r w:rsidRPr="009C5151">
        <w:rPr>
          <w:rStyle w:val="Strong"/>
        </w:rPr>
        <w:t>Service PE:</w:t>
      </w:r>
      <w:r w:rsidRPr="009C5151">
        <w:t xml:space="preserve"> The Revenue contended that the services provided by Aramco India were integral to the Applicant's business, leading to the formation of a Service PE.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Agency PE:</w:t>
      </w:r>
      <w:r w:rsidRPr="009C5151">
        <w:t xml:space="preserve"> The Revenue argued that Aramco India acted as an agent of the Applicant by engaging in activities that facilitated the Applicant's business in India, thus constituting an Agency PE.</w:t>
      </w:r>
    </w:p>
    <w:p w:rsidR="00A056B6" w:rsidRPr="009C5151" w:rsidRDefault="00A056B6" w:rsidP="00743A5F">
      <w:pPr>
        <w:pStyle w:val="NormalWeb"/>
        <w:spacing w:before="0" w:beforeAutospacing="0"/>
      </w:pPr>
      <w:r w:rsidRPr="009C5151">
        <w:rPr>
          <w:rStyle w:val="Strong"/>
        </w:rPr>
        <w:t>AAR's Analysis and Ruling:</w:t>
      </w:r>
    </w:p>
    <w:p w:rsidR="00A056B6" w:rsidRPr="009C5151" w:rsidRDefault="00A056B6" w:rsidP="00743A5F">
      <w:pPr>
        <w:pStyle w:val="NormalWeb"/>
        <w:tabs>
          <w:tab w:val="num" w:pos="720"/>
        </w:tabs>
        <w:spacing w:before="0" w:beforeAutospacing="0"/>
        <w:ind w:left="720" w:hanging="360"/>
      </w:pPr>
      <w:r w:rsidRPr="009C5151">
        <w:rPr>
          <w:rStyle w:val="Strong"/>
        </w:rPr>
        <w:t>Fixed Place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AAR observed that the Applicant's main business activities were conducted from Saudi Arabia, and Aramco India's role was limited to support services. The premises of Aramco India were not at the disposal of the Applicant. Therefore, Aramco India did not constitute a fixed place PE of the Applicant in India.</w:t>
      </w:r>
    </w:p>
    <w:p w:rsidR="00A056B6" w:rsidRPr="009C5151" w:rsidRDefault="00A056B6" w:rsidP="00743A5F">
      <w:pPr>
        <w:pStyle w:val="NormalWeb"/>
        <w:tabs>
          <w:tab w:val="num" w:pos="720"/>
        </w:tabs>
        <w:spacing w:before="0" w:beforeAutospacing="0"/>
        <w:ind w:left="720" w:hanging="360"/>
      </w:pPr>
      <w:r w:rsidRPr="009C5151">
        <w:rPr>
          <w:rStyle w:val="Strong"/>
        </w:rPr>
        <w:t>Service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AAR noted that no services were rendered by the Applicant to customers in India through its employees or other personnel. Aramco India's services were provided to the Applicant itself, not to its customers. Consequently, there was no Service PE in India.</w:t>
      </w:r>
    </w:p>
    <w:p w:rsidR="00A056B6" w:rsidRPr="009C5151" w:rsidRDefault="00A056B6" w:rsidP="00743A5F">
      <w:pPr>
        <w:pStyle w:val="NormalWeb"/>
        <w:tabs>
          <w:tab w:val="num" w:pos="720"/>
        </w:tabs>
        <w:spacing w:before="0" w:beforeAutospacing="0"/>
        <w:ind w:left="720" w:hanging="360"/>
      </w:pPr>
      <w:r w:rsidRPr="009C5151">
        <w:rPr>
          <w:rStyle w:val="Strong"/>
        </w:rPr>
        <w:t>Agency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AAR found that Aramco India did not have the authority to conclude contracts on behalf of the Applicant. All significant decisions were made by the Applicant's personnel outside India. Therefore, Aramco India did not constitute an Agency PE of the Applicant in India.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The AAR concluded that the Applicant did not have a Permanent Establishment in India under any of the definitions provided in Article 5 of the India-Saudi Arabia DTAA. Consequently, the business profits earned by the Applicant from its operations in India were not taxable in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Saudi Arabian Oil Company, In re, [2018] 94 taxmann.com 194 (AAR - New Delhi); [2018] 405 ITR 83 (AAR - New Delhi); [2018] 303 CTR 225 (AAR - New Delhi), AAR No. 25 of 2016, dated May 31,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p>
    <w:p w:rsidR="00A056B6" w:rsidRPr="009C5151" w:rsidRDefault="00A056B6" w:rsidP="00743A5F">
      <w:pPr>
        <w:spacing w:afterAutospacing="1" w:line="240" w:lineRule="auto"/>
        <w:ind w:left="720"/>
        <w:rPr>
          <w:rFonts w:ascii="Times New Roman" w:hAnsi="Times New Roman" w:cs="Times New Roman"/>
          <w:sz w:val="24"/>
          <w:szCs w:val="24"/>
        </w:rPr>
      </w:pPr>
      <w:hyperlink r:id="rId37" w:tgtFrame="_blank" w:history="1">
        <w:r w:rsidRPr="009C5151">
          <w:rPr>
            <w:rStyle w:val="truncate"/>
            <w:rFonts w:ascii="Times New Roman" w:hAnsi="Times New Roman" w:cs="Times New Roman"/>
            <w:color w:val="0000FF"/>
            <w:sz w:val="24"/>
            <w:szCs w:val="24"/>
            <w:u w:val="single"/>
          </w:rPr>
          <w:t>itatonline.org</w:t>
        </w:r>
      </w:hyperlink>
    </w:p>
    <w:p w:rsidR="00A056B6" w:rsidRPr="009C5151" w:rsidRDefault="00A056B6" w:rsidP="00743A5F">
      <w:pPr>
        <w:pStyle w:val="NormalWeb"/>
        <w:spacing w:before="0" w:beforeAutospacing="0"/>
      </w:pPr>
      <w:r w:rsidRPr="009C5151">
        <w:t>This ruling provides clarity on the interpretation of Permanent Establishment provisions under the India-Saudi Arabia DTAA, particularly concerning the activities of subsidiaries providing support services.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lastRenderedPageBreak/>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Saudi Arabian Oil Company, In re vs. [2018] 94 taxmann.com 194 (AAR – NewDelhi) / [2018]405 ITR 83 (AAR – NewDelhi) / [2018] 303 CTR 225 (AAR – NewDelhi) – AAR NO. 25 OF 2016 dated 31.05.2018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33D3A2B" wp14:editId="7EED50B8">
            <wp:extent cx="763905" cy="763905"/>
            <wp:effectExtent l="0" t="0" r="0" b="0"/>
            <wp:docPr id="383" name="Picture 38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3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The case of </w:t>
      </w:r>
      <w:r w:rsidRPr="009C5151">
        <w:rPr>
          <w:rStyle w:val="Strong"/>
        </w:rPr>
        <w:t>Saudi Arabian Oil Company, In re</w:t>
      </w:r>
      <w:r w:rsidRPr="009C5151">
        <w:t xml:space="preserve">, adjudicated by the </w:t>
      </w:r>
      <w:r w:rsidRPr="009C5151">
        <w:rPr>
          <w:rStyle w:val="Strong"/>
        </w:rPr>
        <w:t>Authority for Advance Rulings (AAR), New Delhi</w:t>
      </w:r>
      <w:r w:rsidRPr="009C5151">
        <w:t>, analyzed the tax implications of the Saudi Arabian Oil Company (hereinafter referred to as "Saudi Aramco") in India under the India-Saudi Arabia Double Taxation Avoidance Agreement (DTAA). The focus was on whether Saudi Aramco's activities in India, executed through its subsidiary, constituted a Permanent Establishment (PE) under Article 5 of the DTAA.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899"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89" w:name="_Toc187624210"/>
      <w:bookmarkStart w:id="1290" w:name="_Toc187630930"/>
      <w:bookmarkStart w:id="1291" w:name="_Toc187661109"/>
      <w:bookmarkStart w:id="1292" w:name="_Toc187662188"/>
      <w:r w:rsidRPr="009C5151">
        <w:rPr>
          <w:rStyle w:val="Strong"/>
          <w:b/>
          <w:bCs/>
          <w:sz w:val="24"/>
          <w:szCs w:val="24"/>
        </w:rPr>
        <w:t>Facts:</w:t>
      </w:r>
      <w:bookmarkEnd w:id="1289"/>
      <w:bookmarkEnd w:id="1290"/>
      <w:bookmarkEnd w:id="1291"/>
      <w:bookmarkEnd w:id="1292"/>
    </w:p>
    <w:p w:rsidR="00A056B6" w:rsidRPr="009C5151" w:rsidRDefault="00A056B6" w:rsidP="00743A5F">
      <w:pPr>
        <w:pStyle w:val="NormalWeb"/>
        <w:tabs>
          <w:tab w:val="num" w:pos="720"/>
        </w:tabs>
        <w:spacing w:before="0" w:beforeAutospacing="0"/>
        <w:ind w:left="720" w:hanging="360"/>
      </w:pPr>
      <w:r w:rsidRPr="009C5151">
        <w:rPr>
          <w:rStyle w:val="Strong"/>
        </w:rPr>
        <w:t>Applicant:</w:t>
      </w:r>
      <w:r w:rsidRPr="009C5151">
        <w:br/>
        <w:t>Saudi Aramco, a state-owned entity based in Saudi Arabia, is one of the largest integrated oil companies globally, involved in crude oil production, refining, and marketing.</w:t>
      </w:r>
    </w:p>
    <w:p w:rsidR="00A056B6" w:rsidRPr="009C5151" w:rsidRDefault="00A056B6" w:rsidP="00743A5F">
      <w:pPr>
        <w:pStyle w:val="NormalWeb"/>
        <w:tabs>
          <w:tab w:val="num" w:pos="720"/>
        </w:tabs>
        <w:spacing w:before="0" w:beforeAutospacing="0"/>
        <w:ind w:left="720" w:hanging="360"/>
      </w:pPr>
      <w:r w:rsidRPr="009C5151">
        <w:rPr>
          <w:rStyle w:val="Strong"/>
        </w:rPr>
        <w:t>Business Activities in India:</w:t>
      </w:r>
      <w:r w:rsidRPr="009C5151">
        <w:br/>
        <w:t xml:space="preserve">Saudi Aramco sold crude oil to Indian refineries on an </w:t>
      </w:r>
      <w:r w:rsidRPr="009C5151">
        <w:rPr>
          <w:rStyle w:val="Strong"/>
        </w:rPr>
        <w:t>FOB (Free on Board)</w:t>
      </w:r>
      <w:r w:rsidRPr="009C5151">
        <w:t xml:space="preserve"> basis, where the ownership and risks were transferred outside Indian territorial waters. To support its operations, Saudi Aramco established a wholly-owned subsidiary in India, </w:t>
      </w:r>
      <w:r w:rsidRPr="009C5151">
        <w:rPr>
          <w:rStyle w:val="Strong"/>
        </w:rPr>
        <w:t>Aramco India Private Limited</w:t>
      </w:r>
      <w:r w:rsidRPr="009C5151">
        <w:t xml:space="preserve"> (Aramco India).</w:t>
      </w:r>
    </w:p>
    <w:p w:rsidR="00A056B6" w:rsidRPr="009C5151" w:rsidRDefault="00A056B6" w:rsidP="00743A5F">
      <w:pPr>
        <w:pStyle w:val="NormalWeb"/>
        <w:tabs>
          <w:tab w:val="num" w:pos="720"/>
        </w:tabs>
        <w:spacing w:before="0" w:beforeAutospacing="0"/>
        <w:ind w:left="720" w:hanging="360"/>
      </w:pPr>
      <w:r w:rsidRPr="009C5151">
        <w:rPr>
          <w:rStyle w:val="Strong"/>
        </w:rPr>
        <w:t>Role of Aramco India:</w:t>
      </w:r>
      <w:r w:rsidRPr="009C5151">
        <w:br/>
        <w:t>Aramco India was involved in providing: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Procurement support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Market research and business support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Creating awareness of Saudi Aramco's products and assisting in sourcing goods.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Strategic communication with Indian refineries.</w:t>
      </w:r>
    </w:p>
    <w:p w:rsidR="00A056B6" w:rsidRPr="009C5151" w:rsidRDefault="00A056B6" w:rsidP="00743A5F">
      <w:pPr>
        <w:pStyle w:val="NormalWeb"/>
        <w:tabs>
          <w:tab w:val="num" w:pos="720"/>
        </w:tabs>
        <w:spacing w:before="0" w:beforeAutospacing="0"/>
        <w:ind w:left="720" w:hanging="360"/>
      </w:pPr>
      <w:r w:rsidRPr="009C5151">
        <w:rPr>
          <w:rStyle w:val="Strong"/>
        </w:rPr>
        <w:t>Nature of Payments:</w:t>
      </w:r>
      <w:r w:rsidRPr="009C5151">
        <w:br/>
        <w:t xml:space="preserve">The subsidiary was compensated for its services on an </w:t>
      </w:r>
      <w:r w:rsidRPr="009C5151">
        <w:rPr>
          <w:rStyle w:val="Strong"/>
        </w:rPr>
        <w:t>arm’s length basis</w:t>
      </w:r>
      <w:r w:rsidRPr="009C5151">
        <w:t>, as determined under Indian transfer pricing regulations.</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900"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93" w:name="_Toc187624211"/>
      <w:bookmarkStart w:id="1294" w:name="_Toc187630931"/>
      <w:bookmarkStart w:id="1295" w:name="_Toc187661110"/>
      <w:bookmarkStart w:id="1296" w:name="_Toc187662189"/>
      <w:r w:rsidRPr="009C5151">
        <w:rPr>
          <w:rStyle w:val="Strong"/>
          <w:b/>
          <w:bCs/>
          <w:sz w:val="24"/>
          <w:szCs w:val="24"/>
        </w:rPr>
        <w:lastRenderedPageBreak/>
        <w:t>Issues:</w:t>
      </w:r>
      <w:bookmarkEnd w:id="1293"/>
      <w:bookmarkEnd w:id="1294"/>
      <w:bookmarkEnd w:id="1295"/>
      <w:bookmarkEnd w:id="1296"/>
    </w:p>
    <w:p w:rsidR="00A056B6" w:rsidRPr="009C5151" w:rsidRDefault="00A056B6" w:rsidP="00743A5F">
      <w:pPr>
        <w:pStyle w:val="NormalWeb"/>
        <w:tabs>
          <w:tab w:val="num" w:pos="720"/>
        </w:tabs>
        <w:spacing w:before="0" w:beforeAutospacing="0"/>
        <w:ind w:left="720" w:hanging="360"/>
      </w:pPr>
      <w:r w:rsidRPr="009C5151">
        <w:rPr>
          <w:rStyle w:val="Strong"/>
        </w:rPr>
        <w:t>Fixed Place PE:</w:t>
      </w:r>
      <w:r w:rsidRPr="009C5151">
        <w:br/>
        <w:t>Whether Aramco India's office in India constituted a fixed place Permanent Establishment under Article 5(1) of the India-Saudi Arabia DTAA.</w:t>
      </w:r>
    </w:p>
    <w:p w:rsidR="00A056B6" w:rsidRPr="009C5151" w:rsidRDefault="00A056B6" w:rsidP="00743A5F">
      <w:pPr>
        <w:pStyle w:val="NormalWeb"/>
        <w:tabs>
          <w:tab w:val="num" w:pos="720"/>
        </w:tabs>
        <w:spacing w:before="0" w:beforeAutospacing="0"/>
        <w:ind w:left="720" w:hanging="360"/>
      </w:pPr>
      <w:r w:rsidRPr="009C5151">
        <w:rPr>
          <w:rStyle w:val="Strong"/>
        </w:rPr>
        <w:t>Service PE:</w:t>
      </w:r>
      <w:r w:rsidRPr="009C5151">
        <w:br/>
        <w:t>Whether Aramco India's services rendered to the Applicant created a Service PE under Article 5(2)(k) of the DTAA.</w:t>
      </w:r>
    </w:p>
    <w:p w:rsidR="00A056B6" w:rsidRPr="009C5151" w:rsidRDefault="00A056B6" w:rsidP="00743A5F">
      <w:pPr>
        <w:pStyle w:val="NormalWeb"/>
        <w:tabs>
          <w:tab w:val="num" w:pos="720"/>
        </w:tabs>
        <w:spacing w:before="0" w:beforeAutospacing="0"/>
        <w:ind w:left="720" w:hanging="360"/>
      </w:pPr>
      <w:r w:rsidRPr="009C5151">
        <w:rPr>
          <w:rStyle w:val="Strong"/>
        </w:rPr>
        <w:t>Agency PE:</w:t>
      </w:r>
      <w:r w:rsidRPr="009C5151">
        <w:br/>
        <w:t>Whether Aramco India acted as an agent of Saudi Aramco, constituting an Agency PE under Article 5(4) of the DTAA.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901"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297" w:name="_Toc187624212"/>
      <w:bookmarkStart w:id="1298" w:name="_Toc187630932"/>
      <w:bookmarkStart w:id="1299" w:name="_Toc187661111"/>
      <w:bookmarkStart w:id="1300" w:name="_Toc187662190"/>
      <w:r w:rsidRPr="009C5151">
        <w:rPr>
          <w:rStyle w:val="Strong"/>
          <w:b/>
          <w:bCs/>
          <w:sz w:val="24"/>
          <w:szCs w:val="24"/>
        </w:rPr>
        <w:t>Applicant’s Arguments:</w:t>
      </w:r>
      <w:bookmarkEnd w:id="1297"/>
      <w:bookmarkEnd w:id="1298"/>
      <w:bookmarkEnd w:id="1299"/>
      <w:bookmarkEnd w:id="1300"/>
    </w:p>
    <w:p w:rsidR="00A056B6" w:rsidRPr="009C5151" w:rsidRDefault="00A056B6" w:rsidP="00743A5F">
      <w:pPr>
        <w:pStyle w:val="NormalWeb"/>
        <w:tabs>
          <w:tab w:val="num" w:pos="720"/>
        </w:tabs>
        <w:spacing w:before="0" w:beforeAutospacing="0"/>
        <w:ind w:left="720" w:hanging="360"/>
      </w:pPr>
      <w:r w:rsidRPr="009C5151">
        <w:rPr>
          <w:rStyle w:val="Strong"/>
        </w:rPr>
        <w:t>No PE in India:</w:t>
      </w:r>
      <w:r w:rsidRPr="009C5151">
        <w:br/>
        <w:t>Saudi Aramco contended that: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Its core business activities, including the sale of crude oil, were carried out entirely outside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Aramco India’s role was limited to auxiliary and preparatory activities (e.g., procurement support, market research).</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Aramco India’s premises were not at Saudi Aramco’s disposal.</w:t>
      </w:r>
    </w:p>
    <w:p w:rsidR="00A056B6" w:rsidRPr="009C5151" w:rsidRDefault="00A056B6" w:rsidP="00743A5F">
      <w:pPr>
        <w:pStyle w:val="NormalWeb"/>
        <w:tabs>
          <w:tab w:val="num" w:pos="720"/>
        </w:tabs>
        <w:spacing w:before="0" w:beforeAutospacing="0"/>
        <w:ind w:left="720" w:hanging="360"/>
      </w:pPr>
      <w:r w:rsidRPr="009C5151">
        <w:rPr>
          <w:rStyle w:val="Strong"/>
        </w:rPr>
        <w:t>No Service PE:</w:t>
      </w:r>
      <w:r w:rsidRPr="009C5151">
        <w:br/>
        <w:t>The Applicant argued that it did not render any services to Indian customers. All services were provided by Aramco India to Saudi Aramco and not directly to Indian entities.</w:t>
      </w:r>
    </w:p>
    <w:p w:rsidR="00A056B6" w:rsidRPr="009C5151" w:rsidRDefault="00A056B6" w:rsidP="00743A5F">
      <w:pPr>
        <w:pStyle w:val="NormalWeb"/>
        <w:tabs>
          <w:tab w:val="num" w:pos="720"/>
        </w:tabs>
        <w:spacing w:before="0" w:beforeAutospacing="0"/>
        <w:ind w:left="720" w:hanging="360"/>
      </w:pPr>
      <w:r w:rsidRPr="009C5151">
        <w:rPr>
          <w:rStyle w:val="Strong"/>
        </w:rPr>
        <w:t>No Agency PE:</w:t>
      </w:r>
      <w:r w:rsidRPr="009C5151">
        <w:br/>
        <w:t>Aramco India had no authority to conclude contracts on behalf of Saudi Aramco. All contract negotiations and finalizations were conducted by Saudi Aramco personnel outside India.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902"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301" w:name="_Toc187624213"/>
      <w:bookmarkStart w:id="1302" w:name="_Toc187630933"/>
      <w:bookmarkStart w:id="1303" w:name="_Toc187661112"/>
      <w:bookmarkStart w:id="1304" w:name="_Toc187662191"/>
      <w:r w:rsidRPr="009C5151">
        <w:rPr>
          <w:rStyle w:val="Strong"/>
          <w:b/>
          <w:bCs/>
          <w:sz w:val="24"/>
          <w:szCs w:val="24"/>
        </w:rPr>
        <w:t>Revenue’s Arguments:</w:t>
      </w:r>
      <w:bookmarkEnd w:id="1301"/>
      <w:bookmarkEnd w:id="1302"/>
      <w:bookmarkEnd w:id="1303"/>
      <w:bookmarkEnd w:id="1304"/>
    </w:p>
    <w:p w:rsidR="00A056B6" w:rsidRPr="009C5151" w:rsidRDefault="00A056B6" w:rsidP="00743A5F">
      <w:pPr>
        <w:pStyle w:val="NormalWeb"/>
        <w:tabs>
          <w:tab w:val="num" w:pos="720"/>
        </w:tabs>
        <w:spacing w:before="0" w:beforeAutospacing="0"/>
        <w:ind w:left="720" w:hanging="360"/>
      </w:pPr>
      <w:r w:rsidRPr="009C5151">
        <w:rPr>
          <w:rStyle w:val="Strong"/>
        </w:rPr>
        <w:t>Existence of PE:</w:t>
      </w:r>
      <w:r w:rsidRPr="009C5151">
        <w:br/>
        <w:t>The Revenue argued that Aramco India went beyond auxiliary or preparatory activities by engaging in core business operations such as marketing, customer engagement, and support for sales. As such, Aramco India constituted a fixed place PE.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Attribution of Income:</w:t>
      </w:r>
      <w:r w:rsidRPr="009C5151">
        <w:br/>
        <w:t>The Revenue contended that income attributable to the PE, based on the activities conducted in India, should be taxed in India.</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903"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305" w:name="_Toc187624214"/>
      <w:bookmarkStart w:id="1306" w:name="_Toc187630934"/>
      <w:bookmarkStart w:id="1307" w:name="_Toc187661113"/>
      <w:bookmarkStart w:id="1308" w:name="_Toc187662192"/>
      <w:r w:rsidRPr="009C5151">
        <w:rPr>
          <w:rStyle w:val="Strong"/>
          <w:b/>
          <w:bCs/>
          <w:sz w:val="24"/>
          <w:szCs w:val="24"/>
        </w:rPr>
        <w:t>AAR’s Analysis:</w:t>
      </w:r>
      <w:bookmarkEnd w:id="1305"/>
      <w:bookmarkEnd w:id="1306"/>
      <w:bookmarkEnd w:id="1307"/>
      <w:bookmarkEnd w:id="1308"/>
    </w:p>
    <w:p w:rsidR="00A056B6" w:rsidRPr="009C5151" w:rsidRDefault="00A056B6" w:rsidP="00743A5F">
      <w:pPr>
        <w:pStyle w:val="NormalWeb"/>
        <w:tabs>
          <w:tab w:val="num" w:pos="720"/>
        </w:tabs>
        <w:spacing w:before="0" w:beforeAutospacing="0"/>
        <w:ind w:left="720" w:hanging="360"/>
      </w:pPr>
      <w:r w:rsidRPr="009C5151">
        <w:rPr>
          <w:rStyle w:val="Strong"/>
        </w:rPr>
        <w:t>Fixed Place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AAR noted that Saudi Aramco’s sales transactions were concluded outside India on an FOB basis.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Aramco India’s activities were confined to support functions such as market research and procurement assistance, which were classified as auxiliary or preparatory under Article 5(3).</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Aramco India’s premises were not at Saudi Aramco’s disposal. Hence, there was </w:t>
      </w:r>
      <w:r w:rsidRPr="009C5151">
        <w:rPr>
          <w:rStyle w:val="Strong"/>
          <w:rFonts w:ascii="Times New Roman" w:hAnsi="Times New Roman" w:cs="Times New Roman"/>
          <w:sz w:val="24"/>
          <w:szCs w:val="24"/>
        </w:rPr>
        <w:t>no Fixed Place PE</w:t>
      </w:r>
      <w:r w:rsidRPr="009C5151">
        <w:rPr>
          <w:rFonts w:ascii="Times New Roman" w:hAnsi="Times New Roman" w:cs="Times New Roman"/>
          <w:sz w:val="24"/>
          <w:szCs w:val="24"/>
        </w:rPr>
        <w:t xml:space="preserve"> in India.</w:t>
      </w:r>
    </w:p>
    <w:p w:rsidR="00A056B6" w:rsidRPr="009C5151" w:rsidRDefault="00A056B6" w:rsidP="00743A5F">
      <w:pPr>
        <w:pStyle w:val="NormalWeb"/>
        <w:tabs>
          <w:tab w:val="num" w:pos="720"/>
        </w:tabs>
        <w:spacing w:before="0" w:beforeAutospacing="0"/>
        <w:ind w:left="720" w:hanging="360"/>
      </w:pPr>
      <w:r w:rsidRPr="009C5151">
        <w:rPr>
          <w:rStyle w:val="Strong"/>
        </w:rPr>
        <w:t>Service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AAR observed that the services provided by Aramco India were rendered to the Applicant and not to Indian customers.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As there were no services rendered directly by Saudi Aramco’s employees or other personnel in India, no </w:t>
      </w:r>
      <w:r w:rsidRPr="009C5151">
        <w:rPr>
          <w:rStyle w:val="Strong"/>
          <w:rFonts w:ascii="Times New Roman" w:hAnsi="Times New Roman" w:cs="Times New Roman"/>
          <w:sz w:val="24"/>
          <w:szCs w:val="24"/>
        </w:rPr>
        <w:t>Service PE</w:t>
      </w:r>
      <w:r w:rsidRPr="009C5151">
        <w:rPr>
          <w:rFonts w:ascii="Times New Roman" w:hAnsi="Times New Roman" w:cs="Times New Roman"/>
          <w:sz w:val="24"/>
          <w:szCs w:val="24"/>
        </w:rPr>
        <w:t xml:space="preserve"> was created under Article 5(2)(k).</w:t>
      </w:r>
    </w:p>
    <w:p w:rsidR="00A056B6" w:rsidRPr="009C5151" w:rsidRDefault="00A056B6" w:rsidP="00743A5F">
      <w:pPr>
        <w:pStyle w:val="NormalWeb"/>
        <w:tabs>
          <w:tab w:val="num" w:pos="720"/>
        </w:tabs>
        <w:spacing w:before="0" w:beforeAutospacing="0"/>
        <w:ind w:left="720" w:hanging="360"/>
      </w:pPr>
      <w:r w:rsidRPr="009C5151">
        <w:rPr>
          <w:rStyle w:val="Strong"/>
        </w:rPr>
        <w:t>Agency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AAR emphasized that Aramco India did not have the authority to conclude contracts on behalf of Saudi Aramco.</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contractual relationship between Saudi Aramco and Indian refineries was independent of Aramco India’s operations.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Therefore, no </w:t>
      </w:r>
      <w:r w:rsidRPr="009C5151">
        <w:rPr>
          <w:rStyle w:val="Strong"/>
          <w:rFonts w:ascii="Times New Roman" w:hAnsi="Times New Roman" w:cs="Times New Roman"/>
          <w:sz w:val="24"/>
          <w:szCs w:val="24"/>
        </w:rPr>
        <w:t>Agency PE</w:t>
      </w:r>
      <w:r w:rsidRPr="009C5151">
        <w:rPr>
          <w:rFonts w:ascii="Times New Roman" w:hAnsi="Times New Roman" w:cs="Times New Roman"/>
          <w:sz w:val="24"/>
          <w:szCs w:val="24"/>
        </w:rPr>
        <w:t xml:space="preserve"> existed under Article 5(4).</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904"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309" w:name="_Toc187624215"/>
      <w:bookmarkStart w:id="1310" w:name="_Toc187630935"/>
      <w:bookmarkStart w:id="1311" w:name="_Toc187661114"/>
      <w:bookmarkStart w:id="1312" w:name="_Toc187662193"/>
      <w:r w:rsidRPr="009C5151">
        <w:rPr>
          <w:rStyle w:val="Strong"/>
          <w:b/>
          <w:bCs/>
          <w:sz w:val="24"/>
          <w:szCs w:val="24"/>
        </w:rPr>
        <w:t>Ruling and Reasoning:</w:t>
      </w:r>
      <w:bookmarkEnd w:id="1309"/>
      <w:bookmarkEnd w:id="1310"/>
      <w:bookmarkEnd w:id="1311"/>
      <w:bookmarkEnd w:id="1312"/>
    </w:p>
    <w:p w:rsidR="00A056B6" w:rsidRPr="009C5151" w:rsidRDefault="00A056B6" w:rsidP="00743A5F">
      <w:pPr>
        <w:pStyle w:val="NormalWeb"/>
        <w:tabs>
          <w:tab w:val="num" w:pos="720"/>
        </w:tabs>
        <w:spacing w:before="0" w:beforeAutospacing="0"/>
        <w:ind w:left="720" w:hanging="360"/>
      </w:pPr>
      <w:r w:rsidRPr="009C5151">
        <w:rPr>
          <w:rStyle w:val="Strong"/>
        </w:rPr>
        <w:t>No Permanent Establishment:</w:t>
      </w:r>
      <w:r w:rsidRPr="009C5151">
        <w:br/>
        <w:t>The AAR ruled that Saudi Aramco did not have a PE in India under Article 5 of the DTAA. Aramco India’s activities were preparatory and auxiliary, and it did not act as a dependent agent.</w:t>
      </w:r>
    </w:p>
    <w:p w:rsidR="00A056B6" w:rsidRPr="009C5151" w:rsidRDefault="00A056B6" w:rsidP="00743A5F">
      <w:pPr>
        <w:pStyle w:val="NormalWeb"/>
        <w:tabs>
          <w:tab w:val="num" w:pos="720"/>
        </w:tabs>
        <w:spacing w:before="0" w:beforeAutospacing="0"/>
        <w:ind w:left="720" w:hanging="360"/>
      </w:pPr>
      <w:r w:rsidRPr="009C5151">
        <w:rPr>
          <w:rStyle w:val="Strong"/>
        </w:rPr>
        <w:t>Tax Implications: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Since Saudi Aramco did not have a PE in India, its business profits from crude oil sales were not taxable in India under Article 7 of the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The payments made to Aramco India for its support services were subject to Indian transfer pricing regulations but did not impact Saudi Aramco’s taxability.</w:t>
      </w:r>
    </w:p>
    <w:p w:rsidR="00A056B6" w:rsidRPr="009C5151" w:rsidRDefault="00A056B6" w:rsidP="00743A5F">
      <w:pPr>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905" style="width:0;height:1.5pt" o:hralign="center" o:hrstd="t" o:hr="t" fillcolor="#a0a0a0" stroked="f"/>
        </w:pict>
      </w:r>
    </w:p>
    <w:p w:rsidR="00A056B6" w:rsidRPr="009C5151" w:rsidRDefault="00A056B6" w:rsidP="00743A5F">
      <w:pPr>
        <w:pStyle w:val="Heading3"/>
        <w:spacing w:before="0" w:beforeAutospacing="0"/>
        <w:rPr>
          <w:sz w:val="24"/>
          <w:szCs w:val="24"/>
        </w:rPr>
      </w:pPr>
      <w:bookmarkStart w:id="1313" w:name="_Toc187624216"/>
      <w:bookmarkStart w:id="1314" w:name="_Toc187630936"/>
      <w:bookmarkStart w:id="1315" w:name="_Toc187661115"/>
      <w:bookmarkStart w:id="1316" w:name="_Toc187662194"/>
      <w:r w:rsidRPr="009C5151">
        <w:rPr>
          <w:rStyle w:val="Strong"/>
          <w:b/>
          <w:bCs/>
          <w:sz w:val="24"/>
          <w:szCs w:val="24"/>
        </w:rPr>
        <w:t>Conclusion:</w:t>
      </w:r>
      <w:bookmarkEnd w:id="1313"/>
      <w:bookmarkEnd w:id="1314"/>
      <w:bookmarkEnd w:id="1315"/>
      <w:bookmarkEnd w:id="1316"/>
    </w:p>
    <w:p w:rsidR="00A056B6" w:rsidRPr="009C5151" w:rsidRDefault="00A056B6" w:rsidP="00743A5F">
      <w:pPr>
        <w:pStyle w:val="NormalWeb"/>
        <w:spacing w:before="0" w:beforeAutospacing="0"/>
      </w:pPr>
      <w:r w:rsidRPr="009C5151">
        <w:t>This ruling reinforces the principle that preparatory and auxiliary activities conducted by a subsidiary in India do not automatically create a PE for the parent company under a DTAA. It also underscores the importance of maintaining clear documentation and arm's length arrangements to avoid disputes over PE and taxability.</w:t>
      </w:r>
    </w:p>
    <w:p w:rsidR="00A056B6" w:rsidRPr="009C5151" w:rsidRDefault="00A056B6" w:rsidP="00743A5F">
      <w:pPr>
        <w:spacing w:line="240" w:lineRule="auto"/>
        <w:rPr>
          <w:rFonts w:ascii="Times New Roman" w:hAnsi="Times New Roman" w:cs="Times New Roman"/>
          <w:sz w:val="24"/>
          <w:szCs w:val="24"/>
        </w:rPr>
      </w:pPr>
      <w:r>
        <w:rPr>
          <w:rFonts w:ascii="Times New Roman" w:hAnsi="Times New Roman" w:cs="Times New Roman"/>
          <w:sz w:val="24"/>
          <w:szCs w:val="24"/>
        </w:rPr>
        <w:pict>
          <v:rect id="_x0000_i1906" style="width:0;height:1.5pt" o:hralign="center" o:hrstd="t" o:hr="t" fillcolor="#a0a0a0" stroked="f"/>
        </w:pict>
      </w:r>
    </w:p>
    <w:p w:rsidR="00A056B6" w:rsidRDefault="00A056B6" w:rsidP="00743A5F">
      <w:pPr>
        <w:spacing w:line="240" w:lineRule="auto"/>
      </w:pPr>
      <w:r>
        <w:t>Please discuss in detail the following decided cases in International taxation by covering the following aspects : Facts, Parties involved, Citation, Case reference, Issues, respective party's arguments, court's analysis, Ruling and Reasoning.-ZTE Corporation [TS-33-HC-2017(Del)]</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713E9F86" wp14:editId="0A7ABB1D">
            <wp:extent cx="763905" cy="763905"/>
            <wp:effectExtent l="0" t="0" r="0" b="0"/>
            <wp:docPr id="450" name="Picture 45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9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Commissioner of Income Tax (International Taxation) v. ZTE Corporation</w:t>
      </w:r>
      <w:r>
        <w:t xml:space="preserve">, the </w:t>
      </w:r>
      <w:r>
        <w:rPr>
          <w:rStyle w:val="Strong"/>
        </w:rPr>
        <w:t>Delhi High Court</w:t>
      </w:r>
      <w:r>
        <w:t xml:space="preserve"> addressed the tax implications of payments made for software embedded in telecom equipment supplied by ZTE Corporation, a Chinese company, to Indian customers.</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Assessee:</w:t>
      </w:r>
      <w:r>
        <w:t xml:space="preserve"> ZTE Corporation, a company incorporated in China, engaged in supplying telecom equipment and related software to Indian telecom operators.</w:t>
      </w:r>
    </w:p>
    <w:p w:rsidR="00A056B6" w:rsidRDefault="00A056B6" w:rsidP="00743A5F">
      <w:pPr>
        <w:pStyle w:val="NormalWeb"/>
        <w:tabs>
          <w:tab w:val="num" w:pos="720"/>
        </w:tabs>
        <w:spacing w:before="0" w:beforeAutospacing="0"/>
        <w:ind w:left="720" w:hanging="360"/>
      </w:pPr>
      <w:r>
        <w:rPr>
          <w:rStyle w:val="Strong"/>
        </w:rPr>
        <w:t>Transactions:</w:t>
      </w:r>
      <w:r>
        <w:t xml:space="preserve"> The company supplied hardware and accompanying software necessary for the operation of the telecom equipment to various Indian entities.</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Characterization of Payments:</w:t>
      </w:r>
      <w:r>
        <w:t xml:space="preserve"> Whether payments received by ZTE Corporation for the supply of software embedded in telecom equipment constituted "royalty" under Section 9(1)(vi) of the Income Tax Act, 1961, and Article 12 of the India-China Double Taxation Avoidance Agreement (DTAA).</w:t>
      </w:r>
    </w:p>
    <w:p w:rsidR="00A056B6" w:rsidRDefault="00A056B6" w:rsidP="00743A5F">
      <w:pPr>
        <w:pStyle w:val="NormalWeb"/>
        <w:tabs>
          <w:tab w:val="num" w:pos="720"/>
        </w:tabs>
        <w:spacing w:before="0" w:beforeAutospacing="0"/>
        <w:ind w:left="720" w:hanging="360"/>
      </w:pPr>
      <w:r>
        <w:rPr>
          <w:rStyle w:val="Strong"/>
        </w:rPr>
        <w:t>Tax Withholding Obligations:</w:t>
      </w:r>
      <w:r>
        <w:t xml:space="preserve"> Whether Indian telecom operators were required to withhold tax on payments made to ZTE Corporation for the embedded software.</w:t>
      </w:r>
    </w:p>
    <w:p w:rsidR="00A056B6" w:rsidRDefault="00A056B6" w:rsidP="00743A5F">
      <w:pPr>
        <w:pStyle w:val="NormalWeb"/>
        <w:spacing w:before="0" w:beforeAutospacing="0"/>
      </w:pPr>
      <w:r>
        <w:rPr>
          <w:rStyle w:val="Strong"/>
        </w:rPr>
        <w:t>Respective Parties' Arguments:</w:t>
      </w:r>
    </w:p>
    <w:p w:rsidR="00A056B6" w:rsidRDefault="00A056B6" w:rsidP="00743A5F">
      <w:pPr>
        <w:pStyle w:val="NormalWeb"/>
        <w:tabs>
          <w:tab w:val="num" w:pos="720"/>
        </w:tabs>
        <w:spacing w:before="0" w:beforeAutospacing="0"/>
        <w:ind w:left="720" w:hanging="360"/>
      </w:pPr>
      <w:r>
        <w:rPr>
          <w:rStyle w:val="Strong"/>
        </w:rPr>
        <w:t>Revenue's Arguments:</w:t>
      </w:r>
    </w:p>
    <w:p w:rsidR="00A056B6" w:rsidRDefault="00A056B6" w:rsidP="00743A5F">
      <w:pPr>
        <w:pStyle w:val="NormalWeb"/>
        <w:numPr>
          <w:ilvl w:val="1"/>
          <w:numId w:val="0"/>
        </w:numPr>
        <w:tabs>
          <w:tab w:val="num" w:pos="1440"/>
        </w:tabs>
        <w:spacing w:before="0" w:beforeAutospacing="0"/>
        <w:ind w:left="1440" w:hanging="360"/>
      </w:pPr>
      <w:r>
        <w:lastRenderedPageBreak/>
        <w:t>The Revenue contended that the payments for embedded software amounted to "royalty" as defined under Section 9(1)(vi) of the Income Tax Act and the DTAA.</w:t>
      </w:r>
    </w:p>
    <w:p w:rsidR="00A056B6" w:rsidRDefault="00A056B6" w:rsidP="00743A5F">
      <w:pPr>
        <w:pStyle w:val="NormalWeb"/>
        <w:numPr>
          <w:ilvl w:val="1"/>
          <w:numId w:val="0"/>
        </w:numPr>
        <w:tabs>
          <w:tab w:val="num" w:pos="1440"/>
        </w:tabs>
        <w:spacing w:before="0" w:beforeAutospacing="0"/>
        <w:ind w:left="1440" w:hanging="360"/>
      </w:pPr>
      <w:r>
        <w:t>It was argued that the use of software constituted the use of a copyright, thereby attracting royalty taxation.</w:t>
      </w:r>
    </w:p>
    <w:p w:rsidR="00A056B6" w:rsidRDefault="00A056B6" w:rsidP="00743A5F">
      <w:pPr>
        <w:pStyle w:val="NormalWeb"/>
        <w:tabs>
          <w:tab w:val="num" w:pos="720"/>
        </w:tabs>
        <w:spacing w:before="0" w:beforeAutospacing="0"/>
        <w:ind w:left="720" w:hanging="360"/>
      </w:pPr>
      <w:r>
        <w:rPr>
          <w:rStyle w:val="Strong"/>
        </w:rPr>
        <w:t>Assessee's Arguments:</w:t>
      </w:r>
    </w:p>
    <w:p w:rsidR="00A056B6" w:rsidRDefault="00A056B6" w:rsidP="00743A5F">
      <w:pPr>
        <w:pStyle w:val="NormalWeb"/>
        <w:numPr>
          <w:ilvl w:val="1"/>
          <w:numId w:val="0"/>
        </w:numPr>
        <w:tabs>
          <w:tab w:val="num" w:pos="1440"/>
        </w:tabs>
        <w:spacing w:before="0" w:beforeAutospacing="0"/>
        <w:ind w:left="1440" w:hanging="360"/>
      </w:pPr>
      <w:r>
        <w:t>ZTE Corporation argued that the software was an integral part of the telecom equipment and was supplied solely for operating the hardware.</w:t>
      </w:r>
    </w:p>
    <w:p w:rsidR="00A056B6" w:rsidRDefault="00A056B6" w:rsidP="00743A5F">
      <w:pPr>
        <w:pStyle w:val="NormalWeb"/>
        <w:numPr>
          <w:ilvl w:val="1"/>
          <w:numId w:val="0"/>
        </w:numPr>
        <w:tabs>
          <w:tab w:val="num" w:pos="1440"/>
        </w:tabs>
        <w:spacing w:before="0" w:beforeAutospacing="0"/>
        <w:ind w:left="1440" w:hanging="360"/>
      </w:pPr>
      <w:r>
        <w:t>The company maintained that the payments were for the sale of goods (i.e., the telecom equipment) and not for the use of any copyright, thus not constituting "royalty."</w:t>
      </w:r>
    </w:p>
    <w:p w:rsidR="00A056B6" w:rsidRDefault="00A056B6" w:rsidP="00743A5F">
      <w:pPr>
        <w:pStyle w:val="NormalWeb"/>
        <w:spacing w:before="0" w:beforeAutospacing="0"/>
      </w:pPr>
      <w:r>
        <w:rPr>
          <w:rStyle w:val="Strong"/>
        </w:rPr>
        <w:t>Court's Analysis:</w:t>
      </w:r>
    </w:p>
    <w:p w:rsidR="00A056B6" w:rsidRDefault="00A056B6" w:rsidP="00743A5F">
      <w:pPr>
        <w:pStyle w:val="NormalWeb"/>
        <w:tabs>
          <w:tab w:val="num" w:pos="720"/>
        </w:tabs>
        <w:spacing w:before="0" w:beforeAutospacing="0"/>
        <w:ind w:left="720" w:hanging="360"/>
      </w:pPr>
      <w:r>
        <w:rPr>
          <w:rStyle w:val="Strong"/>
        </w:rPr>
        <w:t>Nature of Software:</w:t>
      </w:r>
      <w:r>
        <w:t xml:space="preserve"> The court examined whether the software supplied was incidental to the hardware and necessary for its functioning, or if it had an independent existence.</w:t>
      </w:r>
    </w:p>
    <w:p w:rsidR="00A056B6" w:rsidRDefault="00A056B6" w:rsidP="00743A5F">
      <w:pPr>
        <w:pStyle w:val="NormalWeb"/>
        <w:tabs>
          <w:tab w:val="num" w:pos="720"/>
        </w:tabs>
        <w:spacing w:before="0" w:beforeAutospacing="0"/>
        <w:ind w:left="720" w:hanging="360"/>
      </w:pPr>
      <w:r>
        <w:rPr>
          <w:rStyle w:val="Strong"/>
        </w:rPr>
        <w:t>Definition of "Royalty":</w:t>
      </w:r>
      <w:r>
        <w:t xml:space="preserve"> The court referred to the definitions provided in both domestic law and the DTAA, analyzing whether the transaction involved the transfer of rights in respect of a copyright.</w:t>
      </w:r>
    </w:p>
    <w:p w:rsidR="00A056B6" w:rsidRDefault="00A056B6" w:rsidP="00743A5F">
      <w:pPr>
        <w:pStyle w:val="NormalWeb"/>
        <w:tabs>
          <w:tab w:val="num" w:pos="720"/>
        </w:tabs>
        <w:spacing w:before="0" w:beforeAutospacing="0"/>
        <w:ind w:left="720" w:hanging="360"/>
      </w:pPr>
      <w:r>
        <w:rPr>
          <w:rStyle w:val="Strong"/>
        </w:rPr>
        <w:t>Precedent Consideration:</w:t>
      </w:r>
      <w:r>
        <w:t xml:space="preserve"> The court considered previous judgments, including the Supreme Court's decision in </w:t>
      </w:r>
      <w:r>
        <w:rPr>
          <w:rStyle w:val="Emphasis"/>
        </w:rPr>
        <w:t>Engineering Analysis Centre of Excellence Pvt. Ltd. v. CIT</w:t>
      </w:r>
      <w:r>
        <w:t>, which held that payments for the resale of software without the transfer of copyright do not constitute "royalty."</w:t>
      </w:r>
    </w:p>
    <w:p w:rsidR="00A056B6" w:rsidRDefault="00A056B6" w:rsidP="00743A5F">
      <w:pPr>
        <w:pStyle w:val="NormalWeb"/>
        <w:spacing w:before="0" w:beforeAutospacing="0"/>
      </w:pPr>
      <w:r>
        <w:rPr>
          <w:rStyle w:val="Strong"/>
        </w:rPr>
        <w:t>Ruling and Reasoning:</w:t>
      </w:r>
    </w:p>
    <w:p w:rsidR="00A056B6" w:rsidRDefault="00A056B6" w:rsidP="00743A5F">
      <w:pPr>
        <w:pStyle w:val="NormalWeb"/>
        <w:tabs>
          <w:tab w:val="num" w:pos="720"/>
        </w:tabs>
        <w:spacing w:before="0" w:beforeAutospacing="0"/>
        <w:ind w:left="720" w:hanging="360"/>
      </w:pPr>
      <w:r>
        <w:rPr>
          <w:rStyle w:val="Strong"/>
        </w:rPr>
        <w:t>Payments Not Classified as "Royalty":</w:t>
      </w:r>
      <w:r>
        <w:t xml:space="preserve"> The Delhi High Court ruled that the payments made for the embedded software did not constitute "royalty" under Section 9(1)(vi) of the Income Tax Act or Article 12 of the India-China DTAA.</w:t>
      </w:r>
    </w:p>
    <w:p w:rsidR="00A056B6" w:rsidRDefault="00A056B6" w:rsidP="00743A5F">
      <w:pPr>
        <w:pStyle w:val="NormalWeb"/>
        <w:tabs>
          <w:tab w:val="num" w:pos="720"/>
        </w:tabs>
        <w:spacing w:before="0" w:beforeAutospacing="0"/>
        <w:ind w:left="720" w:hanging="360"/>
      </w:pPr>
      <w:r>
        <w:rPr>
          <w:rStyle w:val="Strong"/>
        </w:rPr>
        <w:t>Integrated Supply:</w:t>
      </w:r>
      <w:r>
        <w:t xml:space="preserve"> The court reasoned that the software was integral to the telecom equipment and was supplied to enable the hardware to function, without any independent rights being transferred to the buyer.</w:t>
      </w:r>
    </w:p>
    <w:p w:rsidR="00A056B6" w:rsidRDefault="00A056B6" w:rsidP="00743A5F">
      <w:pPr>
        <w:pStyle w:val="NormalWeb"/>
        <w:tabs>
          <w:tab w:val="num" w:pos="720"/>
        </w:tabs>
        <w:spacing w:before="0" w:beforeAutospacing="0"/>
        <w:ind w:left="720" w:hanging="360"/>
      </w:pPr>
      <w:r>
        <w:rPr>
          <w:rStyle w:val="Strong"/>
        </w:rPr>
        <w:t>No Withholding Tax Obligation:</w:t>
      </w:r>
      <w:r>
        <w:t xml:space="preserve"> Consequently, the court held that Indian telecom operators were not required to withhold tax on payments made to ZTE Corporation for the embedded software.</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clarifies that payments for software embedded in hardware, supplied as an integral component necessary for the equipment's operation, do not constitute "royalty" under Indian tax law and the relevant DTAA. Therefore, such payments are not subject to withholding tax obligations in India.</w:t>
      </w:r>
    </w:p>
    <w:p w:rsidR="00A056B6" w:rsidRDefault="00A056B6" w:rsidP="00743A5F">
      <w:pPr>
        <w:pStyle w:val="NormalWeb"/>
        <w:spacing w:before="0" w:beforeAutospacing="0"/>
      </w:pPr>
      <w:r>
        <w:rPr>
          <w:rStyle w:val="Strong"/>
        </w:rPr>
        <w:lastRenderedPageBreak/>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Commissioner of Income Tax (International Taxation) v. ZTE Corporation, [2017] 392 ITR 80 (Delhi).</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38" w:tgtFrame="_new" w:history="1">
        <w:r>
          <w:rPr>
            <w:rStyle w:val="Hyperlink"/>
          </w:rPr>
          <w:t>Indian Kanoon</w:t>
        </w:r>
      </w:hyperlink>
    </w:p>
    <w:p w:rsidR="00A056B6" w:rsidRDefault="00A056B6" w:rsidP="00743A5F">
      <w:pPr>
        <w:pStyle w:val="NormalWeb"/>
        <w:spacing w:before="0" w:beforeAutospacing="0"/>
      </w:pPr>
      <w:r>
        <w:t>This decision has significant implications for international transactions involving the supply of equipment with embedded software, providing clarity on the tax treatment of such payments under Indian law.</w:t>
      </w:r>
    </w:p>
    <w:p w:rsidR="00A056B6" w:rsidRDefault="00A056B6" w:rsidP="00743A5F">
      <w:pPr>
        <w:spacing w:line="240" w:lineRule="auto"/>
      </w:pPr>
      <w:r>
        <w:t>Sources</w:t>
      </w:r>
    </w:p>
    <w:p w:rsidR="00A056B6" w:rsidRDefault="00A056B6" w:rsidP="00743A5F">
      <w:pPr>
        <w:spacing w:line="240" w:lineRule="auto"/>
      </w:pPr>
      <w:r>
        <w:t>2/2</w:t>
      </w:r>
    </w:p>
    <w:p w:rsidR="00A056B6" w:rsidRDefault="00A056B6" w:rsidP="00743A5F">
      <w:pPr>
        <w:pStyle w:val="Heading5"/>
        <w:spacing w:before="0" w:beforeAutospacing="0"/>
      </w:pPr>
      <w:r>
        <w:t>You said:</w:t>
      </w:r>
    </w:p>
    <w:p w:rsidR="00A056B6" w:rsidRDefault="00A056B6" w:rsidP="00743A5F">
      <w:pPr>
        <w:spacing w:line="240" w:lineRule="auto"/>
      </w:pPr>
      <w:r>
        <w:t>Discuss CIT &amp; ANR vs. Halliburtion Export Inc. &amp; ANR - (2016) 96 CCH 0060 (Del HC) - ITA 363/2016, 365/2016 [India - US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2168FC83" wp14:editId="53ABF12D">
            <wp:extent cx="763905" cy="763905"/>
            <wp:effectExtent l="0" t="0" r="0" b="0"/>
            <wp:docPr id="449" name="Picture 44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0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Commissioner of Income Tax &amp; Anr. v. Halliburton Export Inc. &amp; Anr.</w:t>
      </w:r>
      <w:r>
        <w:t xml:space="preserve">, the </w:t>
      </w:r>
      <w:r>
        <w:rPr>
          <w:rStyle w:val="Strong"/>
        </w:rPr>
        <w:t>Delhi High Court</w:t>
      </w:r>
      <w:r>
        <w:t xml:space="preserve"> addressed the characterization of payments received by Halliburton Export Inc., a U.S.-based company, for providing seismic data acquisition and processing services to Oil and Natural Gas Corporation (ONGC) in India, and whether such payments constituted "fees for included services" under Article 12 of the India-U.S. Double Taxation Avoidance Agreement (DTAA).</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Assessee:</w:t>
      </w:r>
      <w:r>
        <w:t xml:space="preserve"> Halliburton Export Inc., a company incorporated in the United States, engaged in providing seismic data acquisition and processing services.</w:t>
      </w:r>
    </w:p>
    <w:p w:rsidR="00A056B6" w:rsidRDefault="00A056B6" w:rsidP="00743A5F">
      <w:pPr>
        <w:pStyle w:val="NormalWeb"/>
        <w:tabs>
          <w:tab w:val="num" w:pos="720"/>
        </w:tabs>
        <w:spacing w:before="0" w:beforeAutospacing="0"/>
        <w:ind w:left="720" w:hanging="360"/>
      </w:pPr>
      <w:r>
        <w:rPr>
          <w:rStyle w:val="Strong"/>
        </w:rPr>
        <w:t>Services Provided:</w:t>
      </w:r>
      <w:r>
        <w:t xml:space="preserve"> The company entered into contracts with ONGC to conduct seismic surveys and process the acquired data to assist in oil and gas exploration activities in India.</w:t>
      </w:r>
    </w:p>
    <w:p w:rsidR="00A056B6" w:rsidRDefault="00A056B6" w:rsidP="00743A5F">
      <w:pPr>
        <w:pStyle w:val="NormalWeb"/>
        <w:tabs>
          <w:tab w:val="num" w:pos="720"/>
        </w:tabs>
        <w:spacing w:before="0" w:beforeAutospacing="0"/>
        <w:ind w:left="720" w:hanging="360"/>
      </w:pPr>
      <w:r>
        <w:rPr>
          <w:rStyle w:val="Strong"/>
        </w:rPr>
        <w:t>Assessment Years:</w:t>
      </w:r>
      <w:r>
        <w:t xml:space="preserve"> 2001-02 and 2002-03.</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Characterization of Income:</w:t>
      </w:r>
      <w:r>
        <w:t xml:space="preserve"> Whether the payments received by Halliburton Export Inc. for seismic data acquisition and processing services constituted "fees for included services" under Article 12 of the India-U.S. DTAA.</w:t>
      </w:r>
    </w:p>
    <w:p w:rsidR="00A056B6" w:rsidRDefault="00A056B6" w:rsidP="00743A5F">
      <w:pPr>
        <w:pStyle w:val="NormalWeb"/>
        <w:tabs>
          <w:tab w:val="num" w:pos="720"/>
        </w:tabs>
        <w:spacing w:before="0" w:beforeAutospacing="0"/>
        <w:ind w:left="720" w:hanging="360"/>
      </w:pPr>
      <w:r>
        <w:rPr>
          <w:rStyle w:val="Strong"/>
        </w:rPr>
        <w:lastRenderedPageBreak/>
        <w:t>Taxability in India:</w:t>
      </w:r>
      <w:r>
        <w:t xml:space="preserve"> If classified as "fees for included services," whether such payments were taxable in India, and the applicable tax rate.</w:t>
      </w:r>
    </w:p>
    <w:p w:rsidR="00A056B6" w:rsidRDefault="00A056B6" w:rsidP="00743A5F">
      <w:pPr>
        <w:pStyle w:val="NormalWeb"/>
        <w:spacing w:before="0" w:beforeAutospacing="0"/>
      </w:pPr>
      <w:r>
        <w:rPr>
          <w:rStyle w:val="Strong"/>
        </w:rPr>
        <w:t>Respective Parties' Arguments:</w:t>
      </w:r>
    </w:p>
    <w:p w:rsidR="00A056B6" w:rsidRDefault="00A056B6" w:rsidP="00743A5F">
      <w:pPr>
        <w:pStyle w:val="NormalWeb"/>
        <w:tabs>
          <w:tab w:val="num" w:pos="720"/>
        </w:tabs>
        <w:spacing w:before="0" w:beforeAutospacing="0"/>
        <w:ind w:left="720" w:hanging="360"/>
      </w:pPr>
      <w:r>
        <w:rPr>
          <w:rStyle w:val="Strong"/>
        </w:rPr>
        <w:t>Revenue's Arguments:</w:t>
      </w:r>
    </w:p>
    <w:p w:rsidR="00A056B6" w:rsidRDefault="00A056B6" w:rsidP="00743A5F">
      <w:pPr>
        <w:pStyle w:val="NormalWeb"/>
        <w:numPr>
          <w:ilvl w:val="1"/>
          <w:numId w:val="0"/>
        </w:numPr>
        <w:tabs>
          <w:tab w:val="num" w:pos="1440"/>
        </w:tabs>
        <w:spacing w:before="0" w:beforeAutospacing="0"/>
        <w:ind w:left="1440" w:hanging="360"/>
      </w:pPr>
      <w:r>
        <w:t>The Revenue contended that the services provided by Halliburton Export Inc. involved the use of technical expertise, experience, and skill, thereby constituting "fees for included services" under Article 12 of the DTAA.</w:t>
      </w:r>
    </w:p>
    <w:p w:rsidR="00A056B6" w:rsidRDefault="00A056B6" w:rsidP="00743A5F">
      <w:pPr>
        <w:pStyle w:val="NormalWeb"/>
        <w:numPr>
          <w:ilvl w:val="1"/>
          <w:numId w:val="0"/>
        </w:numPr>
        <w:tabs>
          <w:tab w:val="num" w:pos="1440"/>
        </w:tabs>
        <w:spacing w:before="0" w:beforeAutospacing="0"/>
        <w:ind w:left="1440" w:hanging="360"/>
      </w:pPr>
      <w:r>
        <w:t>It was argued that the payments were for technical services rendered in India and, therefore, taxable in India.</w:t>
      </w:r>
    </w:p>
    <w:p w:rsidR="00A056B6" w:rsidRDefault="00A056B6" w:rsidP="00743A5F">
      <w:pPr>
        <w:pStyle w:val="NormalWeb"/>
        <w:tabs>
          <w:tab w:val="num" w:pos="720"/>
        </w:tabs>
        <w:spacing w:before="0" w:beforeAutospacing="0"/>
        <w:ind w:left="720" w:hanging="360"/>
      </w:pPr>
      <w:r>
        <w:rPr>
          <w:rStyle w:val="Strong"/>
        </w:rPr>
        <w:t>Assessee's Arguments:</w:t>
      </w:r>
    </w:p>
    <w:p w:rsidR="00A056B6" w:rsidRDefault="00A056B6" w:rsidP="00743A5F">
      <w:pPr>
        <w:pStyle w:val="NormalWeb"/>
        <w:numPr>
          <w:ilvl w:val="1"/>
          <w:numId w:val="0"/>
        </w:numPr>
        <w:tabs>
          <w:tab w:val="num" w:pos="1440"/>
        </w:tabs>
        <w:spacing w:before="0" w:beforeAutospacing="0"/>
        <w:ind w:left="1440" w:hanging="360"/>
      </w:pPr>
      <w:r>
        <w:t>Halliburton Export Inc. argued that the services provided did not make available technical knowledge, experience, skill, know-how, or processes to ONGC, as required under Article 12(4)(b) of the DTAA.</w:t>
      </w:r>
    </w:p>
    <w:p w:rsidR="00A056B6" w:rsidRDefault="00A056B6" w:rsidP="00743A5F">
      <w:pPr>
        <w:pStyle w:val="NormalWeb"/>
        <w:numPr>
          <w:ilvl w:val="1"/>
          <w:numId w:val="0"/>
        </w:numPr>
        <w:tabs>
          <w:tab w:val="num" w:pos="1440"/>
        </w:tabs>
        <w:spacing w:before="0" w:beforeAutospacing="0"/>
        <w:ind w:left="1440" w:hanging="360"/>
      </w:pPr>
      <w:r>
        <w:t>The company maintained that the payments were for services that did not enable ONGC to apply the technology independently, and thus should not be classified as "fees for included services."</w:t>
      </w:r>
    </w:p>
    <w:p w:rsidR="00A056B6" w:rsidRDefault="00A056B6" w:rsidP="00743A5F">
      <w:pPr>
        <w:pStyle w:val="NormalWeb"/>
        <w:spacing w:before="0" w:beforeAutospacing="0"/>
      </w:pPr>
      <w:r>
        <w:rPr>
          <w:rStyle w:val="Strong"/>
        </w:rPr>
        <w:t>Court's Analysis:</w:t>
      </w:r>
    </w:p>
    <w:p w:rsidR="00A056B6" w:rsidRDefault="00A056B6" w:rsidP="00743A5F">
      <w:pPr>
        <w:pStyle w:val="NormalWeb"/>
        <w:tabs>
          <w:tab w:val="num" w:pos="720"/>
        </w:tabs>
        <w:spacing w:before="0" w:beforeAutospacing="0"/>
        <w:ind w:left="720" w:hanging="360"/>
      </w:pPr>
      <w:r>
        <w:rPr>
          <w:rStyle w:val="Strong"/>
        </w:rPr>
        <w:t>Interpretation of "Fees for Included Services":</w:t>
      </w:r>
      <w:r>
        <w:t xml:space="preserve"> The court analyzed Article 12(4)(b) of the India-U.S. DTAA, which defines "fees for included services" as payments for services that make available technical knowledge, experience, skill, know-how, or processes, or consist of the development and transfer of a technical plan or technical design.</w:t>
      </w:r>
    </w:p>
    <w:p w:rsidR="00A056B6" w:rsidRDefault="00A056B6" w:rsidP="00743A5F">
      <w:pPr>
        <w:pStyle w:val="NormalWeb"/>
        <w:tabs>
          <w:tab w:val="num" w:pos="720"/>
        </w:tabs>
        <w:spacing w:before="0" w:beforeAutospacing="0"/>
        <w:ind w:left="720" w:hanging="360"/>
      </w:pPr>
      <w:r>
        <w:rPr>
          <w:rStyle w:val="Strong"/>
        </w:rPr>
        <w:t>Nature of Services Provided:</w:t>
      </w:r>
      <w:r>
        <w:t xml:space="preserve"> The court examined the nature of the seismic data acquisition and processing services provided by Halliburton Export Inc. and whether these services enabled ONGC to apply the technical knowledge independently without the provider's assistance.</w:t>
      </w:r>
    </w:p>
    <w:p w:rsidR="00A056B6" w:rsidRDefault="00A056B6" w:rsidP="00743A5F">
      <w:pPr>
        <w:pStyle w:val="NormalWeb"/>
        <w:spacing w:before="0" w:beforeAutospacing="0"/>
      </w:pPr>
      <w:r>
        <w:rPr>
          <w:rStyle w:val="Strong"/>
        </w:rPr>
        <w:t>Ruling and Reasoning:</w:t>
      </w:r>
    </w:p>
    <w:p w:rsidR="00A056B6" w:rsidRDefault="00A056B6" w:rsidP="00743A5F">
      <w:pPr>
        <w:pStyle w:val="NormalWeb"/>
        <w:tabs>
          <w:tab w:val="num" w:pos="720"/>
        </w:tabs>
        <w:spacing w:before="0" w:beforeAutospacing="0"/>
        <w:ind w:left="720" w:hanging="360"/>
      </w:pPr>
      <w:r>
        <w:rPr>
          <w:rStyle w:val="Strong"/>
        </w:rPr>
        <w:t>Services Not Classified as "Fees for Included Services":</w:t>
      </w:r>
      <w:r>
        <w:t xml:space="preserve"> The Delhi High Court concluded that the seismic data acquisition and processing services provided by Halliburton Export Inc. did not make available technical knowledge, experience, skill, know-how, or processes to ONGC.</w:t>
      </w:r>
    </w:p>
    <w:p w:rsidR="00A056B6" w:rsidRDefault="00A056B6" w:rsidP="00743A5F">
      <w:pPr>
        <w:pStyle w:val="NormalWeb"/>
        <w:tabs>
          <w:tab w:val="num" w:pos="720"/>
        </w:tabs>
        <w:spacing w:before="0" w:beforeAutospacing="0"/>
        <w:ind w:left="720" w:hanging="360"/>
      </w:pPr>
      <w:r>
        <w:rPr>
          <w:rStyle w:val="Strong"/>
        </w:rPr>
        <w:t>No Transfer of Technical Knowledge:</w:t>
      </w:r>
      <w:r>
        <w:t xml:space="preserve"> The court reasoned that while the services were technical in nature, they did not enable ONGC to perform the seismic data acquisition and processing independently without the assistance of Halliburton Export Inc.</w:t>
      </w:r>
    </w:p>
    <w:p w:rsidR="00A056B6" w:rsidRDefault="00A056B6" w:rsidP="00743A5F">
      <w:pPr>
        <w:pStyle w:val="NormalWeb"/>
        <w:tabs>
          <w:tab w:val="num" w:pos="720"/>
        </w:tabs>
        <w:spacing w:before="0" w:beforeAutospacing="0"/>
        <w:ind w:left="720" w:hanging="360"/>
      </w:pPr>
      <w:r>
        <w:rPr>
          <w:rStyle w:val="Strong"/>
        </w:rPr>
        <w:lastRenderedPageBreak/>
        <w:t>Payments Not Taxable as "Fees for Included Services":</w:t>
      </w:r>
      <w:r>
        <w:t xml:space="preserve"> Consequently, the payments received by Halliburton Export Inc. were not taxable in India as "fees for included services" under Article 12 of the India-U.S. DTAA.</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clarifies that for payments to be classified as "fees for included services" under the India-U.S. DTAA, the services must not only be technical but also make available technical knowledge or skills that enable the recipient to apply the technology independently. In this case, since the services provided by Halliburton Export Inc. did not meet this criterion, the payments were not taxable in India under the DTAA provisions.</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Commissioner of Income Tax &amp; Anr. v. Halliburton Export Inc. &amp; Anr., (2016) 96 CCH 0060 (Delhi High Court), ITA Nos. 363/2016 and 365/2016.</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39" w:tgtFrame="_new" w:history="1">
        <w:r>
          <w:rPr>
            <w:rStyle w:val="Hyperlink"/>
          </w:rPr>
          <w:t>ITAT Online</w:t>
        </w:r>
      </w:hyperlink>
    </w:p>
    <w:p w:rsidR="00A056B6" w:rsidRDefault="00A056B6" w:rsidP="00743A5F">
      <w:pPr>
        <w:pStyle w:val="NormalWeb"/>
        <w:spacing w:before="0" w:beforeAutospacing="0"/>
      </w:pPr>
      <w:r>
        <w:t>This decision provides significant guidance on the interpretation of "fees for included services" in international taxation, particularly concerning the India-U.S. DTAA.</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National Petroleum Construction Company v DIT - (2016) 66 taxmann.com 16 (Del) [India - UAE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06501F0C" wp14:editId="4AC3BEB7">
            <wp:extent cx="763905" cy="763905"/>
            <wp:effectExtent l="0" t="0" r="0" b="0"/>
            <wp:docPr id="448" name="Picture 44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0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National Petroleum Construction Company v. Director of Income Tax (International Taxation)</w:t>
      </w:r>
      <w:r>
        <w:t xml:space="preserve">, the </w:t>
      </w:r>
      <w:r>
        <w:rPr>
          <w:rStyle w:val="Strong"/>
        </w:rPr>
        <w:t>Delhi High Court</w:t>
      </w:r>
      <w:r>
        <w:t xml:space="preserve"> examined the tax implications for National Petroleum Construction Company (NPCC), a company incorporated in the United Arab Emirates (UAE), concerning its operations in India under the India-UAE Double Taxation Avoidance Agreement (DTAA).</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Assessee:</w:t>
      </w:r>
      <w:r>
        <w:t xml:space="preserve"> National Petroleum Construction Company (NPCC), a UAE-based company specializing in offshore construction and related services for the oil and gas sector.</w:t>
      </w:r>
    </w:p>
    <w:p w:rsidR="00A056B6" w:rsidRDefault="00A056B6" w:rsidP="00743A5F">
      <w:pPr>
        <w:pStyle w:val="NormalWeb"/>
        <w:tabs>
          <w:tab w:val="num" w:pos="720"/>
        </w:tabs>
        <w:spacing w:before="0" w:beforeAutospacing="0"/>
        <w:ind w:left="720" w:hanging="360"/>
      </w:pPr>
      <w:r>
        <w:rPr>
          <w:rStyle w:val="Strong"/>
        </w:rPr>
        <w:t>Contracts with ONGC:</w:t>
      </w:r>
      <w:r>
        <w:t xml:space="preserve"> NPCC entered into contracts with Oil and Natural Gas Corporation (ONGC) for executing projects involving the design, engineering, procurement, fabrication, installation, and commissioning of offshore platforms and submarine pipelines in Indian territorial waters.</w:t>
      </w:r>
    </w:p>
    <w:p w:rsidR="00A056B6" w:rsidRDefault="00A056B6" w:rsidP="00743A5F">
      <w:pPr>
        <w:pStyle w:val="NormalWeb"/>
        <w:tabs>
          <w:tab w:val="num" w:pos="720"/>
        </w:tabs>
        <w:spacing w:before="0" w:beforeAutospacing="0"/>
        <w:ind w:left="720" w:hanging="360"/>
      </w:pPr>
      <w:r>
        <w:rPr>
          <w:rStyle w:val="Strong"/>
        </w:rPr>
        <w:lastRenderedPageBreak/>
        <w:t>Project Execution:</w:t>
      </w:r>
      <w:r>
        <w:t xml:space="preserve"> The projects were executed through NPCC's project office in India, which facilitated communication and coordination between NPCC's head office and ONGC.</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Existence of Permanent Establishment (PE):</w:t>
      </w:r>
      <w:r>
        <w:t xml:space="preserve"> Whether NPCC's project office in India constituted a Permanent Establishment under Article 5 of the India-UAE DTAA.</w:t>
      </w:r>
    </w:p>
    <w:p w:rsidR="00A056B6" w:rsidRDefault="00A056B6" w:rsidP="00743A5F">
      <w:pPr>
        <w:pStyle w:val="NormalWeb"/>
        <w:tabs>
          <w:tab w:val="num" w:pos="720"/>
        </w:tabs>
        <w:spacing w:before="0" w:beforeAutospacing="0"/>
        <w:ind w:left="720" w:hanging="360"/>
      </w:pPr>
      <w:r>
        <w:rPr>
          <w:rStyle w:val="Strong"/>
        </w:rPr>
        <w:t>Attribution of Income:</w:t>
      </w:r>
      <w:r>
        <w:t xml:space="preserve"> If a PE existed, the extent of income attributable to such PE and its taxability in India.</w:t>
      </w:r>
    </w:p>
    <w:p w:rsidR="00A056B6" w:rsidRDefault="00A056B6" w:rsidP="00743A5F">
      <w:pPr>
        <w:pStyle w:val="NormalWeb"/>
        <w:spacing w:before="0" w:beforeAutospacing="0"/>
      </w:pPr>
      <w:r>
        <w:rPr>
          <w:rStyle w:val="Strong"/>
        </w:rPr>
        <w:t>Assessee's Arguments:</w:t>
      </w:r>
    </w:p>
    <w:p w:rsidR="00A056B6" w:rsidRDefault="00A056B6" w:rsidP="00743A5F">
      <w:pPr>
        <w:pStyle w:val="NormalWeb"/>
        <w:tabs>
          <w:tab w:val="num" w:pos="720"/>
        </w:tabs>
        <w:spacing w:before="0" w:beforeAutospacing="0"/>
        <w:ind w:left="720" w:hanging="360"/>
      </w:pPr>
      <w:r>
        <w:rPr>
          <w:rStyle w:val="Strong"/>
        </w:rPr>
        <w:t>No PE in India:</w:t>
      </w:r>
      <w:r>
        <w:t xml:space="preserve"> NPCC contended that its project office in India was solely for auxiliary and preparatory activities, such as liaison and coordination, which do not constitute a PE under Article 5(3)(e) of the DTAA.</w:t>
      </w:r>
    </w:p>
    <w:p w:rsidR="00A056B6" w:rsidRDefault="00A056B6" w:rsidP="00743A5F">
      <w:pPr>
        <w:pStyle w:val="NormalWeb"/>
        <w:tabs>
          <w:tab w:val="num" w:pos="720"/>
        </w:tabs>
        <w:spacing w:before="0" w:beforeAutospacing="0"/>
        <w:ind w:left="720" w:hanging="360"/>
      </w:pPr>
      <w:r>
        <w:rPr>
          <w:rStyle w:val="Strong"/>
        </w:rPr>
        <w:t>Income Not Attributable to PE:</w:t>
      </w:r>
      <w:r>
        <w:t xml:space="preserve"> NPCC argued that the core activities related to the contracts, including fabrication and procurement, were conducted outside India, and therefore, the income from such activities should not be taxable in India.</w:t>
      </w:r>
    </w:p>
    <w:p w:rsidR="00A056B6" w:rsidRDefault="00A056B6" w:rsidP="00743A5F">
      <w:pPr>
        <w:pStyle w:val="NormalWeb"/>
        <w:spacing w:before="0" w:beforeAutospacing="0"/>
      </w:pPr>
      <w:r>
        <w:rPr>
          <w:rStyle w:val="Strong"/>
        </w:rPr>
        <w:t>Revenue's Arguments:</w:t>
      </w:r>
    </w:p>
    <w:p w:rsidR="00A056B6" w:rsidRDefault="00A056B6" w:rsidP="00743A5F">
      <w:pPr>
        <w:pStyle w:val="NormalWeb"/>
        <w:tabs>
          <w:tab w:val="num" w:pos="720"/>
        </w:tabs>
        <w:spacing w:before="0" w:beforeAutospacing="0"/>
        <w:ind w:left="720" w:hanging="360"/>
      </w:pPr>
      <w:r>
        <w:rPr>
          <w:rStyle w:val="Strong"/>
        </w:rPr>
        <w:t>Existence of PE:</w:t>
      </w:r>
      <w:r>
        <w:t xml:space="preserve"> The Revenue asserted that NPCC's project office in India was involved in the execution of contracts and not merely in auxiliary or preparatory activities, thereby constituting a PE under Article 5 of the DTAA.</w:t>
      </w:r>
    </w:p>
    <w:p w:rsidR="00A056B6" w:rsidRDefault="00A056B6" w:rsidP="00743A5F">
      <w:pPr>
        <w:pStyle w:val="NormalWeb"/>
        <w:tabs>
          <w:tab w:val="num" w:pos="720"/>
        </w:tabs>
        <w:spacing w:before="0" w:beforeAutospacing="0"/>
        <w:ind w:left="720" w:hanging="360"/>
      </w:pPr>
      <w:r>
        <w:rPr>
          <w:rStyle w:val="Strong"/>
        </w:rPr>
        <w:t>Attribution of Income:</w:t>
      </w:r>
      <w:r>
        <w:t xml:space="preserve"> The Revenue contended that a significant portion of the contract activities was performed in India, and thus, the corresponding income should be attributed to the Indian PE and taxed accordingly.</w:t>
      </w:r>
    </w:p>
    <w:p w:rsidR="00A056B6" w:rsidRDefault="00A056B6" w:rsidP="00743A5F">
      <w:pPr>
        <w:pStyle w:val="NormalWeb"/>
        <w:spacing w:before="0" w:beforeAutospacing="0"/>
      </w:pPr>
      <w:r>
        <w:rPr>
          <w:rStyle w:val="Strong"/>
        </w:rPr>
        <w:t>Court's Analysis:</w:t>
      </w:r>
    </w:p>
    <w:p w:rsidR="00A056B6" w:rsidRDefault="00A056B6" w:rsidP="00743A5F">
      <w:pPr>
        <w:pStyle w:val="NormalWeb"/>
        <w:tabs>
          <w:tab w:val="num" w:pos="720"/>
        </w:tabs>
        <w:spacing w:before="0" w:beforeAutospacing="0"/>
        <w:ind w:left="720" w:hanging="360"/>
      </w:pPr>
      <w:r>
        <w:rPr>
          <w:rStyle w:val="Strong"/>
        </w:rPr>
        <w:t>Nature of Project Office Activities:</w:t>
      </w:r>
      <w:r>
        <w:t xml:space="preserve"> The court examined the functions performed by NPCC's project office in India, assessing whether they were limited to auxiliary and preparatory activities or extended to core business operations.</w:t>
      </w:r>
    </w:p>
    <w:p w:rsidR="00A056B6" w:rsidRDefault="00A056B6" w:rsidP="00743A5F">
      <w:pPr>
        <w:pStyle w:val="NormalWeb"/>
        <w:tabs>
          <w:tab w:val="num" w:pos="720"/>
        </w:tabs>
        <w:spacing w:before="0" w:beforeAutospacing="0"/>
        <w:ind w:left="720" w:hanging="360"/>
      </w:pPr>
      <w:r>
        <w:rPr>
          <w:rStyle w:val="Strong"/>
        </w:rPr>
        <w:t>Functional and Revenue Attribution:</w:t>
      </w:r>
      <w:r>
        <w:t xml:space="preserve"> The court analyzed the extent of activities carried out in India and the revenue generated from such activities to determine the appropriate attribution of income to the Indian operations.</w:t>
      </w:r>
    </w:p>
    <w:p w:rsidR="00A056B6" w:rsidRDefault="00A056B6" w:rsidP="00743A5F">
      <w:pPr>
        <w:pStyle w:val="NormalWeb"/>
        <w:spacing w:before="0" w:beforeAutospacing="0"/>
      </w:pPr>
      <w:r>
        <w:rPr>
          <w:rStyle w:val="Strong"/>
        </w:rPr>
        <w:t>Ruling and Reasoning:</w:t>
      </w:r>
    </w:p>
    <w:p w:rsidR="00A056B6" w:rsidRDefault="00A056B6" w:rsidP="00743A5F">
      <w:pPr>
        <w:pStyle w:val="NormalWeb"/>
        <w:tabs>
          <w:tab w:val="num" w:pos="720"/>
        </w:tabs>
        <w:spacing w:before="0" w:beforeAutospacing="0"/>
        <w:ind w:left="720" w:hanging="360"/>
      </w:pPr>
      <w:r>
        <w:rPr>
          <w:rStyle w:val="Strong"/>
        </w:rPr>
        <w:t>Existence of PE:</w:t>
      </w:r>
      <w:r>
        <w:t xml:space="preserve"> The Delhi High Court concluded that NPCC's project office in India was engaged in activities beyond mere auxiliary or preparatory work, including significant aspects of contract execution. Therefore, it constituted a PE under Article 5 of the India-UAE DTAA.</w:t>
      </w:r>
    </w:p>
    <w:p w:rsidR="00A056B6" w:rsidRDefault="00A056B6" w:rsidP="00743A5F">
      <w:pPr>
        <w:pStyle w:val="NormalWeb"/>
        <w:tabs>
          <w:tab w:val="num" w:pos="720"/>
        </w:tabs>
        <w:spacing w:before="0" w:beforeAutospacing="0"/>
        <w:ind w:left="720" w:hanging="360"/>
      </w:pPr>
      <w:r>
        <w:rPr>
          <w:rStyle w:val="Strong"/>
        </w:rPr>
        <w:lastRenderedPageBreak/>
        <w:t>Attribution of Income:</w:t>
      </w:r>
      <w:r>
        <w:t xml:space="preserve"> The court held that income attributable to the activities carried out by the PE in India was taxable in India. The court emphasized the need for a detailed assessment to accurately determine the portion of income related to the Indian operations.</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underscores the importance of evaluating the nature and scope of activities conducted by a foreign enterprise's presence in India to determine the existence of a Permanent Establishment under the DTAA. It also highlights the necessity of accurately attributing income to such a PE based on the functions performed, assets used, and risks assumed in India.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National Petroleum Construction Company v. Director of Income Tax (International Taxation), [2016] 66 taxmann.com 16 (Delhi High Court).</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40" w:tgtFrame="_new" w:history="1">
        <w:r>
          <w:rPr>
            <w:rStyle w:val="Hyperlink"/>
          </w:rPr>
          <w:t>Indian Kanoon</w:t>
        </w:r>
      </w:hyperlink>
    </w:p>
    <w:p w:rsidR="00A056B6" w:rsidRDefault="00A056B6" w:rsidP="00743A5F">
      <w:pPr>
        <w:pStyle w:val="NormalWeb"/>
        <w:spacing w:before="0" w:beforeAutospacing="0"/>
      </w:pPr>
      <w:r>
        <w:t>This decision provides clarity on the interpretation of Permanent Establishment provisions under the India-UAE DTAA and the taxation of income attributable to such establishments in India.</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Mitsui &amp; Co. Ltd. TS-310-HC-2017(DEL) (ITA 13/2005 dated July 27, 2017)</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52784487" wp14:editId="6AE9C4E9">
            <wp:extent cx="763905" cy="763905"/>
            <wp:effectExtent l="0" t="0" r="0" b="0"/>
            <wp:docPr id="447" name="Picture 44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0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Director of Income Tax v. Mitsui &amp; Co. Ltd.</w:t>
      </w:r>
      <w:r>
        <w:t xml:space="preserve">, the </w:t>
      </w:r>
      <w:r>
        <w:rPr>
          <w:rStyle w:val="Strong"/>
        </w:rPr>
        <w:t>Delhi High Court</w:t>
      </w:r>
      <w:r>
        <w:t xml:space="preserve"> examined whether Mitsui &amp; Co. Ltd., a Japanese corporation, had a Permanent Establishment (PE) in India under the India-Japan Double Taxation Avoidance Agreement (DTAA) and the consequent tax implications for the Assessment Years (AY) 1994-95 and 1995-96.</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Assessee:</w:t>
      </w:r>
      <w:r>
        <w:t xml:space="preserve"> Mitsui &amp; Co. Ltd., a company incorporated in Japan, engaged in various business activities, including trading and project execution.</w:t>
      </w:r>
    </w:p>
    <w:p w:rsidR="00A056B6" w:rsidRDefault="00A056B6" w:rsidP="00743A5F">
      <w:pPr>
        <w:pStyle w:val="NormalWeb"/>
        <w:tabs>
          <w:tab w:val="num" w:pos="720"/>
        </w:tabs>
        <w:spacing w:before="0" w:beforeAutospacing="0"/>
        <w:ind w:left="720" w:hanging="360"/>
      </w:pPr>
      <w:r>
        <w:rPr>
          <w:rStyle w:val="Strong"/>
        </w:rPr>
        <w:t>Operations in India:</w:t>
      </w:r>
      <w:r>
        <w:t xml:space="preserve"> The company had two projects in India during the relevant assessment years: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lastRenderedPageBreak/>
        <w:t>Anpara Thermal Power Project:</w:t>
      </w:r>
      <w:r>
        <w:t xml:space="preserve"> Executed for the Uttar Pradesh State Electricity Board (UPSEB).</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New Delhi Cable Project:</w:t>
      </w:r>
      <w:r>
        <w:t xml:space="preserve"> Executed for the Delhi Electric Supply Undertaking (DESU).</w:t>
      </w:r>
    </w:p>
    <w:p w:rsidR="00A056B6" w:rsidRDefault="00A056B6" w:rsidP="00743A5F">
      <w:pPr>
        <w:pStyle w:val="NormalWeb"/>
        <w:tabs>
          <w:tab w:val="num" w:pos="720"/>
        </w:tabs>
        <w:spacing w:before="0" w:beforeAutospacing="0"/>
        <w:ind w:left="720" w:hanging="360"/>
      </w:pPr>
      <w:r>
        <w:rPr>
          <w:rStyle w:val="Strong"/>
        </w:rPr>
        <w:t>Project Offices:</w:t>
      </w:r>
      <w:r>
        <w:t xml:space="preserve"> Mitsui established project offices in India to coordinate and execute these projects.</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Existence of Permanent Establishment (PE):</w:t>
      </w:r>
      <w:r>
        <w:t xml:space="preserve"> Whether the project offices of Mitsui &amp; Co. Ltd. in India constituted a PE under Article 5 of the India-Japan DTAA.</w:t>
      </w:r>
    </w:p>
    <w:p w:rsidR="00A056B6" w:rsidRDefault="00A056B6" w:rsidP="00743A5F">
      <w:pPr>
        <w:pStyle w:val="NormalWeb"/>
        <w:tabs>
          <w:tab w:val="num" w:pos="720"/>
        </w:tabs>
        <w:spacing w:before="0" w:beforeAutospacing="0"/>
        <w:ind w:left="720" w:hanging="360"/>
      </w:pPr>
      <w:r>
        <w:rPr>
          <w:rStyle w:val="Strong"/>
        </w:rPr>
        <w:t>Attribution of Income:</w:t>
      </w:r>
      <w:r>
        <w:t xml:space="preserve"> If a PE existed, the extent of income attributable to such PE and its taxability in India.</w:t>
      </w:r>
    </w:p>
    <w:p w:rsidR="00A056B6" w:rsidRDefault="00A056B6" w:rsidP="00743A5F">
      <w:pPr>
        <w:pStyle w:val="NormalWeb"/>
        <w:spacing w:before="0" w:beforeAutospacing="0"/>
      </w:pPr>
      <w:r>
        <w:rPr>
          <w:rStyle w:val="Strong"/>
        </w:rPr>
        <w:t>Assessee's Arguments:</w:t>
      </w:r>
    </w:p>
    <w:p w:rsidR="00A056B6" w:rsidRDefault="00A056B6" w:rsidP="00743A5F">
      <w:pPr>
        <w:pStyle w:val="NormalWeb"/>
        <w:tabs>
          <w:tab w:val="num" w:pos="720"/>
        </w:tabs>
        <w:spacing w:before="0" w:beforeAutospacing="0"/>
        <w:ind w:left="720" w:hanging="360"/>
      </w:pPr>
      <w:r>
        <w:rPr>
          <w:rStyle w:val="Strong"/>
        </w:rPr>
        <w:t>No PE in India:</w:t>
      </w:r>
      <w:r>
        <w:t xml:space="preserve"> Mitsui contended that its project offices in India were engaged solely in preparatory and auxiliary activities, such as liaison and coordination, which do not constitute a PE under Article 5(4) of the DTAA.</w:t>
      </w:r>
    </w:p>
    <w:p w:rsidR="00A056B6" w:rsidRDefault="00A056B6" w:rsidP="00743A5F">
      <w:pPr>
        <w:pStyle w:val="NormalWeb"/>
        <w:tabs>
          <w:tab w:val="num" w:pos="720"/>
        </w:tabs>
        <w:spacing w:before="0" w:beforeAutospacing="0"/>
        <w:ind w:left="720" w:hanging="360"/>
      </w:pPr>
      <w:r>
        <w:rPr>
          <w:rStyle w:val="Strong"/>
        </w:rPr>
        <w:t>Income Not Attributable to PE:</w:t>
      </w:r>
      <w:r>
        <w:t xml:space="preserve"> The company argued that the core activities related to the projects, including procurement and fabrication, were conducted outside India, and therefore, the income from such activities should not be taxable in India.</w:t>
      </w:r>
    </w:p>
    <w:p w:rsidR="00A056B6" w:rsidRDefault="00A056B6" w:rsidP="00743A5F">
      <w:pPr>
        <w:pStyle w:val="NormalWeb"/>
        <w:spacing w:before="0" w:beforeAutospacing="0"/>
      </w:pPr>
      <w:r>
        <w:rPr>
          <w:rStyle w:val="Strong"/>
        </w:rPr>
        <w:t>Revenue's Arguments:</w:t>
      </w:r>
    </w:p>
    <w:p w:rsidR="00A056B6" w:rsidRDefault="00A056B6" w:rsidP="00743A5F">
      <w:pPr>
        <w:pStyle w:val="NormalWeb"/>
        <w:tabs>
          <w:tab w:val="num" w:pos="720"/>
        </w:tabs>
        <w:spacing w:before="0" w:beforeAutospacing="0"/>
        <w:ind w:left="720" w:hanging="360"/>
      </w:pPr>
      <w:r>
        <w:rPr>
          <w:rStyle w:val="Strong"/>
        </w:rPr>
        <w:t>Existence of PE:</w:t>
      </w:r>
      <w:r>
        <w:t xml:space="preserve"> The Revenue asserted that Mitsui's project offices in India were involved in the execution of contracts and not merely in auxiliary or preparatory activities, thereby constituting a PE under Article 5 of the DTAA.</w:t>
      </w:r>
    </w:p>
    <w:p w:rsidR="00A056B6" w:rsidRDefault="00A056B6" w:rsidP="00743A5F">
      <w:pPr>
        <w:pStyle w:val="NormalWeb"/>
        <w:tabs>
          <w:tab w:val="num" w:pos="720"/>
        </w:tabs>
        <w:spacing w:before="0" w:beforeAutospacing="0"/>
        <w:ind w:left="720" w:hanging="360"/>
      </w:pPr>
      <w:r>
        <w:rPr>
          <w:rStyle w:val="Strong"/>
        </w:rPr>
        <w:t>Attribution of Income:</w:t>
      </w:r>
      <w:r>
        <w:t xml:space="preserve"> The Revenue contended that a significant portion of the contract activities was performed in India, and thus, the corresponding income should be attributed to the Indian PE and taxed accordingly.</w:t>
      </w:r>
    </w:p>
    <w:p w:rsidR="00A056B6" w:rsidRDefault="00A056B6" w:rsidP="00743A5F">
      <w:pPr>
        <w:pStyle w:val="NormalWeb"/>
        <w:spacing w:before="0" w:beforeAutospacing="0"/>
      </w:pPr>
      <w:r>
        <w:rPr>
          <w:rStyle w:val="Strong"/>
        </w:rPr>
        <w:t>Court's Analysis:</w:t>
      </w:r>
    </w:p>
    <w:p w:rsidR="00A056B6" w:rsidRDefault="00A056B6" w:rsidP="00743A5F">
      <w:pPr>
        <w:pStyle w:val="NormalWeb"/>
        <w:tabs>
          <w:tab w:val="num" w:pos="720"/>
        </w:tabs>
        <w:spacing w:before="0" w:beforeAutospacing="0"/>
        <w:ind w:left="720" w:hanging="360"/>
      </w:pPr>
      <w:r>
        <w:rPr>
          <w:rStyle w:val="Strong"/>
        </w:rPr>
        <w:t>Nature of Project Office Activities:</w:t>
      </w:r>
      <w:r>
        <w:t xml:space="preserve"> The court examined the functions performed by Mitsui's project offices in India, assessing whether they were limited to auxiliary and preparatory activities or extended to core business operations.</w:t>
      </w:r>
    </w:p>
    <w:p w:rsidR="00A056B6" w:rsidRDefault="00A056B6" w:rsidP="00743A5F">
      <w:pPr>
        <w:pStyle w:val="NormalWeb"/>
        <w:tabs>
          <w:tab w:val="num" w:pos="720"/>
        </w:tabs>
        <w:spacing w:before="0" w:beforeAutospacing="0"/>
        <w:ind w:left="720" w:hanging="360"/>
      </w:pPr>
      <w:r>
        <w:rPr>
          <w:rStyle w:val="Strong"/>
        </w:rPr>
        <w:t>Functional and Revenue Attribution:</w:t>
      </w:r>
      <w:r>
        <w:t xml:space="preserve"> The court analyzed the extent of activities carried out in India and the revenue generated from such activities to determine the appropriate attribution of income to the Indian operations.</w:t>
      </w:r>
    </w:p>
    <w:p w:rsidR="00A056B6" w:rsidRDefault="00A056B6" w:rsidP="00743A5F">
      <w:pPr>
        <w:pStyle w:val="NormalWeb"/>
        <w:spacing w:before="0" w:beforeAutospacing="0"/>
      </w:pPr>
      <w:r>
        <w:rPr>
          <w:rStyle w:val="Strong"/>
        </w:rPr>
        <w:t>Ruling and Reasoning:</w:t>
      </w:r>
    </w:p>
    <w:p w:rsidR="00A056B6" w:rsidRDefault="00A056B6" w:rsidP="00743A5F">
      <w:pPr>
        <w:pStyle w:val="NormalWeb"/>
        <w:tabs>
          <w:tab w:val="num" w:pos="720"/>
        </w:tabs>
        <w:spacing w:before="0" w:beforeAutospacing="0"/>
        <w:ind w:left="720" w:hanging="360"/>
      </w:pPr>
      <w:r>
        <w:rPr>
          <w:rStyle w:val="Strong"/>
        </w:rPr>
        <w:t>Existence of PE:</w:t>
      </w:r>
      <w:r>
        <w:t xml:space="preserve"> The Delhi High Court concluded that Mitsui's project offices in India were engaged in activities beyond mere auxiliary or preparatory work, including </w:t>
      </w:r>
      <w:r>
        <w:lastRenderedPageBreak/>
        <w:t>significant aspects of contract execution. Therefore, they constituted a PE under Article 5 of the India-Japan DTAA.</w:t>
      </w:r>
    </w:p>
    <w:p w:rsidR="00A056B6" w:rsidRDefault="00A056B6" w:rsidP="00743A5F">
      <w:pPr>
        <w:pStyle w:val="NormalWeb"/>
        <w:tabs>
          <w:tab w:val="num" w:pos="720"/>
        </w:tabs>
        <w:spacing w:before="0" w:beforeAutospacing="0"/>
        <w:ind w:left="720" w:hanging="360"/>
      </w:pPr>
      <w:r>
        <w:rPr>
          <w:rStyle w:val="Strong"/>
        </w:rPr>
        <w:t>Attribution of Income:</w:t>
      </w:r>
      <w:r>
        <w:t xml:space="preserve"> The court held that income attributable to the activities carried out by the PE in India was taxable in India. The court emphasized the need for a detailed assessment to accurately determine the portion of income related to the Indian operations.</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underscores the importance of evaluating the nature and scope of activities conducted by a foreign enterprise's presence in India to determine the existence of a Permanent Establishment under the DTAA. It also highlights the necessity of accurately attributing income to such a PE based on the functions performed, assets used, and risks assumed in India.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Director of Income Tax v. Mitsui &amp; Co. Ltd., [2017] 395 ITR 277 (Delhi).</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41" w:tgtFrame="_new" w:history="1">
        <w:r>
          <w:rPr>
            <w:rStyle w:val="Hyperlink"/>
          </w:rPr>
          <w:t>Indian Kanoon</w:t>
        </w:r>
      </w:hyperlink>
    </w:p>
    <w:p w:rsidR="00A056B6" w:rsidRDefault="00A056B6" w:rsidP="00743A5F">
      <w:pPr>
        <w:pStyle w:val="NormalWeb"/>
        <w:spacing w:before="0" w:beforeAutospacing="0"/>
      </w:pPr>
      <w:r>
        <w:t>This decision provides clarity on the interpretation of Permanent Establishment provisions under the India-Japan DTAA and the taxation of income attributable to such establishments in India.</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Daikin Industries Ltd. vs ACIT [2018] 94 taxmann.com 299 (Delhi- Trib.) – ITA NO 1623 of 2015 dated 28.05.2018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2533FEA1" wp14:editId="56BC3430">
            <wp:extent cx="763905" cy="763905"/>
            <wp:effectExtent l="0" t="0" r="0" b="0"/>
            <wp:docPr id="446" name="Picture 44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0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Daikin Industries Ltd. v. Assistant Commissioner of Income Tax</w:t>
      </w:r>
      <w:r>
        <w:t xml:space="preserve">, the </w:t>
      </w:r>
      <w:r>
        <w:rPr>
          <w:rStyle w:val="Strong"/>
        </w:rPr>
        <w:t>Income Tax Appellate Tribunal (ITAT) Delhi Bench</w:t>
      </w:r>
      <w:r>
        <w:t xml:space="preserve"> addressed the tax implications of Daikin Industries Ltd., a Japanese company, concerning its business operations and transactions in India for the Assessment Year (AY) 2006-07.</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Assessee:</w:t>
      </w:r>
      <w:r>
        <w:t xml:space="preserve"> Daikin Industries Ltd., a company incorporated in Japan, engaged in the development, manufacture, assembly, and supply of air-conditioning and refrigeration equipment.</w:t>
      </w:r>
    </w:p>
    <w:p w:rsidR="00A056B6" w:rsidRDefault="00A056B6" w:rsidP="00743A5F">
      <w:pPr>
        <w:pStyle w:val="NormalWeb"/>
        <w:tabs>
          <w:tab w:val="num" w:pos="720"/>
        </w:tabs>
        <w:spacing w:before="0" w:beforeAutospacing="0"/>
        <w:ind w:left="720" w:hanging="360"/>
      </w:pPr>
      <w:r>
        <w:rPr>
          <w:rStyle w:val="Strong"/>
        </w:rPr>
        <w:lastRenderedPageBreak/>
        <w:t>Indian Subsidiary:</w:t>
      </w:r>
      <w:r>
        <w:t xml:space="preserve"> The company had a wholly-owned subsidiary in India, Daikin Air-conditioning India Pvt. Ltd. (DAIPL).</w:t>
      </w:r>
    </w:p>
    <w:p w:rsidR="00A056B6" w:rsidRDefault="00A056B6" w:rsidP="00743A5F">
      <w:pPr>
        <w:pStyle w:val="NormalWeb"/>
        <w:tabs>
          <w:tab w:val="num" w:pos="720"/>
        </w:tabs>
        <w:spacing w:before="0" w:beforeAutospacing="0"/>
        <w:ind w:left="720" w:hanging="360"/>
      </w:pPr>
      <w:r>
        <w:rPr>
          <w:rStyle w:val="Strong"/>
        </w:rPr>
        <w:t>Business Operations:</w:t>
      </w:r>
      <w:r>
        <w:t xml:space="preserve"> During the relevant assessment year, Daikin Industries sold air-conditioners and related products worth ₹55.15 crore to DAIPL. Additionally, it made direct sales worth ₹45.40 crore to third parties in India. For these direct sales, Daikin Industries paid a 10% commission to DAIPL for marketing support services.</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Existence of Permanent Establishment (PE):</w:t>
      </w:r>
      <w:r>
        <w:t xml:space="preserve"> Whether DAIPL constituted a Dependent Agent Permanent Establishment (DAPE) of Daikin Industries in India under Article 5 of the India-Japan Double Taxation Avoidance Agreement (DTAA).</w:t>
      </w:r>
    </w:p>
    <w:p w:rsidR="00A056B6" w:rsidRDefault="00A056B6" w:rsidP="00743A5F">
      <w:pPr>
        <w:pStyle w:val="NormalWeb"/>
        <w:tabs>
          <w:tab w:val="num" w:pos="720"/>
        </w:tabs>
        <w:spacing w:before="0" w:beforeAutospacing="0"/>
        <w:ind w:left="720" w:hanging="360"/>
      </w:pPr>
      <w:r>
        <w:rPr>
          <w:rStyle w:val="Strong"/>
        </w:rPr>
        <w:t>Attribution of Income:</w:t>
      </w:r>
      <w:r>
        <w:t xml:space="preserve"> If a PE existed, the extent of income attributable to such PE and its taxability in India.</w:t>
      </w:r>
    </w:p>
    <w:p w:rsidR="00A056B6" w:rsidRDefault="00A056B6" w:rsidP="00743A5F">
      <w:pPr>
        <w:pStyle w:val="NormalWeb"/>
        <w:spacing w:before="0" w:beforeAutospacing="0"/>
      </w:pPr>
      <w:r>
        <w:rPr>
          <w:rStyle w:val="Strong"/>
        </w:rPr>
        <w:t>Assessee's Arguments:</w:t>
      </w:r>
    </w:p>
    <w:p w:rsidR="00A056B6" w:rsidRDefault="00A056B6" w:rsidP="00743A5F">
      <w:pPr>
        <w:pStyle w:val="NormalWeb"/>
        <w:tabs>
          <w:tab w:val="num" w:pos="720"/>
        </w:tabs>
        <w:spacing w:before="0" w:beforeAutospacing="0"/>
        <w:ind w:left="720" w:hanging="360"/>
      </w:pPr>
      <w:r>
        <w:rPr>
          <w:rStyle w:val="Strong"/>
        </w:rPr>
        <w:t>No PE in India:</w:t>
      </w:r>
      <w:r>
        <w:t xml:space="preserve"> Daikin Industries contended that DAIPL's role was limited to providing marketing support services as per the Commission Agreement dated December 22, 2005. The company maintained that all significant activities, including identifying customers, negotiating, and finalizing prices, were conducted directly from Japan.</w:t>
      </w:r>
    </w:p>
    <w:p w:rsidR="00A056B6" w:rsidRDefault="00A056B6" w:rsidP="00743A5F">
      <w:pPr>
        <w:pStyle w:val="NormalWeb"/>
        <w:tabs>
          <w:tab w:val="num" w:pos="720"/>
        </w:tabs>
        <w:spacing w:before="0" w:beforeAutospacing="0"/>
        <w:ind w:left="720" w:hanging="360"/>
      </w:pPr>
      <w:r>
        <w:rPr>
          <w:rStyle w:val="Strong"/>
        </w:rPr>
        <w:t>Adequate Compensation:</w:t>
      </w:r>
      <w:r>
        <w:t xml:space="preserve"> The assessee argued that the 10% commission paid to DAIPL for its services was at arm's length, and therefore, no further income should be attributed to a PE in India.</w:t>
      </w:r>
    </w:p>
    <w:p w:rsidR="00A056B6" w:rsidRDefault="00A056B6" w:rsidP="00743A5F">
      <w:pPr>
        <w:pStyle w:val="NormalWeb"/>
        <w:spacing w:before="0" w:beforeAutospacing="0"/>
      </w:pPr>
      <w:r>
        <w:rPr>
          <w:rStyle w:val="Strong"/>
        </w:rPr>
        <w:t>Revenue's Arguments:</w:t>
      </w:r>
    </w:p>
    <w:p w:rsidR="00A056B6" w:rsidRDefault="00A056B6" w:rsidP="00743A5F">
      <w:pPr>
        <w:pStyle w:val="NormalWeb"/>
        <w:tabs>
          <w:tab w:val="num" w:pos="720"/>
        </w:tabs>
        <w:spacing w:before="0" w:beforeAutospacing="0"/>
        <w:ind w:left="720" w:hanging="360"/>
      </w:pPr>
      <w:r>
        <w:rPr>
          <w:rStyle w:val="Strong"/>
        </w:rPr>
        <w:t>Existence of PE:</w:t>
      </w:r>
      <w:r>
        <w:t xml:space="preserve"> The Revenue asserted that DAIPL was involved in activities beyond mere marketing support, effectively participating in the sales process in India. Consequently, DAIPL constituted a Dependent Agent PE of Daikin Industries in India under Article 5 of the DTAA.</w:t>
      </w:r>
    </w:p>
    <w:p w:rsidR="00A056B6" w:rsidRDefault="00A056B6" w:rsidP="00743A5F">
      <w:pPr>
        <w:pStyle w:val="NormalWeb"/>
        <w:tabs>
          <w:tab w:val="num" w:pos="720"/>
        </w:tabs>
        <w:spacing w:before="0" w:beforeAutospacing="0"/>
        <w:ind w:left="720" w:hanging="360"/>
      </w:pPr>
      <w:r>
        <w:rPr>
          <w:rStyle w:val="Strong"/>
        </w:rPr>
        <w:t>Attribution of Income:</w:t>
      </w:r>
      <w:r>
        <w:t xml:space="preserve"> The Revenue contended that, in addition to the commission paid, further profits should be attributed to the PE in India, considering the substantial activities carried out by DAIPL.</w:t>
      </w:r>
    </w:p>
    <w:p w:rsidR="00A056B6" w:rsidRDefault="00A056B6" w:rsidP="00743A5F">
      <w:pPr>
        <w:pStyle w:val="NormalWeb"/>
        <w:spacing w:before="0" w:beforeAutospacing="0"/>
      </w:pPr>
      <w:r>
        <w:rPr>
          <w:rStyle w:val="Strong"/>
        </w:rPr>
        <w:t>Tribunal's Analysis:</w:t>
      </w:r>
    </w:p>
    <w:p w:rsidR="00A056B6" w:rsidRDefault="00A056B6" w:rsidP="00743A5F">
      <w:pPr>
        <w:pStyle w:val="NormalWeb"/>
        <w:tabs>
          <w:tab w:val="num" w:pos="720"/>
        </w:tabs>
        <w:spacing w:before="0" w:beforeAutospacing="0"/>
        <w:ind w:left="720" w:hanging="360"/>
      </w:pPr>
      <w:r>
        <w:rPr>
          <w:rStyle w:val="Strong"/>
        </w:rPr>
        <w:t>Nature of DAIPL's Activities:</w:t>
      </w:r>
      <w:r>
        <w:t xml:space="preserve"> The ITAT examined the functions performed by DAIPL, noting that the assessee failed to provide credible evidence demonstrating direct involvement from Japan in making sales to Indian customers. The Tribunal observed that DAIPL was actively engaged in identifying customers, negotiating prices, and finalizing sales in India.</w:t>
      </w:r>
    </w:p>
    <w:p w:rsidR="00A056B6" w:rsidRDefault="00A056B6" w:rsidP="00743A5F">
      <w:pPr>
        <w:pStyle w:val="NormalWeb"/>
        <w:tabs>
          <w:tab w:val="num" w:pos="720"/>
        </w:tabs>
        <w:spacing w:before="0" w:beforeAutospacing="0"/>
        <w:ind w:left="720" w:hanging="360"/>
      </w:pPr>
      <w:r>
        <w:rPr>
          <w:rStyle w:val="Strong"/>
        </w:rPr>
        <w:t>Dependent Agent PE:</w:t>
      </w:r>
      <w:r>
        <w:t xml:space="preserve"> Based on the extent of DAIPL's involvement in the sales process, the Tribunal concluded that DAIPL constituted a Dependent Agent PE of Daikin Industries in India under Article 5 of the India-Japan DTAA.</w:t>
      </w:r>
    </w:p>
    <w:p w:rsidR="00A056B6" w:rsidRDefault="00A056B6" w:rsidP="00743A5F">
      <w:pPr>
        <w:pStyle w:val="NormalWeb"/>
        <w:tabs>
          <w:tab w:val="num" w:pos="720"/>
        </w:tabs>
        <w:spacing w:before="0" w:beforeAutospacing="0"/>
        <w:ind w:left="720" w:hanging="360"/>
      </w:pPr>
      <w:r>
        <w:rPr>
          <w:rStyle w:val="Strong"/>
        </w:rPr>
        <w:lastRenderedPageBreak/>
        <w:t>Attribution of Profits:</w:t>
      </w:r>
      <w:r>
        <w:t xml:space="preserve"> The Tribunal determined that merely paying a 10% commission to DAIPL did not adequately reflect the profits attributable to the PE. Considering the functions performed, assets used, and risks assumed by the PE, the ITAT estimated the net profit rate at 10% of sales. Further, it attributed 30% of this net profit to the marketing activities carried out by the PE in India.</w:t>
      </w:r>
    </w:p>
    <w:p w:rsidR="00A056B6" w:rsidRDefault="00A056B6" w:rsidP="00743A5F">
      <w:pPr>
        <w:pStyle w:val="NormalWeb"/>
        <w:spacing w:before="0" w:beforeAutospacing="0"/>
      </w:pPr>
      <w:r>
        <w:rPr>
          <w:rStyle w:val="Strong"/>
        </w:rPr>
        <w:t>Ruling and Reasoning:</w:t>
      </w:r>
    </w:p>
    <w:p w:rsidR="00A056B6" w:rsidRDefault="00A056B6" w:rsidP="00743A5F">
      <w:pPr>
        <w:pStyle w:val="NormalWeb"/>
        <w:tabs>
          <w:tab w:val="num" w:pos="720"/>
        </w:tabs>
        <w:spacing w:before="0" w:beforeAutospacing="0"/>
        <w:ind w:left="720" w:hanging="360"/>
      </w:pPr>
      <w:r>
        <w:rPr>
          <w:rStyle w:val="Strong"/>
        </w:rPr>
        <w:t>Existence of PE:</w:t>
      </w:r>
      <w:r>
        <w:t xml:space="preserve"> The ITAT held that DAIPL's extensive involvement in the sales process in India went beyond auxiliary activities, thereby constituting a Dependent Agent PE of Daikin Industries in India.</w:t>
      </w:r>
    </w:p>
    <w:p w:rsidR="00A056B6" w:rsidRDefault="00A056B6" w:rsidP="00743A5F">
      <w:pPr>
        <w:pStyle w:val="NormalWeb"/>
        <w:tabs>
          <w:tab w:val="num" w:pos="720"/>
        </w:tabs>
        <w:spacing w:before="0" w:beforeAutospacing="0"/>
        <w:ind w:left="720" w:hanging="360"/>
      </w:pPr>
      <w:r>
        <w:rPr>
          <w:rStyle w:val="Strong"/>
        </w:rPr>
        <w:t>Attribution of Income:</w:t>
      </w:r>
      <w:r>
        <w:t xml:space="preserve"> The Tribunal concluded that, in addition to the 10% commission, further profits should be attributed to the PE. It estimated a net profit rate of 10% on sales, attributing 30% of this profit to the PE's marketing activities in India.</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case underscores the importance of accurately delineating the functions performed by subsidiaries in India to determine the existence of a Permanent Establishment under international tax treaties. It also highlights that compensation at arm's length for services rendered does not preclude the attribution of additional profits to a PE if the subsidiary's activities contribute significantly to the enterprise's business in India.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Daikin Industries Ltd. v. ACIT, [2018] 94 taxmann.com 299 (Delhi - Trib.), ITA No. 1623/Del/2015, dated May 28, 2018.</w:t>
      </w:r>
    </w:p>
    <w:p w:rsidR="00A056B6" w:rsidRDefault="00A056B6" w:rsidP="00743A5F">
      <w:pPr>
        <w:pStyle w:val="NormalWeb"/>
        <w:tabs>
          <w:tab w:val="num" w:pos="720"/>
        </w:tabs>
        <w:spacing w:before="0" w:beforeAutospacing="0"/>
        <w:ind w:left="720" w:hanging="360"/>
      </w:pPr>
      <w:r>
        <w:rPr>
          <w:rStyle w:val="Strong"/>
        </w:rPr>
        <w:t>Source:</w:t>
      </w:r>
      <w:r>
        <w:t xml:space="preserve"> Taxmann.</w:t>
      </w:r>
    </w:p>
    <w:p w:rsidR="00A056B6" w:rsidRDefault="00A056B6" w:rsidP="00743A5F">
      <w:pPr>
        <w:pStyle w:val="NormalWeb"/>
        <w:spacing w:before="0" w:beforeAutospacing="0"/>
      </w:pPr>
      <w:r>
        <w:t>This decision provides clarity on the interpretation of Dependent Agent Permanent Establishments and the attribution of profits under the India-Japan DTAA, emphasizing the need for comprehensive documentation and evidence to support the nature of inter-company transactions.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Nokia Networks OY v JCIT - [2018] 94 taxmann.com 111 (Delhi - Trib.) (SB) - IT APPEAL NOS. 1963 &amp; 1964 (DELHI) of 2001 dated June 5, 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0D2AFD24" wp14:editId="453E108A">
            <wp:extent cx="763905" cy="763905"/>
            <wp:effectExtent l="0" t="0" r="0" b="0"/>
            <wp:docPr id="445" name="Picture 44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0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lastRenderedPageBreak/>
        <w:t xml:space="preserve">In the case of </w:t>
      </w:r>
      <w:r>
        <w:rPr>
          <w:rStyle w:val="Strong"/>
        </w:rPr>
        <w:t>Nokia Networks OY v. Joint Commissioner of Income Tax</w:t>
      </w:r>
      <w:r>
        <w:t xml:space="preserve">, the </w:t>
      </w:r>
      <w:r>
        <w:rPr>
          <w:rStyle w:val="Strong"/>
        </w:rPr>
        <w:t>Income Tax Appellate Tribunal (ITAT) Delhi Special Bench</w:t>
      </w:r>
      <w:r>
        <w:t xml:space="preserve"> addressed several critical issues concerning the taxation of Nokia Networks OY, a Finnish company, in India for the Assessment Years (AY) 1997-98 and 1998-99.</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Assessee:</w:t>
      </w:r>
      <w:r>
        <w:t xml:space="preserve"> Nokia Networks OY, a company incorporated in Finland, engaged in manufacturing and trading telecommunication systems, equipment, hardware, and software.</w:t>
      </w:r>
    </w:p>
    <w:p w:rsidR="00A056B6" w:rsidRDefault="00A056B6" w:rsidP="00743A5F">
      <w:pPr>
        <w:pStyle w:val="NormalWeb"/>
        <w:tabs>
          <w:tab w:val="num" w:pos="720"/>
        </w:tabs>
        <w:spacing w:before="0" w:beforeAutospacing="0"/>
        <w:ind w:left="720" w:hanging="360"/>
      </w:pPr>
      <w:r>
        <w:rPr>
          <w:rStyle w:val="Strong"/>
        </w:rPr>
        <w:t>Indian Operations:</w:t>
      </w:r>
      <w:r>
        <w:t xml:space="preserve"> Nokia established a Liaison Office (LO) in India in 1994 and incorporated a wholly-owned subsidiary, Nokia India Pvt. Ltd. (NIPL), in 1995. The LO was involved in advertising activities, while NIPL handled installation and after-sales services for equipment supplied by Nokia.</w:t>
      </w:r>
    </w:p>
    <w:p w:rsidR="00A056B6" w:rsidRDefault="00A056B6" w:rsidP="00743A5F">
      <w:pPr>
        <w:pStyle w:val="NormalWeb"/>
        <w:tabs>
          <w:tab w:val="num" w:pos="720"/>
        </w:tabs>
        <w:spacing w:before="0" w:beforeAutospacing="0"/>
        <w:ind w:left="720" w:hanging="360"/>
      </w:pPr>
      <w:r>
        <w:rPr>
          <w:rStyle w:val="Strong"/>
        </w:rPr>
        <w:t>Transactions:</w:t>
      </w:r>
      <w:r>
        <w:t xml:space="preserve"> Nokia supplied GSM equipment manufactured in Finland to Indian telecom operators on a principal-to-principal basis. The installation and commissioning of this equipment were carried out by NIPL under separate agreements with the Indian operators.</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Existence of Permanent Establishment (PE):</w:t>
      </w:r>
      <w:r>
        <w:t xml:space="preserve"> Whether Nokia had a PE in India under Article 5 of the India-Finland Double Taxation Avoidance Agreement (DTAA) through its LO and/or NIPL.</w:t>
      </w:r>
    </w:p>
    <w:p w:rsidR="00A056B6" w:rsidRDefault="00A056B6" w:rsidP="00743A5F">
      <w:pPr>
        <w:pStyle w:val="NormalWeb"/>
        <w:tabs>
          <w:tab w:val="num" w:pos="720"/>
        </w:tabs>
        <w:spacing w:before="0" w:beforeAutospacing="0"/>
        <w:ind w:left="720" w:hanging="360"/>
      </w:pPr>
      <w:r>
        <w:rPr>
          <w:rStyle w:val="Strong"/>
        </w:rPr>
        <w:t>Attribution of Income:</w:t>
      </w:r>
      <w:r>
        <w:t xml:space="preserve"> If a PE existed, the extent of income attributable to such PE and its taxability in India.</w:t>
      </w:r>
    </w:p>
    <w:p w:rsidR="00A056B6" w:rsidRDefault="00A056B6" w:rsidP="00743A5F">
      <w:pPr>
        <w:pStyle w:val="NormalWeb"/>
        <w:tabs>
          <w:tab w:val="num" w:pos="720"/>
        </w:tabs>
        <w:spacing w:before="0" w:beforeAutospacing="0"/>
        <w:ind w:left="720" w:hanging="360"/>
      </w:pPr>
      <w:r>
        <w:rPr>
          <w:rStyle w:val="Strong"/>
        </w:rPr>
        <w:t>Taxability of Software Supply:</w:t>
      </w:r>
      <w:r>
        <w:t xml:space="preserve"> Whether the income from the supply of software was taxable as "royalty" under Section 9(1)(vi) of the Income Tax Act, 1961, and Article 13 of the DTAA.</w:t>
      </w:r>
    </w:p>
    <w:p w:rsidR="00A056B6" w:rsidRDefault="00A056B6" w:rsidP="00743A5F">
      <w:pPr>
        <w:pStyle w:val="NormalWeb"/>
        <w:tabs>
          <w:tab w:val="num" w:pos="720"/>
        </w:tabs>
        <w:spacing w:before="0" w:beforeAutospacing="0"/>
        <w:ind w:left="720" w:hanging="360"/>
      </w:pPr>
      <w:r>
        <w:rPr>
          <w:rStyle w:val="Strong"/>
        </w:rPr>
        <w:t>Notional Interest on Delayed Payments:</w:t>
      </w:r>
      <w:r>
        <w:t xml:space="preserve"> Whether notional interest on delayed consideration for the supply of equipment and software was taxable in the hands of Nokia.</w:t>
      </w:r>
    </w:p>
    <w:p w:rsidR="00A056B6" w:rsidRDefault="00A056B6" w:rsidP="00743A5F">
      <w:pPr>
        <w:pStyle w:val="NormalWeb"/>
        <w:spacing w:before="0" w:beforeAutospacing="0"/>
      </w:pPr>
      <w:r>
        <w:rPr>
          <w:rStyle w:val="Strong"/>
        </w:rPr>
        <w:t>Assessee's Arguments:</w:t>
      </w:r>
    </w:p>
    <w:p w:rsidR="00A056B6" w:rsidRDefault="00A056B6" w:rsidP="00743A5F">
      <w:pPr>
        <w:pStyle w:val="NormalWeb"/>
        <w:tabs>
          <w:tab w:val="num" w:pos="720"/>
        </w:tabs>
        <w:spacing w:before="0" w:beforeAutospacing="0"/>
        <w:ind w:left="720" w:hanging="360"/>
      </w:pPr>
      <w:r>
        <w:rPr>
          <w:rStyle w:val="Strong"/>
        </w:rPr>
        <w:t>No PE in India:</w:t>
      </w:r>
      <w:r>
        <w:t xml:space="preserve"> Nokia contended that its LO was engaged solely in preparatory and auxiliary activities, which do not constitute a PE under Article 5(4) of the DTAA. It further argued that NIPL operated independently and did not act as an agent of Nokia, thereby not creating a PE.</w:t>
      </w:r>
    </w:p>
    <w:p w:rsidR="00A056B6" w:rsidRDefault="00A056B6" w:rsidP="00743A5F">
      <w:pPr>
        <w:pStyle w:val="NormalWeb"/>
        <w:tabs>
          <w:tab w:val="num" w:pos="720"/>
        </w:tabs>
        <w:spacing w:before="0" w:beforeAutospacing="0"/>
        <w:ind w:left="720" w:hanging="360"/>
      </w:pPr>
      <w:r>
        <w:rPr>
          <w:rStyle w:val="Strong"/>
        </w:rPr>
        <w:t>Income Not Attributable to PE:</w:t>
      </w:r>
      <w:r>
        <w:t xml:space="preserve"> The company maintained that the offshore supply of equipment was concluded outside India, with the title and risk transferred abroad. Therefore, no income from these supplies was attributable to any PE in India.</w:t>
      </w:r>
    </w:p>
    <w:p w:rsidR="00A056B6" w:rsidRDefault="00A056B6" w:rsidP="00743A5F">
      <w:pPr>
        <w:pStyle w:val="NormalWeb"/>
        <w:tabs>
          <w:tab w:val="num" w:pos="720"/>
        </w:tabs>
        <w:spacing w:before="0" w:beforeAutospacing="0"/>
        <w:ind w:left="720" w:hanging="360"/>
      </w:pPr>
      <w:r>
        <w:rPr>
          <w:rStyle w:val="Strong"/>
        </w:rPr>
        <w:lastRenderedPageBreak/>
        <w:t>Software Supply Not Royalty:</w:t>
      </w:r>
      <w:r>
        <w:t xml:space="preserve"> Nokia argued that the software supplied was an integral part of the hardware, and the payments for such software did not constitute "royalty" but were part of the sale of goods.</w:t>
      </w:r>
    </w:p>
    <w:p w:rsidR="00A056B6" w:rsidRDefault="00A056B6" w:rsidP="00743A5F">
      <w:pPr>
        <w:pStyle w:val="NormalWeb"/>
        <w:tabs>
          <w:tab w:val="num" w:pos="720"/>
        </w:tabs>
        <w:spacing w:before="0" w:beforeAutospacing="0"/>
        <w:ind w:left="720" w:hanging="360"/>
      </w:pPr>
      <w:r>
        <w:rPr>
          <w:rStyle w:val="Strong"/>
        </w:rPr>
        <w:t>No Notional Interest Income:</w:t>
      </w:r>
      <w:r>
        <w:t xml:space="preserve"> The assessee contended that there was no agreement for interest on delayed payments, and thus, no notional interest income could be imputed.</w:t>
      </w:r>
    </w:p>
    <w:p w:rsidR="00A056B6" w:rsidRDefault="00A056B6" w:rsidP="00743A5F">
      <w:pPr>
        <w:pStyle w:val="NormalWeb"/>
        <w:spacing w:before="0" w:beforeAutospacing="0"/>
      </w:pPr>
      <w:r>
        <w:rPr>
          <w:rStyle w:val="Strong"/>
        </w:rPr>
        <w:t>Revenue's Arguments:</w:t>
      </w:r>
    </w:p>
    <w:p w:rsidR="00A056B6" w:rsidRDefault="00A056B6" w:rsidP="00743A5F">
      <w:pPr>
        <w:pStyle w:val="NormalWeb"/>
        <w:tabs>
          <w:tab w:val="num" w:pos="720"/>
        </w:tabs>
        <w:spacing w:before="0" w:beforeAutospacing="0"/>
        <w:ind w:left="720" w:hanging="360"/>
      </w:pPr>
      <w:r>
        <w:rPr>
          <w:rStyle w:val="Strong"/>
        </w:rPr>
        <w:t>Existence of PE:</w:t>
      </w:r>
      <w:r>
        <w:t xml:space="preserve"> The Revenue asserted that both the LO and NIPL constituted a PE for Nokia in India. It argued that NIPL's activities were not independent and were devoted wholly to Nokia's business, thereby creating a Dependent Agent PE.</w:t>
      </w:r>
    </w:p>
    <w:p w:rsidR="00A056B6" w:rsidRDefault="00A056B6" w:rsidP="00743A5F">
      <w:pPr>
        <w:pStyle w:val="NormalWeb"/>
        <w:tabs>
          <w:tab w:val="num" w:pos="720"/>
        </w:tabs>
        <w:spacing w:before="0" w:beforeAutospacing="0"/>
        <w:ind w:left="720" w:hanging="360"/>
      </w:pPr>
      <w:r>
        <w:rPr>
          <w:rStyle w:val="Strong"/>
        </w:rPr>
        <w:t>Attribution of Income:</w:t>
      </w:r>
      <w:r>
        <w:t xml:space="preserve"> The Revenue contended that a portion of the profits from the offshore supply of equipment should be attributed to the PE in India, considering the functions performed by NIPL.</w:t>
      </w:r>
    </w:p>
    <w:p w:rsidR="00A056B6" w:rsidRDefault="00A056B6" w:rsidP="00743A5F">
      <w:pPr>
        <w:pStyle w:val="NormalWeb"/>
        <w:tabs>
          <w:tab w:val="num" w:pos="720"/>
        </w:tabs>
        <w:spacing w:before="0" w:beforeAutospacing="0"/>
        <w:ind w:left="720" w:hanging="360"/>
      </w:pPr>
      <w:r>
        <w:rPr>
          <w:rStyle w:val="Strong"/>
        </w:rPr>
        <w:t>Software Supply as Royalty:</w:t>
      </w:r>
      <w:r>
        <w:t xml:space="preserve"> It was argued that the payments for software constituted "royalty" since the software was licensed for use in India.</w:t>
      </w:r>
    </w:p>
    <w:p w:rsidR="00A056B6" w:rsidRDefault="00A056B6" w:rsidP="00743A5F">
      <w:pPr>
        <w:pStyle w:val="NormalWeb"/>
        <w:tabs>
          <w:tab w:val="num" w:pos="720"/>
        </w:tabs>
        <w:spacing w:before="0" w:beforeAutospacing="0"/>
        <w:ind w:left="720" w:hanging="360"/>
      </w:pPr>
      <w:r>
        <w:rPr>
          <w:rStyle w:val="Strong"/>
        </w:rPr>
        <w:t>Notional Interest Income:</w:t>
      </w:r>
      <w:r>
        <w:t xml:space="preserve"> The Revenue imputed notional interest on delayed payments for the supply of equipment and software, treating it as taxable income.</w:t>
      </w:r>
    </w:p>
    <w:p w:rsidR="00A056B6" w:rsidRDefault="00A056B6" w:rsidP="00743A5F">
      <w:pPr>
        <w:pStyle w:val="NormalWeb"/>
        <w:spacing w:before="0" w:beforeAutospacing="0"/>
      </w:pPr>
      <w:r>
        <w:rPr>
          <w:rStyle w:val="Strong"/>
        </w:rPr>
        <w:t>Tribunal's Analysis and Ruling:</w:t>
      </w:r>
    </w:p>
    <w:p w:rsidR="00A056B6" w:rsidRDefault="00A056B6" w:rsidP="00743A5F">
      <w:pPr>
        <w:pStyle w:val="NormalWeb"/>
        <w:tabs>
          <w:tab w:val="num" w:pos="720"/>
        </w:tabs>
        <w:spacing w:before="0" w:beforeAutospacing="0"/>
        <w:ind w:left="720" w:hanging="360"/>
      </w:pPr>
      <w:r>
        <w:rPr>
          <w:rStyle w:val="Strong"/>
        </w:rPr>
        <w:t>Permanent Establishment (PE):</w:t>
      </w:r>
    </w:p>
    <w:p w:rsidR="00A056B6" w:rsidRDefault="00A056B6" w:rsidP="00743A5F">
      <w:pPr>
        <w:pStyle w:val="NormalWeb"/>
        <w:numPr>
          <w:ilvl w:val="1"/>
          <w:numId w:val="0"/>
        </w:numPr>
        <w:tabs>
          <w:tab w:val="num" w:pos="1440"/>
        </w:tabs>
        <w:spacing w:before="0" w:beforeAutospacing="0"/>
        <w:ind w:left="1440" w:hanging="360"/>
      </w:pPr>
      <w:r>
        <w:rPr>
          <w:rStyle w:val="Strong"/>
        </w:rPr>
        <w:t>Liaison Office (LO):</w:t>
      </w:r>
      <w:r>
        <w:t xml:space="preserve"> The Tribunal noted that the Delhi High Court had previously held that the LO did not constitute a PE in India, as its activities were limited to preparatory and auxiliary functions.</w:t>
      </w:r>
    </w:p>
    <w:p w:rsidR="00A056B6" w:rsidRDefault="00A056B6" w:rsidP="00743A5F">
      <w:pPr>
        <w:pStyle w:val="NormalWeb"/>
        <w:numPr>
          <w:ilvl w:val="1"/>
          <w:numId w:val="0"/>
        </w:numPr>
        <w:tabs>
          <w:tab w:val="num" w:pos="1440"/>
        </w:tabs>
        <w:spacing w:before="0" w:beforeAutospacing="0"/>
        <w:ind w:left="1440" w:hanging="360"/>
      </w:pPr>
      <w:r>
        <w:rPr>
          <w:rStyle w:val="Strong"/>
        </w:rPr>
        <w:t>Nokia India Pvt. Ltd. (NIPL):</w:t>
      </w:r>
      <w:r>
        <w:t xml:space="preserve"> The majority of the Special Bench held that NIPL did not constitute a Fixed Place PE or a Dependent Agent PE for Nokia in India. It was observed that NIPL operated independently, and there was no evidence to suggest that Nokia had a fixed place of business at its disposal in India.</w:t>
      </w:r>
    </w:p>
    <w:p w:rsidR="00A056B6" w:rsidRDefault="00A056B6" w:rsidP="00743A5F">
      <w:pPr>
        <w:pStyle w:val="NormalWeb"/>
        <w:tabs>
          <w:tab w:val="num" w:pos="720"/>
        </w:tabs>
        <w:spacing w:before="0" w:beforeAutospacing="0"/>
        <w:ind w:left="720" w:hanging="360"/>
      </w:pPr>
      <w:r>
        <w:rPr>
          <w:rStyle w:val="Strong"/>
        </w:rPr>
        <w:t>Attribution of Income:</w:t>
      </w:r>
    </w:p>
    <w:p w:rsidR="00A056B6" w:rsidRDefault="00A056B6" w:rsidP="00743A5F">
      <w:pPr>
        <w:numPr>
          <w:ilvl w:val="1"/>
          <w:numId w:val="0"/>
        </w:numPr>
        <w:tabs>
          <w:tab w:val="num" w:pos="1440"/>
        </w:tabs>
        <w:spacing w:before="100" w:after="100" w:afterAutospacing="1" w:line="240" w:lineRule="auto"/>
        <w:ind w:left="1440" w:hanging="360"/>
      </w:pPr>
      <w:r>
        <w:t>Since it was determined that Nokia did not have a PE in India, no income from the offshore supply of equipment could be attributed to India. The sales were concluded outside India, with the title and risk transferred abroad, and therefore, the profits from such sales were not taxable in India.</w:t>
      </w:r>
    </w:p>
    <w:p w:rsidR="00A056B6" w:rsidRDefault="00A056B6" w:rsidP="00743A5F">
      <w:pPr>
        <w:pStyle w:val="NormalWeb"/>
        <w:tabs>
          <w:tab w:val="num" w:pos="720"/>
        </w:tabs>
        <w:spacing w:before="0" w:beforeAutospacing="0"/>
        <w:ind w:left="720" w:hanging="360"/>
      </w:pPr>
      <w:r>
        <w:rPr>
          <w:rStyle w:val="Strong"/>
        </w:rPr>
        <w:t>Taxability of Software Supply:</w:t>
      </w:r>
    </w:p>
    <w:p w:rsidR="00A056B6" w:rsidRDefault="00A056B6" w:rsidP="00743A5F">
      <w:pPr>
        <w:numPr>
          <w:ilvl w:val="1"/>
          <w:numId w:val="0"/>
        </w:numPr>
        <w:tabs>
          <w:tab w:val="num" w:pos="1440"/>
        </w:tabs>
        <w:spacing w:before="100" w:after="100" w:afterAutospacing="1" w:line="240" w:lineRule="auto"/>
        <w:ind w:left="1440" w:hanging="360"/>
      </w:pPr>
      <w:r>
        <w:t>The Tribunal held that the payments for the supply of software embedded in the hardware did not constitute "royalty." It was concluded that the software was an integral part of the equipment, and the payments were for the sale of goods, not for the use of any copyright.</w:t>
      </w:r>
    </w:p>
    <w:p w:rsidR="00A056B6" w:rsidRDefault="00A056B6" w:rsidP="00743A5F">
      <w:pPr>
        <w:pStyle w:val="NormalWeb"/>
        <w:tabs>
          <w:tab w:val="num" w:pos="720"/>
        </w:tabs>
        <w:spacing w:before="0" w:beforeAutospacing="0"/>
        <w:ind w:left="720" w:hanging="360"/>
      </w:pPr>
      <w:r>
        <w:rPr>
          <w:rStyle w:val="Strong"/>
        </w:rPr>
        <w:lastRenderedPageBreak/>
        <w:t>Notional Interest on Delayed Payments:</w:t>
      </w:r>
    </w:p>
    <w:p w:rsidR="00A056B6" w:rsidRDefault="00A056B6" w:rsidP="00743A5F">
      <w:pPr>
        <w:numPr>
          <w:ilvl w:val="1"/>
          <w:numId w:val="0"/>
        </w:numPr>
        <w:tabs>
          <w:tab w:val="num" w:pos="1440"/>
        </w:tabs>
        <w:spacing w:before="100" w:after="100" w:afterAutospacing="1" w:line="240" w:lineRule="auto"/>
        <w:ind w:left="1440" w:hanging="360"/>
      </w:pPr>
      <w:r>
        <w:t>The Tribunal rejected the Revenue's contention regarding the taxation of notional interest on delayed payments. It was held that in the absence of any agreement stipulating interest on delayed payments, no notional income could be imputed.</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The ITAT Special Bench, by majority, concluded that Nokia Networks OY did not have a Permanent Establishment in India through its Liaison Office or its subsidiary, Nokia India Pvt. Ltd. Consequently, the income from offshore supply of equipment and embedded software was not taxable in India. Additionally, payments for software were not considered "royalty," and no notional interest on delayed payments was taxable.</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Nokia Networks OY v. JCIT, [2018] 94 taxmann.com 111 (Delhi - Trib.) (SB), ITA Nos. 1963 &amp; 1964/Del/2001, dated June 5, 2018.</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42" w:tgtFrame="_new" w:history="1">
        <w:r>
          <w:rPr>
            <w:rStyle w:val="Hyperlink"/>
          </w:rPr>
          <w:t>ITAT Online</w:t>
        </w:r>
      </w:hyperlink>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Saudi Arabian Oil Company, In re vs. [2018] 94 taxmann.com 194 (AAR – NewDelhi) / [2018]405 ITR 83 (AAR – NewDelhi) / [2018] 303 CTR 225 (AAR – NewDelhi) – AAR NO. 25 OF 2016 dated 31.05.2018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790D5C64" wp14:editId="109E5580">
            <wp:extent cx="763905" cy="763905"/>
            <wp:effectExtent l="0" t="0" r="0" b="0"/>
            <wp:docPr id="444" name="Picture 44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0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Saudi Arabian Oil Company, In re</w:t>
      </w:r>
      <w:r>
        <w:t xml:space="preserve">, the </w:t>
      </w:r>
      <w:r>
        <w:rPr>
          <w:rStyle w:val="Strong"/>
        </w:rPr>
        <w:t>Authority for Advance Rulings (AAR) New Delhi</w:t>
      </w:r>
      <w:r>
        <w:t xml:space="preserve"> examined whether the activities of the Saudi Arabian Oil Company (the Applicant) in India, conducted through its wholly-owned subsidiary, Aramco India, constituted a Permanent Establishment (PE) under Article 5 of the India-Saudi Arabia Double Taxation Avoidance Agreement (DTAA).</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Applicant:</w:t>
      </w:r>
      <w:r>
        <w:t xml:space="preserve"> Saudi Arabian Oil Company, a state-owned enterprise of Saudi Arabia, engaged in the production and sale of crude oil globally.</w:t>
      </w:r>
    </w:p>
    <w:p w:rsidR="00A056B6" w:rsidRDefault="00A056B6" w:rsidP="00743A5F">
      <w:pPr>
        <w:pStyle w:val="NormalWeb"/>
        <w:tabs>
          <w:tab w:val="num" w:pos="720"/>
        </w:tabs>
        <w:spacing w:before="0" w:beforeAutospacing="0"/>
        <w:ind w:left="720" w:hanging="360"/>
      </w:pPr>
      <w:r>
        <w:rPr>
          <w:rStyle w:val="Strong"/>
        </w:rPr>
        <w:t>Operations in India:</w:t>
      </w:r>
      <w:r>
        <w:t xml:space="preserve"> The Applicant sold crude oil to Indian refineries on a Free on Board (FOB) basis, with title and risk transferring outside India. To support its operations, the Applicant established a wholly-owned subsidiary in India, Aramco India, primarily to provide procurement support services.</w:t>
      </w:r>
    </w:p>
    <w:p w:rsidR="00A056B6" w:rsidRDefault="00A056B6" w:rsidP="00743A5F">
      <w:pPr>
        <w:pStyle w:val="NormalWeb"/>
        <w:tabs>
          <w:tab w:val="num" w:pos="720"/>
        </w:tabs>
        <w:spacing w:before="0" w:beforeAutospacing="0"/>
        <w:ind w:left="720" w:hanging="360"/>
      </w:pPr>
      <w:r>
        <w:rPr>
          <w:rStyle w:val="Strong"/>
        </w:rPr>
        <w:lastRenderedPageBreak/>
        <w:t>Proposed Activities:</w:t>
      </w:r>
      <w:r>
        <w:t xml:space="preserve"> Aramco India was proposed to undertake additional business support and marketing support activities, including market research, creating awareness about the Applicant's products, and assisting in strategic sourcing. These activities were to be compensated on an arm's length basis as per Indian transfer pricing regulations.</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Existence of Fixed Place PE:</w:t>
      </w:r>
      <w:r>
        <w:t xml:space="preserve"> Whether Aramco India's premises and activities constituted a fixed place PE of the Applicant in India under Article 5(1) of the India-Saudi Arabia DTAA.</w:t>
      </w:r>
    </w:p>
    <w:p w:rsidR="00A056B6" w:rsidRDefault="00A056B6" w:rsidP="00743A5F">
      <w:pPr>
        <w:pStyle w:val="NormalWeb"/>
        <w:tabs>
          <w:tab w:val="num" w:pos="720"/>
        </w:tabs>
        <w:spacing w:before="0" w:beforeAutospacing="0"/>
        <w:ind w:left="720" w:hanging="360"/>
      </w:pPr>
      <w:r>
        <w:rPr>
          <w:rStyle w:val="Strong"/>
        </w:rPr>
        <w:t>Existence of Service PE:</w:t>
      </w:r>
      <w:r>
        <w:t xml:space="preserve"> Whether the services rendered by Aramco India led to the formation of a Service PE under Article 5(2)(k) of the DTAA.</w:t>
      </w:r>
    </w:p>
    <w:p w:rsidR="00A056B6" w:rsidRDefault="00A056B6" w:rsidP="00743A5F">
      <w:pPr>
        <w:pStyle w:val="NormalWeb"/>
        <w:tabs>
          <w:tab w:val="num" w:pos="720"/>
        </w:tabs>
        <w:spacing w:before="0" w:beforeAutospacing="0"/>
        <w:ind w:left="720" w:hanging="360"/>
      </w:pPr>
      <w:r>
        <w:rPr>
          <w:rStyle w:val="Strong"/>
        </w:rPr>
        <w:t>Existence of Agency PE:</w:t>
      </w:r>
      <w:r>
        <w:t xml:space="preserve"> Whether Aramco India acted as an agent of the Applicant, thereby constituting an Agency PE under Article 5(4) of the DTAA.</w:t>
      </w:r>
    </w:p>
    <w:p w:rsidR="00A056B6" w:rsidRDefault="00A056B6" w:rsidP="00743A5F">
      <w:pPr>
        <w:pStyle w:val="NormalWeb"/>
        <w:spacing w:before="0" w:beforeAutospacing="0"/>
      </w:pPr>
      <w:r>
        <w:rPr>
          <w:rStyle w:val="Strong"/>
        </w:rPr>
        <w:t>Applicant's Arguments:</w:t>
      </w:r>
    </w:p>
    <w:p w:rsidR="00A056B6" w:rsidRDefault="00A056B6" w:rsidP="00743A5F">
      <w:pPr>
        <w:pStyle w:val="NormalWeb"/>
        <w:tabs>
          <w:tab w:val="num" w:pos="720"/>
        </w:tabs>
        <w:spacing w:before="0" w:beforeAutospacing="0"/>
        <w:ind w:left="720" w:hanging="360"/>
      </w:pPr>
      <w:r>
        <w:rPr>
          <w:rStyle w:val="Strong"/>
        </w:rPr>
        <w:t>No Fixed Place PE:</w:t>
      </w:r>
      <w:r>
        <w:t xml:space="preserve"> The Applicant contended that its main business activities were conducted entirely outside India, and Aramco India's role was limited to support services. The premises of Aramco India were not at the disposal of the Applicant, and thus did not constitute a fixed place PE.</w:t>
      </w:r>
    </w:p>
    <w:p w:rsidR="00A056B6" w:rsidRDefault="00A056B6" w:rsidP="00743A5F">
      <w:pPr>
        <w:pStyle w:val="NormalWeb"/>
        <w:tabs>
          <w:tab w:val="num" w:pos="720"/>
        </w:tabs>
        <w:spacing w:before="0" w:beforeAutospacing="0"/>
        <w:ind w:left="720" w:hanging="360"/>
      </w:pPr>
      <w:r>
        <w:rPr>
          <w:rStyle w:val="Strong"/>
        </w:rPr>
        <w:t>No Service PE:</w:t>
      </w:r>
      <w:r>
        <w:t xml:space="preserve"> The Applicant argued that it did not render any services to customers in India through its own employees or personnel. Aramco India's services were provided to the Applicant, not to its customers, negating the existence of a Service PE.</w:t>
      </w:r>
    </w:p>
    <w:p w:rsidR="00A056B6" w:rsidRDefault="00A056B6" w:rsidP="00743A5F">
      <w:pPr>
        <w:pStyle w:val="NormalWeb"/>
        <w:tabs>
          <w:tab w:val="num" w:pos="720"/>
        </w:tabs>
        <w:spacing w:before="0" w:beforeAutospacing="0"/>
        <w:ind w:left="720" w:hanging="360"/>
      </w:pPr>
      <w:r>
        <w:rPr>
          <w:rStyle w:val="Strong"/>
        </w:rPr>
        <w:t>No Agency PE:</w:t>
      </w:r>
      <w:r>
        <w:t xml:space="preserve"> The Applicant maintained that Aramco India did not have the authority to conclude contracts on its behalf. All key decisions, including contract negotiations and conclusions, were made by the Applicant's personnel outside India, precluding the formation of an Agency PE.</w:t>
      </w:r>
    </w:p>
    <w:p w:rsidR="00A056B6" w:rsidRDefault="00A056B6" w:rsidP="00743A5F">
      <w:pPr>
        <w:pStyle w:val="NormalWeb"/>
        <w:spacing w:before="0" w:beforeAutospacing="0"/>
      </w:pPr>
      <w:r>
        <w:rPr>
          <w:rStyle w:val="Strong"/>
        </w:rPr>
        <w:t>Revenue's Arguments:</w:t>
      </w:r>
    </w:p>
    <w:p w:rsidR="00A056B6" w:rsidRDefault="00A056B6" w:rsidP="00743A5F">
      <w:pPr>
        <w:pStyle w:val="NormalWeb"/>
        <w:tabs>
          <w:tab w:val="num" w:pos="720"/>
        </w:tabs>
        <w:spacing w:before="0" w:beforeAutospacing="0"/>
        <w:ind w:left="720" w:hanging="360"/>
      </w:pPr>
      <w:r>
        <w:rPr>
          <w:rStyle w:val="Strong"/>
        </w:rPr>
        <w:t>Fixed Place PE:</w:t>
      </w:r>
      <w:r>
        <w:t xml:space="preserve"> The Revenue asserted that the Applicant conducted its business through Aramco India's premises, which were at the Applicant's disposal, thereby constituting a fixed place PE.</w:t>
      </w:r>
    </w:p>
    <w:p w:rsidR="00A056B6" w:rsidRDefault="00A056B6" w:rsidP="00743A5F">
      <w:pPr>
        <w:pStyle w:val="NormalWeb"/>
        <w:tabs>
          <w:tab w:val="num" w:pos="720"/>
        </w:tabs>
        <w:spacing w:before="0" w:beforeAutospacing="0"/>
        <w:ind w:left="720" w:hanging="360"/>
      </w:pPr>
      <w:r>
        <w:rPr>
          <w:rStyle w:val="Strong"/>
        </w:rPr>
        <w:t>Service PE:</w:t>
      </w:r>
      <w:r>
        <w:t xml:space="preserve"> The Revenue contended that the services provided by Aramco India were integral to the Applicant's business, leading to the formation of a Service PE.</w:t>
      </w:r>
    </w:p>
    <w:p w:rsidR="00A056B6" w:rsidRDefault="00A056B6" w:rsidP="00743A5F">
      <w:pPr>
        <w:pStyle w:val="NormalWeb"/>
        <w:tabs>
          <w:tab w:val="num" w:pos="720"/>
        </w:tabs>
        <w:spacing w:before="0" w:beforeAutospacing="0"/>
        <w:ind w:left="720" w:hanging="360"/>
      </w:pPr>
      <w:r>
        <w:rPr>
          <w:rStyle w:val="Strong"/>
        </w:rPr>
        <w:t>Agency PE:</w:t>
      </w:r>
      <w:r>
        <w:t xml:space="preserve"> The Revenue argued that Aramco India acted as an agent of the Applicant by engaging in activities that facilitated the Applicant's business in India, thus constituting an Agency PE.</w:t>
      </w:r>
    </w:p>
    <w:p w:rsidR="00A056B6" w:rsidRDefault="00A056B6" w:rsidP="00743A5F">
      <w:pPr>
        <w:pStyle w:val="NormalWeb"/>
        <w:spacing w:before="0" w:beforeAutospacing="0"/>
      </w:pPr>
      <w:r>
        <w:rPr>
          <w:rStyle w:val="Strong"/>
        </w:rPr>
        <w:t>AAR's Analysis and Ruling:</w:t>
      </w:r>
    </w:p>
    <w:p w:rsidR="00A056B6" w:rsidRDefault="00A056B6" w:rsidP="00743A5F">
      <w:pPr>
        <w:pStyle w:val="NormalWeb"/>
        <w:tabs>
          <w:tab w:val="num" w:pos="720"/>
        </w:tabs>
        <w:spacing w:before="0" w:beforeAutospacing="0"/>
        <w:ind w:left="720" w:hanging="360"/>
      </w:pPr>
      <w:r>
        <w:rPr>
          <w:rStyle w:val="Strong"/>
        </w:rPr>
        <w:t>Fixed Place PE:</w:t>
      </w:r>
    </w:p>
    <w:p w:rsidR="00A056B6" w:rsidRDefault="00A056B6" w:rsidP="00743A5F">
      <w:pPr>
        <w:numPr>
          <w:ilvl w:val="1"/>
          <w:numId w:val="0"/>
        </w:numPr>
        <w:tabs>
          <w:tab w:val="num" w:pos="1440"/>
        </w:tabs>
        <w:spacing w:before="100" w:after="100" w:afterAutospacing="1" w:line="240" w:lineRule="auto"/>
        <w:ind w:left="1440" w:hanging="360"/>
      </w:pPr>
      <w:r>
        <w:lastRenderedPageBreak/>
        <w:t>The AAR observed that the Applicant's main business activities were conducted from Saudi Arabia, and Aramco India's role was limited to support services. The premises of Aramco India were not at the disposal of the Applicant. Therefore, Aramco India did not constitute a fixed place PE of the Applicant in India.</w:t>
      </w:r>
    </w:p>
    <w:p w:rsidR="00A056B6" w:rsidRDefault="00A056B6" w:rsidP="00743A5F">
      <w:pPr>
        <w:pStyle w:val="NormalWeb"/>
        <w:tabs>
          <w:tab w:val="num" w:pos="720"/>
        </w:tabs>
        <w:spacing w:before="0" w:beforeAutospacing="0"/>
        <w:ind w:left="720" w:hanging="360"/>
      </w:pPr>
      <w:r>
        <w:rPr>
          <w:rStyle w:val="Strong"/>
        </w:rPr>
        <w:t>Service PE:</w:t>
      </w:r>
    </w:p>
    <w:p w:rsidR="00A056B6" w:rsidRDefault="00A056B6" w:rsidP="00743A5F">
      <w:pPr>
        <w:numPr>
          <w:ilvl w:val="1"/>
          <w:numId w:val="0"/>
        </w:numPr>
        <w:tabs>
          <w:tab w:val="num" w:pos="1440"/>
        </w:tabs>
        <w:spacing w:before="100" w:after="100" w:afterAutospacing="1" w:line="240" w:lineRule="auto"/>
        <w:ind w:left="1440" w:hanging="360"/>
      </w:pPr>
      <w:r>
        <w:t>The AAR noted that no services were rendered by the Applicant to customers in India through its employees or other personnel. Aramco India's services were provided to the Applicant itself, not to its customers. Consequently, there was no Service PE in India.</w:t>
      </w:r>
    </w:p>
    <w:p w:rsidR="00A056B6" w:rsidRDefault="00A056B6" w:rsidP="00743A5F">
      <w:pPr>
        <w:pStyle w:val="NormalWeb"/>
        <w:tabs>
          <w:tab w:val="num" w:pos="720"/>
        </w:tabs>
        <w:spacing w:before="0" w:beforeAutospacing="0"/>
        <w:ind w:left="720" w:hanging="360"/>
      </w:pPr>
      <w:r>
        <w:rPr>
          <w:rStyle w:val="Strong"/>
        </w:rPr>
        <w:t>Agency PE:</w:t>
      </w:r>
    </w:p>
    <w:p w:rsidR="00A056B6" w:rsidRDefault="00A056B6" w:rsidP="00743A5F">
      <w:pPr>
        <w:numPr>
          <w:ilvl w:val="1"/>
          <w:numId w:val="0"/>
        </w:numPr>
        <w:tabs>
          <w:tab w:val="num" w:pos="1440"/>
        </w:tabs>
        <w:spacing w:before="100" w:after="100" w:afterAutospacing="1" w:line="240" w:lineRule="auto"/>
        <w:ind w:left="1440" w:hanging="360"/>
      </w:pPr>
      <w:r>
        <w:t>The AAR found that Aramco India did not have the authority to conclude contracts on behalf of the Applicant. All significant decisions were made by the Applicant's personnel outside India. Therefore, Aramco India did not constitute an Agency PE of the Applicant in India.</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The AAR concluded that the Applicant did not have a Permanent Establishment in India under any of the definitions provided in Article 5 of the India-Saudi Arabia DTAA. Consequently, the business profits earned by the Applicant from its operations in India were not taxable in India.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Saudi Arabian Oil Company, In re, [2018] 94 taxmann.com 194 (AAR - New Delhi); [2018] 405 ITR 83 (AAR - New Delhi); [2018] 303 CTR 225 (AAR - New Delhi), AAR No. 25 of 2016, dated May 31, 2018.</w:t>
      </w:r>
    </w:p>
    <w:p w:rsidR="00A056B6" w:rsidRDefault="00A056B6" w:rsidP="00743A5F">
      <w:pPr>
        <w:pStyle w:val="NormalWeb"/>
        <w:tabs>
          <w:tab w:val="num" w:pos="720"/>
        </w:tabs>
        <w:spacing w:before="0" w:beforeAutospacing="0"/>
        <w:ind w:left="720" w:hanging="360"/>
      </w:pPr>
      <w:r>
        <w:rPr>
          <w:rStyle w:val="Strong"/>
        </w:rPr>
        <w:t>Source:</w:t>
      </w:r>
      <w:r>
        <w:t xml:space="preserve"> </w:t>
      </w:r>
    </w:p>
    <w:p w:rsidR="00A056B6" w:rsidRDefault="00A056B6" w:rsidP="00743A5F">
      <w:pPr>
        <w:spacing w:afterAutospacing="1" w:line="240" w:lineRule="auto"/>
        <w:ind w:left="720"/>
      </w:pPr>
      <w:hyperlink r:id="rId43" w:tgtFrame="_blank" w:history="1">
        <w:r>
          <w:rPr>
            <w:rStyle w:val="truncate"/>
            <w:color w:val="0000FF"/>
            <w:u w:val="single"/>
          </w:rPr>
          <w:t>itatonline.org</w:t>
        </w:r>
      </w:hyperlink>
    </w:p>
    <w:p w:rsidR="00A056B6" w:rsidRDefault="00A056B6" w:rsidP="00743A5F">
      <w:pPr>
        <w:pStyle w:val="NormalWeb"/>
        <w:spacing w:before="0" w:beforeAutospacing="0"/>
      </w:pPr>
      <w:r>
        <w:t>This ruling provides clarity on the interpretation of Permanent Establishment provisions under the India-Saudi Arabia DTAA, particularly concerning the activities of subsidiaries providing support services.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Saudi Arabian Oil Company, In re vs. [2018] 94 taxmann.com 194 (AAR – NewDelhi) / [2018]405 ITR 83 (AAR – NewDelhi) / [2018] 303 CTR 225 (AAR – NewDelhi) – AAR NO. 25 OF 2016 dated 31.05.2018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lastRenderedPageBreak/>
        <w:drawing>
          <wp:inline distT="0" distB="0" distL="0" distR="0" wp14:anchorId="2542DC01" wp14:editId="10FED74D">
            <wp:extent cx="763905" cy="763905"/>
            <wp:effectExtent l="0" t="0" r="0" b="0"/>
            <wp:docPr id="443" name="Picture 44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0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The case of </w:t>
      </w:r>
      <w:r>
        <w:rPr>
          <w:rStyle w:val="Strong"/>
        </w:rPr>
        <w:t>Saudi Arabian Oil Company, In re</w:t>
      </w:r>
      <w:r>
        <w:t xml:space="preserve">, adjudicated by the </w:t>
      </w:r>
      <w:r>
        <w:rPr>
          <w:rStyle w:val="Strong"/>
        </w:rPr>
        <w:t>Authority for Advance Rulings (AAR), New Delhi</w:t>
      </w:r>
      <w:r>
        <w:t>, analyzed the tax implications of the Saudi Arabian Oil Company (hereinafter referred to as "Saudi Aramco") in India under the India-Saudi Arabia Double Taxation Avoidance Agreement (DTAA). The focus was on whether Saudi Aramco's activities in India, executed through its subsidiary, constituted a Permanent Establishment (PE) under Article 5 of the DTAA.</w:t>
      </w:r>
    </w:p>
    <w:p w:rsidR="00A056B6" w:rsidRDefault="00A056B6" w:rsidP="00743A5F">
      <w:pPr>
        <w:spacing w:line="240" w:lineRule="auto"/>
      </w:pPr>
      <w:r>
        <w:pict>
          <v:rect id="_x0000_i1907" style="width:0;height:1.5pt" o:hralign="center" o:hrstd="t" o:hr="t" fillcolor="#a0a0a0" stroked="f"/>
        </w:pict>
      </w:r>
    </w:p>
    <w:p w:rsidR="00A056B6" w:rsidRDefault="00A056B6" w:rsidP="00743A5F">
      <w:pPr>
        <w:pStyle w:val="Heading3"/>
        <w:spacing w:before="0" w:beforeAutospacing="0"/>
      </w:pPr>
      <w:bookmarkStart w:id="1317" w:name="_Toc187624217"/>
      <w:bookmarkStart w:id="1318" w:name="_Toc187630937"/>
      <w:bookmarkStart w:id="1319" w:name="_Toc187661116"/>
      <w:bookmarkStart w:id="1320" w:name="_Toc187662195"/>
      <w:r>
        <w:rPr>
          <w:rStyle w:val="Strong"/>
          <w:b/>
          <w:bCs/>
        </w:rPr>
        <w:t>Facts:</w:t>
      </w:r>
      <w:bookmarkEnd w:id="1317"/>
      <w:bookmarkEnd w:id="1318"/>
      <w:bookmarkEnd w:id="1319"/>
      <w:bookmarkEnd w:id="1320"/>
    </w:p>
    <w:p w:rsidR="00A056B6" w:rsidRDefault="00A056B6" w:rsidP="00743A5F">
      <w:pPr>
        <w:pStyle w:val="NormalWeb"/>
        <w:tabs>
          <w:tab w:val="num" w:pos="720"/>
        </w:tabs>
        <w:spacing w:before="0" w:beforeAutospacing="0"/>
        <w:ind w:left="720" w:hanging="360"/>
      </w:pPr>
      <w:r>
        <w:rPr>
          <w:rStyle w:val="Strong"/>
        </w:rPr>
        <w:t>Applicant:</w:t>
      </w:r>
      <w:r>
        <w:br/>
        <w:t>Saudi Aramco, a state-owned entity based in Saudi Arabia, is one of the largest integrated oil companies globally, involved in crude oil production, refining, and marketing.</w:t>
      </w:r>
    </w:p>
    <w:p w:rsidR="00A056B6" w:rsidRDefault="00A056B6" w:rsidP="00743A5F">
      <w:pPr>
        <w:pStyle w:val="NormalWeb"/>
        <w:tabs>
          <w:tab w:val="num" w:pos="720"/>
        </w:tabs>
        <w:spacing w:before="0" w:beforeAutospacing="0"/>
        <w:ind w:left="720" w:hanging="360"/>
      </w:pPr>
      <w:r>
        <w:rPr>
          <w:rStyle w:val="Strong"/>
        </w:rPr>
        <w:t>Business Activities in India:</w:t>
      </w:r>
      <w:r>
        <w:br/>
        <w:t xml:space="preserve">Saudi Aramco sold crude oil to Indian refineries on an </w:t>
      </w:r>
      <w:r>
        <w:rPr>
          <w:rStyle w:val="Strong"/>
        </w:rPr>
        <w:t>FOB (Free on Board)</w:t>
      </w:r>
      <w:r>
        <w:t xml:space="preserve"> basis, where the ownership and risks were transferred outside Indian territorial waters. To support its operations, Saudi Aramco established a wholly-owned subsidiary in India, </w:t>
      </w:r>
      <w:r>
        <w:rPr>
          <w:rStyle w:val="Strong"/>
        </w:rPr>
        <w:t>Aramco India Private Limited</w:t>
      </w:r>
      <w:r>
        <w:t xml:space="preserve"> (Aramco India).</w:t>
      </w:r>
    </w:p>
    <w:p w:rsidR="00A056B6" w:rsidRDefault="00A056B6" w:rsidP="00743A5F">
      <w:pPr>
        <w:pStyle w:val="NormalWeb"/>
        <w:tabs>
          <w:tab w:val="num" w:pos="720"/>
        </w:tabs>
        <w:spacing w:before="0" w:beforeAutospacing="0"/>
        <w:ind w:left="720" w:hanging="360"/>
      </w:pPr>
      <w:r>
        <w:rPr>
          <w:rStyle w:val="Strong"/>
        </w:rPr>
        <w:t>Role of Aramco India:</w:t>
      </w:r>
      <w:r>
        <w:br/>
        <w:t>Aramco India was involved in providing:</w:t>
      </w:r>
    </w:p>
    <w:p w:rsidR="00A056B6" w:rsidRDefault="00A056B6" w:rsidP="00743A5F">
      <w:pPr>
        <w:numPr>
          <w:ilvl w:val="1"/>
          <w:numId w:val="0"/>
        </w:numPr>
        <w:tabs>
          <w:tab w:val="num" w:pos="1440"/>
        </w:tabs>
        <w:spacing w:before="100" w:after="100" w:afterAutospacing="1" w:line="240" w:lineRule="auto"/>
        <w:ind w:left="1440" w:hanging="360"/>
      </w:pPr>
      <w:r>
        <w:t>Procurement support services.</w:t>
      </w:r>
    </w:p>
    <w:p w:rsidR="00A056B6" w:rsidRDefault="00A056B6" w:rsidP="00743A5F">
      <w:pPr>
        <w:numPr>
          <w:ilvl w:val="1"/>
          <w:numId w:val="0"/>
        </w:numPr>
        <w:tabs>
          <w:tab w:val="num" w:pos="1440"/>
        </w:tabs>
        <w:spacing w:before="100" w:after="100" w:afterAutospacing="1" w:line="240" w:lineRule="auto"/>
        <w:ind w:left="1440" w:hanging="360"/>
      </w:pPr>
      <w:r>
        <w:t>Market research and business support services.</w:t>
      </w:r>
    </w:p>
    <w:p w:rsidR="00A056B6" w:rsidRDefault="00A056B6" w:rsidP="00743A5F">
      <w:pPr>
        <w:numPr>
          <w:ilvl w:val="1"/>
          <w:numId w:val="0"/>
        </w:numPr>
        <w:tabs>
          <w:tab w:val="num" w:pos="1440"/>
        </w:tabs>
        <w:spacing w:before="100" w:after="100" w:afterAutospacing="1" w:line="240" w:lineRule="auto"/>
        <w:ind w:left="1440" w:hanging="360"/>
      </w:pPr>
      <w:r>
        <w:t>Creating awareness of Saudi Aramco's products and assisting in sourcing goods.</w:t>
      </w:r>
    </w:p>
    <w:p w:rsidR="00A056B6" w:rsidRDefault="00A056B6" w:rsidP="00743A5F">
      <w:pPr>
        <w:numPr>
          <w:ilvl w:val="1"/>
          <w:numId w:val="0"/>
        </w:numPr>
        <w:tabs>
          <w:tab w:val="num" w:pos="1440"/>
        </w:tabs>
        <w:spacing w:before="100" w:after="100" w:afterAutospacing="1" w:line="240" w:lineRule="auto"/>
        <w:ind w:left="1440" w:hanging="360"/>
      </w:pPr>
      <w:r>
        <w:t>Strategic communication with Indian refineries.</w:t>
      </w:r>
    </w:p>
    <w:p w:rsidR="00A056B6" w:rsidRDefault="00A056B6" w:rsidP="00743A5F">
      <w:pPr>
        <w:pStyle w:val="NormalWeb"/>
        <w:tabs>
          <w:tab w:val="num" w:pos="720"/>
        </w:tabs>
        <w:spacing w:before="0" w:beforeAutospacing="0"/>
        <w:ind w:left="720" w:hanging="360"/>
      </w:pPr>
      <w:r>
        <w:rPr>
          <w:rStyle w:val="Strong"/>
        </w:rPr>
        <w:t>Nature of Payments:</w:t>
      </w:r>
      <w:r>
        <w:br/>
        <w:t xml:space="preserve">The subsidiary was compensated for its services on an </w:t>
      </w:r>
      <w:r>
        <w:rPr>
          <w:rStyle w:val="Strong"/>
        </w:rPr>
        <w:t>arm’s length basis</w:t>
      </w:r>
      <w:r>
        <w:t>, as determined under Indian transfer pricing regulations.</w:t>
      </w:r>
    </w:p>
    <w:p w:rsidR="00A056B6" w:rsidRDefault="00A056B6" w:rsidP="00743A5F">
      <w:pPr>
        <w:spacing w:line="240" w:lineRule="auto"/>
      </w:pPr>
      <w:r>
        <w:pict>
          <v:rect id="_x0000_i1908" style="width:0;height:1.5pt" o:hralign="center" o:hrstd="t" o:hr="t" fillcolor="#a0a0a0" stroked="f"/>
        </w:pict>
      </w:r>
    </w:p>
    <w:p w:rsidR="00A056B6" w:rsidRDefault="00A056B6" w:rsidP="00743A5F">
      <w:pPr>
        <w:pStyle w:val="Heading3"/>
        <w:spacing w:before="0" w:beforeAutospacing="0"/>
      </w:pPr>
      <w:bookmarkStart w:id="1321" w:name="_Toc187624218"/>
      <w:bookmarkStart w:id="1322" w:name="_Toc187630938"/>
      <w:bookmarkStart w:id="1323" w:name="_Toc187661117"/>
      <w:bookmarkStart w:id="1324" w:name="_Toc187662196"/>
      <w:r>
        <w:rPr>
          <w:rStyle w:val="Strong"/>
          <w:b/>
          <w:bCs/>
        </w:rPr>
        <w:t>Issues:</w:t>
      </w:r>
      <w:bookmarkEnd w:id="1321"/>
      <w:bookmarkEnd w:id="1322"/>
      <w:bookmarkEnd w:id="1323"/>
      <w:bookmarkEnd w:id="1324"/>
    </w:p>
    <w:p w:rsidR="00A056B6" w:rsidRDefault="00A056B6" w:rsidP="00743A5F">
      <w:pPr>
        <w:pStyle w:val="NormalWeb"/>
        <w:tabs>
          <w:tab w:val="num" w:pos="720"/>
        </w:tabs>
        <w:spacing w:before="0" w:beforeAutospacing="0"/>
        <w:ind w:left="720" w:hanging="360"/>
      </w:pPr>
      <w:r>
        <w:rPr>
          <w:rStyle w:val="Strong"/>
        </w:rPr>
        <w:t>Fixed Place PE:</w:t>
      </w:r>
      <w:r>
        <w:br/>
        <w:t>Whether Aramco India's office in India constituted a fixed place Permanent Establishment under Article 5(1) of the India-Saudi Arabia DTAA.</w:t>
      </w:r>
    </w:p>
    <w:p w:rsidR="00A056B6" w:rsidRDefault="00A056B6" w:rsidP="00743A5F">
      <w:pPr>
        <w:pStyle w:val="NormalWeb"/>
        <w:tabs>
          <w:tab w:val="num" w:pos="720"/>
        </w:tabs>
        <w:spacing w:before="0" w:beforeAutospacing="0"/>
        <w:ind w:left="720" w:hanging="360"/>
      </w:pPr>
      <w:r>
        <w:rPr>
          <w:rStyle w:val="Strong"/>
        </w:rPr>
        <w:lastRenderedPageBreak/>
        <w:t>Service PE:</w:t>
      </w:r>
      <w:r>
        <w:br/>
        <w:t>Whether Aramco India's services rendered to the Applicant created a Service PE under Article 5(2)(k) of the DTAA.</w:t>
      </w:r>
    </w:p>
    <w:p w:rsidR="00A056B6" w:rsidRDefault="00A056B6" w:rsidP="00743A5F">
      <w:pPr>
        <w:pStyle w:val="NormalWeb"/>
        <w:tabs>
          <w:tab w:val="num" w:pos="720"/>
        </w:tabs>
        <w:spacing w:before="0" w:beforeAutospacing="0"/>
        <w:ind w:left="720" w:hanging="360"/>
      </w:pPr>
      <w:r>
        <w:rPr>
          <w:rStyle w:val="Strong"/>
        </w:rPr>
        <w:t>Agency PE:</w:t>
      </w:r>
      <w:r>
        <w:br/>
        <w:t>Whether Aramco India acted as an agent of Saudi Aramco, constituting an Agency PE under Article 5(4) of the DTAA.</w:t>
      </w:r>
    </w:p>
    <w:p w:rsidR="00A056B6" w:rsidRDefault="00A056B6" w:rsidP="00743A5F">
      <w:pPr>
        <w:spacing w:line="240" w:lineRule="auto"/>
      </w:pPr>
      <w:r>
        <w:pict>
          <v:rect id="_x0000_i1909" style="width:0;height:1.5pt" o:hralign="center" o:hrstd="t" o:hr="t" fillcolor="#a0a0a0" stroked="f"/>
        </w:pict>
      </w:r>
    </w:p>
    <w:p w:rsidR="00A056B6" w:rsidRDefault="00A056B6" w:rsidP="00743A5F">
      <w:pPr>
        <w:pStyle w:val="Heading3"/>
        <w:spacing w:before="0" w:beforeAutospacing="0"/>
      </w:pPr>
      <w:bookmarkStart w:id="1325" w:name="_Toc187624219"/>
      <w:bookmarkStart w:id="1326" w:name="_Toc187630939"/>
      <w:bookmarkStart w:id="1327" w:name="_Toc187661118"/>
      <w:bookmarkStart w:id="1328" w:name="_Toc187662197"/>
      <w:r>
        <w:rPr>
          <w:rStyle w:val="Strong"/>
          <w:b/>
          <w:bCs/>
        </w:rPr>
        <w:t>Applicant’s Arguments:</w:t>
      </w:r>
      <w:bookmarkEnd w:id="1325"/>
      <w:bookmarkEnd w:id="1326"/>
      <w:bookmarkEnd w:id="1327"/>
      <w:bookmarkEnd w:id="1328"/>
    </w:p>
    <w:p w:rsidR="00A056B6" w:rsidRDefault="00A056B6" w:rsidP="00743A5F">
      <w:pPr>
        <w:pStyle w:val="NormalWeb"/>
        <w:tabs>
          <w:tab w:val="num" w:pos="720"/>
        </w:tabs>
        <w:spacing w:before="0" w:beforeAutospacing="0"/>
        <w:ind w:left="720" w:hanging="360"/>
      </w:pPr>
      <w:r>
        <w:rPr>
          <w:rStyle w:val="Strong"/>
        </w:rPr>
        <w:t>No PE in India:</w:t>
      </w:r>
      <w:r>
        <w:br/>
        <w:t>Saudi Aramco contended that:</w:t>
      </w:r>
    </w:p>
    <w:p w:rsidR="00A056B6" w:rsidRDefault="00A056B6" w:rsidP="00743A5F">
      <w:pPr>
        <w:numPr>
          <w:ilvl w:val="1"/>
          <w:numId w:val="0"/>
        </w:numPr>
        <w:tabs>
          <w:tab w:val="num" w:pos="1440"/>
        </w:tabs>
        <w:spacing w:before="100" w:after="100" w:afterAutospacing="1" w:line="240" w:lineRule="auto"/>
        <w:ind w:left="1440" w:hanging="360"/>
      </w:pPr>
      <w:r>
        <w:t>Its core business activities, including the sale of crude oil, were carried out entirely outside India.</w:t>
      </w:r>
    </w:p>
    <w:p w:rsidR="00A056B6" w:rsidRDefault="00A056B6" w:rsidP="00743A5F">
      <w:pPr>
        <w:numPr>
          <w:ilvl w:val="1"/>
          <w:numId w:val="0"/>
        </w:numPr>
        <w:tabs>
          <w:tab w:val="num" w:pos="1440"/>
        </w:tabs>
        <w:spacing w:before="100" w:after="100" w:afterAutospacing="1" w:line="240" w:lineRule="auto"/>
        <w:ind w:left="1440" w:hanging="360"/>
      </w:pPr>
      <w:r>
        <w:t>Aramco India’s role was limited to auxiliary and preparatory activities (e.g., procurement support, market research).</w:t>
      </w:r>
    </w:p>
    <w:p w:rsidR="00A056B6" w:rsidRDefault="00A056B6" w:rsidP="00743A5F">
      <w:pPr>
        <w:numPr>
          <w:ilvl w:val="1"/>
          <w:numId w:val="0"/>
        </w:numPr>
        <w:tabs>
          <w:tab w:val="num" w:pos="1440"/>
        </w:tabs>
        <w:spacing w:before="100" w:after="100" w:afterAutospacing="1" w:line="240" w:lineRule="auto"/>
        <w:ind w:left="1440" w:hanging="360"/>
      </w:pPr>
      <w:r>
        <w:t>Aramco India’s premises were not at Saudi Aramco’s disposal.</w:t>
      </w:r>
    </w:p>
    <w:p w:rsidR="00A056B6" w:rsidRDefault="00A056B6" w:rsidP="00743A5F">
      <w:pPr>
        <w:pStyle w:val="NormalWeb"/>
        <w:tabs>
          <w:tab w:val="num" w:pos="720"/>
        </w:tabs>
        <w:spacing w:before="0" w:beforeAutospacing="0"/>
        <w:ind w:left="720" w:hanging="360"/>
      </w:pPr>
      <w:r>
        <w:rPr>
          <w:rStyle w:val="Strong"/>
        </w:rPr>
        <w:t>No Service PE:</w:t>
      </w:r>
      <w:r>
        <w:br/>
        <w:t>The Applicant argued that it did not render any services to Indian customers. All services were provided by Aramco India to Saudi Aramco and not directly to Indian entities.</w:t>
      </w:r>
    </w:p>
    <w:p w:rsidR="00A056B6" w:rsidRDefault="00A056B6" w:rsidP="00743A5F">
      <w:pPr>
        <w:pStyle w:val="NormalWeb"/>
        <w:tabs>
          <w:tab w:val="num" w:pos="720"/>
        </w:tabs>
        <w:spacing w:before="0" w:beforeAutospacing="0"/>
        <w:ind w:left="720" w:hanging="360"/>
      </w:pPr>
      <w:r>
        <w:rPr>
          <w:rStyle w:val="Strong"/>
        </w:rPr>
        <w:t>No Agency PE:</w:t>
      </w:r>
      <w:r>
        <w:br/>
        <w:t>Aramco India had no authority to conclude contracts on behalf of Saudi Aramco. All contract negotiations and finalizations were conducted by Saudi Aramco personnel outside India.</w:t>
      </w:r>
    </w:p>
    <w:p w:rsidR="00A056B6" w:rsidRDefault="00A056B6" w:rsidP="00743A5F">
      <w:pPr>
        <w:spacing w:line="240" w:lineRule="auto"/>
      </w:pPr>
      <w:r>
        <w:pict>
          <v:rect id="_x0000_i1910" style="width:0;height:1.5pt" o:hralign="center" o:hrstd="t" o:hr="t" fillcolor="#a0a0a0" stroked="f"/>
        </w:pict>
      </w:r>
    </w:p>
    <w:p w:rsidR="00A056B6" w:rsidRDefault="00A056B6" w:rsidP="00743A5F">
      <w:pPr>
        <w:pStyle w:val="Heading3"/>
        <w:spacing w:before="0" w:beforeAutospacing="0"/>
      </w:pPr>
      <w:bookmarkStart w:id="1329" w:name="_Toc187624220"/>
      <w:bookmarkStart w:id="1330" w:name="_Toc187630940"/>
      <w:bookmarkStart w:id="1331" w:name="_Toc187661119"/>
      <w:bookmarkStart w:id="1332" w:name="_Toc187662198"/>
      <w:r>
        <w:rPr>
          <w:rStyle w:val="Strong"/>
          <w:b/>
          <w:bCs/>
        </w:rPr>
        <w:t>Revenue’s Arguments:</w:t>
      </w:r>
      <w:bookmarkEnd w:id="1329"/>
      <w:bookmarkEnd w:id="1330"/>
      <w:bookmarkEnd w:id="1331"/>
      <w:bookmarkEnd w:id="1332"/>
    </w:p>
    <w:p w:rsidR="00A056B6" w:rsidRDefault="00A056B6" w:rsidP="00743A5F">
      <w:pPr>
        <w:pStyle w:val="NormalWeb"/>
        <w:tabs>
          <w:tab w:val="num" w:pos="720"/>
        </w:tabs>
        <w:spacing w:before="0" w:beforeAutospacing="0"/>
        <w:ind w:left="720" w:hanging="360"/>
      </w:pPr>
      <w:r>
        <w:rPr>
          <w:rStyle w:val="Strong"/>
        </w:rPr>
        <w:t>Existence of PE:</w:t>
      </w:r>
      <w:r>
        <w:br/>
        <w:t>The Revenue argued that Aramco India went beyond auxiliary or preparatory activities by engaging in core business operations such as marketing, customer engagement, and support for sales. As such, Aramco India constituted a fixed place PE.</w:t>
      </w:r>
    </w:p>
    <w:p w:rsidR="00A056B6" w:rsidRDefault="00A056B6" w:rsidP="00743A5F">
      <w:pPr>
        <w:pStyle w:val="NormalWeb"/>
        <w:tabs>
          <w:tab w:val="num" w:pos="720"/>
        </w:tabs>
        <w:spacing w:before="0" w:beforeAutospacing="0"/>
        <w:ind w:left="720" w:hanging="360"/>
      </w:pPr>
      <w:r>
        <w:rPr>
          <w:rStyle w:val="Strong"/>
        </w:rPr>
        <w:t>Attribution of Income:</w:t>
      </w:r>
      <w:r>
        <w:br/>
        <w:t>The Revenue contended that income attributable to the PE, based on the activities conducted in India, should be taxed in India.</w:t>
      </w:r>
    </w:p>
    <w:p w:rsidR="00A056B6" w:rsidRDefault="00A056B6" w:rsidP="00743A5F">
      <w:pPr>
        <w:spacing w:line="240" w:lineRule="auto"/>
      </w:pPr>
      <w:r>
        <w:pict>
          <v:rect id="_x0000_i1911" style="width:0;height:1.5pt" o:hralign="center" o:hrstd="t" o:hr="t" fillcolor="#a0a0a0" stroked="f"/>
        </w:pict>
      </w:r>
    </w:p>
    <w:p w:rsidR="00A056B6" w:rsidRDefault="00A056B6" w:rsidP="00743A5F">
      <w:pPr>
        <w:pStyle w:val="Heading3"/>
        <w:spacing w:before="0" w:beforeAutospacing="0"/>
      </w:pPr>
      <w:bookmarkStart w:id="1333" w:name="_Toc187624221"/>
      <w:bookmarkStart w:id="1334" w:name="_Toc187630941"/>
      <w:bookmarkStart w:id="1335" w:name="_Toc187661120"/>
      <w:bookmarkStart w:id="1336" w:name="_Toc187662199"/>
      <w:r>
        <w:rPr>
          <w:rStyle w:val="Strong"/>
          <w:b/>
          <w:bCs/>
        </w:rPr>
        <w:t>AAR’s Analysis:</w:t>
      </w:r>
      <w:bookmarkEnd w:id="1333"/>
      <w:bookmarkEnd w:id="1334"/>
      <w:bookmarkEnd w:id="1335"/>
      <w:bookmarkEnd w:id="1336"/>
    </w:p>
    <w:p w:rsidR="00A056B6" w:rsidRDefault="00A056B6" w:rsidP="00743A5F">
      <w:pPr>
        <w:pStyle w:val="NormalWeb"/>
        <w:tabs>
          <w:tab w:val="num" w:pos="720"/>
        </w:tabs>
        <w:spacing w:before="0" w:beforeAutospacing="0"/>
        <w:ind w:left="720" w:hanging="360"/>
      </w:pPr>
      <w:r>
        <w:rPr>
          <w:rStyle w:val="Strong"/>
        </w:rPr>
        <w:lastRenderedPageBreak/>
        <w:t>Fixed Place PE:</w:t>
      </w:r>
    </w:p>
    <w:p w:rsidR="00A056B6" w:rsidRDefault="00A056B6" w:rsidP="00743A5F">
      <w:pPr>
        <w:numPr>
          <w:ilvl w:val="1"/>
          <w:numId w:val="0"/>
        </w:numPr>
        <w:tabs>
          <w:tab w:val="num" w:pos="1440"/>
        </w:tabs>
        <w:spacing w:before="100" w:after="100" w:afterAutospacing="1" w:line="240" w:lineRule="auto"/>
        <w:ind w:left="1440" w:hanging="360"/>
      </w:pPr>
      <w:r>
        <w:t>The AAR noted that Saudi Aramco’s sales transactions were concluded outside India on an FOB basis.</w:t>
      </w:r>
    </w:p>
    <w:p w:rsidR="00A056B6" w:rsidRDefault="00A056B6" w:rsidP="00743A5F">
      <w:pPr>
        <w:numPr>
          <w:ilvl w:val="1"/>
          <w:numId w:val="0"/>
        </w:numPr>
        <w:tabs>
          <w:tab w:val="num" w:pos="1440"/>
        </w:tabs>
        <w:spacing w:before="100" w:after="100" w:afterAutospacing="1" w:line="240" w:lineRule="auto"/>
        <w:ind w:left="1440" w:hanging="360"/>
      </w:pPr>
      <w:r>
        <w:t>Aramco India’s activities were confined to support functions such as market research and procurement assistance, which were classified as auxiliary or preparatory under Article 5(3).</w:t>
      </w:r>
    </w:p>
    <w:p w:rsidR="00A056B6" w:rsidRDefault="00A056B6" w:rsidP="00743A5F">
      <w:pPr>
        <w:numPr>
          <w:ilvl w:val="1"/>
          <w:numId w:val="0"/>
        </w:numPr>
        <w:tabs>
          <w:tab w:val="num" w:pos="1440"/>
        </w:tabs>
        <w:spacing w:before="100" w:after="100" w:afterAutospacing="1" w:line="240" w:lineRule="auto"/>
        <w:ind w:left="1440" w:hanging="360"/>
      </w:pPr>
      <w:r>
        <w:t xml:space="preserve">Aramco India’s premises were not at Saudi Aramco’s disposal. Hence, there was </w:t>
      </w:r>
      <w:r>
        <w:rPr>
          <w:rStyle w:val="Strong"/>
        </w:rPr>
        <w:t>no Fixed Place PE</w:t>
      </w:r>
      <w:r>
        <w:t xml:space="preserve"> in India.</w:t>
      </w:r>
    </w:p>
    <w:p w:rsidR="00A056B6" w:rsidRDefault="00A056B6" w:rsidP="00743A5F">
      <w:pPr>
        <w:pStyle w:val="NormalWeb"/>
        <w:tabs>
          <w:tab w:val="num" w:pos="720"/>
        </w:tabs>
        <w:spacing w:before="0" w:beforeAutospacing="0"/>
        <w:ind w:left="720" w:hanging="360"/>
      </w:pPr>
      <w:r>
        <w:rPr>
          <w:rStyle w:val="Strong"/>
        </w:rPr>
        <w:t>Service PE:</w:t>
      </w:r>
    </w:p>
    <w:p w:rsidR="00A056B6" w:rsidRDefault="00A056B6" w:rsidP="00743A5F">
      <w:pPr>
        <w:numPr>
          <w:ilvl w:val="1"/>
          <w:numId w:val="0"/>
        </w:numPr>
        <w:tabs>
          <w:tab w:val="num" w:pos="1440"/>
        </w:tabs>
        <w:spacing w:before="100" w:after="100" w:afterAutospacing="1" w:line="240" w:lineRule="auto"/>
        <w:ind w:left="1440" w:hanging="360"/>
      </w:pPr>
      <w:r>
        <w:t>The AAR observed that the services provided by Aramco India were rendered to the Applicant and not to Indian customers.</w:t>
      </w:r>
    </w:p>
    <w:p w:rsidR="00A056B6" w:rsidRDefault="00A056B6" w:rsidP="00743A5F">
      <w:pPr>
        <w:numPr>
          <w:ilvl w:val="1"/>
          <w:numId w:val="0"/>
        </w:numPr>
        <w:tabs>
          <w:tab w:val="num" w:pos="1440"/>
        </w:tabs>
        <w:spacing w:before="100" w:after="100" w:afterAutospacing="1" w:line="240" w:lineRule="auto"/>
        <w:ind w:left="1440" w:hanging="360"/>
      </w:pPr>
      <w:r>
        <w:t xml:space="preserve">As there were no services rendered directly by Saudi Aramco’s employees or other personnel in India, no </w:t>
      </w:r>
      <w:r>
        <w:rPr>
          <w:rStyle w:val="Strong"/>
        </w:rPr>
        <w:t>Service PE</w:t>
      </w:r>
      <w:r>
        <w:t xml:space="preserve"> was created under Article 5(2)(k).</w:t>
      </w:r>
    </w:p>
    <w:p w:rsidR="00A056B6" w:rsidRDefault="00A056B6" w:rsidP="00743A5F">
      <w:pPr>
        <w:pStyle w:val="NormalWeb"/>
        <w:tabs>
          <w:tab w:val="num" w:pos="720"/>
        </w:tabs>
        <w:spacing w:before="0" w:beforeAutospacing="0"/>
        <w:ind w:left="720" w:hanging="360"/>
      </w:pPr>
      <w:r>
        <w:rPr>
          <w:rStyle w:val="Strong"/>
        </w:rPr>
        <w:t>Agency PE:</w:t>
      </w:r>
    </w:p>
    <w:p w:rsidR="00A056B6" w:rsidRDefault="00A056B6" w:rsidP="00743A5F">
      <w:pPr>
        <w:numPr>
          <w:ilvl w:val="1"/>
          <w:numId w:val="0"/>
        </w:numPr>
        <w:tabs>
          <w:tab w:val="num" w:pos="1440"/>
        </w:tabs>
        <w:spacing w:before="100" w:after="100" w:afterAutospacing="1" w:line="240" w:lineRule="auto"/>
        <w:ind w:left="1440" w:hanging="360"/>
      </w:pPr>
      <w:r>
        <w:t>The AAR emphasized that Aramco India did not have the authority to conclude contracts on behalf of Saudi Aramco.</w:t>
      </w:r>
    </w:p>
    <w:p w:rsidR="00A056B6" w:rsidRDefault="00A056B6" w:rsidP="00743A5F">
      <w:pPr>
        <w:numPr>
          <w:ilvl w:val="1"/>
          <w:numId w:val="0"/>
        </w:numPr>
        <w:tabs>
          <w:tab w:val="num" w:pos="1440"/>
        </w:tabs>
        <w:spacing w:before="100" w:after="100" w:afterAutospacing="1" w:line="240" w:lineRule="auto"/>
        <w:ind w:left="1440" w:hanging="360"/>
      </w:pPr>
      <w:r>
        <w:t>The contractual relationship between Saudi Aramco and Indian refineries was independent of Aramco India’s operations.</w:t>
      </w:r>
    </w:p>
    <w:p w:rsidR="00A056B6" w:rsidRDefault="00A056B6" w:rsidP="00743A5F">
      <w:pPr>
        <w:numPr>
          <w:ilvl w:val="1"/>
          <w:numId w:val="0"/>
        </w:numPr>
        <w:tabs>
          <w:tab w:val="num" w:pos="1440"/>
        </w:tabs>
        <w:spacing w:before="100" w:after="100" w:afterAutospacing="1" w:line="240" w:lineRule="auto"/>
        <w:ind w:left="1440" w:hanging="360"/>
      </w:pPr>
      <w:r>
        <w:t xml:space="preserve">Therefore, no </w:t>
      </w:r>
      <w:r>
        <w:rPr>
          <w:rStyle w:val="Strong"/>
        </w:rPr>
        <w:t>Agency PE</w:t>
      </w:r>
      <w:r>
        <w:t xml:space="preserve"> existed under Article 5(4).</w:t>
      </w:r>
    </w:p>
    <w:p w:rsidR="00A056B6" w:rsidRDefault="00A056B6" w:rsidP="00743A5F">
      <w:pPr>
        <w:spacing w:after="0" w:line="240" w:lineRule="auto"/>
      </w:pPr>
      <w:r>
        <w:pict>
          <v:rect id="_x0000_i1912" style="width:0;height:1.5pt" o:hralign="center" o:hrstd="t" o:hr="t" fillcolor="#a0a0a0" stroked="f"/>
        </w:pict>
      </w:r>
    </w:p>
    <w:p w:rsidR="00A056B6" w:rsidRDefault="00A056B6" w:rsidP="00743A5F">
      <w:pPr>
        <w:pStyle w:val="Heading3"/>
        <w:spacing w:before="0" w:beforeAutospacing="0"/>
      </w:pPr>
      <w:bookmarkStart w:id="1337" w:name="_Toc187624222"/>
      <w:bookmarkStart w:id="1338" w:name="_Toc187630942"/>
      <w:bookmarkStart w:id="1339" w:name="_Toc187661121"/>
      <w:bookmarkStart w:id="1340" w:name="_Toc187662200"/>
      <w:r>
        <w:rPr>
          <w:rStyle w:val="Strong"/>
          <w:b/>
          <w:bCs/>
        </w:rPr>
        <w:t>Ruling and Reasoning:</w:t>
      </w:r>
      <w:bookmarkEnd w:id="1337"/>
      <w:bookmarkEnd w:id="1338"/>
      <w:bookmarkEnd w:id="1339"/>
      <w:bookmarkEnd w:id="1340"/>
    </w:p>
    <w:p w:rsidR="00A056B6" w:rsidRDefault="00A056B6" w:rsidP="00743A5F">
      <w:pPr>
        <w:pStyle w:val="NormalWeb"/>
        <w:tabs>
          <w:tab w:val="num" w:pos="720"/>
        </w:tabs>
        <w:spacing w:before="0" w:beforeAutospacing="0"/>
        <w:ind w:left="720" w:hanging="360"/>
      </w:pPr>
      <w:r>
        <w:rPr>
          <w:rStyle w:val="Strong"/>
        </w:rPr>
        <w:t>No Permanent Establishment:</w:t>
      </w:r>
      <w:r>
        <w:br/>
        <w:t>The AAR ruled that Saudi Aramco did not have a PE in India under Article 5 of the DTAA. Aramco India’s activities were preparatory and auxiliary, and it did not act as a dependent agent.</w:t>
      </w:r>
    </w:p>
    <w:p w:rsidR="00A056B6" w:rsidRDefault="00A056B6" w:rsidP="00743A5F">
      <w:pPr>
        <w:pStyle w:val="NormalWeb"/>
        <w:tabs>
          <w:tab w:val="num" w:pos="720"/>
        </w:tabs>
        <w:spacing w:before="0" w:beforeAutospacing="0"/>
        <w:ind w:left="720" w:hanging="360"/>
      </w:pPr>
      <w:r>
        <w:rPr>
          <w:rStyle w:val="Strong"/>
        </w:rPr>
        <w:t>Tax Implications:</w:t>
      </w:r>
    </w:p>
    <w:p w:rsidR="00A056B6" w:rsidRDefault="00A056B6" w:rsidP="00743A5F">
      <w:pPr>
        <w:numPr>
          <w:ilvl w:val="1"/>
          <w:numId w:val="0"/>
        </w:numPr>
        <w:tabs>
          <w:tab w:val="num" w:pos="1440"/>
        </w:tabs>
        <w:spacing w:before="100" w:after="100" w:afterAutospacing="1" w:line="240" w:lineRule="auto"/>
        <w:ind w:left="1440" w:hanging="360"/>
      </w:pPr>
      <w:r>
        <w:t>Since Saudi Aramco did not have a PE in India, its business profits from crude oil sales were not taxable in India under Article 7 of the DTAA.</w:t>
      </w:r>
    </w:p>
    <w:p w:rsidR="00A056B6" w:rsidRDefault="00A056B6" w:rsidP="00743A5F">
      <w:pPr>
        <w:numPr>
          <w:ilvl w:val="1"/>
          <w:numId w:val="0"/>
        </w:numPr>
        <w:tabs>
          <w:tab w:val="num" w:pos="1440"/>
        </w:tabs>
        <w:spacing w:before="100" w:after="100" w:afterAutospacing="1" w:line="240" w:lineRule="auto"/>
        <w:ind w:left="1440" w:hanging="360"/>
      </w:pPr>
      <w:r>
        <w:t>The payments made to Aramco India for its support services were subject to Indian transfer pricing regulations but did not impact Saudi Aramco’s taxability.</w:t>
      </w:r>
    </w:p>
    <w:p w:rsidR="00A056B6" w:rsidRDefault="00A056B6" w:rsidP="00743A5F">
      <w:pPr>
        <w:spacing w:after="0" w:line="240" w:lineRule="auto"/>
      </w:pPr>
      <w:r>
        <w:pict>
          <v:rect id="_x0000_i1913" style="width:0;height:1.5pt" o:hralign="center" o:hrstd="t" o:hr="t" fillcolor="#a0a0a0" stroked="f"/>
        </w:pict>
      </w:r>
    </w:p>
    <w:p w:rsidR="00A056B6" w:rsidRDefault="00A056B6" w:rsidP="00743A5F">
      <w:pPr>
        <w:pStyle w:val="Heading3"/>
        <w:spacing w:before="0" w:beforeAutospacing="0"/>
      </w:pPr>
      <w:bookmarkStart w:id="1341" w:name="_Toc187624223"/>
      <w:bookmarkStart w:id="1342" w:name="_Toc187630943"/>
      <w:bookmarkStart w:id="1343" w:name="_Toc187661122"/>
      <w:bookmarkStart w:id="1344" w:name="_Toc187662201"/>
      <w:r>
        <w:rPr>
          <w:rStyle w:val="Strong"/>
          <w:b/>
          <w:bCs/>
        </w:rPr>
        <w:t>Conclusion:</w:t>
      </w:r>
      <w:bookmarkEnd w:id="1341"/>
      <w:bookmarkEnd w:id="1342"/>
      <w:bookmarkEnd w:id="1343"/>
      <w:bookmarkEnd w:id="1344"/>
    </w:p>
    <w:p w:rsidR="00A056B6" w:rsidRDefault="00A056B6" w:rsidP="00743A5F">
      <w:pPr>
        <w:pStyle w:val="NormalWeb"/>
        <w:spacing w:before="0" w:beforeAutospacing="0"/>
      </w:pPr>
      <w:r>
        <w:lastRenderedPageBreak/>
        <w:t>This ruling reinforces the principle that preparatory and auxiliary activities conducted by a subsidiary in India do not automatically create a PE for the parent company under a DTAA. It also underscores the importance of maintaining clear documentation and arm's length arrangements to avoid disputes over PE and taxability.</w:t>
      </w:r>
    </w:p>
    <w:p w:rsidR="00A056B6" w:rsidRDefault="00A056B6" w:rsidP="00743A5F">
      <w:pPr>
        <w:spacing w:line="240" w:lineRule="auto"/>
      </w:pPr>
      <w:r>
        <w:pict>
          <v:rect id="_x0000_i1914" style="width:0;height:1.5pt" o:hralign="center" o:hrstd="t" o:hr="t" fillcolor="#a0a0a0" stroked="f"/>
        </w:pict>
      </w:r>
    </w:p>
    <w:p w:rsidR="00A056B6" w:rsidRDefault="00A056B6" w:rsidP="00743A5F">
      <w:pPr>
        <w:pStyle w:val="Heading3"/>
        <w:spacing w:before="0" w:beforeAutospacing="0"/>
      </w:pPr>
      <w:bookmarkStart w:id="1345" w:name="_Toc187624224"/>
      <w:bookmarkStart w:id="1346" w:name="_Toc187630944"/>
      <w:bookmarkStart w:id="1347" w:name="_Toc187661123"/>
      <w:bookmarkStart w:id="1348" w:name="_Toc187662202"/>
      <w:r>
        <w:rPr>
          <w:rStyle w:val="Strong"/>
          <w:b/>
          <w:bCs/>
        </w:rPr>
        <w:t>Reference:</w:t>
      </w:r>
      <w:bookmarkEnd w:id="1345"/>
      <w:bookmarkEnd w:id="1346"/>
      <w:bookmarkEnd w:id="1347"/>
      <w:bookmarkEnd w:id="1348"/>
    </w:p>
    <w:p w:rsidR="00A056B6" w:rsidRDefault="00A056B6" w:rsidP="00743A5F">
      <w:pPr>
        <w:pStyle w:val="NormalWeb"/>
        <w:tabs>
          <w:tab w:val="num" w:pos="720"/>
        </w:tabs>
        <w:spacing w:before="0" w:beforeAutospacing="0"/>
        <w:ind w:left="720" w:hanging="360"/>
      </w:pPr>
      <w:r>
        <w:rPr>
          <w:rStyle w:val="Strong"/>
        </w:rPr>
        <w:t>Case Citation:</w:t>
      </w:r>
      <w:r>
        <w:br/>
        <w:t>Saudi Arabian Oil Company, In re, [2018] 94 taxmann.com 194 (AAR – New Delhi) / [2018] 405 ITR 83 (AAR – New Delhi) / [2018] 303 CTR 225 (AAR – New Delhi).</w:t>
      </w:r>
    </w:p>
    <w:p w:rsidR="00A056B6" w:rsidRDefault="00A056B6" w:rsidP="00743A5F">
      <w:pPr>
        <w:pStyle w:val="NormalWeb"/>
        <w:tabs>
          <w:tab w:val="num" w:pos="720"/>
        </w:tabs>
        <w:spacing w:before="0" w:beforeAutospacing="0"/>
        <w:ind w:left="720" w:hanging="360"/>
      </w:pPr>
      <w:r>
        <w:rPr>
          <w:rStyle w:val="Strong"/>
        </w:rPr>
        <w:t>AAR Number:</w:t>
      </w:r>
      <w:r>
        <w:t xml:space="preserve"> AAR No. 25 of 2016, dated May 31, 2018.</w:t>
      </w:r>
    </w:p>
    <w:p w:rsidR="00A056B6" w:rsidRDefault="00A056B6" w:rsidP="00743A5F">
      <w:pPr>
        <w:pStyle w:val="Heading5"/>
        <w:spacing w:before="0" w:beforeAutospacing="0"/>
      </w:pPr>
      <w:r>
        <w:t>You said:</w:t>
      </w:r>
    </w:p>
    <w:p w:rsidR="00A056B6" w:rsidRDefault="00A056B6" w:rsidP="00743A5F">
      <w:pPr>
        <w:spacing w:line="240" w:lineRule="auto"/>
      </w:pPr>
      <w:r>
        <w:t>Discuss Electrical material Center Co. Ltd. [TS-451-ITAT-2017(Bang)] - IT (TP) A No. 1104 (Bang) 2013 dated 28-09-2017</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1B965CA6" wp14:editId="726CFE34">
            <wp:extent cx="763905" cy="763905"/>
            <wp:effectExtent l="0" t="0" r="0" b="0"/>
            <wp:docPr id="442" name="Picture 44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1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Electrical Material Center Co. Ltd. v. Deputy Director of Income Tax</w:t>
      </w:r>
      <w:r>
        <w:t xml:space="preserve">, the </w:t>
      </w:r>
      <w:r>
        <w:rPr>
          <w:rStyle w:val="Strong"/>
        </w:rPr>
        <w:t>Income Tax Appellate Tribunal (ITAT) Bangalore Bench</w:t>
      </w:r>
      <w:r>
        <w:t xml:space="preserve"> addressed the tax implications for Electrical Material Center Co. Ltd. (EMC), a Saudi Arabian company, concerning its operations in India for the Assessment Year (AY) 2010-11.</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Assessee:</w:t>
      </w:r>
      <w:r>
        <w:t xml:space="preserve"> Electrical Material Center Co. Ltd. (EMC), a company incorporated in Saudi Arabia, engaged in providing engineering services.</w:t>
      </w:r>
    </w:p>
    <w:p w:rsidR="00A056B6" w:rsidRDefault="00A056B6" w:rsidP="00743A5F">
      <w:pPr>
        <w:pStyle w:val="NormalWeb"/>
        <w:tabs>
          <w:tab w:val="num" w:pos="720"/>
        </w:tabs>
        <w:spacing w:before="0" w:beforeAutospacing="0"/>
        <w:ind w:left="720" w:hanging="360"/>
      </w:pPr>
      <w:r>
        <w:rPr>
          <w:rStyle w:val="Strong"/>
        </w:rPr>
        <w:t>Indian Operations:</w:t>
      </w:r>
      <w:r>
        <w:t xml:space="preserve"> EMC deployed four service engineers to India to render services to an Indian entity. Each engineer was present in India for 90 days, totaling 360 man-days.</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Existence of Service Permanent Establishment (PE):</w:t>
      </w:r>
      <w:r>
        <w:t xml:space="preserve"> Whether EMC constituted a Service PE in India under Article 5(3)(b) of the India-Saudi Arabia Double Taxation Avoidance Agreement (DTAA) by considering the duration of services rendered.</w:t>
      </w:r>
    </w:p>
    <w:p w:rsidR="00A056B6" w:rsidRDefault="00A056B6" w:rsidP="00743A5F">
      <w:pPr>
        <w:pStyle w:val="NormalWeb"/>
        <w:tabs>
          <w:tab w:val="num" w:pos="720"/>
        </w:tabs>
        <w:spacing w:before="0" w:beforeAutospacing="0"/>
        <w:ind w:left="720" w:hanging="360"/>
      </w:pPr>
      <w:r>
        <w:rPr>
          <w:rStyle w:val="Strong"/>
        </w:rPr>
        <w:t>Taxability of Fees for Technical Services (FTS):</w:t>
      </w:r>
      <w:r>
        <w:t xml:space="preserve"> Whether the fees received by EMC for the services rendered in India were taxable as FTS under the Income Tax Act, 1961, and the DTAA, especially in the absence of a specific FTS clause in the DTAA.</w:t>
      </w:r>
    </w:p>
    <w:p w:rsidR="00A056B6" w:rsidRDefault="00A056B6" w:rsidP="00743A5F">
      <w:pPr>
        <w:pStyle w:val="NormalWeb"/>
        <w:spacing w:before="0" w:beforeAutospacing="0"/>
      </w:pPr>
      <w:r>
        <w:rPr>
          <w:rStyle w:val="Strong"/>
        </w:rPr>
        <w:t>Assessee's Arguments:</w:t>
      </w:r>
    </w:p>
    <w:p w:rsidR="00A056B6" w:rsidRDefault="00A056B6" w:rsidP="00743A5F">
      <w:pPr>
        <w:pStyle w:val="NormalWeb"/>
        <w:tabs>
          <w:tab w:val="num" w:pos="720"/>
        </w:tabs>
        <w:spacing w:before="0" w:beforeAutospacing="0"/>
        <w:ind w:left="720" w:hanging="360"/>
      </w:pPr>
      <w:r>
        <w:rPr>
          <w:rStyle w:val="Strong"/>
        </w:rPr>
        <w:lastRenderedPageBreak/>
        <w:t>No Service PE in India:</w:t>
      </w:r>
      <w:r>
        <w:t xml:space="preserve"> EMC contended that the duration of services should be calculated based on "solar days" (actual days) rather than "man-days." Since each engineer was present for 90 days, the total duration was 90 days, not 360 days. Under Article 5(3)(b) of the DTAA, a Service PE is constituted if services are rendered for a period exceeding 182 days in any twelve-month period. Therefore, EMC argued that it did not have a Service PE in India.</w:t>
      </w:r>
    </w:p>
    <w:p w:rsidR="00A056B6" w:rsidRDefault="00A056B6" w:rsidP="00743A5F">
      <w:pPr>
        <w:pStyle w:val="NormalWeb"/>
        <w:tabs>
          <w:tab w:val="num" w:pos="720"/>
        </w:tabs>
        <w:spacing w:before="0" w:beforeAutospacing="0"/>
        <w:ind w:left="720" w:hanging="360"/>
      </w:pPr>
      <w:r>
        <w:rPr>
          <w:rStyle w:val="Strong"/>
        </w:rPr>
        <w:t>FTS Not Taxable in India:</w:t>
      </w:r>
      <w:r>
        <w:t xml:space="preserve"> EMC asserted that the India-Saudi Arabia DTAA does not contain a specific provision for the taxation of FTS. In the absence of such a provision, FTS should not be taxed in India and should only be taxable in the state of residence, i.e., Saudi Arabia.</w:t>
      </w:r>
    </w:p>
    <w:p w:rsidR="00A056B6" w:rsidRDefault="00A056B6" w:rsidP="00743A5F">
      <w:pPr>
        <w:pStyle w:val="NormalWeb"/>
        <w:spacing w:before="0" w:beforeAutospacing="0"/>
      </w:pPr>
      <w:r>
        <w:rPr>
          <w:rStyle w:val="Strong"/>
        </w:rPr>
        <w:t>Revenue's Arguments:</w:t>
      </w:r>
    </w:p>
    <w:p w:rsidR="00A056B6" w:rsidRDefault="00A056B6" w:rsidP="00743A5F">
      <w:pPr>
        <w:pStyle w:val="NormalWeb"/>
        <w:tabs>
          <w:tab w:val="num" w:pos="720"/>
        </w:tabs>
        <w:spacing w:before="0" w:beforeAutospacing="0"/>
        <w:ind w:left="720" w:hanging="360"/>
      </w:pPr>
      <w:r>
        <w:rPr>
          <w:rStyle w:val="Strong"/>
        </w:rPr>
        <w:t>Existence of Service PE:</w:t>
      </w:r>
      <w:r>
        <w:t xml:space="preserve"> The Revenue argued that the presence of four engineers for 90 days each amounted to 360 man-days, thereby constituting a Service PE in India under the DTAA.</w:t>
      </w:r>
    </w:p>
    <w:p w:rsidR="00A056B6" w:rsidRDefault="00A056B6" w:rsidP="00743A5F">
      <w:pPr>
        <w:pStyle w:val="NormalWeb"/>
        <w:tabs>
          <w:tab w:val="num" w:pos="720"/>
        </w:tabs>
        <w:spacing w:before="0" w:beforeAutospacing="0"/>
        <w:ind w:left="720" w:hanging="360"/>
      </w:pPr>
      <w:r>
        <w:rPr>
          <w:rStyle w:val="Strong"/>
        </w:rPr>
        <w:t>Taxability of FTS:</w:t>
      </w:r>
      <w:r>
        <w:t xml:space="preserve"> The Revenue contended that in the absence of a specific FTS clause in the DTAA, the fees should be taxed under the provisions of the Income Tax Act, 1961.</w:t>
      </w:r>
    </w:p>
    <w:p w:rsidR="00A056B6" w:rsidRDefault="00A056B6" w:rsidP="004D0ABB">
      <w:pPr>
        <w:pStyle w:val="Heading5"/>
        <w:spacing w:before="0" w:beforeAutospacing="0"/>
      </w:pPr>
      <w:r>
        <w:rPr>
          <w:rStyle w:val="Strong"/>
        </w:rPr>
        <w:t>Tribunal's Analysis:</w:t>
      </w:r>
    </w:p>
    <w:p w:rsidR="00A056B6" w:rsidRDefault="00A056B6" w:rsidP="00743A5F">
      <w:pPr>
        <w:pStyle w:val="NormalWeb"/>
        <w:tabs>
          <w:tab w:val="num" w:pos="720"/>
        </w:tabs>
        <w:spacing w:before="0" w:beforeAutospacing="0"/>
        <w:ind w:left="720" w:hanging="360"/>
      </w:pPr>
      <w:r>
        <w:rPr>
          <w:rStyle w:val="Strong"/>
        </w:rPr>
        <w:t>Service PE Determination:</w:t>
      </w:r>
    </w:p>
    <w:p w:rsidR="00A056B6" w:rsidRDefault="00A056B6" w:rsidP="00743A5F">
      <w:pPr>
        <w:pStyle w:val="NormalWeb"/>
        <w:numPr>
          <w:ilvl w:val="1"/>
          <w:numId w:val="0"/>
        </w:numPr>
        <w:tabs>
          <w:tab w:val="num" w:pos="1440"/>
        </w:tabs>
        <w:spacing w:before="0" w:beforeAutospacing="0"/>
        <w:ind w:left="1440" w:hanging="360"/>
      </w:pPr>
      <w:r>
        <w:rPr>
          <w:rStyle w:val="Strong"/>
        </w:rPr>
        <w:t>Solar Days vs. Man-Days:</w:t>
      </w:r>
      <w:r>
        <w:t xml:space="preserve"> The ITAT referred to the decision in </w:t>
      </w:r>
      <w:r>
        <w:rPr>
          <w:rStyle w:val="Strong"/>
        </w:rPr>
        <w:t>Clifford Chance v. DCIT</w:t>
      </w:r>
      <w:r>
        <w:t xml:space="preserve"> ([2002] 82 ITD 106), which emphasized that for determining the existence of a Service PE, the duration should be calculated based on "solar days" and not "man-days." Multiple counting of days when more than one individual is present should be avoided to prevent absurd results.</w:t>
      </w:r>
    </w:p>
    <w:p w:rsidR="00A056B6" w:rsidRDefault="00A056B6" w:rsidP="00743A5F">
      <w:pPr>
        <w:pStyle w:val="NormalWeb"/>
        <w:numPr>
          <w:ilvl w:val="1"/>
          <w:numId w:val="0"/>
        </w:numPr>
        <w:tabs>
          <w:tab w:val="num" w:pos="1440"/>
        </w:tabs>
        <w:spacing w:before="0" w:beforeAutospacing="0"/>
        <w:ind w:left="1440" w:hanging="360"/>
      </w:pPr>
      <w:r>
        <w:rPr>
          <w:rStyle w:val="Strong"/>
        </w:rPr>
        <w:t>Application to EMC's Case:</w:t>
      </w:r>
      <w:r>
        <w:t xml:space="preserve"> Applying this principle, the ITAT concluded that the engineers' presence in India amounted to 90 days in total, not 360 days. Since this duration did not exceed the 182-day threshold specified in Article 5(3)(b) of the DTAA, EMC did not have a Service PE in India.</w:t>
      </w:r>
    </w:p>
    <w:p w:rsidR="00A056B6" w:rsidRDefault="00A056B6" w:rsidP="00743A5F">
      <w:pPr>
        <w:pStyle w:val="NormalWeb"/>
        <w:tabs>
          <w:tab w:val="num" w:pos="720"/>
        </w:tabs>
        <w:spacing w:before="0" w:beforeAutospacing="0"/>
        <w:ind w:left="720" w:hanging="360"/>
      </w:pPr>
      <w:r>
        <w:rPr>
          <w:rStyle w:val="Strong"/>
        </w:rPr>
        <w:t>Taxability of FTS:</w:t>
      </w:r>
    </w:p>
    <w:p w:rsidR="00A056B6" w:rsidRDefault="00A056B6" w:rsidP="00743A5F">
      <w:pPr>
        <w:pStyle w:val="NormalWeb"/>
        <w:numPr>
          <w:ilvl w:val="1"/>
          <w:numId w:val="0"/>
        </w:numPr>
        <w:tabs>
          <w:tab w:val="num" w:pos="1440"/>
        </w:tabs>
        <w:spacing w:before="0" w:beforeAutospacing="0"/>
        <w:ind w:left="1440" w:hanging="360"/>
      </w:pPr>
      <w:r>
        <w:rPr>
          <w:rStyle w:val="Strong"/>
        </w:rPr>
        <w:t>Absence of FTS Clause in DTAA:</w:t>
      </w:r>
      <w:r>
        <w:t xml:space="preserve"> The ITAT noted that the India-Saudi Arabia DTAA does not have a specific provision for FTS.</w:t>
      </w:r>
    </w:p>
    <w:p w:rsidR="00A056B6" w:rsidRDefault="00A056B6" w:rsidP="00743A5F">
      <w:pPr>
        <w:pStyle w:val="NormalWeb"/>
        <w:numPr>
          <w:ilvl w:val="1"/>
          <w:numId w:val="0"/>
        </w:numPr>
        <w:tabs>
          <w:tab w:val="num" w:pos="1440"/>
        </w:tabs>
        <w:spacing w:before="0" w:beforeAutospacing="0"/>
        <w:ind w:left="1440" w:hanging="360"/>
      </w:pPr>
      <w:r>
        <w:rPr>
          <w:rStyle w:val="Strong"/>
        </w:rPr>
        <w:t>Reference to Judicial Precedents:</w:t>
      </w:r>
      <w:r>
        <w:t xml:space="preserve"> The Tribunal referred to the </w:t>
      </w:r>
      <w:r>
        <w:rPr>
          <w:rStyle w:val="Strong"/>
        </w:rPr>
        <w:t>Madras High Court</w:t>
      </w:r>
      <w:r>
        <w:t xml:space="preserve"> decision in </w:t>
      </w:r>
      <w:r>
        <w:rPr>
          <w:rStyle w:val="Strong"/>
        </w:rPr>
        <w:t>Bangkok Glass Industry Co. Ltd. v. ACIT</w:t>
      </w:r>
      <w:r>
        <w:t xml:space="preserve"> ([2015] 4 TMI 503), which held that in the absence of an FTS clause in the DTAA, such fees cannot be taxed in India under the "Other Income" article and should only be taxable in the state of residence.</w:t>
      </w:r>
    </w:p>
    <w:p w:rsidR="00A056B6" w:rsidRDefault="00A056B6" w:rsidP="00743A5F">
      <w:pPr>
        <w:pStyle w:val="NormalWeb"/>
        <w:numPr>
          <w:ilvl w:val="1"/>
          <w:numId w:val="0"/>
        </w:numPr>
        <w:tabs>
          <w:tab w:val="num" w:pos="1440"/>
        </w:tabs>
        <w:spacing w:before="0" w:beforeAutospacing="0"/>
        <w:ind w:left="1440" w:hanging="360"/>
      </w:pPr>
      <w:r>
        <w:rPr>
          <w:rStyle w:val="Strong"/>
        </w:rPr>
        <w:lastRenderedPageBreak/>
        <w:t>Conclusion on FTS Taxability:</w:t>
      </w:r>
      <w:r>
        <w:t xml:space="preserve"> Following this precedent, the ITAT concluded that the fees received by EMC for services rendered in India were not taxable in India due to the absence of a specific FTS provision in the DTAA.</w:t>
      </w:r>
    </w:p>
    <w:p w:rsidR="00A056B6" w:rsidRDefault="00A056B6" w:rsidP="00743A5F">
      <w:pPr>
        <w:pStyle w:val="NormalWeb"/>
        <w:spacing w:before="0" w:beforeAutospacing="0"/>
      </w:pPr>
      <w:r>
        <w:rPr>
          <w:rStyle w:val="Strong"/>
        </w:rPr>
        <w:t>Ruling and Reasoning:</w:t>
      </w:r>
    </w:p>
    <w:p w:rsidR="00A056B6" w:rsidRDefault="00A056B6" w:rsidP="00743A5F">
      <w:pPr>
        <w:pStyle w:val="NormalWeb"/>
        <w:tabs>
          <w:tab w:val="num" w:pos="720"/>
        </w:tabs>
        <w:spacing w:before="0" w:beforeAutospacing="0"/>
        <w:ind w:left="720" w:hanging="360"/>
      </w:pPr>
      <w:r>
        <w:rPr>
          <w:rStyle w:val="Strong"/>
        </w:rPr>
        <w:t>No Service PE:</w:t>
      </w:r>
      <w:r>
        <w:t xml:space="preserve"> The ITAT held that EMC did not have a Service PE in India, as the duration of services rendered did not exceed the threshold specified in the DTAA when calculated based on solar days.</w:t>
      </w:r>
    </w:p>
    <w:p w:rsidR="00A056B6" w:rsidRDefault="00A056B6" w:rsidP="00743A5F">
      <w:pPr>
        <w:pStyle w:val="NormalWeb"/>
        <w:tabs>
          <w:tab w:val="num" w:pos="720"/>
        </w:tabs>
        <w:spacing w:before="0" w:beforeAutospacing="0"/>
        <w:ind w:left="720" w:hanging="360"/>
      </w:pPr>
      <w:r>
        <w:rPr>
          <w:rStyle w:val="Strong"/>
        </w:rPr>
        <w:t>FTS Not Taxable in India:</w:t>
      </w:r>
      <w:r>
        <w:t xml:space="preserve"> In the absence of a specific FTS clause in the India-Saudi Arabia DTAA, the fees received by EMC were not taxable in India and were only taxable in Saudi Arabia, the state of residence.</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decision underscores the importance of accurately determining the duration of services based on "solar days" rather than "man-days" when assessing the existence of a Service PE under a DTAA. It also highlights that in the absence of a specific FTS provision in a tax treaty, such fees are generally not taxable in the source country.</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Electrical Material Center Co. Ltd. v. DDIT, [2017] 86 taxmann.com 222 (Bangalore - Trib.), IT (TP) A No. 1104 (Bang) 2013, dated September 28, 2017.</w:t>
      </w:r>
    </w:p>
    <w:p w:rsidR="00A056B6" w:rsidRDefault="00A056B6" w:rsidP="00743A5F">
      <w:pPr>
        <w:pStyle w:val="NormalWeb"/>
        <w:tabs>
          <w:tab w:val="num" w:pos="720"/>
        </w:tabs>
        <w:spacing w:before="0" w:beforeAutospacing="0"/>
        <w:ind w:left="720" w:hanging="360"/>
      </w:pPr>
      <w:r>
        <w:rPr>
          <w:rStyle w:val="Strong"/>
        </w:rPr>
        <w:t>Source:</w:t>
      </w:r>
      <w:r>
        <w:t xml:space="preserve"> </w:t>
      </w:r>
    </w:p>
    <w:p w:rsidR="00A056B6" w:rsidRDefault="00A056B6" w:rsidP="00743A5F">
      <w:pPr>
        <w:spacing w:afterAutospacing="1" w:line="240" w:lineRule="auto"/>
        <w:ind w:left="720"/>
      </w:pPr>
      <w:hyperlink r:id="rId44" w:tgtFrame="_blank" w:history="1">
        <w:r>
          <w:rPr>
            <w:rStyle w:val="truncate"/>
            <w:color w:val="0000FF"/>
            <w:u w:val="single"/>
          </w:rPr>
          <w:t>Indian Kanoon</w:t>
        </w:r>
      </w:hyperlink>
    </w:p>
    <w:p w:rsidR="00A056B6" w:rsidRDefault="00A056B6" w:rsidP="00743A5F">
      <w:pPr>
        <w:pStyle w:val="NormalWeb"/>
        <w:spacing w:before="0" w:beforeAutospacing="0"/>
      </w:pPr>
      <w:r>
        <w:t>This ruling provides clarity on the interpretation of Service PE provisions and the taxability of FTS in the context of the India-Saudi Arabia DTAA, emphasizing the significance of treaty provisions in determining tax liabilities for cross-border services.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Maersk A/s v ACIT - [2017] 86 taxmann.com 77 (Delhi - Trib.) - IT APPEAL NOS. 3905 (DELHI) OF 2009 dated 08.06.2017</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5A61100B" wp14:editId="58B15946">
            <wp:extent cx="763905" cy="763905"/>
            <wp:effectExtent l="0" t="0" r="0" b="0"/>
            <wp:docPr id="441" name="Picture 44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1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Maersk A/S v. Assistant Commissioner of Income Tax</w:t>
      </w:r>
      <w:r>
        <w:t xml:space="preserve">, the </w:t>
      </w:r>
      <w:r>
        <w:rPr>
          <w:rStyle w:val="Strong"/>
        </w:rPr>
        <w:t>Income Tax Appellate Tribunal (ITAT) Delhi Bench</w:t>
      </w:r>
      <w:r>
        <w:t xml:space="preserve"> addressed the tax implications for Maersk A/S, a Danish shipping company, concerning its operations in India for the Assessment Year (AY) 2005-06.</w:t>
      </w:r>
    </w:p>
    <w:p w:rsidR="00A056B6" w:rsidRDefault="00A056B6" w:rsidP="00743A5F">
      <w:pPr>
        <w:pStyle w:val="NormalWeb"/>
        <w:spacing w:before="0" w:beforeAutospacing="0"/>
      </w:pPr>
      <w:r>
        <w:rPr>
          <w:rStyle w:val="Strong"/>
        </w:rPr>
        <w:lastRenderedPageBreak/>
        <w:t>Facts:</w:t>
      </w:r>
    </w:p>
    <w:p w:rsidR="00A056B6" w:rsidRDefault="00A056B6" w:rsidP="00743A5F">
      <w:pPr>
        <w:pStyle w:val="NormalWeb"/>
        <w:tabs>
          <w:tab w:val="num" w:pos="720"/>
        </w:tabs>
        <w:spacing w:before="0" w:beforeAutospacing="0"/>
        <w:ind w:left="720" w:hanging="360"/>
      </w:pPr>
      <w:r>
        <w:rPr>
          <w:rStyle w:val="Strong"/>
        </w:rPr>
        <w:t>Assessee:</w:t>
      </w:r>
      <w:r>
        <w:t xml:space="preserve"> Maersk A/S, a company incorporated in Denmark, engaged in shipping and related activities.</w:t>
      </w:r>
    </w:p>
    <w:p w:rsidR="00A056B6" w:rsidRDefault="00A056B6" w:rsidP="00743A5F">
      <w:pPr>
        <w:pStyle w:val="NormalWeb"/>
        <w:tabs>
          <w:tab w:val="num" w:pos="720"/>
        </w:tabs>
        <w:spacing w:before="0" w:beforeAutospacing="0"/>
        <w:ind w:left="720" w:hanging="360"/>
      </w:pPr>
      <w:r>
        <w:rPr>
          <w:rStyle w:val="Strong"/>
        </w:rPr>
        <w:t>Indian Operations:</w:t>
      </w:r>
      <w:r>
        <w:t xml:space="preserve"> Maersk A/S operated in India through its agents, Maersk India Pvt. Ltd. (MIPL) and Maersk Logistics India Pvt. Ltd. (MLIPL).</w:t>
      </w:r>
    </w:p>
    <w:p w:rsidR="00A056B6" w:rsidRDefault="00A056B6" w:rsidP="00743A5F">
      <w:pPr>
        <w:pStyle w:val="NormalWeb"/>
        <w:tabs>
          <w:tab w:val="num" w:pos="720"/>
        </w:tabs>
        <w:spacing w:before="0" w:beforeAutospacing="0"/>
        <w:ind w:left="720" w:hanging="360"/>
      </w:pPr>
      <w:r>
        <w:rPr>
          <w:rStyle w:val="Strong"/>
        </w:rPr>
        <w:t>Services Provided:</w:t>
      </w:r>
      <w:r>
        <w:t xml:space="preserve"> The company provided shipping services, including transportation of cargo and containerized goods, to and from Indian ports.</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Taxability of Shipping Income:</w:t>
      </w:r>
      <w:r>
        <w:t xml:space="preserve"> Whether the shipping income earned by Maersk A/S from its operations in India was taxable under the provisions of the Income Tax Act, 1961, and the Double Taxation Avoidance Agreement (DTAA) between India and Denmark.</w:t>
      </w:r>
    </w:p>
    <w:p w:rsidR="00A056B6" w:rsidRDefault="00A056B6" w:rsidP="00743A5F">
      <w:pPr>
        <w:pStyle w:val="NormalWeb"/>
        <w:tabs>
          <w:tab w:val="num" w:pos="720"/>
        </w:tabs>
        <w:spacing w:before="0" w:beforeAutospacing="0"/>
        <w:ind w:left="720" w:hanging="360"/>
      </w:pPr>
      <w:r>
        <w:rPr>
          <w:rStyle w:val="Strong"/>
        </w:rPr>
        <w:t>Applicability of Section 44B:</w:t>
      </w:r>
      <w:r>
        <w:t xml:space="preserve"> Whether the provisions of Section 44B of the Income Tax Act, which deal with the taxation of profits and gains from shipping business in the case of non-residents, were applicable to Maersk A/S.</w:t>
      </w:r>
    </w:p>
    <w:p w:rsidR="00A056B6" w:rsidRDefault="00A056B6" w:rsidP="00743A5F">
      <w:pPr>
        <w:pStyle w:val="NormalWeb"/>
        <w:spacing w:before="0" w:beforeAutospacing="0"/>
      </w:pPr>
      <w:r>
        <w:rPr>
          <w:rStyle w:val="Strong"/>
        </w:rPr>
        <w:t>Assessee's Arguments:</w:t>
      </w:r>
    </w:p>
    <w:p w:rsidR="00A056B6" w:rsidRDefault="00A056B6" w:rsidP="00743A5F">
      <w:pPr>
        <w:pStyle w:val="NormalWeb"/>
        <w:tabs>
          <w:tab w:val="num" w:pos="720"/>
        </w:tabs>
        <w:spacing w:before="0" w:beforeAutospacing="0"/>
        <w:ind w:left="720" w:hanging="360"/>
      </w:pPr>
      <w:r>
        <w:rPr>
          <w:rStyle w:val="Strong"/>
        </w:rPr>
        <w:t>Exemption under DTAA:</w:t>
      </w:r>
      <w:r>
        <w:t xml:space="preserve"> Maersk A/S contended that its shipping income was exempt from taxation in India under Article 9 of the India-Denmark DTAA, which provides that profits from the operation of ships in international traffic shall be taxable only in the country of residence of the enterprise.</w:t>
      </w:r>
    </w:p>
    <w:p w:rsidR="00A056B6" w:rsidRDefault="00A056B6" w:rsidP="00743A5F">
      <w:pPr>
        <w:pStyle w:val="NormalWeb"/>
        <w:tabs>
          <w:tab w:val="num" w:pos="720"/>
        </w:tabs>
        <w:spacing w:before="0" w:beforeAutospacing="0"/>
        <w:ind w:left="720" w:hanging="360"/>
      </w:pPr>
      <w:r>
        <w:rPr>
          <w:rStyle w:val="Strong"/>
        </w:rPr>
        <w:t>No Applicability of Section 44B:</w:t>
      </w:r>
      <w:r>
        <w:t xml:space="preserve"> The assessee argued that since its income was exempt under the DTAA, the provisions of Section 44B of the Income Tax Act were not applicable.</w:t>
      </w:r>
    </w:p>
    <w:p w:rsidR="00A056B6" w:rsidRDefault="00A056B6" w:rsidP="00743A5F">
      <w:pPr>
        <w:pStyle w:val="NormalWeb"/>
        <w:spacing w:before="0" w:beforeAutospacing="0"/>
      </w:pPr>
      <w:r>
        <w:rPr>
          <w:rStyle w:val="Strong"/>
        </w:rPr>
        <w:t>Revenue's Arguments:</w:t>
      </w:r>
    </w:p>
    <w:p w:rsidR="00A056B6" w:rsidRDefault="00A056B6" w:rsidP="00743A5F">
      <w:pPr>
        <w:pStyle w:val="NormalWeb"/>
        <w:tabs>
          <w:tab w:val="num" w:pos="720"/>
        </w:tabs>
        <w:spacing w:before="0" w:beforeAutospacing="0"/>
        <w:ind w:left="720" w:hanging="360"/>
      </w:pPr>
      <w:r>
        <w:rPr>
          <w:rStyle w:val="Strong"/>
        </w:rPr>
        <w:t>Taxability under Domestic Law:</w:t>
      </w:r>
      <w:r>
        <w:t xml:space="preserve"> The Revenue contended that the shipping income earned by Maersk A/S was taxable in India under the provisions of the Income Tax Act, specifically Section 44B, which prescribes a presumptive taxation regime for non-resident shipping companies.</w:t>
      </w:r>
    </w:p>
    <w:p w:rsidR="00A056B6" w:rsidRDefault="00A056B6" w:rsidP="00743A5F">
      <w:pPr>
        <w:pStyle w:val="NormalWeb"/>
        <w:tabs>
          <w:tab w:val="num" w:pos="720"/>
        </w:tabs>
        <w:spacing w:before="0" w:beforeAutospacing="0"/>
        <w:ind w:left="720" w:hanging="360"/>
      </w:pPr>
      <w:r>
        <w:rPr>
          <w:rStyle w:val="Strong"/>
        </w:rPr>
        <w:t>DTAA Provisions:</w:t>
      </w:r>
      <w:r>
        <w:t xml:space="preserve"> The Revenue argued that the exemption under the DTAA was not applicable as the assessee had a Permanent Establishment (PE) in India through its agents, MIPL and MLIPL, and therefore, the income was attributable to the PE and taxable in India.</w:t>
      </w:r>
    </w:p>
    <w:p w:rsidR="00A056B6" w:rsidRDefault="00A056B6" w:rsidP="004D0ABB">
      <w:pPr>
        <w:pStyle w:val="Heading5"/>
        <w:spacing w:before="0" w:beforeAutospacing="0"/>
      </w:pPr>
      <w:r>
        <w:rPr>
          <w:rStyle w:val="Strong"/>
        </w:rPr>
        <w:t>Tribunal's Analysis:</w:t>
      </w:r>
    </w:p>
    <w:p w:rsidR="00A056B6" w:rsidRDefault="00A056B6" w:rsidP="00743A5F">
      <w:pPr>
        <w:pStyle w:val="NormalWeb"/>
        <w:tabs>
          <w:tab w:val="num" w:pos="720"/>
        </w:tabs>
        <w:spacing w:before="0" w:beforeAutospacing="0"/>
        <w:ind w:left="720" w:hanging="360"/>
      </w:pPr>
      <w:r>
        <w:rPr>
          <w:rStyle w:val="Strong"/>
        </w:rPr>
        <w:t>Interpretation of Article 9 of DTAA:</w:t>
      </w:r>
    </w:p>
    <w:p w:rsidR="00A056B6" w:rsidRDefault="00A056B6" w:rsidP="00743A5F">
      <w:pPr>
        <w:pStyle w:val="NormalWeb"/>
        <w:numPr>
          <w:ilvl w:val="1"/>
          <w:numId w:val="0"/>
        </w:numPr>
        <w:tabs>
          <w:tab w:val="num" w:pos="1440"/>
        </w:tabs>
        <w:spacing w:before="0" w:beforeAutospacing="0"/>
        <w:ind w:left="1440" w:hanging="360"/>
      </w:pPr>
      <w:r>
        <w:lastRenderedPageBreak/>
        <w:t>The ITAT examined Article 9 of the India-Denmark DTAA, which states that profits from the operation of ships in international traffic shall be taxable only in the contracting state in which the place of effective management of the enterprise is situated.</w:t>
      </w:r>
    </w:p>
    <w:p w:rsidR="00A056B6" w:rsidRDefault="00A056B6" w:rsidP="00743A5F">
      <w:pPr>
        <w:pStyle w:val="NormalWeb"/>
        <w:numPr>
          <w:ilvl w:val="1"/>
          <w:numId w:val="0"/>
        </w:numPr>
        <w:tabs>
          <w:tab w:val="num" w:pos="1440"/>
        </w:tabs>
        <w:spacing w:before="0" w:beforeAutospacing="0"/>
        <w:ind w:left="1440" w:hanging="360"/>
      </w:pPr>
      <w:r>
        <w:t>The Tribunal noted that the place of effective management of Maersk A/S was in Denmark, and therefore, as per the DTAA, the profits from its shipping operations should be taxable only in Denmark.</w:t>
      </w:r>
    </w:p>
    <w:p w:rsidR="00A056B6" w:rsidRDefault="00A056B6" w:rsidP="00743A5F">
      <w:pPr>
        <w:pStyle w:val="NormalWeb"/>
        <w:tabs>
          <w:tab w:val="num" w:pos="720"/>
        </w:tabs>
        <w:spacing w:before="0" w:beforeAutospacing="0"/>
        <w:ind w:left="720" w:hanging="360"/>
      </w:pPr>
      <w:r>
        <w:rPr>
          <w:rStyle w:val="Strong"/>
        </w:rPr>
        <w:t>Existence of Permanent Establishment (PE):</w:t>
      </w:r>
    </w:p>
    <w:p w:rsidR="00A056B6" w:rsidRDefault="00A056B6" w:rsidP="00743A5F">
      <w:pPr>
        <w:pStyle w:val="NormalWeb"/>
        <w:numPr>
          <w:ilvl w:val="1"/>
          <w:numId w:val="0"/>
        </w:numPr>
        <w:tabs>
          <w:tab w:val="num" w:pos="1440"/>
        </w:tabs>
        <w:spacing w:before="0" w:beforeAutospacing="0"/>
        <w:ind w:left="1440" w:hanging="360"/>
      </w:pPr>
      <w:r>
        <w:t>The ITAT analyzed whether the activities of MIPL and MLIPL constituted a PE for Maersk A/S in India.</w:t>
      </w:r>
    </w:p>
    <w:p w:rsidR="00A056B6" w:rsidRDefault="00A056B6" w:rsidP="00743A5F">
      <w:pPr>
        <w:pStyle w:val="NormalWeb"/>
        <w:numPr>
          <w:ilvl w:val="1"/>
          <w:numId w:val="0"/>
        </w:numPr>
        <w:tabs>
          <w:tab w:val="num" w:pos="1440"/>
        </w:tabs>
        <w:spacing w:before="0" w:beforeAutospacing="0"/>
        <w:ind w:left="1440" w:hanging="360"/>
      </w:pPr>
      <w:r>
        <w:t>It was observed that MIPL and MLIPL were acting as independent agents, carrying out activities in the ordinary course of their business, and were not exclusively devoted to Maersk A/S.</w:t>
      </w:r>
    </w:p>
    <w:p w:rsidR="00A056B6" w:rsidRDefault="00A056B6" w:rsidP="00743A5F">
      <w:pPr>
        <w:pStyle w:val="NormalWeb"/>
        <w:numPr>
          <w:ilvl w:val="1"/>
          <w:numId w:val="0"/>
        </w:numPr>
        <w:tabs>
          <w:tab w:val="num" w:pos="1440"/>
        </w:tabs>
        <w:spacing w:before="0" w:beforeAutospacing="0"/>
        <w:ind w:left="1440" w:hanging="360"/>
      </w:pPr>
      <w:r>
        <w:t>The Tribunal concluded that the agents did not constitute a PE for Maersk A/S in India under Article 5 of the DTAA.</w:t>
      </w:r>
    </w:p>
    <w:p w:rsidR="00A056B6" w:rsidRDefault="00A056B6" w:rsidP="00743A5F">
      <w:pPr>
        <w:pStyle w:val="NormalWeb"/>
        <w:tabs>
          <w:tab w:val="num" w:pos="720"/>
        </w:tabs>
        <w:spacing w:before="0" w:beforeAutospacing="0"/>
        <w:ind w:left="720" w:hanging="360"/>
      </w:pPr>
      <w:r>
        <w:rPr>
          <w:rStyle w:val="Strong"/>
        </w:rPr>
        <w:t>Applicability of Section 44B:</w:t>
      </w:r>
    </w:p>
    <w:p w:rsidR="00A056B6" w:rsidRDefault="00A056B6" w:rsidP="00743A5F">
      <w:pPr>
        <w:numPr>
          <w:ilvl w:val="1"/>
          <w:numId w:val="0"/>
        </w:numPr>
        <w:tabs>
          <w:tab w:val="num" w:pos="1440"/>
        </w:tabs>
        <w:spacing w:before="100" w:after="100" w:afterAutospacing="1" w:line="240" w:lineRule="auto"/>
        <w:ind w:left="1440" w:hanging="360"/>
      </w:pPr>
      <w:r>
        <w:t>The ITAT held that since the DTAA provisions override domestic law where they are more beneficial to the assessee, and given that the DTAA provided for taxation of shipping profits only in Denmark, the provisions of Section 44B of the Income Tax Act were not applicable in this case.</w:t>
      </w:r>
    </w:p>
    <w:p w:rsidR="00A056B6" w:rsidRDefault="00A056B6" w:rsidP="00743A5F">
      <w:pPr>
        <w:pStyle w:val="NormalWeb"/>
        <w:spacing w:before="0" w:beforeAutospacing="0"/>
      </w:pPr>
      <w:r>
        <w:rPr>
          <w:rStyle w:val="Strong"/>
        </w:rPr>
        <w:t>Ruling and Reasoning:</w:t>
      </w:r>
    </w:p>
    <w:p w:rsidR="00A056B6" w:rsidRDefault="00A056B6" w:rsidP="00743A5F">
      <w:pPr>
        <w:pStyle w:val="NormalWeb"/>
        <w:tabs>
          <w:tab w:val="num" w:pos="720"/>
        </w:tabs>
        <w:spacing w:before="0" w:beforeAutospacing="0"/>
        <w:ind w:left="720" w:hanging="360"/>
      </w:pPr>
      <w:r>
        <w:rPr>
          <w:rStyle w:val="Strong"/>
        </w:rPr>
        <w:t>Shipping Income Not Taxable in India:</w:t>
      </w:r>
      <w:r>
        <w:t xml:space="preserve"> The ITAT ruled that the shipping income earned by Maersk A/S from its operations in India was not taxable in India under the provisions of the India-Denmark DTAA.</w:t>
      </w:r>
    </w:p>
    <w:p w:rsidR="00A056B6" w:rsidRDefault="00A056B6" w:rsidP="00743A5F">
      <w:pPr>
        <w:pStyle w:val="NormalWeb"/>
        <w:tabs>
          <w:tab w:val="num" w:pos="720"/>
        </w:tabs>
        <w:spacing w:before="0" w:beforeAutospacing="0"/>
        <w:ind w:left="720" w:hanging="360"/>
      </w:pPr>
      <w:r>
        <w:rPr>
          <w:rStyle w:val="Strong"/>
        </w:rPr>
        <w:t>No Applicability of Section 44B:</w:t>
      </w:r>
      <w:r>
        <w:t xml:space="preserve"> The Tribunal held that the presumptive taxation provisions of Section 44B of the Income Tax Act did not apply, as the DTAA provisions took precedence and provided for exclusive taxation rights to Denmark.</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decision underscores the primacy of DTAA provisions over domestic tax laws when determining the taxability of non-resident entities. It highlights that, in the absence of a Permanent Establishment in the source country, profits from international shipping operations are taxable only in the country of residence, as per the relevant tax treaty provisions.</w:t>
      </w:r>
    </w:p>
    <w:p w:rsidR="00A056B6" w:rsidRDefault="00A056B6" w:rsidP="00743A5F">
      <w:pPr>
        <w:pStyle w:val="NormalWeb"/>
        <w:spacing w:before="0" w:beforeAutospacing="0"/>
      </w:pPr>
      <w:r>
        <w:rPr>
          <w:rStyle w:val="Strong"/>
        </w:rPr>
        <w:t>Reference:</w:t>
      </w:r>
    </w:p>
    <w:p w:rsidR="00A056B6" w:rsidRDefault="00A056B6" w:rsidP="004D0ABB">
      <w:pPr>
        <w:pStyle w:val="Heading5"/>
        <w:spacing w:before="0" w:beforeAutospacing="0"/>
      </w:pPr>
      <w:r>
        <w:rPr>
          <w:rStyle w:val="Strong"/>
        </w:rPr>
        <w:t>Case Citation:</w:t>
      </w:r>
      <w:r>
        <w:t xml:space="preserve"> Maersk A/S v. ACIT, [2017] 86 taxmann.com 77 (Delhi - Trib.), ITA No. 3905/Del/2009, dated June 8, 2017.</w:t>
      </w:r>
    </w:p>
    <w:p w:rsidR="00A056B6" w:rsidRDefault="00A056B6" w:rsidP="00743A5F">
      <w:pPr>
        <w:pStyle w:val="NormalWeb"/>
        <w:tabs>
          <w:tab w:val="num" w:pos="720"/>
        </w:tabs>
        <w:spacing w:before="0" w:beforeAutospacing="0"/>
        <w:ind w:left="720" w:hanging="360"/>
      </w:pPr>
      <w:r>
        <w:rPr>
          <w:rStyle w:val="Strong"/>
        </w:rPr>
        <w:lastRenderedPageBreak/>
        <w:t>Source:</w:t>
      </w:r>
      <w:r>
        <w:t xml:space="preserve"> </w:t>
      </w:r>
      <w:hyperlink r:id="rId45" w:tgtFrame="_new" w:history="1">
        <w:r>
          <w:rPr>
            <w:rStyle w:val="Hyperlink"/>
          </w:rPr>
          <w:t>Casemine</w:t>
        </w:r>
      </w:hyperlink>
    </w:p>
    <w:p w:rsidR="00A056B6" w:rsidRDefault="00A056B6" w:rsidP="00743A5F">
      <w:pPr>
        <w:pStyle w:val="NormalWeb"/>
        <w:spacing w:before="0" w:beforeAutospacing="0"/>
      </w:pPr>
      <w:r>
        <w:t>This ruling provides clarity on the interpretation of tax treaties concerning the shipping industry and emphasizes the importance of analyzing the existence of a Permanent Establishment when assessing tax liabilities for non-resident entities operating in India.</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CIT v Sumitomo Corporation [2018] 96 taxmann.com 612 (SC) - SLP (C) APPEAL NO. 18509 of 2016 dated August 6, 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26BAC61F" wp14:editId="664F581E">
            <wp:extent cx="763905" cy="763905"/>
            <wp:effectExtent l="0" t="0" r="0" b="0"/>
            <wp:docPr id="440" name="Picture 44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1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Commissioner of Income Tax v. Sumitomo Corporation</w:t>
      </w:r>
      <w:r>
        <w:t xml:space="preserve">, the </w:t>
      </w:r>
      <w:r>
        <w:rPr>
          <w:rStyle w:val="Strong"/>
        </w:rPr>
        <w:t>Supreme Court of India</w:t>
      </w:r>
      <w:r>
        <w:t xml:space="preserve"> addressed the tax implications of interest income earned by Sumitomo Corporation, a Japanese entity, through its Indian branch operations.</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Assessee:</w:t>
      </w:r>
      <w:r>
        <w:t xml:space="preserve"> Sumitomo Corporation, a company incorporated in Japan, engaged in various business activities, including operations in India through a branch office.</w:t>
      </w:r>
    </w:p>
    <w:p w:rsidR="00A056B6" w:rsidRDefault="00A056B6" w:rsidP="00743A5F">
      <w:pPr>
        <w:pStyle w:val="NormalWeb"/>
        <w:tabs>
          <w:tab w:val="num" w:pos="720"/>
        </w:tabs>
        <w:spacing w:before="0" w:beforeAutospacing="0"/>
        <w:ind w:left="720" w:hanging="360"/>
      </w:pPr>
      <w:r>
        <w:rPr>
          <w:rStyle w:val="Strong"/>
        </w:rPr>
        <w:t>Indian Operations:</w:t>
      </w:r>
      <w:r>
        <w:t xml:space="preserve"> The Indian branch of Sumitomo Corporation conducted business activities and earned income, including interest income from deposits and securities.</w:t>
      </w:r>
    </w:p>
    <w:p w:rsidR="00A056B6" w:rsidRDefault="00A056B6" w:rsidP="00743A5F">
      <w:pPr>
        <w:pStyle w:val="NormalWeb"/>
        <w:tabs>
          <w:tab w:val="num" w:pos="720"/>
        </w:tabs>
        <w:spacing w:before="0" w:beforeAutospacing="0"/>
        <w:ind w:left="720" w:hanging="360"/>
      </w:pPr>
      <w:r>
        <w:rPr>
          <w:rStyle w:val="Strong"/>
        </w:rPr>
        <w:t>Tax Treatment:</w:t>
      </w:r>
      <w:r>
        <w:t xml:space="preserve"> The interest income earned by the Indian branch was offered to tax in India. However, the Assessing Officer (AO) sought to tax the same interest income in the hands of the head office (HO) in Japan, leading to potential double taxation.</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Double Taxation:</w:t>
      </w:r>
      <w:r>
        <w:t xml:space="preserve"> Whether the same interest income could be taxed both in the hands of the Indian branch and again in the hands of the head office, leading to double taxation.</w:t>
      </w:r>
    </w:p>
    <w:p w:rsidR="00A056B6" w:rsidRDefault="00A056B6" w:rsidP="00743A5F">
      <w:pPr>
        <w:pStyle w:val="NormalWeb"/>
        <w:tabs>
          <w:tab w:val="num" w:pos="720"/>
        </w:tabs>
        <w:spacing w:before="0" w:beforeAutospacing="0"/>
        <w:ind w:left="720" w:hanging="360"/>
      </w:pPr>
      <w:r>
        <w:rPr>
          <w:rStyle w:val="Strong"/>
        </w:rPr>
        <w:t>Applicability of Double Taxation Avoidance Agreement (DTAA):</w:t>
      </w:r>
      <w:r>
        <w:t xml:space="preserve"> Whether the provisions of the India-Japan DTAA would apply to prevent such double taxation.</w:t>
      </w:r>
    </w:p>
    <w:p w:rsidR="00A056B6" w:rsidRDefault="00A056B6" w:rsidP="00743A5F">
      <w:pPr>
        <w:pStyle w:val="NormalWeb"/>
        <w:spacing w:before="0" w:beforeAutospacing="0"/>
      </w:pPr>
      <w:r>
        <w:rPr>
          <w:rStyle w:val="Strong"/>
        </w:rPr>
        <w:t>Assessee's Arguments:</w:t>
      </w:r>
    </w:p>
    <w:p w:rsidR="00A056B6" w:rsidRDefault="00A056B6" w:rsidP="00743A5F">
      <w:pPr>
        <w:pStyle w:val="NormalWeb"/>
        <w:tabs>
          <w:tab w:val="num" w:pos="720"/>
        </w:tabs>
        <w:spacing w:before="0" w:beforeAutospacing="0"/>
        <w:ind w:left="720" w:hanging="360"/>
      </w:pPr>
      <w:r>
        <w:rPr>
          <w:rStyle w:val="Strong"/>
        </w:rPr>
        <w:t>Prevention of Double Taxation:</w:t>
      </w:r>
      <w:r>
        <w:t xml:space="preserve"> Sumitomo Corporation contended that taxing the same interest income in both the Indian branch's hands and the head office's hands would result in double taxation, which is contrary to the principles of the DTAA between India and Japan.</w:t>
      </w:r>
    </w:p>
    <w:p w:rsidR="00A056B6" w:rsidRDefault="00A056B6" w:rsidP="00743A5F">
      <w:pPr>
        <w:pStyle w:val="NormalWeb"/>
        <w:tabs>
          <w:tab w:val="num" w:pos="720"/>
        </w:tabs>
        <w:spacing w:before="0" w:beforeAutospacing="0"/>
        <w:ind w:left="720" w:hanging="360"/>
      </w:pPr>
      <w:r>
        <w:rPr>
          <w:rStyle w:val="Strong"/>
        </w:rPr>
        <w:lastRenderedPageBreak/>
        <w:t>DTAA Provisions:</w:t>
      </w:r>
      <w:r>
        <w:t xml:space="preserve"> The assessee argued that the DTAA provisions should prevail over domestic tax laws to prevent double taxation of the same income.</w:t>
      </w:r>
    </w:p>
    <w:p w:rsidR="00A056B6" w:rsidRDefault="00A056B6" w:rsidP="00743A5F">
      <w:pPr>
        <w:pStyle w:val="NormalWeb"/>
        <w:spacing w:before="0" w:beforeAutospacing="0"/>
      </w:pPr>
      <w:r>
        <w:rPr>
          <w:rStyle w:val="Strong"/>
        </w:rPr>
        <w:t>Revenue's Arguments:</w:t>
      </w:r>
    </w:p>
    <w:p w:rsidR="00A056B6" w:rsidRDefault="00A056B6" w:rsidP="00743A5F">
      <w:pPr>
        <w:tabs>
          <w:tab w:val="num" w:pos="720"/>
        </w:tabs>
        <w:spacing w:before="100" w:after="100" w:afterAutospacing="1" w:line="240" w:lineRule="auto"/>
        <w:ind w:left="720" w:hanging="360"/>
      </w:pPr>
      <w:r>
        <w:rPr>
          <w:rStyle w:val="Strong"/>
        </w:rPr>
        <w:t>Separate Tax Entities:</w:t>
      </w:r>
      <w:r>
        <w:t xml:space="preserve"> The Revenue contended that the Indian branch and the Japanese head office are separate taxable entities for income tax purposes. Therefore, the same income could be taxed in the hands of both entities under domestic tax laws.</w:t>
      </w:r>
    </w:p>
    <w:p w:rsidR="00A056B6" w:rsidRDefault="00A056B6" w:rsidP="00743A5F">
      <w:pPr>
        <w:pStyle w:val="NormalWeb"/>
        <w:spacing w:before="0" w:beforeAutospacing="0"/>
      </w:pPr>
      <w:r>
        <w:rPr>
          <w:rStyle w:val="Strong"/>
        </w:rPr>
        <w:t>Court's Analysis:</w:t>
      </w:r>
    </w:p>
    <w:p w:rsidR="00A056B6" w:rsidRDefault="00A056B6" w:rsidP="00743A5F">
      <w:pPr>
        <w:pStyle w:val="NormalWeb"/>
        <w:tabs>
          <w:tab w:val="num" w:pos="720"/>
        </w:tabs>
        <w:spacing w:before="0" w:beforeAutospacing="0"/>
        <w:ind w:left="720" w:hanging="360"/>
      </w:pPr>
      <w:r>
        <w:rPr>
          <w:rStyle w:val="Strong"/>
        </w:rPr>
        <w:t>Interpretation of DTAA:</w:t>
      </w:r>
      <w:r>
        <w:t xml:space="preserve"> The Supreme Court examined the provisions of the India-Japan DTAA, emphasizing that the agreement aims to eliminate double taxation and promote international trade and investment.</w:t>
      </w:r>
    </w:p>
    <w:p w:rsidR="00A056B6" w:rsidRDefault="00A056B6" w:rsidP="00743A5F">
      <w:pPr>
        <w:pStyle w:val="NormalWeb"/>
        <w:tabs>
          <w:tab w:val="num" w:pos="720"/>
        </w:tabs>
        <w:spacing w:before="0" w:beforeAutospacing="0"/>
        <w:ind w:left="720" w:hanging="360"/>
      </w:pPr>
      <w:r>
        <w:rPr>
          <w:rStyle w:val="Strong"/>
        </w:rPr>
        <w:t>Single Taxable Entity:</w:t>
      </w:r>
      <w:r>
        <w:t xml:space="preserve"> The Court observed that, under the DTAA, the Indian branch and the Japanese head office are considered a single taxable entity. Therefore, taxing the same income in both jurisdictions would contravene the DTAA's intent.</w:t>
      </w:r>
    </w:p>
    <w:p w:rsidR="00A056B6" w:rsidRDefault="00A056B6" w:rsidP="00743A5F">
      <w:pPr>
        <w:pStyle w:val="NormalWeb"/>
        <w:spacing w:before="0" w:beforeAutospacing="0"/>
      </w:pPr>
      <w:r>
        <w:rPr>
          <w:rStyle w:val="Strong"/>
        </w:rPr>
        <w:t>Ruling and Reasoning:</w:t>
      </w:r>
    </w:p>
    <w:p w:rsidR="00A056B6" w:rsidRDefault="00A056B6" w:rsidP="00743A5F">
      <w:pPr>
        <w:pStyle w:val="NormalWeb"/>
        <w:tabs>
          <w:tab w:val="num" w:pos="720"/>
        </w:tabs>
        <w:spacing w:before="0" w:beforeAutospacing="0"/>
        <w:ind w:left="720" w:hanging="360"/>
      </w:pPr>
      <w:r>
        <w:rPr>
          <w:rStyle w:val="Strong"/>
        </w:rPr>
        <w:t>No Double Taxation:</w:t>
      </w:r>
      <w:r>
        <w:t xml:space="preserve"> The Supreme Court held that the interest income earned by Sumitomo Corporation's Indian branch, already taxed in India, should not be taxed again in the hands of the head office in Japan. This approach aligns with the DTAA's objective to prevent double taxation.</w:t>
      </w:r>
    </w:p>
    <w:p w:rsidR="00A056B6" w:rsidRDefault="00A056B6" w:rsidP="00743A5F">
      <w:pPr>
        <w:pStyle w:val="NormalWeb"/>
        <w:tabs>
          <w:tab w:val="num" w:pos="720"/>
        </w:tabs>
        <w:spacing w:before="0" w:beforeAutospacing="0"/>
        <w:ind w:left="720" w:hanging="360"/>
      </w:pPr>
      <w:r>
        <w:rPr>
          <w:rStyle w:val="Strong"/>
        </w:rPr>
        <w:t>DTAA Prevails Over Domestic Law:</w:t>
      </w:r>
      <w:r>
        <w:t xml:space="preserve"> The Court reaffirmed that, in cases of conflict between domestic tax laws and DTAA provisions, the latter would prevail to the extent they are more beneficial to the assessee.</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underscores the importance of DTAAs in preventing double taxation and clarifies that income taxed in one jurisdiction should not be subjected to tax again in another, provided the DTAA provisions apply. It reinforces the principle that DTAAs take precedence over domestic tax laws when determining tax liabilities for cross-border transactions.</w:t>
      </w:r>
    </w:p>
    <w:p w:rsidR="00A056B6" w:rsidRDefault="00A056B6" w:rsidP="00743A5F">
      <w:pPr>
        <w:pStyle w:val="NormalWeb"/>
        <w:spacing w:before="0" w:beforeAutospacing="0"/>
      </w:pPr>
      <w:r>
        <w:rPr>
          <w:rStyle w:val="Strong"/>
        </w:rPr>
        <w:t>Reference:</w:t>
      </w:r>
    </w:p>
    <w:p w:rsidR="00A056B6" w:rsidRDefault="00A056B6" w:rsidP="004D0ABB">
      <w:pPr>
        <w:pStyle w:val="Heading5"/>
        <w:spacing w:before="0" w:beforeAutospacing="0"/>
      </w:pPr>
      <w:r>
        <w:rPr>
          <w:rStyle w:val="Strong"/>
        </w:rPr>
        <w:t>Case Citation:</w:t>
      </w:r>
      <w:r>
        <w:t xml:space="preserve"> CIT v. Sumitomo Corporation, [2018] 96 taxmann.com 612 (SC), SLP (C) Appeal No. 18509 of 2016, dated August 6, 2018.</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46" w:tgtFrame="_new" w:history="1">
        <w:r>
          <w:rPr>
            <w:rStyle w:val="Hyperlink"/>
          </w:rPr>
          <w:t>CaseMine</w:t>
        </w:r>
      </w:hyperlink>
    </w:p>
    <w:p w:rsidR="00A056B6" w:rsidRDefault="00A056B6" w:rsidP="00743A5F">
      <w:pPr>
        <w:pStyle w:val="NormalWeb"/>
        <w:spacing w:before="0" w:beforeAutospacing="0"/>
      </w:pPr>
      <w:r>
        <w:t>This ruling provides clarity on the application of DTAA provisions, ensuring that international entities are not subjected to double taxation on the same income, thereby promoting cross-border economic activities.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lastRenderedPageBreak/>
        <w:t>Discuss ULO Systems LLC v ADIT (2019) 101 taxmann.com 490 (Del Trib) – ITA No.5968 of 2010 (Del Trib) dated December 21, 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0CF47455" wp14:editId="191F96E8">
            <wp:extent cx="763905" cy="763905"/>
            <wp:effectExtent l="0" t="0" r="0" b="0"/>
            <wp:docPr id="439" name="Picture 43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1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ULO Systems LLC v. Assistant Director of Income Tax (International Taxation), Dehradun</w:t>
      </w:r>
      <w:r>
        <w:t xml:space="preserve">, the </w:t>
      </w:r>
      <w:r>
        <w:rPr>
          <w:rStyle w:val="Strong"/>
        </w:rPr>
        <w:t>Income Tax Appellate Tribunal (ITAT) Delhi Bench</w:t>
      </w:r>
      <w:r>
        <w:t xml:space="preserve"> addressed the tax implications for ULO Systems LLC, a company incorporated in the United Arab Emirates (UAE), concerning its operations in India for the Assessment Year (AY) 2007-08.</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Assessee:</w:t>
      </w:r>
      <w:r>
        <w:t xml:space="preserve"> ULO Systems LLC, a UAE-based company specializing in providing grouting and precast solutions for the subsea offshore construction industry.</w:t>
      </w:r>
    </w:p>
    <w:p w:rsidR="00A056B6" w:rsidRDefault="00A056B6" w:rsidP="00743A5F">
      <w:pPr>
        <w:pStyle w:val="NormalWeb"/>
        <w:tabs>
          <w:tab w:val="num" w:pos="720"/>
        </w:tabs>
        <w:spacing w:before="0" w:beforeAutospacing="0"/>
        <w:ind w:left="720" w:hanging="360"/>
      </w:pPr>
      <w:r>
        <w:rPr>
          <w:rStyle w:val="Strong"/>
        </w:rPr>
        <w:t>Indian Operations:</w:t>
      </w:r>
      <w:r>
        <w:t xml:space="preserve"> The company provided grouting services to Indian clients, which involved deploying equipment and personnel to India.</w:t>
      </w:r>
    </w:p>
    <w:p w:rsidR="00A056B6" w:rsidRDefault="00A056B6" w:rsidP="00743A5F">
      <w:pPr>
        <w:pStyle w:val="NormalWeb"/>
        <w:tabs>
          <w:tab w:val="num" w:pos="720"/>
        </w:tabs>
        <w:spacing w:before="0" w:beforeAutospacing="0"/>
        <w:ind w:left="720" w:hanging="360"/>
      </w:pPr>
      <w:r>
        <w:rPr>
          <w:rStyle w:val="Strong"/>
        </w:rPr>
        <w:t>Nature of Services:</w:t>
      </w:r>
      <w:r>
        <w:t xml:space="preserve"> Grouting services are essential for stabilizing and protecting subsea pipelines, cables, and structures. The process involves injecting cement mixtures into fabric formwork underwater to create supportive structures.</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Existence of Permanent Establishment (PE):</w:t>
      </w:r>
      <w:r>
        <w:t xml:space="preserve"> Whether ULO Systems LLC had a Permanent Establishment in India under Article 5 of the India-UAE Double Taxation Avoidance Agreement (DTAA) due to its grouting activities.</w:t>
      </w:r>
    </w:p>
    <w:p w:rsidR="00A056B6" w:rsidRDefault="00A056B6" w:rsidP="00743A5F">
      <w:pPr>
        <w:pStyle w:val="NormalWeb"/>
        <w:tabs>
          <w:tab w:val="num" w:pos="720"/>
        </w:tabs>
        <w:spacing w:before="0" w:beforeAutospacing="0"/>
        <w:ind w:left="720" w:hanging="360"/>
      </w:pPr>
      <w:r>
        <w:rPr>
          <w:rStyle w:val="Strong"/>
        </w:rPr>
        <w:t>Taxability of Offshore Supplies:</w:t>
      </w:r>
      <w:r>
        <w:t xml:space="preserve"> Whether the income from offshore supplies made by ULO Systems LLC to Indian customers was taxable in India.</w:t>
      </w:r>
    </w:p>
    <w:p w:rsidR="00A056B6" w:rsidRDefault="00A056B6" w:rsidP="00743A5F">
      <w:pPr>
        <w:pStyle w:val="NormalWeb"/>
        <w:tabs>
          <w:tab w:val="num" w:pos="720"/>
        </w:tabs>
        <w:spacing w:before="0" w:beforeAutospacing="0"/>
        <w:ind w:left="720" w:hanging="360"/>
      </w:pPr>
      <w:r>
        <w:rPr>
          <w:rStyle w:val="Strong"/>
        </w:rPr>
        <w:t>Applicability of Section 44BB:</w:t>
      </w:r>
      <w:r>
        <w:t xml:space="preserve"> Whether the income from grouting services should be taxed under the presumptive taxation provisions of Section 44BB of the Income Tax Act, 1961, which deals with the taxation of non-residents providing services or facilities in connection with the extraction or production of mineral oils.</w:t>
      </w:r>
    </w:p>
    <w:p w:rsidR="00A056B6" w:rsidRDefault="00A056B6" w:rsidP="00743A5F">
      <w:pPr>
        <w:pStyle w:val="NormalWeb"/>
        <w:spacing w:before="0" w:beforeAutospacing="0"/>
      </w:pPr>
      <w:r>
        <w:rPr>
          <w:rStyle w:val="Strong"/>
        </w:rPr>
        <w:t>Assessee's Arguments:</w:t>
      </w:r>
    </w:p>
    <w:p w:rsidR="00A056B6" w:rsidRDefault="00A056B6" w:rsidP="00743A5F">
      <w:pPr>
        <w:pStyle w:val="NormalWeb"/>
        <w:tabs>
          <w:tab w:val="num" w:pos="720"/>
        </w:tabs>
        <w:spacing w:before="0" w:beforeAutospacing="0"/>
        <w:ind w:left="720" w:hanging="360"/>
      </w:pPr>
      <w:r>
        <w:rPr>
          <w:rStyle w:val="Strong"/>
        </w:rPr>
        <w:t>No Fixed Place PE:</w:t>
      </w:r>
      <w:r>
        <w:t xml:space="preserve"> ULO Systems LLC contended that it did not have a fixed place of business in India. The equipment and personnel were stationed on vessels owned by the main contractor, and there was no place at its disposal in India that could constitute a PE under Article 5(1) of the DTAA.</w:t>
      </w:r>
    </w:p>
    <w:p w:rsidR="00A056B6" w:rsidRDefault="00A056B6" w:rsidP="00743A5F">
      <w:pPr>
        <w:pStyle w:val="NormalWeb"/>
        <w:tabs>
          <w:tab w:val="num" w:pos="720"/>
        </w:tabs>
        <w:spacing w:before="0" w:beforeAutospacing="0"/>
        <w:ind w:left="720" w:hanging="360"/>
      </w:pPr>
      <w:r>
        <w:rPr>
          <w:rStyle w:val="Strong"/>
        </w:rPr>
        <w:t>No Service PE:</w:t>
      </w:r>
      <w:r>
        <w:t xml:space="preserve"> The assessee argued that its activities in India did not exceed the threshold period of nine months specified in Article 5(2)(i) of the DTAA for constituting a Service PE.</w:t>
      </w:r>
    </w:p>
    <w:p w:rsidR="00A056B6" w:rsidRDefault="00A056B6" w:rsidP="00743A5F">
      <w:pPr>
        <w:pStyle w:val="NormalWeb"/>
        <w:tabs>
          <w:tab w:val="num" w:pos="720"/>
        </w:tabs>
        <w:spacing w:before="0" w:beforeAutospacing="0"/>
        <w:ind w:left="720" w:hanging="360"/>
      </w:pPr>
      <w:r>
        <w:rPr>
          <w:rStyle w:val="Strong"/>
        </w:rPr>
        <w:lastRenderedPageBreak/>
        <w:t>Offshore Supplies Not Taxable:</w:t>
      </w:r>
      <w:r>
        <w:t xml:space="preserve"> The assessee maintained that the offshore supplies were concluded outside India, and therefore, the income from such supplies was not taxable in India.</w:t>
      </w:r>
    </w:p>
    <w:p w:rsidR="00A056B6" w:rsidRDefault="00A056B6" w:rsidP="00743A5F">
      <w:pPr>
        <w:pStyle w:val="NormalWeb"/>
        <w:tabs>
          <w:tab w:val="num" w:pos="720"/>
        </w:tabs>
        <w:spacing w:before="0" w:beforeAutospacing="0"/>
        <w:ind w:left="720" w:hanging="360"/>
      </w:pPr>
      <w:r>
        <w:rPr>
          <w:rStyle w:val="Strong"/>
        </w:rPr>
        <w:t>Applicability of Section 44BB:</w:t>
      </w:r>
      <w:r>
        <w:t xml:space="preserve"> In the alternative, ULO Systems LLC submitted that if any income was deemed taxable in India, it should be assessed under Section 44BB, which provides a concessional tax regime for services related to the exploration or extraction of mineral oils.</w:t>
      </w:r>
    </w:p>
    <w:p w:rsidR="00A056B6" w:rsidRDefault="00A056B6" w:rsidP="00743A5F">
      <w:pPr>
        <w:pStyle w:val="NormalWeb"/>
        <w:spacing w:before="0" w:beforeAutospacing="0"/>
      </w:pPr>
      <w:r>
        <w:rPr>
          <w:rStyle w:val="Strong"/>
        </w:rPr>
        <w:t>Revenue's Arguments:</w:t>
      </w:r>
    </w:p>
    <w:p w:rsidR="00A056B6" w:rsidRDefault="00A056B6" w:rsidP="00743A5F">
      <w:pPr>
        <w:pStyle w:val="NormalWeb"/>
        <w:tabs>
          <w:tab w:val="num" w:pos="720"/>
        </w:tabs>
        <w:spacing w:before="0" w:beforeAutospacing="0"/>
        <w:ind w:left="720" w:hanging="360"/>
      </w:pPr>
      <w:r>
        <w:rPr>
          <w:rStyle w:val="Strong"/>
        </w:rPr>
        <w:t>Existence of PE:</w:t>
      </w:r>
      <w:r>
        <w:t xml:space="preserve"> The Revenue contended that ULO Systems LLC had a fixed place PE in India, as its equipment and personnel were present on vessels operating in Indian territorial waters.</w:t>
      </w:r>
    </w:p>
    <w:p w:rsidR="00A056B6" w:rsidRDefault="00A056B6" w:rsidP="00743A5F">
      <w:pPr>
        <w:pStyle w:val="NormalWeb"/>
        <w:tabs>
          <w:tab w:val="num" w:pos="720"/>
        </w:tabs>
        <w:spacing w:before="0" w:beforeAutospacing="0"/>
        <w:ind w:left="720" w:hanging="360"/>
      </w:pPr>
      <w:r>
        <w:rPr>
          <w:rStyle w:val="Strong"/>
        </w:rPr>
        <w:t>Taxability of Offshore Supplies:</w:t>
      </w:r>
      <w:r>
        <w:t xml:space="preserve"> The Revenue argued that the offshore supplies were integrally connected to the activities in India and should be taxed in India.</w:t>
      </w:r>
    </w:p>
    <w:p w:rsidR="00A056B6" w:rsidRDefault="00A056B6" w:rsidP="00743A5F">
      <w:pPr>
        <w:pStyle w:val="NormalWeb"/>
        <w:tabs>
          <w:tab w:val="num" w:pos="720"/>
        </w:tabs>
        <w:spacing w:before="0" w:beforeAutospacing="0"/>
        <w:ind w:left="720" w:hanging="360"/>
      </w:pPr>
      <w:r>
        <w:rPr>
          <w:rStyle w:val="Strong"/>
        </w:rPr>
        <w:t>Applicability of Section 44BB:</w:t>
      </w:r>
      <w:r>
        <w:t xml:space="preserve"> The Revenue opposed the applicability of Section 44BB, asserting that the services provided were in the nature of technical services and should be taxed accordingly.</w:t>
      </w:r>
    </w:p>
    <w:p w:rsidR="00A056B6" w:rsidRDefault="00A056B6" w:rsidP="004D0ABB">
      <w:pPr>
        <w:pStyle w:val="Heading5"/>
        <w:spacing w:before="0" w:beforeAutospacing="0"/>
      </w:pPr>
      <w:r>
        <w:rPr>
          <w:rStyle w:val="Strong"/>
        </w:rPr>
        <w:t>Tribunal's Analysis:</w:t>
      </w:r>
    </w:p>
    <w:p w:rsidR="00A056B6" w:rsidRDefault="00A056B6" w:rsidP="00743A5F">
      <w:pPr>
        <w:pStyle w:val="NormalWeb"/>
        <w:tabs>
          <w:tab w:val="num" w:pos="720"/>
        </w:tabs>
        <w:spacing w:before="0" w:beforeAutospacing="0"/>
        <w:ind w:left="720" w:hanging="360"/>
      </w:pPr>
      <w:r>
        <w:rPr>
          <w:rStyle w:val="Strong"/>
        </w:rPr>
        <w:t>Permanent Establishment (PE):</w:t>
      </w:r>
    </w:p>
    <w:p w:rsidR="00A056B6" w:rsidRDefault="00A056B6" w:rsidP="00743A5F">
      <w:pPr>
        <w:pStyle w:val="NormalWeb"/>
        <w:numPr>
          <w:ilvl w:val="1"/>
          <w:numId w:val="0"/>
        </w:numPr>
        <w:tabs>
          <w:tab w:val="num" w:pos="1440"/>
        </w:tabs>
        <w:spacing w:before="0" w:beforeAutospacing="0"/>
        <w:ind w:left="1440" w:hanging="360"/>
      </w:pPr>
      <w:r>
        <w:rPr>
          <w:rStyle w:val="Strong"/>
        </w:rPr>
        <w:t>Fixed Place PE:</w:t>
      </w:r>
      <w:r>
        <w:t xml:space="preserve"> The ITAT observed that the equipment and personnel of ULO Systems LLC were placed on vessels owned by the main contractor. Since these vessels were not at the disposal of the assessee, there was no fixed place of business in India constituting a PE under Article 5(1) of the DTAA.</w:t>
      </w:r>
    </w:p>
    <w:p w:rsidR="00A056B6" w:rsidRDefault="00A056B6" w:rsidP="00743A5F">
      <w:pPr>
        <w:pStyle w:val="NormalWeb"/>
        <w:numPr>
          <w:ilvl w:val="1"/>
          <w:numId w:val="0"/>
        </w:numPr>
        <w:tabs>
          <w:tab w:val="num" w:pos="1440"/>
        </w:tabs>
        <w:spacing w:before="0" w:beforeAutospacing="0"/>
        <w:ind w:left="1440" w:hanging="360"/>
      </w:pPr>
      <w:r>
        <w:rPr>
          <w:rStyle w:val="Strong"/>
        </w:rPr>
        <w:t>Service PE:</w:t>
      </w:r>
      <w:r>
        <w:t xml:space="preserve"> The Tribunal noted that the duration of the assessee's activities in India did not exceed the nine-month threshold specified in Article 5(2)(i) of the DTAA. Therefore, no Service PE was constituted.</w:t>
      </w:r>
    </w:p>
    <w:p w:rsidR="00A056B6" w:rsidRDefault="00A056B6" w:rsidP="00743A5F">
      <w:pPr>
        <w:pStyle w:val="NormalWeb"/>
        <w:tabs>
          <w:tab w:val="num" w:pos="720"/>
        </w:tabs>
        <w:spacing w:before="0" w:beforeAutospacing="0"/>
        <w:ind w:left="720" w:hanging="360"/>
      </w:pPr>
      <w:r>
        <w:rPr>
          <w:rStyle w:val="Strong"/>
        </w:rPr>
        <w:t>Taxability of Offshore Supplies:</w:t>
      </w:r>
    </w:p>
    <w:p w:rsidR="00A056B6" w:rsidRDefault="00A056B6" w:rsidP="00743A5F">
      <w:pPr>
        <w:numPr>
          <w:ilvl w:val="1"/>
          <w:numId w:val="0"/>
        </w:numPr>
        <w:tabs>
          <w:tab w:val="num" w:pos="1440"/>
        </w:tabs>
        <w:spacing w:before="100" w:after="100" w:afterAutospacing="1" w:line="240" w:lineRule="auto"/>
        <w:ind w:left="1440" w:hanging="360"/>
      </w:pPr>
      <w:r>
        <w:t>The ITAT held that since the offshore supplies were concluded outside India, the income from such supplies was not taxable in India.</w:t>
      </w:r>
    </w:p>
    <w:p w:rsidR="00A056B6" w:rsidRDefault="00A056B6" w:rsidP="00743A5F">
      <w:pPr>
        <w:pStyle w:val="NormalWeb"/>
        <w:tabs>
          <w:tab w:val="num" w:pos="720"/>
        </w:tabs>
        <w:spacing w:before="0" w:beforeAutospacing="0"/>
        <w:ind w:left="720" w:hanging="360"/>
      </w:pPr>
      <w:r>
        <w:rPr>
          <w:rStyle w:val="Strong"/>
        </w:rPr>
        <w:t>Applicability of Section 44BB:</w:t>
      </w:r>
    </w:p>
    <w:p w:rsidR="00A056B6" w:rsidRDefault="00A056B6" w:rsidP="00743A5F">
      <w:pPr>
        <w:numPr>
          <w:ilvl w:val="1"/>
          <w:numId w:val="0"/>
        </w:numPr>
        <w:tabs>
          <w:tab w:val="num" w:pos="1440"/>
        </w:tabs>
        <w:spacing w:before="100" w:after="100" w:afterAutospacing="1" w:line="240" w:lineRule="auto"/>
        <w:ind w:left="1440" w:hanging="360"/>
      </w:pPr>
      <w:r>
        <w:t>The Tribunal referred to judicial precedents and concluded that the grouting services provided by ULO Systems LLC were directly associated with the exploration and extraction of mineral oils. Therefore, the income from such services should be taxed under the presumptive provisions of Section 44BB of the Income Tax Act, 1961.</w:t>
      </w:r>
    </w:p>
    <w:p w:rsidR="00A056B6" w:rsidRDefault="00A056B6" w:rsidP="00743A5F">
      <w:pPr>
        <w:pStyle w:val="NormalWeb"/>
        <w:spacing w:before="0" w:beforeAutospacing="0"/>
      </w:pPr>
      <w:r>
        <w:rPr>
          <w:rStyle w:val="Strong"/>
        </w:rPr>
        <w:t>Ruling and Reasoning:</w:t>
      </w:r>
    </w:p>
    <w:p w:rsidR="00A056B6" w:rsidRDefault="00A056B6" w:rsidP="00743A5F">
      <w:pPr>
        <w:pStyle w:val="NormalWeb"/>
        <w:tabs>
          <w:tab w:val="num" w:pos="720"/>
        </w:tabs>
        <w:spacing w:before="0" w:beforeAutospacing="0"/>
        <w:ind w:left="720" w:hanging="360"/>
      </w:pPr>
      <w:r>
        <w:rPr>
          <w:rStyle w:val="Strong"/>
        </w:rPr>
        <w:lastRenderedPageBreak/>
        <w:t>No Permanent Establishment:</w:t>
      </w:r>
      <w:r>
        <w:t xml:space="preserve"> The ITAT ruled that ULO Systems LLC did not have a PE in India under the India-UAE DTAA, as neither a fixed place PE nor a Service PE was constituted.</w:t>
      </w:r>
    </w:p>
    <w:p w:rsidR="00A056B6" w:rsidRDefault="00A056B6" w:rsidP="00743A5F">
      <w:pPr>
        <w:pStyle w:val="NormalWeb"/>
        <w:tabs>
          <w:tab w:val="num" w:pos="720"/>
        </w:tabs>
        <w:spacing w:before="0" w:beforeAutospacing="0"/>
        <w:ind w:left="720" w:hanging="360"/>
      </w:pPr>
      <w:r>
        <w:rPr>
          <w:rStyle w:val="Strong"/>
        </w:rPr>
        <w:t>Offshore Supplies Not Taxable:</w:t>
      </w:r>
      <w:r>
        <w:t xml:space="preserve"> The income from offshore supplies made by the assessee was not taxable in India, as the transactions were concluded outside the Indian territory.</w:t>
      </w:r>
    </w:p>
    <w:p w:rsidR="00A056B6" w:rsidRDefault="00A056B6" w:rsidP="00743A5F">
      <w:pPr>
        <w:pStyle w:val="NormalWeb"/>
        <w:tabs>
          <w:tab w:val="num" w:pos="720"/>
        </w:tabs>
        <w:spacing w:before="0" w:beforeAutospacing="0"/>
        <w:ind w:left="720" w:hanging="360"/>
      </w:pPr>
      <w:r>
        <w:rPr>
          <w:rStyle w:val="Strong"/>
        </w:rPr>
        <w:t>Applicability of Section 44BB:</w:t>
      </w:r>
      <w:r>
        <w:t xml:space="preserve"> The income from grouting services provided by ULO Systems LLC was to be taxed under Section 44BB of the Income Tax Act, which prescribes a presumptive tax regime for services related to the exploration or extraction of mineral oils.</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decision clarifies that for a non-resident entity to have a Permanent Establishment in India under the DTAA, there must be a fixed place of business at its disposal or activities exceeding the specified duration. It also emphasizes that income from offshore supplies concluded outside India is not taxable in India. Furthermore, services directly connected to the exploration or extraction of mineral oils are eligible for taxation under the presumptive provisions of Section 44BB, providing clarity on the tax treatment of such services.</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ULO Systems LLC v. ADIT, [2019] 101 taxmann.com 490 (Delhi - Trib.), ITA No. 5968/Del/2010, dated December 21, 2018.</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47" w:tgtFrame="_new" w:history="1">
        <w:r>
          <w:rPr>
            <w:rStyle w:val="Hyperlink"/>
          </w:rPr>
          <w:t>CaseMine</w:t>
        </w:r>
      </w:hyperlink>
    </w:p>
    <w:p w:rsidR="00A056B6" w:rsidRDefault="00A056B6" w:rsidP="00743A5F">
      <w:pPr>
        <w:pStyle w:val="NormalWeb"/>
        <w:spacing w:before="0" w:beforeAutospacing="0"/>
      </w:pPr>
      <w:r>
        <w:t>This ruling provides guidance on the interpretation of Permanent Establishment provisions under the DTAA and the applicability of Section 44BB for services related to the oil and gas industry, aiding in the determination of tax liabilities for non-resident entities operating in India.</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4D0ABB">
      <w:pPr>
        <w:pStyle w:val="Heading5"/>
        <w:spacing w:before="0" w:beforeAutospacing="0"/>
      </w:pPr>
      <w:r>
        <w:t>Discuss GE Energy Parts Inc. vs CIT (Intl Tax) [2019] 101 taxmann.com 142 (Del HC) – ITA No 621,627,628,629,671,674 &amp; 675 of 2017 (Del HC) dated December 21, 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6BECF455" wp14:editId="7C66479A">
            <wp:extent cx="763905" cy="763905"/>
            <wp:effectExtent l="0" t="0" r="0" b="0"/>
            <wp:docPr id="438" name="Picture 43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1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GE Energy Parts Inc. v. Commissioner of Income Tax (International Taxation)</w:t>
      </w:r>
      <w:r>
        <w:t xml:space="preserve">, the </w:t>
      </w:r>
      <w:r>
        <w:rPr>
          <w:rStyle w:val="Strong"/>
        </w:rPr>
        <w:t>Delhi High Court</w:t>
      </w:r>
      <w:r>
        <w:t xml:space="preserve"> examined the tax implications for GE Energy Parts Inc. (GEP), a U.S.-based company, concerning its operations and business activities in India.</w:t>
      </w:r>
    </w:p>
    <w:p w:rsidR="00A056B6" w:rsidRDefault="00A056B6" w:rsidP="00743A5F">
      <w:pPr>
        <w:pStyle w:val="NormalWeb"/>
        <w:spacing w:before="0" w:beforeAutospacing="0"/>
      </w:pPr>
      <w:r>
        <w:rPr>
          <w:rStyle w:val="Strong"/>
        </w:rPr>
        <w:lastRenderedPageBreak/>
        <w:t>Facts:</w:t>
      </w:r>
    </w:p>
    <w:p w:rsidR="00A056B6" w:rsidRDefault="00A056B6" w:rsidP="00743A5F">
      <w:pPr>
        <w:pStyle w:val="NormalWeb"/>
        <w:tabs>
          <w:tab w:val="num" w:pos="720"/>
        </w:tabs>
        <w:spacing w:before="0" w:beforeAutospacing="0"/>
        <w:ind w:left="720" w:hanging="360"/>
      </w:pPr>
      <w:r>
        <w:rPr>
          <w:rStyle w:val="Strong"/>
        </w:rPr>
        <w:t>Assessee:</w:t>
      </w:r>
      <w:r>
        <w:t xml:space="preserve"> GE Energy Parts Inc. (GEP), incorporated in the USA, engaged in the manufacture and offshore sale of sophisticated equipment, including gas turbine parts and sub-assemblies.</w:t>
      </w:r>
    </w:p>
    <w:p w:rsidR="00A056B6" w:rsidRDefault="00A056B6" w:rsidP="00743A5F">
      <w:pPr>
        <w:pStyle w:val="NormalWeb"/>
        <w:tabs>
          <w:tab w:val="num" w:pos="720"/>
        </w:tabs>
        <w:spacing w:before="0" w:beforeAutospacing="0"/>
        <w:ind w:left="720" w:hanging="360"/>
      </w:pPr>
      <w:r>
        <w:rPr>
          <w:rStyle w:val="Strong"/>
        </w:rPr>
        <w:t>Indian Operations:</w:t>
      </w:r>
      <w:r>
        <w:t xml:space="preserve"> GEP conducted sales to Indian customers on a principal-to-principal basis, with the title to goods passing outside India. It operated in India through entities such as GE India Industrial Pvt. Ltd. (GEIIPL) and GE International Operations Company Inc. (GEIOC), which had a liaison office (LO) in New Delhi.</w:t>
      </w:r>
    </w:p>
    <w:p w:rsidR="00A056B6" w:rsidRDefault="00A056B6" w:rsidP="00743A5F">
      <w:pPr>
        <w:pStyle w:val="NormalWeb"/>
        <w:tabs>
          <w:tab w:val="num" w:pos="720"/>
        </w:tabs>
        <w:spacing w:before="0" w:beforeAutospacing="0"/>
        <w:ind w:left="720" w:hanging="360"/>
      </w:pPr>
      <w:r>
        <w:rPr>
          <w:rStyle w:val="Strong"/>
        </w:rPr>
        <w:t>Survey and Assessment:</w:t>
      </w:r>
      <w:r>
        <w:t xml:space="preserve"> A survey under Section 133A of the Income Tax Act was conducted at GEIOC's premises, leading to the assessment that GEP had a Permanent Establishment (PE) in India and was liable to file income tax returns in the country.</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Existence of Permanent Establishment (PE):</w:t>
      </w:r>
      <w:r>
        <w:t xml:space="preserve"> Whether GEP had a PE in India under Articles 5(1) to 5(3) of the India-USA Double Taxation Avoidance Agreement (DTAA) due to its business activities and the role of its Indian affiliates.</w:t>
      </w:r>
    </w:p>
    <w:p w:rsidR="00A056B6" w:rsidRDefault="00A056B6" w:rsidP="00743A5F">
      <w:pPr>
        <w:pStyle w:val="NormalWeb"/>
        <w:tabs>
          <w:tab w:val="num" w:pos="720"/>
        </w:tabs>
        <w:spacing w:before="0" w:beforeAutospacing="0"/>
        <w:ind w:left="720" w:hanging="360"/>
      </w:pPr>
      <w:r>
        <w:rPr>
          <w:rStyle w:val="Strong"/>
        </w:rPr>
        <w:t>Attribution of Income:</w:t>
      </w:r>
      <w:r>
        <w:t xml:space="preserve"> If a PE existed, what portion of GEP's income could be attributed to the Indian PE and thus be taxable in India.</w:t>
      </w:r>
    </w:p>
    <w:p w:rsidR="00A056B6" w:rsidRDefault="00A056B6" w:rsidP="00743A5F">
      <w:pPr>
        <w:pStyle w:val="NormalWeb"/>
        <w:spacing w:before="0" w:beforeAutospacing="0"/>
      </w:pPr>
      <w:r>
        <w:rPr>
          <w:rStyle w:val="Strong"/>
        </w:rPr>
        <w:t>Assessee's Arguments:</w:t>
      </w:r>
    </w:p>
    <w:p w:rsidR="00A056B6" w:rsidRDefault="00A056B6" w:rsidP="00743A5F">
      <w:pPr>
        <w:pStyle w:val="NormalWeb"/>
        <w:tabs>
          <w:tab w:val="num" w:pos="720"/>
        </w:tabs>
        <w:spacing w:before="0" w:beforeAutospacing="0"/>
        <w:ind w:left="720" w:hanging="360"/>
      </w:pPr>
      <w:r>
        <w:rPr>
          <w:rStyle w:val="Strong"/>
        </w:rPr>
        <w:t>No Fixed Place PE:</w:t>
      </w:r>
      <w:r>
        <w:t xml:space="preserve"> GEP contended that it did not have a fixed place of business in India. The liaison office and GEIIPL operated independently, and their activities were preparatory or auxiliary in nature, which, under Article 5(3) of the DTAA, do not constitute a PE.</w:t>
      </w:r>
    </w:p>
    <w:p w:rsidR="00A056B6" w:rsidRDefault="00A056B6" w:rsidP="00743A5F">
      <w:pPr>
        <w:pStyle w:val="NormalWeb"/>
        <w:tabs>
          <w:tab w:val="num" w:pos="720"/>
        </w:tabs>
        <w:spacing w:before="0" w:beforeAutospacing="0"/>
        <w:ind w:left="720" w:hanging="360"/>
      </w:pPr>
      <w:r>
        <w:rPr>
          <w:rStyle w:val="Strong"/>
        </w:rPr>
        <w:t>No Dependent Agent PE:</w:t>
      </w:r>
      <w:r>
        <w:t xml:space="preserve"> GEP argued that neither GEIIPL nor the liaison office had the authority to conclude contracts on behalf of GEP. Their roles were limited to support services, and they did not secure orders or maintain stock for GEP.</w:t>
      </w:r>
    </w:p>
    <w:p w:rsidR="00A056B6" w:rsidRDefault="00A056B6" w:rsidP="00743A5F">
      <w:pPr>
        <w:pStyle w:val="NormalWeb"/>
        <w:spacing w:before="0" w:beforeAutospacing="0"/>
      </w:pPr>
      <w:r>
        <w:rPr>
          <w:rStyle w:val="Strong"/>
        </w:rPr>
        <w:t>Revenue's Arguments:</w:t>
      </w:r>
    </w:p>
    <w:p w:rsidR="00A056B6" w:rsidRDefault="00A056B6" w:rsidP="00743A5F">
      <w:pPr>
        <w:pStyle w:val="NormalWeb"/>
        <w:tabs>
          <w:tab w:val="num" w:pos="720"/>
        </w:tabs>
        <w:spacing w:before="0" w:beforeAutospacing="0"/>
        <w:ind w:left="720" w:hanging="360"/>
      </w:pPr>
      <w:r>
        <w:rPr>
          <w:rStyle w:val="Strong"/>
        </w:rPr>
        <w:t>Existence of PE:</w:t>
      </w:r>
      <w:r>
        <w:t xml:space="preserve"> The Revenue asserted that GEP had a fixed place PE in India through the premises of GEIIPL and the liaison office. Additionally, it claimed that GEIIPL acted as a dependent agent PE, habitually securing orders for GEP, thereby creating a taxable presence in India.</w:t>
      </w:r>
    </w:p>
    <w:p w:rsidR="00A056B6" w:rsidRDefault="00A056B6" w:rsidP="00743A5F">
      <w:pPr>
        <w:pStyle w:val="NormalWeb"/>
        <w:tabs>
          <w:tab w:val="num" w:pos="720"/>
        </w:tabs>
        <w:spacing w:before="0" w:beforeAutospacing="0"/>
        <w:ind w:left="720" w:hanging="360"/>
      </w:pPr>
      <w:r>
        <w:rPr>
          <w:rStyle w:val="Strong"/>
        </w:rPr>
        <w:t>Attribution of Income:</w:t>
      </w:r>
      <w:r>
        <w:t xml:space="preserve"> The Revenue sought to attribute a portion of GEP's global income to the alleged Indian PE, arguing that the activities conducted in India significantly contributed to GEP's overall business.</w:t>
      </w:r>
    </w:p>
    <w:p w:rsidR="00A056B6" w:rsidRDefault="00A056B6" w:rsidP="004D0ABB">
      <w:pPr>
        <w:pStyle w:val="Heading5"/>
        <w:spacing w:before="0" w:beforeAutospacing="0"/>
      </w:pPr>
      <w:r>
        <w:rPr>
          <w:rStyle w:val="Strong"/>
        </w:rPr>
        <w:t>Court's Analysis:</w:t>
      </w:r>
    </w:p>
    <w:p w:rsidR="00A056B6" w:rsidRDefault="00A056B6" w:rsidP="00743A5F">
      <w:pPr>
        <w:pStyle w:val="NormalWeb"/>
        <w:tabs>
          <w:tab w:val="num" w:pos="720"/>
        </w:tabs>
        <w:spacing w:before="0" w:beforeAutospacing="0"/>
        <w:ind w:left="720" w:hanging="360"/>
      </w:pPr>
      <w:r>
        <w:rPr>
          <w:rStyle w:val="Strong"/>
        </w:rPr>
        <w:t>Fixed Place PE:</w:t>
      </w:r>
    </w:p>
    <w:p w:rsidR="00A056B6" w:rsidRDefault="00A056B6" w:rsidP="00743A5F">
      <w:pPr>
        <w:numPr>
          <w:ilvl w:val="1"/>
          <w:numId w:val="0"/>
        </w:numPr>
        <w:tabs>
          <w:tab w:val="num" w:pos="1440"/>
        </w:tabs>
        <w:spacing w:before="100" w:after="100" w:afterAutospacing="1" w:line="240" w:lineRule="auto"/>
        <w:ind w:left="1440" w:hanging="360"/>
      </w:pPr>
      <w:r>
        <w:lastRenderedPageBreak/>
        <w:t>The Court examined whether GEP had a fixed place of business at its disposal in India. It found that the liaison office's activities were limited to communication and support, falling under preparatory or auxiliary activities as per Article 5(3) of the DTAA. Therefore, the liaison office did not constitute a fixed place PE.</w:t>
      </w:r>
    </w:p>
    <w:p w:rsidR="00A056B6" w:rsidRDefault="00A056B6" w:rsidP="00743A5F">
      <w:pPr>
        <w:pStyle w:val="NormalWeb"/>
        <w:tabs>
          <w:tab w:val="num" w:pos="720"/>
        </w:tabs>
        <w:spacing w:before="0" w:beforeAutospacing="0"/>
        <w:ind w:left="720" w:hanging="360"/>
      </w:pPr>
      <w:r>
        <w:rPr>
          <w:rStyle w:val="Strong"/>
        </w:rPr>
        <w:t>Dependent Agent PE:</w:t>
      </w:r>
    </w:p>
    <w:p w:rsidR="00A056B6" w:rsidRDefault="00A056B6" w:rsidP="00743A5F">
      <w:pPr>
        <w:numPr>
          <w:ilvl w:val="1"/>
          <w:numId w:val="0"/>
        </w:numPr>
        <w:tabs>
          <w:tab w:val="num" w:pos="1440"/>
        </w:tabs>
        <w:spacing w:before="100" w:after="100" w:afterAutospacing="1" w:line="240" w:lineRule="auto"/>
        <w:ind w:left="1440" w:hanging="360"/>
      </w:pPr>
      <w:r>
        <w:t>The Court analyzed the functions of GEIIPL and concluded that it did not have the authority to conclude contracts on behalf of GEP. GEIIPL's activities were confined to marketing support and liaison services, and it was remunerated on an arm's length basis. There was no evidence to suggest that GEIIPL habitually secured orders for GEP.</w:t>
      </w:r>
    </w:p>
    <w:p w:rsidR="00A056B6" w:rsidRDefault="00A056B6" w:rsidP="00743A5F">
      <w:pPr>
        <w:pStyle w:val="NormalWeb"/>
        <w:tabs>
          <w:tab w:val="num" w:pos="720"/>
        </w:tabs>
        <w:spacing w:before="0" w:beforeAutospacing="0"/>
        <w:ind w:left="720" w:hanging="360"/>
      </w:pPr>
      <w:r>
        <w:rPr>
          <w:rStyle w:val="Strong"/>
        </w:rPr>
        <w:t>Attribution of Income:</w:t>
      </w:r>
    </w:p>
    <w:p w:rsidR="00A056B6" w:rsidRDefault="00A056B6" w:rsidP="00743A5F">
      <w:pPr>
        <w:numPr>
          <w:ilvl w:val="1"/>
          <w:numId w:val="0"/>
        </w:numPr>
        <w:tabs>
          <w:tab w:val="num" w:pos="1440"/>
        </w:tabs>
        <w:spacing w:before="100" w:after="100" w:afterAutospacing="1" w:line="240" w:lineRule="auto"/>
        <w:ind w:left="1440" w:hanging="360"/>
      </w:pPr>
      <w:r>
        <w:t>Since the Court determined that GEP did not have a PE in India, the question of attributing income to an Indian PE did not arise.</w:t>
      </w:r>
    </w:p>
    <w:p w:rsidR="00A056B6" w:rsidRDefault="00A056B6" w:rsidP="00743A5F">
      <w:pPr>
        <w:pStyle w:val="NormalWeb"/>
        <w:spacing w:before="0" w:beforeAutospacing="0"/>
      </w:pPr>
      <w:r>
        <w:rPr>
          <w:rStyle w:val="Strong"/>
        </w:rPr>
        <w:t>Ruling and Reasoning:</w:t>
      </w:r>
    </w:p>
    <w:p w:rsidR="00A056B6" w:rsidRDefault="00A056B6" w:rsidP="00743A5F">
      <w:pPr>
        <w:pStyle w:val="NormalWeb"/>
        <w:tabs>
          <w:tab w:val="num" w:pos="720"/>
        </w:tabs>
        <w:spacing w:before="0" w:beforeAutospacing="0"/>
        <w:ind w:left="720" w:hanging="360"/>
      </w:pPr>
      <w:r>
        <w:rPr>
          <w:rStyle w:val="Strong"/>
        </w:rPr>
        <w:t>No Permanent Establishment:</w:t>
      </w:r>
      <w:r>
        <w:t xml:space="preserve"> The Delhi High Court held that GEP did not have a PE in India under the India-USA DTAA. The activities of the liaison office and GEIIPL were preparatory or auxiliary, and neither entity had the authority to conclude contracts on behalf of GEP.</w:t>
      </w:r>
    </w:p>
    <w:p w:rsidR="00A056B6" w:rsidRDefault="00A056B6" w:rsidP="00743A5F">
      <w:pPr>
        <w:pStyle w:val="NormalWeb"/>
        <w:tabs>
          <w:tab w:val="num" w:pos="720"/>
        </w:tabs>
        <w:spacing w:before="0" w:beforeAutospacing="0"/>
        <w:ind w:left="720" w:hanging="360"/>
      </w:pPr>
      <w:r>
        <w:rPr>
          <w:rStyle w:val="Strong"/>
        </w:rPr>
        <w:t>No Taxable Presence:</w:t>
      </w:r>
      <w:r>
        <w:t xml:space="preserve"> In the absence of a PE, GEP's income from offshore sales to Indian customers was not taxable in India.</w:t>
      </w:r>
    </w:p>
    <w:p w:rsidR="00A056B6" w:rsidRDefault="00A056B6" w:rsidP="004D0ABB">
      <w:pPr>
        <w:pStyle w:val="Heading5"/>
        <w:spacing w:before="0" w:beforeAutospacing="0"/>
      </w:pPr>
      <w:r>
        <w:rPr>
          <w:rStyle w:val="Strong"/>
        </w:rPr>
        <w:t>Conclusion:</w:t>
      </w:r>
    </w:p>
    <w:p w:rsidR="00A056B6" w:rsidRDefault="00A056B6" w:rsidP="00743A5F">
      <w:pPr>
        <w:pStyle w:val="NormalWeb"/>
        <w:spacing w:before="0" w:beforeAutospacing="0"/>
      </w:pPr>
      <w:r>
        <w:t>This judgment underscores the importance of analyzing the nature of activities conducted by foreign entities and their affiliates in India to determine the existence of a Permanent Establishment under the DTAA. It highlights that preparatory or auxiliary activities and the absence of authority to conclude contracts are critical factors in assessing tax liability for non-resident entities operating in India.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GE Energy Parts Inc. v. CIT (International Taxation), [2019] 101 taxmann.com 142 (Delhi HC), ITA Nos. 621, 627, 628, 629, 671, 674 &amp; 675 of 2017, dated December 21, 2018.</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48" w:tgtFrame="_new" w:history="1">
        <w:r>
          <w:rPr>
            <w:rStyle w:val="Hyperlink"/>
          </w:rPr>
          <w:t>ITAT Online</w:t>
        </w:r>
      </w:hyperlink>
    </w:p>
    <w:p w:rsidR="00A056B6" w:rsidRDefault="00A056B6" w:rsidP="004D0ABB">
      <w:pPr>
        <w:pStyle w:val="Heading5"/>
        <w:spacing w:before="0" w:beforeAutospacing="0"/>
      </w:pPr>
      <w:r>
        <w:t>This ruling provides clarity on the interpretation of Permanent Establishment provisions under the India-USA DTAA, aiding multinational enterprises in structuring their operations to comply with international tax laws.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lastRenderedPageBreak/>
        <w:t>Discuss Adobe Systems Incorporated v ADIT - (2016) 96 CCH 0012 (Del) [India - US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7AD5E058" wp14:editId="7A0C847B">
            <wp:extent cx="763905" cy="763905"/>
            <wp:effectExtent l="0" t="0" r="0" b="0"/>
            <wp:docPr id="437" name="Picture 43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2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Adobe Systems Incorporated v. Assistant Director of Income Tax</w:t>
      </w:r>
      <w:r>
        <w:t xml:space="preserve">, the </w:t>
      </w:r>
      <w:r>
        <w:rPr>
          <w:rStyle w:val="Strong"/>
        </w:rPr>
        <w:t>Delhi High Court</w:t>
      </w:r>
      <w:r>
        <w:t xml:space="preserve"> addressed the issue of whether Adobe Systems Incorporated (the Assessee), a U.S.-based company, had a Permanent Establishment (PE) in India through its subsidiary, Adobe Systems India Private Limited (Adobe India), under the India-U.S. Double Taxation Avoidance Agreement (DTAA).</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Assessee:</w:t>
      </w:r>
      <w:r>
        <w:t xml:space="preserve"> Adobe Systems Incorporated, a company incorporated in the USA, engaged in providing software solutions for network publishing, including web, print, video, wireless, and broadband applications.</w:t>
      </w:r>
    </w:p>
    <w:p w:rsidR="00A056B6" w:rsidRDefault="00A056B6" w:rsidP="00743A5F">
      <w:pPr>
        <w:pStyle w:val="NormalWeb"/>
        <w:tabs>
          <w:tab w:val="num" w:pos="720"/>
        </w:tabs>
        <w:spacing w:before="0" w:beforeAutospacing="0"/>
        <w:ind w:left="720" w:hanging="360"/>
      </w:pPr>
      <w:r>
        <w:rPr>
          <w:rStyle w:val="Strong"/>
        </w:rPr>
        <w:t>Indian Subsidiary:</w:t>
      </w:r>
      <w:r>
        <w:t xml:space="preserve"> Adobe India, a wholly-owned subsidiary of the Assessee, provided software-related Research and Development (R&amp;D) services to the Assessee on a cost-plus basis.</w:t>
      </w:r>
    </w:p>
    <w:p w:rsidR="00A056B6" w:rsidRDefault="00A056B6" w:rsidP="00743A5F">
      <w:pPr>
        <w:pStyle w:val="NormalWeb"/>
        <w:tabs>
          <w:tab w:val="num" w:pos="720"/>
        </w:tabs>
        <w:spacing w:before="0" w:beforeAutospacing="0"/>
        <w:ind w:left="720" w:hanging="360"/>
      </w:pPr>
      <w:r>
        <w:rPr>
          <w:rStyle w:val="Strong"/>
        </w:rPr>
        <w:t>Assessment Years in Question:</w:t>
      </w:r>
      <w:r>
        <w:t xml:space="preserve"> 2004-05, 2005-06, and 2006-07.</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Existence of Permanent Establishment (PE):</w:t>
      </w:r>
      <w:r>
        <w:t xml:space="preserve"> Whether Adobe India constituted a PE of the Assessee in India under Article 5 of the India-U.S. DTAA.</w:t>
      </w:r>
    </w:p>
    <w:p w:rsidR="00A056B6" w:rsidRDefault="00A056B6" w:rsidP="00743A5F">
      <w:pPr>
        <w:pStyle w:val="NormalWeb"/>
        <w:tabs>
          <w:tab w:val="num" w:pos="720"/>
        </w:tabs>
        <w:spacing w:before="0" w:beforeAutospacing="0"/>
        <w:ind w:left="720" w:hanging="360"/>
      </w:pPr>
      <w:r>
        <w:rPr>
          <w:rStyle w:val="Strong"/>
        </w:rPr>
        <w:t>Attribution of Income:</w:t>
      </w:r>
      <w:r>
        <w:t xml:space="preserve"> If a PE existed, whether any part of the Assessee's income could be attributed to such PE, considering that Adobe India's transactions with the Assessee were conducted at Arm's Length Prices (ALP) and had been subjected to transfer pricing scrutiny.</w:t>
      </w:r>
    </w:p>
    <w:p w:rsidR="00A056B6" w:rsidRDefault="00A056B6" w:rsidP="00743A5F">
      <w:pPr>
        <w:pStyle w:val="NormalWeb"/>
        <w:spacing w:before="0" w:beforeAutospacing="0"/>
      </w:pPr>
      <w:r>
        <w:rPr>
          <w:rStyle w:val="Strong"/>
        </w:rPr>
        <w:t>Assessee's Arguments:</w:t>
      </w:r>
    </w:p>
    <w:p w:rsidR="00A056B6" w:rsidRDefault="00A056B6" w:rsidP="00743A5F">
      <w:pPr>
        <w:pStyle w:val="NormalWeb"/>
        <w:tabs>
          <w:tab w:val="num" w:pos="720"/>
        </w:tabs>
        <w:spacing w:before="0" w:beforeAutospacing="0"/>
        <w:ind w:left="720" w:hanging="360"/>
      </w:pPr>
      <w:r>
        <w:rPr>
          <w:rStyle w:val="Strong"/>
        </w:rPr>
        <w:t>No PE in India:</w:t>
      </w:r>
      <w:r>
        <w:t xml:space="preserve"> The Assessee contended that it did not have a PE in India, as Adobe India operated independently and provided R&amp;D services on a principal-to-principal basis.</w:t>
      </w:r>
    </w:p>
    <w:p w:rsidR="00A056B6" w:rsidRDefault="00A056B6" w:rsidP="00743A5F">
      <w:pPr>
        <w:pStyle w:val="NormalWeb"/>
        <w:tabs>
          <w:tab w:val="num" w:pos="720"/>
        </w:tabs>
        <w:spacing w:before="0" w:beforeAutospacing="0"/>
        <w:ind w:left="720" w:hanging="360"/>
      </w:pPr>
      <w:r>
        <w:rPr>
          <w:rStyle w:val="Strong"/>
        </w:rPr>
        <w:t>Transactions at ALP:</w:t>
      </w:r>
      <w:r>
        <w:t xml:space="preserve"> Even if Adobe India were considered a PE, the Assessee argued that since Adobe India's income had been assessed at ALP, no further income could be attributed to the Assessee in respect of the activities carried out by Adobe India.</w:t>
      </w:r>
    </w:p>
    <w:p w:rsidR="00A056B6" w:rsidRDefault="00A056B6" w:rsidP="00743A5F">
      <w:pPr>
        <w:pStyle w:val="NormalWeb"/>
        <w:spacing w:before="0" w:beforeAutospacing="0"/>
      </w:pPr>
      <w:r>
        <w:rPr>
          <w:rStyle w:val="Strong"/>
        </w:rPr>
        <w:t>Revenue's Arguments:</w:t>
      </w:r>
    </w:p>
    <w:p w:rsidR="00A056B6" w:rsidRDefault="00A056B6" w:rsidP="00743A5F">
      <w:pPr>
        <w:pStyle w:val="NormalWeb"/>
        <w:tabs>
          <w:tab w:val="num" w:pos="720"/>
        </w:tabs>
        <w:spacing w:before="0" w:beforeAutospacing="0"/>
        <w:ind w:left="720" w:hanging="360"/>
      </w:pPr>
      <w:r>
        <w:rPr>
          <w:rStyle w:val="Strong"/>
        </w:rPr>
        <w:t>Existence of PE:</w:t>
      </w:r>
      <w:r>
        <w:t xml:space="preserve"> The Revenue asserted that Adobe India constituted a PE of the Assessee in India, as it performed core business activities integral to the Assessee's operations.</w:t>
      </w:r>
    </w:p>
    <w:p w:rsidR="00A056B6" w:rsidRDefault="00A056B6" w:rsidP="00743A5F">
      <w:pPr>
        <w:pStyle w:val="NormalWeb"/>
        <w:tabs>
          <w:tab w:val="num" w:pos="720"/>
        </w:tabs>
        <w:spacing w:before="0" w:beforeAutospacing="0"/>
        <w:ind w:left="720" w:hanging="360"/>
      </w:pPr>
      <w:r>
        <w:rPr>
          <w:rStyle w:val="Strong"/>
        </w:rPr>
        <w:lastRenderedPageBreak/>
        <w:t>Attribution of Income Beyond ALP:</w:t>
      </w:r>
      <w:r>
        <w:t xml:space="preserve"> The Revenue contended that the cost-plus remuneration to Adobe India did not capture the fair share of the Assessee's income attributable to its PE in India. Therefore, a portion of the Assessee's income should be taxed in India, computed using the profit split method.</w:t>
      </w:r>
    </w:p>
    <w:p w:rsidR="00A056B6" w:rsidRDefault="00A056B6" w:rsidP="004D0ABB">
      <w:pPr>
        <w:pStyle w:val="Heading5"/>
        <w:spacing w:before="0" w:beforeAutospacing="0"/>
      </w:pPr>
      <w:r w:rsidRPr="004D0ABB">
        <w:rPr>
          <w:b w:val="0"/>
          <w:bCs w:val="0"/>
        </w:rPr>
        <w:t>Court's</w:t>
      </w:r>
      <w:r>
        <w:rPr>
          <w:rStyle w:val="Strong"/>
        </w:rPr>
        <w:t xml:space="preserve"> Analysis:</w:t>
      </w:r>
    </w:p>
    <w:p w:rsidR="00A056B6" w:rsidRDefault="00A056B6" w:rsidP="00743A5F">
      <w:pPr>
        <w:pStyle w:val="NormalWeb"/>
        <w:tabs>
          <w:tab w:val="num" w:pos="720"/>
        </w:tabs>
        <w:spacing w:before="0" w:beforeAutospacing="0"/>
        <w:ind w:left="720" w:hanging="360"/>
      </w:pPr>
      <w:r>
        <w:rPr>
          <w:rStyle w:val="Strong"/>
        </w:rPr>
        <w:t>Fixed Place PE (Article 5(1)):</w:t>
      </w:r>
      <w:r>
        <w:t xml:space="preserve"> The Court noted that for a fixed place PE to exist, the Assessee must have a place of business in India at its disposal. In this case, Adobe India operated independently, and there was no evidence that the Assessee had a fixed place of business in India.</w:t>
      </w:r>
    </w:p>
    <w:p w:rsidR="00A056B6" w:rsidRDefault="00A056B6" w:rsidP="00743A5F">
      <w:pPr>
        <w:pStyle w:val="NormalWeb"/>
        <w:tabs>
          <w:tab w:val="num" w:pos="720"/>
        </w:tabs>
        <w:spacing w:before="0" w:beforeAutospacing="0"/>
        <w:ind w:left="720" w:hanging="360"/>
      </w:pPr>
      <w:r>
        <w:rPr>
          <w:rStyle w:val="Strong"/>
        </w:rPr>
        <w:t>Service PE (Article 5(2)(l)):</w:t>
      </w:r>
      <w:r>
        <w:t xml:space="preserve"> The Court observed that there was no material to suggest that the Assessee's employees rendered any services in India. The Assessee's right to audit Adobe India and provide specifications for R&amp;D services did not imply that it was rendering services in India.</w:t>
      </w:r>
    </w:p>
    <w:p w:rsidR="00A056B6" w:rsidRDefault="00A056B6" w:rsidP="00743A5F">
      <w:pPr>
        <w:pStyle w:val="NormalWeb"/>
        <w:tabs>
          <w:tab w:val="num" w:pos="720"/>
        </w:tabs>
        <w:spacing w:before="0" w:beforeAutospacing="0"/>
        <w:ind w:left="720" w:hanging="360"/>
      </w:pPr>
      <w:r>
        <w:rPr>
          <w:rStyle w:val="Strong"/>
        </w:rPr>
        <w:t>Dependent Agent PE (Article 5(5)):</w:t>
      </w:r>
      <w:r>
        <w:t xml:space="preserve"> The Court found that Adobe India did not habitually secure orders or conclude contracts on behalf of the Assessee. Therefore, it could not be considered a dependent agent PE.</w:t>
      </w:r>
    </w:p>
    <w:p w:rsidR="00A056B6" w:rsidRDefault="00A056B6" w:rsidP="00743A5F">
      <w:pPr>
        <w:pStyle w:val="NormalWeb"/>
        <w:tabs>
          <w:tab w:val="num" w:pos="720"/>
        </w:tabs>
        <w:spacing w:before="0" w:beforeAutospacing="0"/>
        <w:ind w:left="720" w:hanging="360"/>
      </w:pPr>
      <w:r>
        <w:rPr>
          <w:rStyle w:val="Strong"/>
        </w:rPr>
        <w:t>Attribution of Income:</w:t>
      </w:r>
      <w:r>
        <w:t xml:space="preserve"> The Court referred to the Supreme Court's decision in </w:t>
      </w:r>
      <w:r>
        <w:rPr>
          <w:rStyle w:val="Emphasis"/>
        </w:rPr>
        <w:t>DIT v. Morgan Stanley &amp; Co. Inc.</w:t>
      </w:r>
      <w:r>
        <w:t xml:space="preserve"> and concluded that if the transactions between the Assessee and Adobe India were at ALP, no further income could be attributed to the Assessee's PE in India.</w:t>
      </w:r>
    </w:p>
    <w:p w:rsidR="00A056B6" w:rsidRDefault="00A056B6" w:rsidP="00743A5F">
      <w:pPr>
        <w:pStyle w:val="NormalWeb"/>
        <w:spacing w:before="0" w:beforeAutospacing="0"/>
      </w:pPr>
      <w:r>
        <w:rPr>
          <w:rStyle w:val="Strong"/>
        </w:rPr>
        <w:t>Ruling and Reasoning:</w:t>
      </w:r>
    </w:p>
    <w:p w:rsidR="00A056B6" w:rsidRDefault="00A056B6" w:rsidP="00743A5F">
      <w:pPr>
        <w:pStyle w:val="NormalWeb"/>
        <w:tabs>
          <w:tab w:val="num" w:pos="720"/>
        </w:tabs>
        <w:spacing w:before="0" w:beforeAutospacing="0"/>
        <w:ind w:left="720" w:hanging="360"/>
      </w:pPr>
      <w:r>
        <w:rPr>
          <w:rStyle w:val="Strong"/>
        </w:rPr>
        <w:t>No Permanent Establishment:</w:t>
      </w:r>
      <w:r>
        <w:t xml:space="preserve"> The Delhi High Court held that Adobe India did not constitute a PE of the Assessee in India under Article 5 of the India-U.S. DTAA.</w:t>
      </w:r>
    </w:p>
    <w:p w:rsidR="00A056B6" w:rsidRDefault="00A056B6" w:rsidP="00743A5F">
      <w:pPr>
        <w:pStyle w:val="NormalWeb"/>
        <w:tabs>
          <w:tab w:val="num" w:pos="720"/>
        </w:tabs>
        <w:spacing w:before="0" w:beforeAutospacing="0"/>
        <w:ind w:left="720" w:hanging="360"/>
      </w:pPr>
      <w:r>
        <w:rPr>
          <w:rStyle w:val="Strong"/>
        </w:rPr>
        <w:t>No Additional Attribution of Income:</w:t>
      </w:r>
      <w:r>
        <w:t xml:space="preserve"> The Court ruled that since Adobe India's transactions with the Assessee were conducted at ALP and had been subjected to transfer pricing scrutiny, no further income could be attributed to the Assessee in respect of the activities carried out by Adobe India.</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clarifies that a subsidiary providing services to its parent company on an arm's length basis does not automatically constitute a Permanent Establishment under the India-U.S. DTAA. It emphasizes the importance of transfer pricing regulations in determining the attribution of income and reinforces that transactions conducted at ALP should not lead to additional tax liabilities for the foreign enterprise in India.</w:t>
      </w:r>
    </w:p>
    <w:p w:rsidR="00A056B6" w:rsidRDefault="00A056B6" w:rsidP="00743A5F">
      <w:pPr>
        <w:pStyle w:val="NormalWeb"/>
        <w:spacing w:before="0" w:beforeAutospacing="0"/>
      </w:pPr>
      <w:r>
        <w:rPr>
          <w:rStyle w:val="Strong"/>
        </w:rPr>
        <w:t>Reference:</w:t>
      </w:r>
    </w:p>
    <w:p w:rsidR="00A056B6" w:rsidRDefault="00A056B6" w:rsidP="004D0ABB">
      <w:pPr>
        <w:pStyle w:val="Heading5"/>
        <w:spacing w:before="0" w:beforeAutospacing="0"/>
      </w:pPr>
      <w:r>
        <w:rPr>
          <w:rStyle w:val="Strong"/>
        </w:rPr>
        <w:t>Case Citation:</w:t>
      </w:r>
      <w:r>
        <w:t xml:space="preserve"> Adobe Systems Incorporated v. ADIT, (2016) 96 CCH 0012 (Delhi High Court).</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49" w:tgtFrame="_new" w:history="1">
        <w:r>
          <w:rPr>
            <w:rStyle w:val="Hyperlink"/>
          </w:rPr>
          <w:t>Indian Kanoon</w:t>
        </w:r>
      </w:hyperlink>
    </w:p>
    <w:p w:rsidR="00A056B6" w:rsidRDefault="00A056B6" w:rsidP="00743A5F">
      <w:pPr>
        <w:pStyle w:val="NormalWeb"/>
        <w:spacing w:before="0" w:beforeAutospacing="0"/>
      </w:pPr>
      <w:r>
        <w:lastRenderedPageBreak/>
        <w:t>This ruling provides significant insights into the interpretation of Permanent Establishment provisions under the India-U.S. DTAA and the role of transfer pricing in cross-border transactions.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MERO Asia Pacific Pte Ltd - TS-489-AAR-2016 - A.A.R. No 981 of 2010 [India - Singapore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4D434DE8" wp14:editId="2A10946D">
            <wp:extent cx="763905" cy="763905"/>
            <wp:effectExtent l="0" t="0" r="0" b="0"/>
            <wp:docPr id="436" name="Picture 43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2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MERO Asia Pacific Pte Ltd</w:t>
      </w:r>
      <w:r>
        <w:t xml:space="preserve">, the </w:t>
      </w:r>
      <w:r>
        <w:rPr>
          <w:rStyle w:val="Strong"/>
        </w:rPr>
        <w:t>Authority for Advance Rulings (AAR)</w:t>
      </w:r>
      <w:r>
        <w:t xml:space="preserve"> addressed the tax implications of payments received by a Singapore-based company under a composite contract involving design, engineering, supply, fabrication, assembly, erection, and installation of goods and materials in India.</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Assessee:</w:t>
      </w:r>
      <w:r>
        <w:t xml:space="preserve"> MERO Asia Pacific Pte Ltd (MAPL), a company incorporated in Singapore, engaged in executing contracts related to structural glazing and wall cladding works.</w:t>
      </w:r>
    </w:p>
    <w:p w:rsidR="00A056B6" w:rsidRDefault="00A056B6" w:rsidP="00743A5F">
      <w:pPr>
        <w:pStyle w:val="NormalWeb"/>
        <w:tabs>
          <w:tab w:val="num" w:pos="720"/>
        </w:tabs>
        <w:spacing w:before="0" w:beforeAutospacing="0"/>
        <w:ind w:left="720" w:hanging="360"/>
      </w:pPr>
      <w:r>
        <w:rPr>
          <w:rStyle w:val="Strong"/>
        </w:rPr>
        <w:t>Contractual Arrangement:</w:t>
      </w:r>
      <w:r>
        <w:t xml:space="preserve"> Delhi International Airport Private Limited (DIAL) awarded a contract to Larsen &amp; Toubro (L&amp;T) for the design and construction of Terminal 3 at Delhi Airport. L&amp;T subcontracted the façade work, including design, supply, and installation, to MAPL through a composite contract.</w:t>
      </w:r>
    </w:p>
    <w:p w:rsidR="00A056B6" w:rsidRDefault="00A056B6" w:rsidP="00743A5F">
      <w:pPr>
        <w:pStyle w:val="NormalWeb"/>
        <w:tabs>
          <w:tab w:val="num" w:pos="720"/>
        </w:tabs>
        <w:spacing w:before="0" w:beforeAutospacing="0"/>
        <w:ind w:left="720" w:hanging="360"/>
      </w:pPr>
      <w:r>
        <w:rPr>
          <w:rStyle w:val="Strong"/>
        </w:rPr>
        <w:t>Scope of Work:</w:t>
      </w:r>
      <w:r>
        <w:t xml:space="preserve"> The contract encompassed offshore supply of materials and onshore services, including installation and commissioning.</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Taxability of Offshore Supplies:</w:t>
      </w:r>
      <w:r>
        <w:t xml:space="preserve"> Whether the amounts received by MAPL from L&amp;T for offshore supply of goods and materials were liable to tax in India under the Income Tax Act, 1961, read with the India-Singapore Double Taxation Avoidance Agreement (DTAA).</w:t>
      </w:r>
    </w:p>
    <w:p w:rsidR="00A056B6" w:rsidRDefault="00A056B6" w:rsidP="00743A5F">
      <w:pPr>
        <w:pStyle w:val="NormalWeb"/>
        <w:tabs>
          <w:tab w:val="num" w:pos="720"/>
        </w:tabs>
        <w:spacing w:before="0" w:beforeAutospacing="0"/>
        <w:ind w:left="720" w:hanging="360"/>
      </w:pPr>
      <w:r>
        <w:rPr>
          <w:rStyle w:val="Strong"/>
        </w:rPr>
        <w:t>Attribution of Income:</w:t>
      </w:r>
      <w:r>
        <w:t xml:space="preserve"> If taxable, to what extent the amounts were attributable to operations carried out in India and thus taxable by virtue of Explanation (a) to Section 9(1)(i) of the Act and/or Article 7(1) of the India-Singapore DTAA.</w:t>
      </w:r>
    </w:p>
    <w:p w:rsidR="00A056B6" w:rsidRDefault="00A056B6" w:rsidP="00743A5F">
      <w:pPr>
        <w:pStyle w:val="NormalWeb"/>
        <w:spacing w:before="0" w:beforeAutospacing="0"/>
      </w:pPr>
      <w:r>
        <w:rPr>
          <w:rStyle w:val="Strong"/>
        </w:rPr>
        <w:t>Assessee's Arguments:</w:t>
      </w:r>
    </w:p>
    <w:p w:rsidR="00A056B6" w:rsidRDefault="00A056B6" w:rsidP="00743A5F">
      <w:pPr>
        <w:pStyle w:val="NormalWeb"/>
        <w:tabs>
          <w:tab w:val="num" w:pos="720"/>
        </w:tabs>
        <w:spacing w:before="0" w:beforeAutospacing="0"/>
        <w:ind w:left="720" w:hanging="360"/>
      </w:pPr>
      <w:r>
        <w:rPr>
          <w:rStyle w:val="Strong"/>
        </w:rPr>
        <w:t>Offshore Supply Not Taxable:</w:t>
      </w:r>
      <w:r>
        <w:t xml:space="preserve"> MAPL contended that the offshore supply of goods was a separate component of the contract, with title and risk transferring outside India. </w:t>
      </w:r>
      <w:r>
        <w:lastRenderedPageBreak/>
        <w:t>Payments were received in Singapore, and the project office in India was not involved in these supplies.</w:t>
      </w:r>
    </w:p>
    <w:p w:rsidR="00A056B6" w:rsidRDefault="00A056B6" w:rsidP="00743A5F">
      <w:pPr>
        <w:pStyle w:val="NormalWeb"/>
        <w:tabs>
          <w:tab w:val="num" w:pos="720"/>
        </w:tabs>
        <w:spacing w:before="0" w:beforeAutospacing="0"/>
        <w:ind w:left="720" w:hanging="360"/>
      </w:pPr>
      <w:r>
        <w:rPr>
          <w:rStyle w:val="Strong"/>
        </w:rPr>
        <w:t>Reliance on Precedents:</w:t>
      </w:r>
      <w:r>
        <w:t xml:space="preserve"> MAPL cited the Supreme Court's decision in </w:t>
      </w:r>
      <w:r>
        <w:rPr>
          <w:rStyle w:val="Emphasis"/>
        </w:rPr>
        <w:t>Ishikawajima-Harima Heavy Industries Ltd. v. DIT</w:t>
      </w:r>
      <w:r>
        <w:t xml:space="preserve"> (288 ITR 408), asserting that offshore supplies, where title and risk pass outside India, are not taxable in India.</w:t>
      </w:r>
    </w:p>
    <w:p w:rsidR="00A056B6" w:rsidRDefault="00A056B6" w:rsidP="00743A5F">
      <w:pPr>
        <w:pStyle w:val="NormalWeb"/>
        <w:spacing w:before="0" w:beforeAutospacing="0"/>
      </w:pPr>
      <w:r>
        <w:rPr>
          <w:rStyle w:val="Strong"/>
        </w:rPr>
        <w:t>Revenue's Arguments:</w:t>
      </w:r>
    </w:p>
    <w:p w:rsidR="00A056B6" w:rsidRDefault="00A056B6" w:rsidP="00743A5F">
      <w:pPr>
        <w:pStyle w:val="NormalWeb"/>
        <w:tabs>
          <w:tab w:val="num" w:pos="720"/>
        </w:tabs>
        <w:spacing w:before="0" w:beforeAutospacing="0"/>
        <w:ind w:left="720" w:hanging="360"/>
      </w:pPr>
      <w:r>
        <w:rPr>
          <w:rStyle w:val="Strong"/>
        </w:rPr>
        <w:t>Composite Contract:</w:t>
      </w:r>
      <w:r>
        <w:t xml:space="preserve"> The Revenue argued that the contract was composite, with no clear demarcation between offshore supply and onshore services. The project office in India was involved in customs clearance and installation, indicating an intimate connection between offshore and onshore activities.</w:t>
      </w:r>
    </w:p>
    <w:p w:rsidR="00A056B6" w:rsidRDefault="00A056B6" w:rsidP="00743A5F">
      <w:pPr>
        <w:pStyle w:val="NormalWeb"/>
        <w:tabs>
          <w:tab w:val="num" w:pos="720"/>
        </w:tabs>
        <w:spacing w:before="0" w:beforeAutospacing="0"/>
        <w:ind w:left="720" w:hanging="360"/>
      </w:pPr>
      <w:r>
        <w:rPr>
          <w:rStyle w:val="Strong"/>
        </w:rPr>
        <w:t>Taxability in India:</w:t>
      </w:r>
      <w:r>
        <w:t xml:space="preserve"> Given the composite nature of the contract and the involvement of the Indian project office, the entire contract amount was taxable in India.</w:t>
      </w:r>
    </w:p>
    <w:p w:rsidR="00A056B6" w:rsidRDefault="00A056B6" w:rsidP="00743A5F">
      <w:pPr>
        <w:pStyle w:val="NormalWeb"/>
        <w:spacing w:before="0" w:beforeAutospacing="0"/>
      </w:pPr>
      <w:r>
        <w:rPr>
          <w:rStyle w:val="Strong"/>
        </w:rPr>
        <w:t>AAR's Analysis:</w:t>
      </w:r>
    </w:p>
    <w:p w:rsidR="00A056B6" w:rsidRDefault="00A056B6" w:rsidP="00743A5F">
      <w:pPr>
        <w:pStyle w:val="NormalWeb"/>
        <w:tabs>
          <w:tab w:val="num" w:pos="720"/>
        </w:tabs>
        <w:spacing w:before="0" w:beforeAutospacing="0"/>
        <w:ind w:left="720" w:hanging="360"/>
      </w:pPr>
      <w:r>
        <w:rPr>
          <w:rStyle w:val="Strong"/>
        </w:rPr>
        <w:t>Composite Nature of Contract:</w:t>
      </w:r>
      <w:r>
        <w:t xml:space="preserve"> The AAR observed that the contract lacked a clear bifurcation between offshore supply and onshore services. The project office in India handled customs clearance and installation, indicating that the offshore supplies were not independent of the onshore activities.</w:t>
      </w:r>
    </w:p>
    <w:p w:rsidR="00A056B6" w:rsidRDefault="00A056B6" w:rsidP="00743A5F">
      <w:pPr>
        <w:pStyle w:val="NormalWeb"/>
        <w:tabs>
          <w:tab w:val="num" w:pos="720"/>
        </w:tabs>
        <w:spacing w:before="0" w:beforeAutospacing="0"/>
        <w:ind w:left="720" w:hanging="360"/>
      </w:pPr>
      <w:r>
        <w:rPr>
          <w:rStyle w:val="Strong"/>
        </w:rPr>
        <w:t>Transfer of Title and Risk:</w:t>
      </w:r>
      <w:r>
        <w:t xml:space="preserve"> Despite invoicing on a CIF (Cost, Insurance, and Freight) basis, the AAR noted that MAPL retained risk and insurance until installation was complete, suggesting that the sale was not concluded offshore.</w:t>
      </w:r>
    </w:p>
    <w:p w:rsidR="00A056B6" w:rsidRDefault="00A056B6" w:rsidP="00743A5F">
      <w:pPr>
        <w:pStyle w:val="NormalWeb"/>
        <w:tabs>
          <w:tab w:val="num" w:pos="720"/>
        </w:tabs>
        <w:spacing w:before="0" w:beforeAutospacing="0"/>
        <w:ind w:left="720" w:hanging="360"/>
      </w:pPr>
      <w:r>
        <w:rPr>
          <w:rStyle w:val="Strong"/>
        </w:rPr>
        <w:t xml:space="preserve">Distinction from </w:t>
      </w:r>
      <w:r>
        <w:rPr>
          <w:rStyle w:val="Emphasis"/>
          <w:b/>
          <w:bCs/>
        </w:rPr>
        <w:t>Ishikawajima-Harima</w:t>
      </w:r>
      <w:r>
        <w:rPr>
          <w:rStyle w:val="Strong"/>
        </w:rPr>
        <w:t xml:space="preserve"> Case:</w:t>
      </w:r>
      <w:r>
        <w:t xml:space="preserve"> The AAR distinguished this case from the </w:t>
      </w:r>
      <w:r>
        <w:rPr>
          <w:rStyle w:val="Emphasis"/>
        </w:rPr>
        <w:t>Ishikawajima-Harima</w:t>
      </w:r>
      <w:r>
        <w:t xml:space="preserve"> ruling, emphasizing that in the latter, there was a clear demarcation between offshore and onshore activities, whereas, in MAPL's case, the contract was composite without such separation.</w:t>
      </w:r>
    </w:p>
    <w:p w:rsidR="00A056B6" w:rsidRDefault="00A056B6" w:rsidP="00743A5F">
      <w:pPr>
        <w:pStyle w:val="NormalWeb"/>
        <w:spacing w:before="0" w:beforeAutospacing="0"/>
      </w:pPr>
      <w:r>
        <w:rPr>
          <w:rStyle w:val="Strong"/>
        </w:rPr>
        <w:t>Ruling and Reasoning:</w:t>
      </w:r>
    </w:p>
    <w:p w:rsidR="00A056B6" w:rsidRDefault="00A056B6" w:rsidP="00743A5F">
      <w:pPr>
        <w:pStyle w:val="NormalWeb"/>
        <w:tabs>
          <w:tab w:val="num" w:pos="720"/>
        </w:tabs>
        <w:spacing w:before="0" w:beforeAutospacing="0"/>
        <w:ind w:left="720" w:hanging="360"/>
      </w:pPr>
      <w:r>
        <w:rPr>
          <w:rStyle w:val="Strong"/>
        </w:rPr>
        <w:t>Taxability in India:</w:t>
      </w:r>
      <w:r>
        <w:t xml:space="preserve"> The AAR held that due to the composite nature of the contract and the involvement of the Indian project office in both supply and installation, the entire contract amount received by MAPL was taxable in India.</w:t>
      </w:r>
    </w:p>
    <w:p w:rsidR="00A056B6" w:rsidRDefault="00A056B6" w:rsidP="00743A5F">
      <w:pPr>
        <w:pStyle w:val="NormalWeb"/>
        <w:tabs>
          <w:tab w:val="num" w:pos="720"/>
        </w:tabs>
        <w:spacing w:before="0" w:beforeAutospacing="0"/>
        <w:ind w:left="720" w:hanging="360"/>
      </w:pPr>
      <w:r>
        <w:rPr>
          <w:rStyle w:val="Strong"/>
        </w:rPr>
        <w:t>Attribution of Income:</w:t>
      </w:r>
      <w:r>
        <w:t xml:space="preserve"> Since the contract was indivisible, the AAR did not find it necessary to apportion income between offshore and onshore activities; the entire income was attributable to operations in India.</w:t>
      </w:r>
    </w:p>
    <w:p w:rsidR="00A056B6" w:rsidRDefault="00A056B6" w:rsidP="004D0ABB">
      <w:pPr>
        <w:pStyle w:val="Heading5"/>
        <w:spacing w:before="0" w:beforeAutospacing="0"/>
      </w:pPr>
      <w:r>
        <w:rPr>
          <w:rStyle w:val="Strong"/>
        </w:rPr>
        <w:t>Conclusion:</w:t>
      </w:r>
    </w:p>
    <w:p w:rsidR="00A056B6" w:rsidRDefault="00A056B6" w:rsidP="00743A5F">
      <w:pPr>
        <w:pStyle w:val="NormalWeb"/>
        <w:spacing w:before="0" w:beforeAutospacing="0"/>
      </w:pPr>
      <w:r>
        <w:t>This ruling underscores the importance of clear contractual demarcation between offshore and onshore activities in cross-border contracts. In the absence of such separation, especially when the foreign entity's Indian presence is involved in executing significant parts of the contract, Indian tax authorities may treat the entire contract value as taxable in India.</w:t>
      </w:r>
    </w:p>
    <w:p w:rsidR="00A056B6" w:rsidRDefault="00A056B6" w:rsidP="00743A5F">
      <w:pPr>
        <w:pStyle w:val="NormalWeb"/>
        <w:spacing w:before="0" w:beforeAutospacing="0"/>
      </w:pPr>
      <w:r>
        <w:rPr>
          <w:rStyle w:val="Strong"/>
        </w:rPr>
        <w:lastRenderedPageBreak/>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MERO Asia Pacific Pte Ltd, AAR No. 981 of 2010, [2016] 96 taxmann.com 12 (AAR - New Delhi).</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50" w:tgtFrame="_new" w:history="1">
        <w:r>
          <w:rPr>
            <w:rStyle w:val="Hyperlink"/>
          </w:rPr>
          <w:t>CaseMine</w:t>
        </w:r>
      </w:hyperlink>
    </w:p>
    <w:p w:rsidR="00A056B6" w:rsidRDefault="00A056B6" w:rsidP="00743A5F">
      <w:pPr>
        <w:pStyle w:val="NormalWeb"/>
        <w:spacing w:before="0" w:beforeAutospacing="0"/>
      </w:pPr>
      <w:r>
        <w:t>This decision highlights the need for foreign contractors to structure their contracts with Indian counterparts carefully, ensuring clear separation between offshore supply and onshore services to mitigate potential tax liabilities in India.</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DDIT v Unocol Bharat Ltd [2018] 99 taxmann.com 158 (Delhi - Trib.) – ITA No. 1388 (DELHI) OF 2012 dated October 5, 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591AD697" wp14:editId="75A73326">
            <wp:extent cx="763905" cy="763905"/>
            <wp:effectExtent l="0" t="0" r="0" b="0"/>
            <wp:docPr id="435" name="Picture 43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2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Deputy Director of Income Tax (DDIT) v. Unocal Bharat Ltd.</w:t>
      </w:r>
      <w:r>
        <w:t xml:space="preserve">, the </w:t>
      </w:r>
      <w:r>
        <w:rPr>
          <w:rStyle w:val="Strong"/>
        </w:rPr>
        <w:t>Income Tax Appellate Tribunal (ITAT) Delhi Bench</w:t>
      </w:r>
      <w:r>
        <w:t xml:space="preserve"> addressed the tax implications concerning the disallowance of expenses under Section 40(a)(i) of the Income Tax Act, 1961, in the context of the India-Mauritius Double Taxation Avoidance Agreement (DTAA).</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Assessee:</w:t>
      </w:r>
      <w:r>
        <w:t xml:space="preserve"> Unocal Bharat Ltd., a company incorporated in Mauritius, engaged in oil and gas exploration activities in India.</w:t>
      </w:r>
    </w:p>
    <w:p w:rsidR="00A056B6" w:rsidRDefault="00A056B6" w:rsidP="00743A5F">
      <w:pPr>
        <w:pStyle w:val="NormalWeb"/>
        <w:tabs>
          <w:tab w:val="num" w:pos="720"/>
        </w:tabs>
        <w:spacing w:before="0" w:beforeAutospacing="0"/>
        <w:ind w:left="720" w:hanging="360"/>
      </w:pPr>
      <w:r>
        <w:rPr>
          <w:rStyle w:val="Strong"/>
        </w:rPr>
        <w:t>Assessment Year:</w:t>
      </w:r>
      <w:r>
        <w:t xml:space="preserve"> 1998-99.</w:t>
      </w:r>
    </w:p>
    <w:p w:rsidR="00A056B6" w:rsidRDefault="00A056B6" w:rsidP="00743A5F">
      <w:pPr>
        <w:pStyle w:val="NormalWeb"/>
        <w:tabs>
          <w:tab w:val="num" w:pos="720"/>
        </w:tabs>
        <w:spacing w:before="0" w:beforeAutospacing="0"/>
        <w:ind w:left="720" w:hanging="360"/>
      </w:pPr>
      <w:r>
        <w:rPr>
          <w:rStyle w:val="Strong"/>
        </w:rPr>
        <w:t>Nature of Expenses:</w:t>
      </w:r>
      <w:r>
        <w:t xml:space="preserve"> The assessee incurred expenses related to payments made to non-residents for services utilized in its Indian operations.</w:t>
      </w:r>
    </w:p>
    <w:p w:rsidR="00A056B6" w:rsidRDefault="00A056B6" w:rsidP="00743A5F">
      <w:pPr>
        <w:pStyle w:val="NormalWeb"/>
        <w:tabs>
          <w:tab w:val="num" w:pos="720"/>
        </w:tabs>
        <w:spacing w:before="0" w:beforeAutospacing="0"/>
        <w:ind w:left="720" w:hanging="360"/>
      </w:pPr>
      <w:r>
        <w:rPr>
          <w:rStyle w:val="Strong"/>
        </w:rPr>
        <w:t>Disallowance by Assessing Officer (AO):</w:t>
      </w:r>
      <w:r>
        <w:t xml:space="preserve"> The AO disallowed these expenses under Section 40(a)(i) of the Income Tax Act on the grounds that the assessee failed to deduct tax at source (TDS) on payments made to non-residents.</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Applicability of Section 40(a)(i):</w:t>
      </w:r>
      <w:r>
        <w:t xml:space="preserve"> Whether the disallowance under Section 40(a)(i) for non-deduction of TDS on payments to non-residents was justified, considering the provisions of the India-Mauritius DTAA.</w:t>
      </w:r>
    </w:p>
    <w:p w:rsidR="00A056B6" w:rsidRDefault="00A056B6" w:rsidP="00743A5F">
      <w:pPr>
        <w:pStyle w:val="NormalWeb"/>
        <w:tabs>
          <w:tab w:val="num" w:pos="720"/>
        </w:tabs>
        <w:spacing w:before="0" w:beforeAutospacing="0"/>
        <w:ind w:left="720" w:hanging="360"/>
      </w:pPr>
      <w:r>
        <w:rPr>
          <w:rStyle w:val="Strong"/>
        </w:rPr>
        <w:lastRenderedPageBreak/>
        <w:t>Interaction Between Domestic Law and DTAA:</w:t>
      </w:r>
      <w:r>
        <w:t xml:space="preserve"> Whether the provisions of the DTAA override domestic tax laws, specifically concerning the disallowance of expenses for non-deduction of TDS.</w:t>
      </w:r>
    </w:p>
    <w:p w:rsidR="00A056B6" w:rsidRDefault="00A056B6" w:rsidP="00743A5F">
      <w:pPr>
        <w:pStyle w:val="NormalWeb"/>
        <w:spacing w:before="0" w:beforeAutospacing="0"/>
      </w:pPr>
      <w:r>
        <w:rPr>
          <w:rStyle w:val="Strong"/>
        </w:rPr>
        <w:t>Assessee's Arguments:</w:t>
      </w:r>
    </w:p>
    <w:p w:rsidR="00A056B6" w:rsidRDefault="00A056B6" w:rsidP="00743A5F">
      <w:pPr>
        <w:pStyle w:val="NormalWeb"/>
        <w:tabs>
          <w:tab w:val="num" w:pos="720"/>
        </w:tabs>
        <w:spacing w:before="0" w:beforeAutospacing="0"/>
        <w:ind w:left="720" w:hanging="360"/>
      </w:pPr>
      <w:r>
        <w:rPr>
          <w:rStyle w:val="Strong"/>
        </w:rPr>
        <w:t>DTAA Provisions Prevail:</w:t>
      </w:r>
      <w:r>
        <w:t xml:space="preserve"> The assessee contended that the provisions of the India-Mauritius DTAA should prevail over domestic tax laws. Since the DTAA did not impose a requirement to deduct tax at source for the payments in question, the disallowance under Section 40(a)(i) was unwarranted.</w:t>
      </w:r>
    </w:p>
    <w:p w:rsidR="00A056B6" w:rsidRDefault="00A056B6" w:rsidP="00743A5F">
      <w:pPr>
        <w:pStyle w:val="NormalWeb"/>
        <w:tabs>
          <w:tab w:val="num" w:pos="720"/>
        </w:tabs>
        <w:spacing w:before="0" w:beforeAutospacing="0"/>
        <w:ind w:left="720" w:hanging="360"/>
      </w:pPr>
      <w:r>
        <w:rPr>
          <w:rStyle w:val="Strong"/>
        </w:rPr>
        <w:t>No Tax Liability on Payments:</w:t>
      </w:r>
      <w:r>
        <w:t xml:space="preserve"> The assessee argued that the payments made to non-residents were not chargeable to tax in India under the DTAA; therefore, the obligation to deduct TDS did not arise.</w:t>
      </w:r>
    </w:p>
    <w:p w:rsidR="00A056B6" w:rsidRDefault="00A056B6" w:rsidP="00743A5F">
      <w:pPr>
        <w:pStyle w:val="NormalWeb"/>
        <w:spacing w:before="0" w:beforeAutospacing="0"/>
      </w:pPr>
      <w:r>
        <w:rPr>
          <w:rStyle w:val="Strong"/>
        </w:rPr>
        <w:t>Revenue's Arguments:</w:t>
      </w:r>
    </w:p>
    <w:p w:rsidR="00A056B6" w:rsidRDefault="00A056B6" w:rsidP="00743A5F">
      <w:pPr>
        <w:pStyle w:val="NormalWeb"/>
        <w:tabs>
          <w:tab w:val="num" w:pos="720"/>
        </w:tabs>
        <w:spacing w:before="0" w:beforeAutospacing="0"/>
        <w:ind w:left="720" w:hanging="360"/>
      </w:pPr>
      <w:r>
        <w:rPr>
          <w:rStyle w:val="Strong"/>
        </w:rPr>
        <w:t>Mandatory TDS Deduction:</w:t>
      </w:r>
      <w:r>
        <w:t xml:space="preserve"> The Revenue asserted that under Section 40(a)(i) of the Income Tax Act, any payment to a non-resident without TDS deduction warrants disallowance of the corresponding expense, irrespective of DTAA provisions.</w:t>
      </w:r>
    </w:p>
    <w:p w:rsidR="00A056B6" w:rsidRDefault="00A056B6" w:rsidP="00743A5F">
      <w:pPr>
        <w:pStyle w:val="NormalWeb"/>
        <w:tabs>
          <w:tab w:val="num" w:pos="720"/>
        </w:tabs>
        <w:spacing w:before="0" w:beforeAutospacing="0"/>
        <w:ind w:left="720" w:hanging="360"/>
      </w:pPr>
      <w:r>
        <w:rPr>
          <w:rStyle w:val="Strong"/>
        </w:rPr>
        <w:t>Domestic Law Supremacy:</w:t>
      </w:r>
      <w:r>
        <w:t xml:space="preserve"> The Revenue contended that domestic tax laws mandating TDS deduction should take precedence, and failure to comply justifies the disallowance.</w:t>
      </w:r>
    </w:p>
    <w:p w:rsidR="00A056B6" w:rsidRDefault="00A056B6" w:rsidP="004D0ABB">
      <w:pPr>
        <w:pStyle w:val="Heading5"/>
        <w:spacing w:before="0" w:beforeAutospacing="0"/>
      </w:pPr>
      <w:r>
        <w:rPr>
          <w:rStyle w:val="Strong"/>
        </w:rPr>
        <w:t>Tribunal's Analysis:</w:t>
      </w:r>
    </w:p>
    <w:p w:rsidR="00A056B6" w:rsidRDefault="00A056B6" w:rsidP="00743A5F">
      <w:pPr>
        <w:pStyle w:val="NormalWeb"/>
        <w:tabs>
          <w:tab w:val="num" w:pos="720"/>
        </w:tabs>
        <w:spacing w:before="0" w:beforeAutospacing="0"/>
        <w:ind w:left="720" w:hanging="360"/>
      </w:pPr>
      <w:r>
        <w:rPr>
          <w:rStyle w:val="Strong"/>
        </w:rPr>
        <w:t>DTAA vs. Domestic Law:</w:t>
      </w:r>
      <w:r>
        <w:t xml:space="preserve"> The ITAT examined the interplay between the DTAA and domestic tax provisions, emphasizing that when a DTAA is in place, its provisions override domestic laws to the extent they are more beneficial to the assessee.</w:t>
      </w:r>
    </w:p>
    <w:p w:rsidR="00A056B6" w:rsidRDefault="00A056B6" w:rsidP="00743A5F">
      <w:pPr>
        <w:pStyle w:val="NormalWeb"/>
        <w:tabs>
          <w:tab w:val="num" w:pos="720"/>
        </w:tabs>
        <w:spacing w:before="0" w:beforeAutospacing="0"/>
        <w:ind w:left="720" w:hanging="360"/>
      </w:pPr>
      <w:r>
        <w:rPr>
          <w:rStyle w:val="Strong"/>
        </w:rPr>
        <w:t>Taxability of Payments:</w:t>
      </w:r>
      <w:r>
        <w:t xml:space="preserve"> The Tribunal noted that if the payments to non-residents are not taxable in India under the DTAA, the obligation to deduct TDS under Section 195 does not arise. Consequently, disallowance under Section 40(a)(i) for non-deduction of TDS is not warranted.</w:t>
      </w:r>
    </w:p>
    <w:p w:rsidR="00A056B6" w:rsidRDefault="00A056B6" w:rsidP="00743A5F">
      <w:pPr>
        <w:pStyle w:val="NormalWeb"/>
        <w:spacing w:before="0" w:beforeAutospacing="0"/>
      </w:pPr>
      <w:r>
        <w:rPr>
          <w:rStyle w:val="Strong"/>
        </w:rPr>
        <w:t>Ruling and Reasoning:</w:t>
      </w:r>
    </w:p>
    <w:p w:rsidR="00A056B6" w:rsidRDefault="00A056B6" w:rsidP="00743A5F">
      <w:pPr>
        <w:pStyle w:val="NormalWeb"/>
        <w:tabs>
          <w:tab w:val="num" w:pos="720"/>
        </w:tabs>
        <w:spacing w:before="0" w:beforeAutospacing="0"/>
        <w:ind w:left="720" w:hanging="360"/>
      </w:pPr>
      <w:r>
        <w:rPr>
          <w:rStyle w:val="Strong"/>
        </w:rPr>
        <w:t>Disallowance Not Justified:</w:t>
      </w:r>
      <w:r>
        <w:t xml:space="preserve"> The ITAT held that since the payments made by the assessee to non-residents were not chargeable to tax in India under the India-Mauritius DTAA, there was no requirement to deduct TDS. Therefore, the disallowance of expenses under Section 40(a)(i) was not justified.</w:t>
      </w:r>
    </w:p>
    <w:p w:rsidR="00A056B6" w:rsidRDefault="00A056B6" w:rsidP="00743A5F">
      <w:pPr>
        <w:pStyle w:val="NormalWeb"/>
        <w:tabs>
          <w:tab w:val="num" w:pos="720"/>
        </w:tabs>
        <w:spacing w:before="0" w:beforeAutospacing="0"/>
        <w:ind w:left="720" w:hanging="360"/>
      </w:pPr>
      <w:r>
        <w:rPr>
          <w:rStyle w:val="Strong"/>
        </w:rPr>
        <w:t>DTAA Provisions Prevail:</w:t>
      </w:r>
      <w:r>
        <w:t xml:space="preserve"> The Tribunal reaffirmed that the provisions of the DTAA override domestic tax laws where applicable, and in this case, the DTAA did not mandate TDS deduction for the payments in question.</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lastRenderedPageBreak/>
        <w:t>This judgment underscores the principle that the provisions of a Double Taxation Avoidance Agreement take precedence over domestic tax laws when determining tax liabilities and obligations, such as TDS deduction. It clarifies that if payments to non-residents are not taxable under the DTAA, the requirement to deduct TDS under domestic law does not apply, and consequently, disallowance under Section 40(a)(i) is unwarranted.</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DDIT v. Unocal Bharat Ltd., [2018] 99 taxmann.com 158 (Delhi - Trib.), ITA No. 1388/Del/2012, dated October 5, 2018.</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51" w:tgtFrame="_new" w:history="1">
        <w:r>
          <w:rPr>
            <w:rStyle w:val="Hyperlink"/>
          </w:rPr>
          <w:t>Indian Kanoon</w:t>
        </w:r>
      </w:hyperlink>
    </w:p>
    <w:p w:rsidR="00A056B6" w:rsidRDefault="00A056B6" w:rsidP="00743A5F">
      <w:pPr>
        <w:pStyle w:val="NormalWeb"/>
        <w:spacing w:before="0" w:beforeAutospacing="0"/>
      </w:pPr>
      <w:r>
        <w:t>This ruling provides clarity on the interaction between DTAA provisions and domestic tax laws, particularly concerning the disallowance of expenses for non-deduction of TDS on payments to non-residents.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HONDA MOTOR CO.LTD, JAPAN vs. ASSTT. DIRECTOR OF INCOME-TAX, NOIDA &amp; ORS. - (2018) 101 CCH 0169 ISCC - Special Leave to Appeal (C) No(s). 25363/2014 dated Mar 14, 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2A621FE8" wp14:editId="116EDEBA">
            <wp:extent cx="763905" cy="763905"/>
            <wp:effectExtent l="0" t="0" r="0" b="0"/>
            <wp:docPr id="434" name="Picture 43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2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Honda Motor Co. Ltd., Japan v. Assistant Director of Income Tax, Noida &amp; Ors.</w:t>
      </w:r>
      <w:r>
        <w:t xml:space="preserve">, the </w:t>
      </w:r>
      <w:r>
        <w:rPr>
          <w:rStyle w:val="Strong"/>
        </w:rPr>
        <w:t>Supreme Court of India</w:t>
      </w:r>
      <w:r>
        <w:t xml:space="preserve"> addressed the issue of reopening assessments under Section 147 of the Income Tax Act, 1961, concerning the existence of a Permanent Establishment (PE) in India and the applicability of the arm's length principle in transfer pricing.</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Honda Motor Co. Ltd., a Japanese corporation, engaged in transactions with its Indian subsidiary, Honda Siel Cars India Ltd.</w:t>
      </w:r>
    </w:p>
    <w:p w:rsidR="00A056B6" w:rsidRDefault="00A056B6" w:rsidP="00743A5F">
      <w:pPr>
        <w:pStyle w:val="NormalWeb"/>
        <w:tabs>
          <w:tab w:val="num" w:pos="720"/>
        </w:tabs>
        <w:spacing w:before="0" w:beforeAutospacing="0"/>
        <w:ind w:left="720" w:hanging="360"/>
      </w:pPr>
      <w:r>
        <w:rPr>
          <w:rStyle w:val="Strong"/>
        </w:rPr>
        <w:t>Assessment Years:</w:t>
      </w:r>
      <w:r>
        <w:t xml:space="preserve"> 2004-05 and subsequent years.</w:t>
      </w:r>
    </w:p>
    <w:p w:rsidR="00A056B6" w:rsidRDefault="00A056B6" w:rsidP="00743A5F">
      <w:pPr>
        <w:pStyle w:val="NormalWeb"/>
        <w:tabs>
          <w:tab w:val="num" w:pos="720"/>
        </w:tabs>
        <w:spacing w:before="0" w:beforeAutospacing="0"/>
        <w:ind w:left="720" w:hanging="360"/>
      </w:pPr>
      <w:r>
        <w:rPr>
          <w:rStyle w:val="Strong"/>
        </w:rPr>
        <w:t>Proceedings Initiated:</w:t>
      </w:r>
      <w:r>
        <w:t xml:space="preserve"> The Assessing Officer (AO) issued notices under Section 148 of the Income Tax Act, initiating reassessment proceedings based on the belief that Honda Motor Co. Ltd. had a PE in India through its subsidiary, and that income attributable to this PE had escaped assessment.</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lastRenderedPageBreak/>
        <w:t>Existence of Permanent Establishment (PE):</w:t>
      </w:r>
      <w:r>
        <w:t xml:space="preserve"> Whether Honda Motor Co. Ltd. had a PE in India through its subsidiary, thereby attracting tax liability on income attributable to the PE.</w:t>
      </w:r>
    </w:p>
    <w:p w:rsidR="00A056B6" w:rsidRDefault="00A056B6" w:rsidP="00743A5F">
      <w:pPr>
        <w:pStyle w:val="NormalWeb"/>
        <w:tabs>
          <w:tab w:val="num" w:pos="720"/>
        </w:tabs>
        <w:spacing w:before="0" w:beforeAutospacing="0"/>
        <w:ind w:left="720" w:hanging="360"/>
      </w:pPr>
      <w:r>
        <w:rPr>
          <w:rStyle w:val="Strong"/>
        </w:rPr>
        <w:t>Arm's Length Principle Compliance:</w:t>
      </w:r>
      <w:r>
        <w:t xml:space="preserve"> Whether transactions between Honda Motor Co. Ltd. and its Indian subsidiary were conducted at arm's length, and if so, whether any further profit could be attributed to the alleged PE.</w:t>
      </w:r>
    </w:p>
    <w:p w:rsidR="00A056B6" w:rsidRDefault="00A056B6" w:rsidP="00743A5F">
      <w:pPr>
        <w:pStyle w:val="NormalWeb"/>
        <w:spacing w:before="0" w:beforeAutospacing="0"/>
      </w:pPr>
      <w:r>
        <w:rPr>
          <w:rStyle w:val="Strong"/>
        </w:rPr>
        <w:t>Supreme Court's Analysis:</w:t>
      </w:r>
    </w:p>
    <w:p w:rsidR="00A056B6" w:rsidRDefault="00A056B6" w:rsidP="00743A5F">
      <w:pPr>
        <w:pStyle w:val="NormalWeb"/>
        <w:tabs>
          <w:tab w:val="num" w:pos="720"/>
        </w:tabs>
        <w:spacing w:before="0" w:beforeAutospacing="0"/>
        <w:ind w:left="720" w:hanging="360"/>
      </w:pPr>
      <w:r>
        <w:rPr>
          <w:rStyle w:val="Strong"/>
        </w:rPr>
        <w:t>Arm's Length Transactions:</w:t>
      </w:r>
      <w:r>
        <w:t xml:space="preserve"> The Court referred to its earlier decision in </w:t>
      </w:r>
      <w:r>
        <w:rPr>
          <w:rStyle w:val="Emphasis"/>
        </w:rPr>
        <w:t>Assistant Director of Income Tax-I, New Delhi v. M/s. E-Funds IT Solution Inc.</w:t>
      </w:r>
      <w:r>
        <w:t xml:space="preserve"> (Civil Appeal No. 6082 of 2015), which held that once the arm's length principle is satisfied in related party transactions, no further profit attribution to a PE is warranted.</w:t>
      </w:r>
    </w:p>
    <w:p w:rsidR="00A056B6" w:rsidRDefault="00A056B6" w:rsidP="00743A5F">
      <w:pPr>
        <w:pStyle w:val="NormalWeb"/>
        <w:tabs>
          <w:tab w:val="num" w:pos="720"/>
        </w:tabs>
        <w:spacing w:before="0" w:beforeAutospacing="0"/>
        <w:ind w:left="720" w:hanging="360"/>
      </w:pPr>
      <w:r>
        <w:rPr>
          <w:rStyle w:val="Strong"/>
        </w:rPr>
        <w:t>Reassessment Proceedings:</w:t>
      </w:r>
      <w:r>
        <w:t xml:space="preserve"> The Court observed that the reassessment notices were based solely on the allegation of the existence of a PE in India. Since the Transfer Pricing Officer (TPO) had already examined the transactions and determined them to be at arm's length, there was no basis for attributing additional income to the alleged PE.</w:t>
      </w:r>
    </w:p>
    <w:p w:rsidR="00A056B6" w:rsidRDefault="00A056B6" w:rsidP="00743A5F">
      <w:pPr>
        <w:pStyle w:val="NormalWeb"/>
        <w:spacing w:before="0" w:beforeAutospacing="0"/>
      </w:pPr>
      <w:r>
        <w:rPr>
          <w:rStyle w:val="Strong"/>
        </w:rPr>
        <w:t>Ruling:</w:t>
      </w:r>
    </w:p>
    <w:p w:rsidR="00A056B6" w:rsidRDefault="00A056B6" w:rsidP="00743A5F">
      <w:pPr>
        <w:tabs>
          <w:tab w:val="num" w:pos="720"/>
        </w:tabs>
        <w:spacing w:before="100" w:after="100" w:afterAutospacing="1" w:line="240" w:lineRule="auto"/>
        <w:ind w:left="720" w:hanging="360"/>
      </w:pPr>
      <w:r>
        <w:rPr>
          <w:rStyle w:val="Strong"/>
        </w:rPr>
        <w:t>Quashing of Reassessment Notices:</w:t>
      </w:r>
      <w:r>
        <w:t xml:space="preserve"> The Supreme Court set aside the reassessment proceedings initiated under Section 147, emphasizing that adherence to the arm's length principle negates the need for further profit attribution, even if a PE exists.</w:t>
      </w:r>
    </w:p>
    <w:p w:rsidR="00A056B6" w:rsidRDefault="00A056B6" w:rsidP="004D0ABB">
      <w:pPr>
        <w:pStyle w:val="Heading5"/>
        <w:spacing w:before="0" w:beforeAutospacing="0"/>
      </w:pPr>
      <w:r>
        <w:rPr>
          <w:rStyle w:val="Strong"/>
        </w:rPr>
        <w:t>Conclusion:</w:t>
      </w:r>
    </w:p>
    <w:p w:rsidR="00A056B6" w:rsidRDefault="00A056B6" w:rsidP="00743A5F">
      <w:pPr>
        <w:pStyle w:val="NormalWeb"/>
        <w:spacing w:before="0" w:beforeAutospacing="0"/>
      </w:pPr>
      <w:r>
        <w:t>This judgment reinforces the principle that in international transactions between related parties, compliance with the arm's length standard suffices to determine taxable income. The existence of a PE does not necessitate additional profit attribution if transfer pricing assessments confirm that transactions are conducted at arm's length.</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Honda Motor Co. Ltd., Japan v. Assistant Director of Income Tax, Noida &amp; Ors., Civil Appeal No. 2833 of 2018, Supreme Court of India, dated March 14, 2018.</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52" w:tgtFrame="_new" w:history="1">
        <w:r>
          <w:rPr>
            <w:rStyle w:val="Hyperlink"/>
          </w:rPr>
          <w:t>Indian Kanoon</w:t>
        </w:r>
      </w:hyperlink>
    </w:p>
    <w:p w:rsidR="00A056B6" w:rsidRDefault="00A056B6" w:rsidP="004D0ABB">
      <w:pPr>
        <w:pStyle w:val="Heading5"/>
        <w:spacing w:before="0" w:beforeAutospacing="0"/>
      </w:pPr>
      <w:r>
        <w:t>This ruling provides clarity on the interplay between transfer pricing regulations and the concept of Permanent Establishment, offering guidance for multinational enterprises operating in India.</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HM Publishers Holdings Ltd., In re - [2018] 94 taxmann.com 193 (AAR - New Delhi) - A.A.R. NO. 1238 OF 2012 dated Jun 6, 2018</w:t>
      </w:r>
    </w:p>
    <w:p w:rsidR="00A056B6" w:rsidRDefault="00A056B6" w:rsidP="00743A5F">
      <w:pPr>
        <w:pStyle w:val="Heading6"/>
        <w:spacing w:before="0" w:beforeAutospacing="0"/>
      </w:pPr>
      <w:r>
        <w:lastRenderedPageBreak/>
        <w:t>ChatGPT said:</w:t>
      </w:r>
    </w:p>
    <w:p w:rsidR="00A056B6" w:rsidRDefault="00A056B6" w:rsidP="00743A5F">
      <w:pPr>
        <w:spacing w:line="240" w:lineRule="auto"/>
      </w:pPr>
      <w:r>
        <w:rPr>
          <w:noProof/>
          <w:lang w:eastAsia="en-IN" w:bidi="ta-IN"/>
        </w:rPr>
        <w:drawing>
          <wp:inline distT="0" distB="0" distL="0" distR="0" wp14:anchorId="65633812" wp14:editId="2A6AF4B7">
            <wp:extent cx="763905" cy="763905"/>
            <wp:effectExtent l="0" t="0" r="0" b="0"/>
            <wp:docPr id="433" name="Picture 43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2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HM Publishers Holdings Ltd., In re</w:t>
      </w:r>
      <w:r>
        <w:t xml:space="preserve">, the </w:t>
      </w:r>
      <w:r>
        <w:rPr>
          <w:rStyle w:val="Strong"/>
        </w:rPr>
        <w:t>Authority for Advance Rulings (AAR) New Delhi</w:t>
      </w:r>
      <w:r>
        <w:t xml:space="preserve"> examined the tax implications of a non-compete fee received by a UK-based company under the India-UK Double Taxation Avoidance Agreement (DTAA).</w:t>
      </w:r>
    </w:p>
    <w:p w:rsidR="00A056B6" w:rsidRDefault="00A056B6" w:rsidP="00743A5F">
      <w:pPr>
        <w:pStyle w:val="NormalWeb"/>
        <w:spacing w:before="0" w:beforeAutospacing="0"/>
      </w:pPr>
      <w:r>
        <w:rPr>
          <w:rStyle w:val="Strong"/>
        </w:rPr>
        <w:t>Facts:</w:t>
      </w:r>
    </w:p>
    <w:p w:rsidR="00A056B6" w:rsidRDefault="00A056B6" w:rsidP="00743A5F">
      <w:pPr>
        <w:pStyle w:val="NormalWeb"/>
        <w:tabs>
          <w:tab w:val="num" w:pos="720"/>
        </w:tabs>
        <w:spacing w:before="0" w:beforeAutospacing="0"/>
        <w:ind w:left="720" w:hanging="360"/>
      </w:pPr>
      <w:r>
        <w:rPr>
          <w:rStyle w:val="Strong"/>
        </w:rPr>
        <w:t>Applicant:</w:t>
      </w:r>
      <w:r>
        <w:t xml:space="preserve"> HM Publishers Holdings Ltd., a company incorporated in the United Kingdom, held a majority stake in MPS Limited, an Indian company.</w:t>
      </w:r>
    </w:p>
    <w:p w:rsidR="00A056B6" w:rsidRDefault="00A056B6" w:rsidP="00743A5F">
      <w:pPr>
        <w:pStyle w:val="NormalWeb"/>
        <w:tabs>
          <w:tab w:val="num" w:pos="720"/>
        </w:tabs>
        <w:spacing w:before="0" w:beforeAutospacing="0"/>
        <w:ind w:left="720" w:hanging="360"/>
      </w:pPr>
      <w:r>
        <w:rPr>
          <w:rStyle w:val="Strong"/>
        </w:rPr>
        <w:t>Transaction:</w:t>
      </w:r>
      <w:r>
        <w:t xml:space="preserve"> The applicant entered into a Share Purchase Agreement (SPA) with ADI BPO Services Private Limited (ADI), an Indian company, to sell its shares in MPS Limited. As part of the SPA, the applicant received a non-compete fee for agreeing not to compete with MPS's business for three years.</w:t>
      </w:r>
    </w:p>
    <w:p w:rsidR="00A056B6" w:rsidRDefault="00A056B6" w:rsidP="00743A5F">
      <w:pPr>
        <w:pStyle w:val="NormalWeb"/>
        <w:spacing w:before="0" w:beforeAutospacing="0"/>
      </w:pPr>
      <w:r>
        <w:rPr>
          <w:rStyle w:val="Strong"/>
        </w:rPr>
        <w:t>Issues:</w:t>
      </w:r>
    </w:p>
    <w:p w:rsidR="00A056B6" w:rsidRDefault="00A056B6" w:rsidP="00743A5F">
      <w:pPr>
        <w:pStyle w:val="NormalWeb"/>
        <w:tabs>
          <w:tab w:val="num" w:pos="720"/>
        </w:tabs>
        <w:spacing w:before="0" w:beforeAutospacing="0"/>
        <w:ind w:left="720" w:hanging="360"/>
      </w:pPr>
      <w:r>
        <w:rPr>
          <w:rStyle w:val="Strong"/>
        </w:rPr>
        <w:t>Nature of Non-Compete Fee:</w:t>
      </w:r>
      <w:r>
        <w:t xml:space="preserve"> Whether the non-compete fee received by the applicant is taxable as business income under Section 28(va) of the Income Tax Act, 1961.</w:t>
      </w:r>
    </w:p>
    <w:p w:rsidR="00A056B6" w:rsidRDefault="00A056B6" w:rsidP="00743A5F">
      <w:pPr>
        <w:pStyle w:val="NormalWeb"/>
        <w:tabs>
          <w:tab w:val="num" w:pos="720"/>
        </w:tabs>
        <w:spacing w:before="0" w:beforeAutospacing="0"/>
        <w:ind w:left="720" w:hanging="360"/>
      </w:pPr>
      <w:r>
        <w:rPr>
          <w:rStyle w:val="Strong"/>
        </w:rPr>
        <w:t>Taxability in India:</w:t>
      </w:r>
      <w:r>
        <w:t xml:space="preserve"> If considered business income, whether the non-compete fee is taxable in India under the India-UK DTAA, given the absence of a Permanent Establishment (PE) of the applicant in India.</w:t>
      </w:r>
    </w:p>
    <w:p w:rsidR="00A056B6" w:rsidRDefault="00A056B6" w:rsidP="00743A5F">
      <w:pPr>
        <w:pStyle w:val="NormalWeb"/>
        <w:spacing w:before="0" w:beforeAutospacing="0"/>
      </w:pPr>
      <w:r>
        <w:rPr>
          <w:rStyle w:val="Strong"/>
        </w:rPr>
        <w:t>Applicant's Arguments:</w:t>
      </w:r>
    </w:p>
    <w:p w:rsidR="00A056B6" w:rsidRDefault="00A056B6" w:rsidP="00743A5F">
      <w:pPr>
        <w:pStyle w:val="NormalWeb"/>
        <w:tabs>
          <w:tab w:val="num" w:pos="720"/>
        </w:tabs>
        <w:spacing w:before="0" w:beforeAutospacing="0"/>
        <w:ind w:left="720" w:hanging="360"/>
      </w:pPr>
      <w:r>
        <w:rPr>
          <w:rStyle w:val="Strong"/>
        </w:rPr>
        <w:t>Business Income:</w:t>
      </w:r>
      <w:r>
        <w:t xml:space="preserve"> The applicant contended that the non-compete fee qualifies as business income under Section 28(va) of the Income Tax Act.</w:t>
      </w:r>
    </w:p>
    <w:p w:rsidR="00A056B6" w:rsidRDefault="00A056B6" w:rsidP="00743A5F">
      <w:pPr>
        <w:pStyle w:val="NormalWeb"/>
        <w:tabs>
          <w:tab w:val="num" w:pos="720"/>
        </w:tabs>
        <w:spacing w:before="0" w:beforeAutospacing="0"/>
        <w:ind w:left="720" w:hanging="360"/>
      </w:pPr>
      <w:r>
        <w:rPr>
          <w:rStyle w:val="Strong"/>
        </w:rPr>
        <w:t>No PE in India:</w:t>
      </w:r>
      <w:r>
        <w:t xml:space="preserve"> The applicant asserted that it does not have a PE in India. Therefore, under Article 7 of the India-UK DTAA, its business income should not be taxable in India.</w:t>
      </w:r>
    </w:p>
    <w:p w:rsidR="00A056B6" w:rsidRDefault="00A056B6" w:rsidP="00743A5F">
      <w:pPr>
        <w:pStyle w:val="NormalWeb"/>
        <w:spacing w:before="0" w:beforeAutospacing="0"/>
      </w:pPr>
      <w:r>
        <w:rPr>
          <w:rStyle w:val="Strong"/>
        </w:rPr>
        <w:t>Revenue's Arguments:</w:t>
      </w:r>
    </w:p>
    <w:p w:rsidR="00A056B6" w:rsidRDefault="00A056B6" w:rsidP="00743A5F">
      <w:pPr>
        <w:tabs>
          <w:tab w:val="num" w:pos="720"/>
        </w:tabs>
        <w:spacing w:before="100" w:after="100" w:afterAutospacing="1" w:line="240" w:lineRule="auto"/>
        <w:ind w:left="720" w:hanging="360"/>
      </w:pPr>
      <w:r>
        <w:rPr>
          <w:rStyle w:val="Strong"/>
        </w:rPr>
        <w:t>Capital Gains:</w:t>
      </w:r>
      <w:r>
        <w:t xml:space="preserve"> The Revenue argued that the non-compete fee represents consideration for the transfer of a right to carry on business, constituting a capital asset. Thus, it should be taxable as capital gains under Section 45 of the Income Tax Act.</w:t>
      </w:r>
    </w:p>
    <w:p w:rsidR="00A056B6" w:rsidRDefault="00A056B6" w:rsidP="00743A5F">
      <w:pPr>
        <w:pStyle w:val="NormalWeb"/>
        <w:spacing w:before="0" w:beforeAutospacing="0"/>
      </w:pPr>
      <w:r>
        <w:rPr>
          <w:rStyle w:val="Strong"/>
        </w:rPr>
        <w:t>AAR's Analysis:</w:t>
      </w:r>
    </w:p>
    <w:p w:rsidR="00A056B6" w:rsidRDefault="00A056B6" w:rsidP="00743A5F">
      <w:pPr>
        <w:pStyle w:val="NormalWeb"/>
        <w:tabs>
          <w:tab w:val="num" w:pos="720"/>
        </w:tabs>
        <w:spacing w:before="0" w:beforeAutospacing="0"/>
        <w:ind w:left="720" w:hanging="360"/>
      </w:pPr>
      <w:r>
        <w:rPr>
          <w:rStyle w:val="Strong"/>
        </w:rPr>
        <w:t>Nature of the Non-Compete Fee:</w:t>
      </w:r>
      <w:r>
        <w:t xml:space="preserve"> The AAR determined that the non-compete fee pertains to a negative covenant, where the applicant agreed not to engage in competing activities for three years. This restriction is temporary and does not amount </w:t>
      </w:r>
      <w:r>
        <w:lastRenderedPageBreak/>
        <w:t>to the transfer of a capital asset. Therefore, the fee is taxable as business income under Section 28(va) of the Income Tax Act.</w:t>
      </w:r>
    </w:p>
    <w:p w:rsidR="00A056B6" w:rsidRDefault="00A056B6" w:rsidP="00743A5F">
      <w:pPr>
        <w:pStyle w:val="NormalWeb"/>
        <w:tabs>
          <w:tab w:val="num" w:pos="720"/>
        </w:tabs>
        <w:spacing w:before="0" w:beforeAutospacing="0"/>
        <w:ind w:left="720" w:hanging="360"/>
      </w:pPr>
      <w:r>
        <w:rPr>
          <w:rStyle w:val="Strong"/>
        </w:rPr>
        <w:t>Taxability under the DTAA:</w:t>
      </w:r>
      <w:r>
        <w:t xml:space="preserve"> The AAR noted that, in the absence of a PE in India, Article 7 of the India-UK DTAA stipulates that business income of a UK resident is not taxable in India. Since the applicant does not have a PE in India, the non-compete fee, though classified as business income, is not taxable in India.</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Business Income:</w:t>
      </w:r>
      <w:r>
        <w:t xml:space="preserve"> The non-compete fee received by the applicant is taxable as business income under Section 28(va) of the Income Tax Act.</w:t>
      </w:r>
    </w:p>
    <w:p w:rsidR="00A056B6" w:rsidRDefault="00A056B6" w:rsidP="00743A5F">
      <w:pPr>
        <w:pStyle w:val="NormalWeb"/>
        <w:tabs>
          <w:tab w:val="num" w:pos="720"/>
        </w:tabs>
        <w:spacing w:before="0" w:beforeAutospacing="0"/>
        <w:ind w:left="720" w:hanging="360"/>
      </w:pPr>
      <w:r>
        <w:rPr>
          <w:rStyle w:val="Strong"/>
        </w:rPr>
        <w:t>Not Taxable in India:</w:t>
      </w:r>
      <w:r>
        <w:t xml:space="preserve"> In the absence of a PE in India, such business income is not taxable in India by virtue of Article 7 of the India-UK DTAA.</w:t>
      </w:r>
    </w:p>
    <w:p w:rsidR="00A056B6" w:rsidRDefault="00A056B6" w:rsidP="004D0ABB">
      <w:pPr>
        <w:pStyle w:val="Heading5"/>
        <w:spacing w:before="0" w:beforeAutospacing="0"/>
      </w:pPr>
      <w:r>
        <w:rPr>
          <w:rStyle w:val="Strong"/>
        </w:rPr>
        <w:t>Conclusion:</w:t>
      </w:r>
    </w:p>
    <w:p w:rsidR="00A056B6" w:rsidRDefault="00A056B6" w:rsidP="00743A5F">
      <w:pPr>
        <w:pStyle w:val="NormalWeb"/>
        <w:spacing w:before="0" w:beforeAutospacing="0"/>
      </w:pPr>
      <w:r>
        <w:t>This ruling clarifies that non-compete fees received by non-resident entities are considered business income under Indian tax law. However, under the provisions of the India-UK DTAA, such income is not taxable in India if the recipient does not have a Permanent Establishment in the country.</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HM Publishers Holdings Ltd., In re, [2018] 94 taxmann.com 193 (AAR - New Delhi), A.A.R. No. 1238 of 2012, dated June 6, 2018.</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53" w:tgtFrame="_new" w:history="1">
        <w:r>
          <w:rPr>
            <w:rStyle w:val="Hyperlink"/>
          </w:rPr>
          <w:t>Taxscan</w:t>
        </w:r>
      </w:hyperlink>
    </w:p>
    <w:p w:rsidR="00A056B6" w:rsidRDefault="00A056B6" w:rsidP="00743A5F">
      <w:pPr>
        <w:pStyle w:val="NormalWeb"/>
        <w:spacing w:before="0" w:beforeAutospacing="0"/>
      </w:pPr>
      <w:r>
        <w:t>This decision provides guidance on the tax treatment of non-compete fees under Indian law and the applicability of tax treaties in determining tax liabilities for non-resident entities.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ZTE Corporation [TS-33-HC-2017(Del)]</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643AD2B7" wp14:editId="3FB2A633">
            <wp:extent cx="763905" cy="763905"/>
            <wp:effectExtent l="0" t="0" r="0" b="0"/>
            <wp:docPr id="432" name="Picture 43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2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Commissioner of Income Tax (International Taxation) v. ZTE Corporation</w:t>
      </w:r>
      <w:r>
        <w:t xml:space="preserve">, the </w:t>
      </w:r>
      <w:r>
        <w:rPr>
          <w:rStyle w:val="Strong"/>
        </w:rPr>
        <w:t>Delhi High Court</w:t>
      </w:r>
      <w:r>
        <w:t xml:space="preserve"> addressed the tax implications for ZTE Corporation, a Chinese company, concerning its operations in India.</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lastRenderedPageBreak/>
        <w:t>Assessee:</w:t>
      </w:r>
      <w:r>
        <w:t xml:space="preserve"> ZTE Corporation, a company incorporated in China, engaged in supplying telecommunications equipment and software to Indian customers.</w:t>
      </w:r>
    </w:p>
    <w:p w:rsidR="00A056B6" w:rsidRDefault="00A056B6" w:rsidP="00743A5F">
      <w:pPr>
        <w:pStyle w:val="NormalWeb"/>
        <w:tabs>
          <w:tab w:val="num" w:pos="720"/>
        </w:tabs>
        <w:spacing w:before="0" w:beforeAutospacing="0"/>
        <w:ind w:left="720" w:hanging="360"/>
      </w:pPr>
      <w:r>
        <w:rPr>
          <w:rStyle w:val="Strong"/>
        </w:rPr>
        <w:t>Indian Operations:</w:t>
      </w:r>
      <w:r>
        <w:t xml:space="preserve"> The company conducted installation, commissioning, and testing services in India through its subsidiary, ZTE Telecom India Pvt. Ltd.</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Existence of Permanent Establishment (PE):</w:t>
      </w:r>
      <w:r>
        <w:t xml:space="preserve"> Whether ZTE Corporation had a Permanent Establishment in India under the India-China Double Taxation Avoidance Agreement (DTAA).</w:t>
      </w:r>
    </w:p>
    <w:p w:rsidR="00A056B6" w:rsidRDefault="00A056B6" w:rsidP="00743A5F">
      <w:pPr>
        <w:pStyle w:val="NormalWeb"/>
        <w:tabs>
          <w:tab w:val="num" w:pos="720"/>
        </w:tabs>
        <w:spacing w:before="0" w:beforeAutospacing="0"/>
        <w:ind w:left="720" w:hanging="360"/>
      </w:pPr>
      <w:r>
        <w:rPr>
          <w:rStyle w:val="Strong"/>
        </w:rPr>
        <w:t>Attribution of Profits:</w:t>
      </w:r>
      <w:r>
        <w:t xml:space="preserve"> If a PE existed, the extent of profits attributable to such PE and the applicability of transfer pricing principles.</w:t>
      </w:r>
    </w:p>
    <w:p w:rsidR="00A056B6" w:rsidRDefault="00A056B6" w:rsidP="00743A5F">
      <w:pPr>
        <w:pStyle w:val="NormalWeb"/>
        <w:spacing w:before="0" w:beforeAutospacing="0"/>
      </w:pPr>
      <w:r>
        <w:rPr>
          <w:rStyle w:val="Strong"/>
        </w:rPr>
        <w:t>High Court's Analysis:</w:t>
      </w:r>
    </w:p>
    <w:p w:rsidR="00A056B6" w:rsidRDefault="00A056B6" w:rsidP="00743A5F">
      <w:pPr>
        <w:pStyle w:val="NormalWeb"/>
        <w:tabs>
          <w:tab w:val="num" w:pos="720"/>
        </w:tabs>
        <w:spacing w:before="0" w:beforeAutospacing="0"/>
        <w:ind w:left="720" w:hanging="360"/>
      </w:pPr>
      <w:r>
        <w:rPr>
          <w:rStyle w:val="Strong"/>
        </w:rPr>
        <w:t>Permanent Establishment:</w:t>
      </w:r>
      <w:r>
        <w:t xml:space="preserve"> The court affirmed the findings of the Income Tax Appellate Tribunal (ITAT) that ZTE Corporation had a PE in India through its subsidiary, which conducted activities such as installation and commissioning of equipment.</w:t>
      </w:r>
    </w:p>
    <w:p w:rsidR="00A056B6" w:rsidRDefault="00A056B6" w:rsidP="00743A5F">
      <w:pPr>
        <w:pStyle w:val="NormalWeb"/>
        <w:tabs>
          <w:tab w:val="num" w:pos="720"/>
        </w:tabs>
        <w:spacing w:before="0" w:beforeAutospacing="0"/>
        <w:ind w:left="720" w:hanging="360"/>
      </w:pPr>
      <w:r>
        <w:rPr>
          <w:rStyle w:val="Strong"/>
        </w:rPr>
        <w:t>Attribution of Profits:</w:t>
      </w:r>
      <w:r>
        <w:t xml:space="preserve"> The court upheld the ITAT's approach of attributing profits to the Indian PE based on a certain percentage of the sales made by the foreign enterprise in India.</w:t>
      </w:r>
    </w:p>
    <w:p w:rsidR="00A056B6" w:rsidRDefault="00A056B6" w:rsidP="004D0ABB">
      <w:pPr>
        <w:pStyle w:val="Heading5"/>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Existence of PE:</w:t>
      </w:r>
      <w:r>
        <w:t xml:space="preserve"> The Delhi High Court confirmed that ZTE Corporation had a Permanent Establishment in India.</w:t>
      </w:r>
    </w:p>
    <w:p w:rsidR="00A056B6" w:rsidRDefault="00A056B6" w:rsidP="00743A5F">
      <w:pPr>
        <w:pStyle w:val="NormalWeb"/>
        <w:tabs>
          <w:tab w:val="num" w:pos="720"/>
        </w:tabs>
        <w:spacing w:before="0" w:beforeAutospacing="0"/>
        <w:ind w:left="720" w:hanging="360"/>
      </w:pPr>
      <w:r>
        <w:rPr>
          <w:rStyle w:val="Strong"/>
        </w:rPr>
        <w:t>Profit Attribution:</w:t>
      </w:r>
      <w:r>
        <w:t xml:space="preserve"> The court upheld the method of attributing profits to the PE, emphasizing the need for a fair and reasonable approach in line with international tax principles.</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underscores the importance of identifying the presence of a Permanent Establishment for foreign enterprises operating in India and provides guidance on the appropriate attribution of profits to such PEs, considering the functions performed, assets used, and risks assumed in India.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Commissioner of Income Tax (International Taxation) v. ZTE Corporation, [2017] 392 ITR 80 (Delhi).</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54" w:tgtFrame="_new" w:history="1">
        <w:r>
          <w:rPr>
            <w:rStyle w:val="Hyperlink"/>
          </w:rPr>
          <w:t>Latest Laws</w:t>
        </w:r>
      </w:hyperlink>
    </w:p>
    <w:p w:rsidR="00A056B6" w:rsidRDefault="00A056B6" w:rsidP="00743A5F">
      <w:pPr>
        <w:pStyle w:val="NormalWeb"/>
        <w:spacing w:before="0" w:beforeAutospacing="0"/>
      </w:pPr>
      <w:r>
        <w:lastRenderedPageBreak/>
        <w:t>This decision provides clarity on the tax obligations of foreign corporations with business operations in India, particularly concerning the determination of a Permanent Establishment and the attribution of profits thereto.</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4D0ABB">
      <w:pPr>
        <w:pStyle w:val="Heading5"/>
        <w:spacing w:before="0" w:beforeAutospacing="0"/>
      </w:pPr>
      <w:r>
        <w:t>Discuss CIT &amp; ANR vs. Halliburtion Export Inc. &amp; ANR - (2016) 96 CCH 0060 (Del HC) - ITA 363/2016, 365/2016 [India - US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439EC5B3" wp14:editId="3D132F55">
            <wp:extent cx="763905" cy="763905"/>
            <wp:effectExtent l="0" t="0" r="0" b="0"/>
            <wp:docPr id="431" name="Picture 43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2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Commissioner of Income Tax &amp; Anr. v. Halliburton Export Inc. &amp; Anr.</w:t>
      </w:r>
      <w:r>
        <w:t xml:space="preserve">, the </w:t>
      </w:r>
      <w:r>
        <w:rPr>
          <w:rStyle w:val="Strong"/>
        </w:rPr>
        <w:t>Delhi High Court</w:t>
      </w:r>
      <w:r>
        <w:t xml:space="preserve"> addressed the tax treatment of payments received by Halliburton Export Inc., a U.S.-based company, for the sale of pre-packaged software to Indian customers under the India-U.S. Double Taxation Avoidance Agreement (DTAA).</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Halliburton Export Inc., a corporation incorporated in the United States, engaged in the sale of pre-packaged software to customers in India.</w:t>
      </w:r>
    </w:p>
    <w:p w:rsidR="00A056B6" w:rsidRDefault="00A056B6" w:rsidP="00743A5F">
      <w:pPr>
        <w:pStyle w:val="NormalWeb"/>
        <w:tabs>
          <w:tab w:val="num" w:pos="720"/>
        </w:tabs>
        <w:spacing w:before="0" w:beforeAutospacing="0"/>
        <w:ind w:left="720" w:hanging="360"/>
      </w:pPr>
      <w:r>
        <w:rPr>
          <w:rStyle w:val="Strong"/>
        </w:rPr>
        <w:t>Assessment Years:</w:t>
      </w:r>
      <w:r>
        <w:t xml:space="preserve"> 2009-10 and 2010-11.</w:t>
      </w:r>
    </w:p>
    <w:p w:rsidR="00A056B6" w:rsidRDefault="00A056B6" w:rsidP="00743A5F">
      <w:pPr>
        <w:pStyle w:val="NormalWeb"/>
        <w:tabs>
          <w:tab w:val="num" w:pos="720"/>
        </w:tabs>
        <w:spacing w:before="0" w:beforeAutospacing="0"/>
        <w:ind w:left="720" w:hanging="360"/>
      </w:pPr>
      <w:r>
        <w:rPr>
          <w:rStyle w:val="Strong"/>
        </w:rPr>
        <w:t>Nature of Receipts:</w:t>
      </w:r>
      <w:r>
        <w:t xml:space="preserve"> The company received payments from Indian customers for the sale of pre-packaged, shrink-wrapped software products.</w:t>
      </w:r>
    </w:p>
    <w:p w:rsidR="00A056B6" w:rsidRDefault="00A056B6" w:rsidP="004D0ABB">
      <w:pPr>
        <w:pStyle w:val="Heading5"/>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Characterization of Income:</w:t>
      </w:r>
      <w:r>
        <w:t xml:space="preserve"> Whether the payments received by Halliburton Export Inc. for the sale of pre-packaged software constituted "royalty" or "fees for technical services" under Section 9(1)(vi) of the Income Tax Act, 1961, and Article 12(3) of the India-U.S. DTAA.</w:t>
      </w:r>
    </w:p>
    <w:p w:rsidR="00A056B6" w:rsidRDefault="00A056B6" w:rsidP="00743A5F">
      <w:pPr>
        <w:pStyle w:val="NormalWeb"/>
        <w:tabs>
          <w:tab w:val="num" w:pos="720"/>
        </w:tabs>
        <w:spacing w:before="0" w:beforeAutospacing="0"/>
        <w:ind w:left="720" w:hanging="360"/>
      </w:pPr>
      <w:r>
        <w:rPr>
          <w:rStyle w:val="Strong"/>
        </w:rPr>
        <w:t>Taxability in India:</w:t>
      </w:r>
      <w:r>
        <w:t xml:space="preserve"> Based on the characterization, whether such payments were taxable in India.</w:t>
      </w:r>
    </w:p>
    <w:p w:rsidR="00A056B6" w:rsidRDefault="00A056B6" w:rsidP="00743A5F">
      <w:pPr>
        <w:pStyle w:val="NormalWeb"/>
        <w:spacing w:before="0" w:beforeAutospacing="0"/>
      </w:pPr>
      <w:r>
        <w:rPr>
          <w:rStyle w:val="Strong"/>
        </w:rPr>
        <w:t>High Court's Analysis:</w:t>
      </w:r>
    </w:p>
    <w:p w:rsidR="00A056B6" w:rsidRDefault="00A056B6" w:rsidP="00743A5F">
      <w:pPr>
        <w:pStyle w:val="NormalWeb"/>
        <w:tabs>
          <w:tab w:val="num" w:pos="720"/>
        </w:tabs>
        <w:spacing w:before="0" w:beforeAutospacing="0"/>
        <w:ind w:left="720" w:hanging="360"/>
      </w:pPr>
      <w:r>
        <w:rPr>
          <w:rStyle w:val="Strong"/>
        </w:rPr>
        <w:t>Reference to Infrasoft Ltd. Case:</w:t>
      </w:r>
      <w:r>
        <w:t xml:space="preserve"> The court referred to its earlier decision in </w:t>
      </w:r>
      <w:r>
        <w:rPr>
          <w:rStyle w:val="Emphasis"/>
        </w:rPr>
        <w:t>Director of Income Tax v. Infrasoft Ltd.</w:t>
      </w:r>
      <w:r>
        <w:t xml:space="preserve"> [(2014) 220 Taxman 273 (Delhi)], which dealt with a similar issue concerning the sale of pre-packaged software. In that case, the court held that payments for the sale of such software did not constitute "royalty" under Article 12(3) of the India-U.S. DTAA.</w:t>
      </w:r>
    </w:p>
    <w:p w:rsidR="00A056B6" w:rsidRDefault="00A056B6" w:rsidP="00743A5F">
      <w:pPr>
        <w:pStyle w:val="NormalWeb"/>
        <w:tabs>
          <w:tab w:val="num" w:pos="720"/>
        </w:tabs>
        <w:spacing w:before="0" w:beforeAutospacing="0"/>
        <w:ind w:left="720" w:hanging="360"/>
      </w:pPr>
      <w:r>
        <w:rPr>
          <w:rStyle w:val="Strong"/>
        </w:rPr>
        <w:lastRenderedPageBreak/>
        <w:t>Impact of Amendment to Section 9(1)(vi):</w:t>
      </w:r>
      <w:r>
        <w:t xml:space="preserve"> The court noted that while there was an amendment to Section 9(1)(vi) of the Income Tax Act, which expanded the definition of "royalty," this did not affect the interpretation of "royalty" under the DTAA. Section 90(3) of the Act stipulates that the provisions of the Act apply only if they are more beneficial to the assessee compared to the DTAA.</w:t>
      </w:r>
    </w:p>
    <w:p w:rsidR="00A056B6" w:rsidRDefault="00A056B6" w:rsidP="00743A5F">
      <w:pPr>
        <w:pStyle w:val="NormalWeb"/>
        <w:tabs>
          <w:tab w:val="num" w:pos="720"/>
        </w:tabs>
        <w:spacing w:before="0" w:beforeAutospacing="0"/>
        <w:ind w:left="720" w:hanging="360"/>
      </w:pPr>
      <w:r>
        <w:rPr>
          <w:rStyle w:val="Strong"/>
        </w:rPr>
        <w:t>DTAA Provisions Prevail:</w:t>
      </w:r>
      <w:r>
        <w:t xml:space="preserve"> Since the DTAA provisions were more beneficial to the assessee, they took precedence over the amended domestic law. Therefore, the payments received by Halliburton Export Inc. for the sale of pre-packaged software were not considered "royalty" under the DTAA and, consequently, were not taxable in India.</w:t>
      </w:r>
    </w:p>
    <w:p w:rsidR="00A056B6" w:rsidRDefault="00A056B6" w:rsidP="004D0ABB">
      <w:pPr>
        <w:pStyle w:val="Heading5"/>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Not Taxable as Royalty:</w:t>
      </w:r>
      <w:r>
        <w:t xml:space="preserve"> The Delhi High Court held that the payments received by Halliburton Export Inc. for the sale of pre-packaged software to Indian customers did not constitute "royalty" under Article 12(3) of the India-U.S. DTAA.</w:t>
      </w:r>
    </w:p>
    <w:p w:rsidR="00A056B6" w:rsidRDefault="00A056B6" w:rsidP="00743A5F">
      <w:pPr>
        <w:pStyle w:val="NormalWeb"/>
        <w:tabs>
          <w:tab w:val="num" w:pos="720"/>
        </w:tabs>
        <w:spacing w:before="0" w:beforeAutospacing="0"/>
        <w:ind w:left="720" w:hanging="360"/>
      </w:pPr>
      <w:r>
        <w:rPr>
          <w:rStyle w:val="Strong"/>
        </w:rPr>
        <w:t>No Tax Liability in India:</w:t>
      </w:r>
      <w:r>
        <w:t xml:space="preserve"> As a result, such payments were not taxable in India under the provisions of the DTAA.</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reinforces the principle that in cases where a Double Taxation Avoidance Agreement exists, its provisions will prevail over domestic tax laws if they are more beneficial to the assessee. Specifically, payments for the sale of pre-packaged software by a U.S. company to Indian customers do not constitute "royalty" under the India-U.S. DTAA and are not subject to tax in India.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Commissioner of Income Tax &amp; Anr. v. Halliburton Export Inc. &amp; Anr., ITA Nos. 363 and 365 of 2016, Delhi High Court, dated July 11, 2016.</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55" w:tgtFrame="_new" w:history="1">
        <w:r>
          <w:rPr>
            <w:rStyle w:val="Hyperlink"/>
          </w:rPr>
          <w:t>CaseMine</w:t>
        </w:r>
      </w:hyperlink>
    </w:p>
    <w:p w:rsidR="00A056B6" w:rsidRDefault="00A056B6" w:rsidP="004D0ABB">
      <w:pPr>
        <w:pStyle w:val="Heading5"/>
        <w:spacing w:before="0" w:beforeAutospacing="0"/>
      </w:pPr>
      <w:r>
        <w:t>This decision provides clarity on the tax treatment of payments for pre-packaged software under the India-U.S. DTAA, offering guidance for similar transactions involving cross-border software sales.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Dicuss CIT (IT) v WNS Global Services (Uk) Ltd &amp; ANR.– ITA No. 890 &amp; 891 of 2015 (Bom) dated 07.02.2018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lastRenderedPageBreak/>
        <w:drawing>
          <wp:inline distT="0" distB="0" distL="0" distR="0" wp14:anchorId="240B9869" wp14:editId="6BE2C763">
            <wp:extent cx="763905" cy="763905"/>
            <wp:effectExtent l="0" t="0" r="0" b="0"/>
            <wp:docPr id="430" name="Picture 43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2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Commissioner of Income Tax (International Taxation) v. WNS Global Services (UK) Ltd.</w:t>
      </w:r>
      <w:r>
        <w:t xml:space="preserve">, the </w:t>
      </w:r>
      <w:r>
        <w:rPr>
          <w:rStyle w:val="Strong"/>
        </w:rPr>
        <w:t>Bombay High Court</w:t>
      </w:r>
      <w:r>
        <w:t xml:space="preserve"> addressed the taxability of payments received by WNS Global Services (UK) Ltd. from its Indian subsidiary, WNS Global Services Pvt. Ltd., under the India-UK Double Taxation Avoidance Agreement (DTAA).</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WNS Global Services (UK) Ltd., a company incorporated in the United Kingdom, engaged in providing marketing, management, and sales support services.</w:t>
      </w:r>
    </w:p>
    <w:p w:rsidR="00A056B6" w:rsidRDefault="00A056B6" w:rsidP="00743A5F">
      <w:pPr>
        <w:pStyle w:val="NormalWeb"/>
        <w:tabs>
          <w:tab w:val="num" w:pos="720"/>
        </w:tabs>
        <w:spacing w:before="0" w:beforeAutospacing="0"/>
        <w:ind w:left="720" w:hanging="360"/>
      </w:pPr>
      <w:r>
        <w:rPr>
          <w:rStyle w:val="Strong"/>
        </w:rPr>
        <w:t>Indian Subsidiary:</w:t>
      </w:r>
      <w:r>
        <w:t xml:space="preserve"> WNS Global Services Pvt. Ltd., an Indian company, engaged in providing information technology-enabled BPO services.</w:t>
      </w:r>
    </w:p>
    <w:p w:rsidR="00A056B6" w:rsidRDefault="00A056B6" w:rsidP="00743A5F">
      <w:pPr>
        <w:pStyle w:val="NormalWeb"/>
        <w:tabs>
          <w:tab w:val="num" w:pos="720"/>
        </w:tabs>
        <w:spacing w:before="0" w:beforeAutospacing="0"/>
        <w:ind w:left="720" w:hanging="360"/>
      </w:pPr>
      <w:r>
        <w:rPr>
          <w:rStyle w:val="Strong"/>
        </w:rPr>
        <w:t>Agreement:</w:t>
      </w:r>
      <w:r>
        <w:t xml:space="preserve"> The UK company entered into an agreement with its Indian subsidiary to provide marketing and management services.</w:t>
      </w:r>
    </w:p>
    <w:p w:rsidR="00A056B6" w:rsidRDefault="00A056B6" w:rsidP="00743A5F">
      <w:pPr>
        <w:pStyle w:val="NormalWeb"/>
        <w:tabs>
          <w:tab w:val="num" w:pos="720"/>
        </w:tabs>
        <w:spacing w:before="0" w:beforeAutospacing="0"/>
        <w:ind w:left="720" w:hanging="360"/>
      </w:pPr>
      <w:r>
        <w:rPr>
          <w:rStyle w:val="Strong"/>
        </w:rPr>
        <w:t>Payments Received:</w:t>
      </w:r>
      <w:r>
        <w:t xml:space="preserve"> The UK company received fees from the Indian subsidiary for the services rendered.</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Characterization of Income:</w:t>
      </w:r>
      <w:r>
        <w:t xml:space="preserve"> Whether the fees received by WNS Global Services (UK) Ltd. from its Indian subsidiary qualify as "Fees for Technical Services" (FTS) under Article 13(4)(c) of the India-UK DTAA.</w:t>
      </w:r>
    </w:p>
    <w:p w:rsidR="00A056B6" w:rsidRDefault="00A056B6" w:rsidP="00743A5F">
      <w:pPr>
        <w:pStyle w:val="NormalWeb"/>
        <w:tabs>
          <w:tab w:val="num" w:pos="720"/>
        </w:tabs>
        <w:spacing w:before="0" w:beforeAutospacing="0"/>
        <w:ind w:left="720" w:hanging="360"/>
      </w:pPr>
      <w:r>
        <w:rPr>
          <w:rStyle w:val="Strong"/>
        </w:rPr>
        <w:t>Taxability in India:</w:t>
      </w:r>
      <w:r>
        <w:t xml:space="preserve"> Based on the characterization, whether such fees are taxable in India.</w:t>
      </w:r>
    </w:p>
    <w:p w:rsidR="00A056B6" w:rsidRDefault="00A056B6" w:rsidP="00743A5F">
      <w:pPr>
        <w:pStyle w:val="NormalWeb"/>
        <w:spacing w:before="0" w:beforeAutospacing="0"/>
      </w:pPr>
      <w:r>
        <w:rPr>
          <w:rStyle w:val="Strong"/>
        </w:rPr>
        <w:t>High Court's Analysis:</w:t>
      </w:r>
    </w:p>
    <w:p w:rsidR="00A056B6" w:rsidRDefault="00A056B6" w:rsidP="00743A5F">
      <w:pPr>
        <w:pStyle w:val="NormalWeb"/>
        <w:tabs>
          <w:tab w:val="num" w:pos="720"/>
        </w:tabs>
        <w:spacing w:before="0" w:beforeAutospacing="0"/>
        <w:ind w:left="720" w:hanging="360"/>
      </w:pPr>
      <w:r>
        <w:rPr>
          <w:rStyle w:val="Strong"/>
        </w:rPr>
        <w:t>Definition of FTS under DTAA:</w:t>
      </w:r>
      <w:r>
        <w:t xml:space="preserve"> Article 13(4)(c) of the India-UK DTAA defines "Fees for Technical Services" as payments for managerial, technical, or consultancy services.</w:t>
      </w:r>
    </w:p>
    <w:p w:rsidR="00A056B6" w:rsidRDefault="00A056B6" w:rsidP="00743A5F">
      <w:pPr>
        <w:pStyle w:val="NormalWeb"/>
        <w:tabs>
          <w:tab w:val="num" w:pos="720"/>
        </w:tabs>
        <w:spacing w:before="0" w:beforeAutospacing="0"/>
        <w:ind w:left="720" w:hanging="360"/>
      </w:pPr>
      <w:r>
        <w:rPr>
          <w:rStyle w:val="Strong"/>
        </w:rPr>
        <w:t>Nature of Services Provided:</w:t>
      </w:r>
      <w:r>
        <w:t xml:space="preserve"> The court examined the nature of services provided by the UK company to its Indian subsidiary, which included marketing, management, and sales support services.</w:t>
      </w:r>
    </w:p>
    <w:p w:rsidR="00A056B6" w:rsidRDefault="00A056B6" w:rsidP="00743A5F">
      <w:pPr>
        <w:pStyle w:val="NormalWeb"/>
        <w:tabs>
          <w:tab w:val="num" w:pos="720"/>
        </w:tabs>
        <w:spacing w:before="0" w:beforeAutospacing="0"/>
        <w:ind w:left="720" w:hanging="360"/>
      </w:pPr>
      <w:r>
        <w:rPr>
          <w:rStyle w:val="Strong"/>
        </w:rPr>
        <w:t>Make Available Clause:</w:t>
      </w:r>
      <w:r>
        <w:t xml:space="preserve"> The court considered whether the services rendered "made available" technical knowledge, experience, skill, know-how, or processes to the Indian subsidiary, enabling it to apply the technology independently.</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Not FTS under DTAA:</w:t>
      </w:r>
      <w:r>
        <w:t xml:space="preserve"> The Bombay High Court held that the services provided by WNS Global Services (UK) Ltd. did not "make available" technical knowledge or </w:t>
      </w:r>
      <w:r>
        <w:lastRenderedPageBreak/>
        <w:t>skills to the Indian subsidiary. Therefore, the fees received did not qualify as "Fees for Technical Services" under Article 13(4)(c) of the India-UK DTAA.</w:t>
      </w:r>
    </w:p>
    <w:p w:rsidR="00A056B6" w:rsidRDefault="00A056B6" w:rsidP="00743A5F">
      <w:pPr>
        <w:pStyle w:val="NormalWeb"/>
        <w:tabs>
          <w:tab w:val="num" w:pos="720"/>
        </w:tabs>
        <w:spacing w:before="0" w:beforeAutospacing="0"/>
        <w:ind w:left="720" w:hanging="360"/>
      </w:pPr>
      <w:r>
        <w:rPr>
          <w:rStyle w:val="Strong"/>
        </w:rPr>
        <w:t>Business Profits:</w:t>
      </w:r>
      <w:r>
        <w:t xml:space="preserve"> The court further noted that in the absence of a Permanent Establishment (PE) of the UK company in India, the fees received would be considered business profits. Under Article 7 of the DTAA, such business profits are not taxable in India without a PE.</w:t>
      </w:r>
    </w:p>
    <w:p w:rsidR="00A056B6" w:rsidRDefault="00A056B6" w:rsidP="004D0ABB">
      <w:pPr>
        <w:pStyle w:val="Heading5"/>
        <w:spacing w:before="0" w:beforeAutospacing="0"/>
      </w:pPr>
      <w:r>
        <w:rPr>
          <w:rStyle w:val="Strong"/>
        </w:rPr>
        <w:t>Conclusion:</w:t>
      </w:r>
    </w:p>
    <w:p w:rsidR="00A056B6" w:rsidRDefault="00A056B6" w:rsidP="00743A5F">
      <w:pPr>
        <w:pStyle w:val="NormalWeb"/>
        <w:spacing w:before="0" w:beforeAutospacing="0"/>
      </w:pPr>
      <w:r>
        <w:t>This judgment clarifies that for fees to be classified as "Fees for Technical Services" under the India-UK DTAA, the services must "make available" technical knowledge or skills to the recipient, enabling them to apply the technology independently. In the absence of such a transfer of knowledge and without a Permanent Establishment in India, the fees received by a UK company from its Indian subsidiary are not taxable in India.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Commissioner of Income Tax (International Taxation) v. WNS Global Services (UK) Ltd., ITA Nos. 890 &amp; 891 of 2015, Bombay High Court, dated February 7, 2018.</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56" w:tgtFrame="_new" w:history="1">
        <w:r>
          <w:rPr>
            <w:rStyle w:val="Hyperlink"/>
          </w:rPr>
          <w:t>CaseMine</w:t>
        </w:r>
      </w:hyperlink>
    </w:p>
    <w:p w:rsidR="00A056B6" w:rsidRDefault="00A056B6" w:rsidP="00743A5F">
      <w:pPr>
        <w:pStyle w:val="NormalWeb"/>
        <w:spacing w:before="0" w:beforeAutospacing="0"/>
      </w:pPr>
      <w:r>
        <w:t>This decision provides guidance on the interpretation of "Fees for Technical Services" under the India-UK DTAA and the taxability of cross-border service fees in the absence of a Permanent Establishment.</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CIT vs. Hero Motocorp Limited - TS-180-HC-2017(DEL) - ITA 923/2015 dated 08.05.2017</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76081999" wp14:editId="2FCAED82">
            <wp:extent cx="763905" cy="763905"/>
            <wp:effectExtent l="0" t="0" r="0" b="0"/>
            <wp:docPr id="429" name="Picture 42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2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Commissioner of Income Tax v. Hero Motocorp Limited</w:t>
      </w:r>
      <w:r>
        <w:t xml:space="preserve">, the </w:t>
      </w:r>
      <w:r>
        <w:rPr>
          <w:rStyle w:val="Strong"/>
        </w:rPr>
        <w:t>Delhi High Court</w:t>
      </w:r>
      <w:r>
        <w:t xml:space="preserve"> addressed the tax treatment of payments made by Hero Motocorp Limited to foreign entities for services rendered, specifically focusing on the applicability of tax deduction at source (TDS) under Section 195 of the Income Tax Act, 1961.</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Hero Motocorp Limited, an Indian company engaged in the manufacturing and sale of motorcycles and scooters.</w:t>
      </w:r>
    </w:p>
    <w:p w:rsidR="00A056B6" w:rsidRDefault="00A056B6" w:rsidP="00743A5F">
      <w:pPr>
        <w:pStyle w:val="NormalWeb"/>
        <w:tabs>
          <w:tab w:val="num" w:pos="720"/>
        </w:tabs>
        <w:spacing w:before="0" w:beforeAutospacing="0"/>
        <w:ind w:left="720" w:hanging="360"/>
      </w:pPr>
      <w:r>
        <w:rPr>
          <w:rStyle w:val="Strong"/>
        </w:rPr>
        <w:lastRenderedPageBreak/>
        <w:t>Transactions:</w:t>
      </w:r>
      <w:r>
        <w:t xml:space="preserve"> The company made payments to foreign entities for various services, including export commission, without deducting tax at source under Section 195 of the Income Tax Act.</w:t>
      </w:r>
    </w:p>
    <w:p w:rsidR="00A056B6" w:rsidRDefault="00A056B6" w:rsidP="00743A5F">
      <w:pPr>
        <w:pStyle w:val="NormalWeb"/>
        <w:tabs>
          <w:tab w:val="num" w:pos="720"/>
        </w:tabs>
        <w:spacing w:before="0" w:beforeAutospacing="0"/>
        <w:ind w:left="720" w:hanging="360"/>
      </w:pPr>
      <w:r>
        <w:rPr>
          <w:rStyle w:val="Strong"/>
        </w:rPr>
        <w:t>Assessment Year:</w:t>
      </w:r>
      <w:r>
        <w:t xml:space="preserve"> 2006-07.</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Characterization of Payments:</w:t>
      </w:r>
      <w:r>
        <w:t xml:space="preserve"> Whether the payments made by Hero Motocorp Limited to foreign entities constituted "fees for technical services" or "royalty" under Section 9(1)(vii) of the Income Tax Act, thereby necessitating tax deduction at source under Section 195.</w:t>
      </w:r>
    </w:p>
    <w:p w:rsidR="00A056B6" w:rsidRDefault="00A056B6" w:rsidP="00743A5F">
      <w:pPr>
        <w:pStyle w:val="NormalWeb"/>
        <w:tabs>
          <w:tab w:val="num" w:pos="720"/>
        </w:tabs>
        <w:spacing w:before="0" w:beforeAutospacing="0"/>
        <w:ind w:left="720" w:hanging="360"/>
      </w:pPr>
      <w:r>
        <w:rPr>
          <w:rStyle w:val="Strong"/>
        </w:rPr>
        <w:t>Taxability under DTAA:</w:t>
      </w:r>
      <w:r>
        <w:t xml:space="preserve"> Whether, under the relevant Double Taxation Avoidance Agreements (DTAAs), the payments were taxable in India, considering the nature of services rendered and the absence of a Permanent Establishment (PE) of the foreign entities in India.</w:t>
      </w:r>
    </w:p>
    <w:p w:rsidR="00A056B6" w:rsidRDefault="00A056B6" w:rsidP="004D0ABB">
      <w:pPr>
        <w:pStyle w:val="Heading5"/>
        <w:spacing w:before="0" w:beforeAutospacing="0"/>
      </w:pPr>
      <w:r>
        <w:rPr>
          <w:rStyle w:val="Strong"/>
        </w:rPr>
        <w:t>High Court's Analysis:</w:t>
      </w:r>
    </w:p>
    <w:p w:rsidR="00A056B6" w:rsidRDefault="00A056B6" w:rsidP="00743A5F">
      <w:pPr>
        <w:pStyle w:val="NormalWeb"/>
        <w:tabs>
          <w:tab w:val="num" w:pos="720"/>
        </w:tabs>
        <w:spacing w:before="0" w:beforeAutospacing="0"/>
        <w:ind w:left="720" w:hanging="360"/>
      </w:pPr>
      <w:r>
        <w:rPr>
          <w:rStyle w:val="Strong"/>
        </w:rPr>
        <w:t>Nature of Services:</w:t>
      </w:r>
      <w:r>
        <w:t xml:space="preserve"> The court examined the nature of services provided by the foreign entities, noting that the services were rendered outside India, and the foreign entities did not have a PE in India.</w:t>
      </w:r>
    </w:p>
    <w:p w:rsidR="00A056B6" w:rsidRDefault="00A056B6" w:rsidP="00743A5F">
      <w:pPr>
        <w:pStyle w:val="NormalWeb"/>
        <w:tabs>
          <w:tab w:val="num" w:pos="720"/>
        </w:tabs>
        <w:spacing w:before="0" w:beforeAutospacing="0"/>
        <w:ind w:left="720" w:hanging="360"/>
      </w:pPr>
      <w:r>
        <w:rPr>
          <w:rStyle w:val="Strong"/>
        </w:rPr>
        <w:t>Application of DTAA:</w:t>
      </w:r>
      <w:r>
        <w:t xml:space="preserve"> The court referred to the provisions of the applicable DTAAs, which stipulated that business profits earned by a foreign enterprise are taxable in India only if the enterprise has a PE in India.</w:t>
      </w:r>
    </w:p>
    <w:p w:rsidR="00A056B6" w:rsidRDefault="00A056B6" w:rsidP="00743A5F">
      <w:pPr>
        <w:pStyle w:val="NormalWeb"/>
        <w:tabs>
          <w:tab w:val="num" w:pos="720"/>
        </w:tabs>
        <w:spacing w:before="0" w:beforeAutospacing="0"/>
        <w:ind w:left="720" w:hanging="360"/>
      </w:pPr>
      <w:r>
        <w:rPr>
          <w:rStyle w:val="Strong"/>
        </w:rPr>
        <w:t>Tax Deduction at Source (TDS):</w:t>
      </w:r>
      <w:r>
        <w:t xml:space="preserve"> The court observed that since the payments were not chargeable to tax in India under the DTAAs, there was no obligation on Hero Motocorp Limited to deduct tax at source under Section 195 of the Income Tax Act.</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No TDS Requirement:</w:t>
      </w:r>
      <w:r>
        <w:t xml:space="preserve"> The Delhi High Court held that the payments made by Hero Motocorp Limited to foreign entities for services rendered outside India did not constitute "fees for technical services" or "royalty" under Section 9(1)(vii) of the Income Tax Act. Consequently, there was no requirement to deduct tax at source under Section 195.</w:t>
      </w:r>
    </w:p>
    <w:p w:rsidR="00A056B6" w:rsidRDefault="00A056B6" w:rsidP="00743A5F">
      <w:pPr>
        <w:pStyle w:val="NormalWeb"/>
        <w:tabs>
          <w:tab w:val="num" w:pos="720"/>
        </w:tabs>
        <w:spacing w:before="0" w:beforeAutospacing="0"/>
        <w:ind w:left="720" w:hanging="360"/>
      </w:pPr>
      <w:r>
        <w:rPr>
          <w:rStyle w:val="Strong"/>
        </w:rPr>
        <w:t>Non-Taxability in India:</w:t>
      </w:r>
      <w:r>
        <w:t xml:space="preserve"> The court further held that, in the absence of a PE in India, the payments were not taxable in India under the relevant DTAAs.</w:t>
      </w:r>
    </w:p>
    <w:p w:rsidR="00A056B6" w:rsidRDefault="00A056B6" w:rsidP="004D0ABB">
      <w:pPr>
        <w:pStyle w:val="Heading5"/>
        <w:spacing w:before="0" w:beforeAutospacing="0"/>
      </w:pPr>
      <w:r>
        <w:rPr>
          <w:rStyle w:val="Strong"/>
        </w:rPr>
        <w:t>Conclusion:</w:t>
      </w:r>
    </w:p>
    <w:p w:rsidR="00A056B6" w:rsidRDefault="00A056B6" w:rsidP="00743A5F">
      <w:pPr>
        <w:pStyle w:val="NormalWeb"/>
        <w:spacing w:before="0" w:beforeAutospacing="0"/>
      </w:pPr>
      <w:r>
        <w:t>This judgment clarifies that payments made by an Indian company to foreign entities for services rendered entirely outside India are not subject to tax deduction at source under Section 195 of the Income Tax Act, provided the foreign entities do not have a Permanent Establishment in India and the payments do not qualify as "fees for technical services" or "royalty" under the Act.</w:t>
      </w:r>
    </w:p>
    <w:p w:rsidR="00A056B6" w:rsidRDefault="00A056B6" w:rsidP="00743A5F">
      <w:pPr>
        <w:pStyle w:val="NormalWeb"/>
        <w:spacing w:before="0" w:beforeAutospacing="0"/>
      </w:pPr>
      <w:r>
        <w:rPr>
          <w:rStyle w:val="Strong"/>
        </w:rPr>
        <w:lastRenderedPageBreak/>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Commissioner of Income Tax v. Hero Motocorp Limited, ITA No. 923/2015, Delhi High Court, dated May 8, 2017.</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57" w:tgtFrame="_new" w:history="1">
        <w:r>
          <w:rPr>
            <w:rStyle w:val="Hyperlink"/>
          </w:rPr>
          <w:t>Indian Kanoon</w:t>
        </w:r>
      </w:hyperlink>
    </w:p>
    <w:p w:rsidR="00A056B6" w:rsidRDefault="00A056B6" w:rsidP="00743A5F">
      <w:pPr>
        <w:pStyle w:val="NormalWeb"/>
        <w:spacing w:before="0" w:beforeAutospacing="0"/>
      </w:pPr>
      <w:r>
        <w:t>This decision provides guidance on the applicability of tax deduction at source for payments made to non-resident entities, emphasizing the importance of analyzing the nature of services and the provisions of relevant DTAAs.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Technip Singapore Pte Ltd v DIT - TS-301-HC-2016 (Del) [India - Singapore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17064F7F" wp14:editId="6824889C">
            <wp:extent cx="763905" cy="763905"/>
            <wp:effectExtent l="0" t="0" r="0" b="0"/>
            <wp:docPr id="428" name="Picture 42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2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w:t>
      </w:r>
      <w:r>
        <w:rPr>
          <w:rStyle w:val="Strong"/>
        </w:rPr>
        <w:t>Technip Singapore Pte Ltd. v. Director of Income Tax &amp; Anr.</w:t>
      </w:r>
      <w:r>
        <w:t xml:space="preserve">, the </w:t>
      </w:r>
      <w:r>
        <w:rPr>
          <w:rStyle w:val="Strong"/>
        </w:rPr>
        <w:t>Delhi High Court</w:t>
      </w:r>
      <w:r>
        <w:t xml:space="preserve"> examined the tax implications under the India-Singapore Double Taxation Avoidance Agreement (DTAA) concerning a contract executed by Technip Singapore Pte Ltd. (the Petitioner) with Indian Oil Corporation Ltd. (IOCL).</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Technip Singapore Pte Ltd., a company incorporated in Singapore, engaged in offshore construction and engineering services.</w:t>
      </w:r>
    </w:p>
    <w:p w:rsidR="00A056B6" w:rsidRDefault="00A056B6" w:rsidP="00743A5F">
      <w:pPr>
        <w:pStyle w:val="NormalWeb"/>
        <w:tabs>
          <w:tab w:val="num" w:pos="720"/>
        </w:tabs>
        <w:spacing w:before="0" w:beforeAutospacing="0"/>
        <w:ind w:left="720" w:hanging="360"/>
      </w:pPr>
      <w:r>
        <w:rPr>
          <w:rStyle w:val="Strong"/>
        </w:rPr>
        <w:t>Contract with IOCL:</w:t>
      </w:r>
      <w:r>
        <w:t xml:space="preserve"> The Petitioner entered into a contract with IOCL for the installation of a Single Point Mooring (SPM) system at Paradip Port in India.</w:t>
      </w:r>
    </w:p>
    <w:p w:rsidR="00A056B6" w:rsidRDefault="00A056B6" w:rsidP="00743A5F">
      <w:pPr>
        <w:pStyle w:val="NormalWeb"/>
        <w:tabs>
          <w:tab w:val="num" w:pos="720"/>
        </w:tabs>
        <w:spacing w:before="0" w:beforeAutospacing="0"/>
        <w:ind w:left="720" w:hanging="360"/>
      </w:pPr>
      <w:r>
        <w:rPr>
          <w:rStyle w:val="Strong"/>
        </w:rPr>
        <w:t>Duration of Work in India:</w:t>
      </w:r>
      <w:r>
        <w:t xml:space="preserve"> The Petitioner was present in India for 41 days during the fiscal year 2008-09 to execute the contract.</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Existence of Permanent Establishment (PE):</w:t>
      </w:r>
      <w:r>
        <w:t xml:space="preserve"> Whether the Petitioner's activities in India constituted a PE under Article 5 of the India-Singapore DTAA.</w:t>
      </w:r>
    </w:p>
    <w:p w:rsidR="00A056B6" w:rsidRDefault="00A056B6" w:rsidP="00743A5F">
      <w:pPr>
        <w:pStyle w:val="NormalWeb"/>
        <w:tabs>
          <w:tab w:val="num" w:pos="720"/>
        </w:tabs>
        <w:spacing w:before="0" w:beforeAutospacing="0"/>
        <w:ind w:left="720" w:hanging="360"/>
      </w:pPr>
      <w:r>
        <w:rPr>
          <w:rStyle w:val="Strong"/>
        </w:rPr>
        <w:t>Taxability of Mobilization/Demobilization Charges:</w:t>
      </w:r>
      <w:r>
        <w:t xml:space="preserve"> Whether the payments received for mobilization and demobilization should be treated as "royalty" under Section 9(1)(vi) of the Income Tax Act, 1961, and Article 12(3)(b) of the DTAA.</w:t>
      </w:r>
    </w:p>
    <w:p w:rsidR="00A056B6" w:rsidRDefault="00A056B6" w:rsidP="00743A5F">
      <w:pPr>
        <w:pStyle w:val="NormalWeb"/>
        <w:tabs>
          <w:tab w:val="num" w:pos="720"/>
        </w:tabs>
        <w:spacing w:before="0" w:beforeAutospacing="0"/>
        <w:ind w:left="720" w:hanging="360"/>
      </w:pPr>
      <w:r>
        <w:rPr>
          <w:rStyle w:val="Strong"/>
        </w:rPr>
        <w:t>Taxability of Installation Charges:</w:t>
      </w:r>
      <w:r>
        <w:t xml:space="preserve"> Whether the payments for installation services could be classified as "Fees for Technical Services" (FTS) under Explanation 2 to Section 9(1)(vii) of the Act and Article 12(4)(a) of the DTAA.</w:t>
      </w:r>
    </w:p>
    <w:p w:rsidR="00A056B6" w:rsidRDefault="00A056B6" w:rsidP="004D0ABB">
      <w:pPr>
        <w:pStyle w:val="Heading5"/>
        <w:spacing w:before="0" w:beforeAutospacing="0"/>
      </w:pPr>
      <w:r>
        <w:rPr>
          <w:rStyle w:val="Strong"/>
        </w:rPr>
        <w:lastRenderedPageBreak/>
        <w:t>High Court's Analysis:</w:t>
      </w:r>
    </w:p>
    <w:p w:rsidR="00A056B6" w:rsidRDefault="00A056B6" w:rsidP="00743A5F">
      <w:pPr>
        <w:pStyle w:val="NormalWeb"/>
        <w:tabs>
          <w:tab w:val="num" w:pos="720"/>
        </w:tabs>
        <w:spacing w:before="0" w:beforeAutospacing="0"/>
        <w:ind w:left="720" w:hanging="360"/>
      </w:pPr>
      <w:r>
        <w:rPr>
          <w:rStyle w:val="Strong"/>
        </w:rPr>
        <w:t>Permanent Establishment (PE):</w:t>
      </w:r>
    </w:p>
    <w:p w:rsidR="00A056B6" w:rsidRDefault="00A056B6" w:rsidP="00743A5F">
      <w:pPr>
        <w:pStyle w:val="NormalWeb"/>
        <w:numPr>
          <w:ilvl w:val="1"/>
          <w:numId w:val="0"/>
        </w:numPr>
        <w:tabs>
          <w:tab w:val="num" w:pos="1440"/>
        </w:tabs>
        <w:spacing w:before="0" w:beforeAutospacing="0"/>
        <w:ind w:left="1440" w:hanging="360"/>
      </w:pPr>
      <w:r>
        <w:rPr>
          <w:rStyle w:val="Strong"/>
        </w:rPr>
        <w:t>Duration Threshold:</w:t>
      </w:r>
      <w:r>
        <w:t xml:space="preserve"> Under Article 5(3) of the DTAA, a building site or construction/installation project constitutes a PE only if it lasts more than 183 days in any fiscal year.</w:t>
      </w:r>
    </w:p>
    <w:p w:rsidR="00A056B6" w:rsidRDefault="00A056B6" w:rsidP="00743A5F">
      <w:pPr>
        <w:pStyle w:val="NormalWeb"/>
        <w:numPr>
          <w:ilvl w:val="1"/>
          <w:numId w:val="0"/>
        </w:numPr>
        <w:tabs>
          <w:tab w:val="num" w:pos="1440"/>
        </w:tabs>
        <w:spacing w:before="0" w:beforeAutospacing="0"/>
        <w:ind w:left="1440" w:hanging="360"/>
      </w:pPr>
      <w:r>
        <w:rPr>
          <w:rStyle w:val="Strong"/>
        </w:rPr>
        <w:t>Petitioner's Presence:</w:t>
      </w:r>
      <w:r>
        <w:t xml:space="preserve"> The Petitioner was present in India for only 41 days during the relevant fiscal year, which is below the 183-day threshold.</w:t>
      </w:r>
    </w:p>
    <w:p w:rsidR="00A056B6" w:rsidRDefault="00A056B6" w:rsidP="00743A5F">
      <w:pPr>
        <w:pStyle w:val="NormalWeb"/>
        <w:numPr>
          <w:ilvl w:val="1"/>
          <w:numId w:val="0"/>
        </w:numPr>
        <w:tabs>
          <w:tab w:val="num" w:pos="1440"/>
        </w:tabs>
        <w:spacing w:before="0" w:beforeAutospacing="0"/>
        <w:ind w:left="1440" w:hanging="360"/>
      </w:pPr>
      <w:r>
        <w:rPr>
          <w:rStyle w:val="Strong"/>
        </w:rPr>
        <w:t>Conclusion:</w:t>
      </w:r>
      <w:r>
        <w:t xml:space="preserve"> The Court concluded that the Petitioner did not have a PE in India concerning the contract with IOCL.</w:t>
      </w:r>
    </w:p>
    <w:p w:rsidR="00A056B6" w:rsidRDefault="00A056B6" w:rsidP="00743A5F">
      <w:pPr>
        <w:pStyle w:val="NormalWeb"/>
        <w:tabs>
          <w:tab w:val="num" w:pos="720"/>
        </w:tabs>
        <w:spacing w:before="0" w:beforeAutospacing="0"/>
        <w:ind w:left="720" w:hanging="360"/>
      </w:pPr>
      <w:r>
        <w:rPr>
          <w:rStyle w:val="Strong"/>
        </w:rPr>
        <w:t>Mobilization/Demobilization Charges:</w:t>
      </w:r>
    </w:p>
    <w:p w:rsidR="00A056B6" w:rsidRDefault="00A056B6" w:rsidP="00743A5F">
      <w:pPr>
        <w:pStyle w:val="NormalWeb"/>
        <w:numPr>
          <w:ilvl w:val="1"/>
          <w:numId w:val="0"/>
        </w:numPr>
        <w:tabs>
          <w:tab w:val="num" w:pos="1440"/>
        </w:tabs>
        <w:spacing w:before="0" w:beforeAutospacing="0"/>
        <w:ind w:left="1440" w:hanging="360"/>
      </w:pPr>
      <w:r>
        <w:rPr>
          <w:rStyle w:val="Strong"/>
        </w:rPr>
        <w:t>Definition of Royalty:</w:t>
      </w:r>
      <w:r>
        <w:t xml:space="preserve"> For a payment to be classified as "royalty," it must be for the use of or the right to use any equipment.</w:t>
      </w:r>
    </w:p>
    <w:p w:rsidR="00A056B6" w:rsidRDefault="00A056B6" w:rsidP="00743A5F">
      <w:pPr>
        <w:pStyle w:val="NormalWeb"/>
        <w:numPr>
          <w:ilvl w:val="1"/>
          <w:numId w:val="0"/>
        </w:numPr>
        <w:tabs>
          <w:tab w:val="num" w:pos="1440"/>
        </w:tabs>
        <w:spacing w:before="0" w:beforeAutospacing="0"/>
        <w:ind w:left="1440" w:hanging="360"/>
      </w:pPr>
      <w:r>
        <w:rPr>
          <w:rStyle w:val="Strong"/>
        </w:rPr>
        <w:t>Use of Equipment:</w:t>
      </w:r>
      <w:r>
        <w:t xml:space="preserve"> The equipment was used by the Petitioner to render services to IOCL; there was no transfer of the right to use the equipment to IOCL.</w:t>
      </w:r>
    </w:p>
    <w:p w:rsidR="00A056B6" w:rsidRDefault="00A056B6" w:rsidP="00743A5F">
      <w:pPr>
        <w:pStyle w:val="NormalWeb"/>
        <w:numPr>
          <w:ilvl w:val="1"/>
          <w:numId w:val="0"/>
        </w:numPr>
        <w:tabs>
          <w:tab w:val="num" w:pos="1440"/>
        </w:tabs>
        <w:spacing w:before="0" w:beforeAutospacing="0"/>
        <w:ind w:left="1440" w:hanging="360"/>
      </w:pPr>
      <w:r>
        <w:rPr>
          <w:rStyle w:val="Strong"/>
        </w:rPr>
        <w:t>Conclusion:</w:t>
      </w:r>
      <w:r>
        <w:t xml:space="preserve"> The mobilization/demobilization charges could not be treated as "royalty" under Section 9(1)(vi) of the Act or Article 12(3)(b) of the DTAA.</w:t>
      </w:r>
    </w:p>
    <w:p w:rsidR="00A056B6" w:rsidRDefault="00A056B6" w:rsidP="00743A5F">
      <w:pPr>
        <w:pStyle w:val="NormalWeb"/>
        <w:tabs>
          <w:tab w:val="num" w:pos="720"/>
        </w:tabs>
        <w:spacing w:before="0" w:beforeAutospacing="0"/>
        <w:ind w:left="720" w:hanging="360"/>
      </w:pPr>
      <w:r>
        <w:rPr>
          <w:rStyle w:val="Strong"/>
        </w:rPr>
        <w:t>Installation Charges:</w:t>
      </w:r>
    </w:p>
    <w:p w:rsidR="00A056B6" w:rsidRDefault="00A056B6" w:rsidP="00743A5F">
      <w:pPr>
        <w:pStyle w:val="NormalWeb"/>
        <w:numPr>
          <w:ilvl w:val="1"/>
          <w:numId w:val="0"/>
        </w:numPr>
        <w:tabs>
          <w:tab w:val="num" w:pos="1440"/>
        </w:tabs>
        <w:spacing w:before="0" w:beforeAutospacing="0"/>
        <w:ind w:left="1440" w:hanging="360"/>
      </w:pPr>
      <w:r>
        <w:rPr>
          <w:rStyle w:val="Strong"/>
        </w:rPr>
        <w:t>Definition of FTS:</w:t>
      </w:r>
      <w:r>
        <w:t xml:space="preserve"> FTS refers to payments for services of a managerial, technical, or consultancy nature.</w:t>
      </w:r>
    </w:p>
    <w:p w:rsidR="00A056B6" w:rsidRDefault="00A056B6" w:rsidP="00743A5F">
      <w:pPr>
        <w:pStyle w:val="NormalWeb"/>
        <w:numPr>
          <w:ilvl w:val="1"/>
          <w:numId w:val="0"/>
        </w:numPr>
        <w:tabs>
          <w:tab w:val="num" w:pos="1440"/>
        </w:tabs>
        <w:spacing w:before="0" w:beforeAutospacing="0"/>
        <w:ind w:left="1440" w:hanging="360"/>
      </w:pPr>
      <w:r>
        <w:rPr>
          <w:rStyle w:val="Strong"/>
        </w:rPr>
        <w:t>Exclusion Clause:</w:t>
      </w:r>
      <w:r>
        <w:t xml:space="preserve"> Services that are ancillary and subsidiary to the application or enjoyment of the right, property, or information for which a payment described in Article 12(3) is made are excluded from the definition of FTS.</w:t>
      </w:r>
    </w:p>
    <w:p w:rsidR="00A056B6" w:rsidRDefault="00A056B6" w:rsidP="00743A5F">
      <w:pPr>
        <w:pStyle w:val="NormalWeb"/>
        <w:numPr>
          <w:ilvl w:val="1"/>
          <w:numId w:val="0"/>
        </w:numPr>
        <w:tabs>
          <w:tab w:val="num" w:pos="1440"/>
        </w:tabs>
        <w:spacing w:before="0" w:beforeAutospacing="0"/>
        <w:ind w:left="1440" w:hanging="360"/>
      </w:pPr>
      <w:r>
        <w:rPr>
          <w:rStyle w:val="Strong"/>
        </w:rPr>
        <w:t>Nature of Services:</w:t>
      </w:r>
      <w:r>
        <w:t xml:space="preserve"> The installation services were integral to the execution of the contract and did not involve the transfer of technical knowledge or skill to IOCL.</w:t>
      </w:r>
    </w:p>
    <w:p w:rsidR="00A056B6" w:rsidRDefault="00A056B6" w:rsidP="00743A5F">
      <w:pPr>
        <w:pStyle w:val="NormalWeb"/>
        <w:numPr>
          <w:ilvl w:val="1"/>
          <w:numId w:val="0"/>
        </w:numPr>
        <w:tabs>
          <w:tab w:val="num" w:pos="1440"/>
        </w:tabs>
        <w:spacing w:before="0" w:beforeAutospacing="0"/>
        <w:ind w:left="1440" w:hanging="360"/>
      </w:pPr>
      <w:r>
        <w:rPr>
          <w:rStyle w:val="Strong"/>
        </w:rPr>
        <w:t>Conclusion:</w:t>
      </w:r>
      <w:r>
        <w:t xml:space="preserve"> The installation charges did not qualify as FTS under Explanation 2 to Section 9(1)(vii) of the Act or Article 12(4)(a) of the DTAA.</w:t>
      </w:r>
    </w:p>
    <w:p w:rsidR="00A056B6" w:rsidRDefault="00A056B6" w:rsidP="004D0ABB">
      <w:pPr>
        <w:pStyle w:val="Heading5"/>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No Tax Liability in India:</w:t>
      </w:r>
      <w:r>
        <w:t xml:space="preserve"> The Delhi High Court held that, in the absence of a PE in India, the business profits earned by the Petitioner from the contract with IOCL were not taxable in India under Article 7 of the India-Singapore DTAA.</w:t>
      </w:r>
    </w:p>
    <w:p w:rsidR="00A056B6" w:rsidRDefault="00A056B6" w:rsidP="00743A5F">
      <w:pPr>
        <w:pStyle w:val="NormalWeb"/>
        <w:tabs>
          <w:tab w:val="num" w:pos="720"/>
        </w:tabs>
        <w:spacing w:before="0" w:beforeAutospacing="0"/>
        <w:ind w:left="720" w:hanging="360"/>
      </w:pPr>
      <w:r>
        <w:rPr>
          <w:rStyle w:val="Strong"/>
        </w:rPr>
        <w:t>Mobilization/Demobilization and Installation Charges:</w:t>
      </w:r>
      <w:r>
        <w:t xml:space="preserve"> These charges could not be classified as "royalty" or "fees for technical services" and, therefore, were not taxable under the provisions of the Income Tax Act or the DTAA.</w:t>
      </w:r>
    </w:p>
    <w:p w:rsidR="00A056B6" w:rsidRDefault="00A056B6" w:rsidP="00743A5F">
      <w:pPr>
        <w:pStyle w:val="NormalWeb"/>
        <w:spacing w:before="0" w:beforeAutospacing="0"/>
      </w:pPr>
      <w:r>
        <w:rPr>
          <w:rStyle w:val="Strong"/>
        </w:rPr>
        <w:lastRenderedPageBreak/>
        <w:t>Conclusion:</w:t>
      </w:r>
    </w:p>
    <w:p w:rsidR="00A056B6" w:rsidRDefault="00A056B6" w:rsidP="00743A5F">
      <w:pPr>
        <w:pStyle w:val="NormalWeb"/>
        <w:spacing w:before="0" w:beforeAutospacing="0"/>
      </w:pPr>
      <w:r>
        <w:t>This judgment clarifies that for a foreign enterprise to have a tax liability in India under the India-Singapore DTAA, there must be a Permanent Establishment in India, and the income must be attributable to such PE. Additionally, payments for services rendered by the foreign enterprise cannot be classified as "royalty" or "fees for technical services" unless they meet the specific definitions provided in the Act and the DTAA.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Technip Singapore Pte Ltd. v. Director of Income Tax &amp; Anr., W.P.(C) No. 7416/2012, Delhi High Court, dated June 2, 2016.</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58" w:tgtFrame="_new" w:history="1">
        <w:r>
          <w:rPr>
            <w:rStyle w:val="Hyperlink"/>
          </w:rPr>
          <w:t>Indian Kanoon</w:t>
        </w:r>
      </w:hyperlink>
    </w:p>
    <w:p w:rsidR="00A056B6" w:rsidRDefault="00A056B6" w:rsidP="00743A5F">
      <w:pPr>
        <w:pStyle w:val="NormalWeb"/>
        <w:spacing w:before="0" w:beforeAutospacing="0"/>
      </w:pPr>
      <w:r>
        <w:t>This decision provides guidance on the interpretation of Permanent Establishment and the classification of various charges under the India-Singapore DTAA, offering clarity for foreign enterprises engaged in contracts within India.</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CIT vs. Andaman Sea Food (P) Ltd - [TS-30-SC-2016] [India - Singapore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5C99C1D4" wp14:editId="11ADD735">
            <wp:extent cx="763905" cy="763905"/>
            <wp:effectExtent l="0" t="0" r="0" b="0"/>
            <wp:docPr id="427" name="Picture 42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3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Commissioner of Income Tax v. Andaman Sea Food Pvt. Ltd.</w:t>
      </w:r>
      <w:r>
        <w:t xml:space="preserve">, the </w:t>
      </w:r>
      <w:r>
        <w:rPr>
          <w:rStyle w:val="Strong"/>
        </w:rPr>
        <w:t>Supreme Court of India</w:t>
      </w:r>
      <w:r>
        <w:t xml:space="preserve"> addressed the tax implications of consultancy fees paid by an Indian company to a Singapore-based entity under the India-Singapore Double Taxation Avoidance Agreement (DTAA).</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Andaman Sea Food Pvt. Ltd., an Indian company engaged in trading and exporting seafood.</w:t>
      </w:r>
    </w:p>
    <w:p w:rsidR="00A056B6" w:rsidRDefault="00A056B6" w:rsidP="00743A5F">
      <w:pPr>
        <w:pStyle w:val="NormalWeb"/>
        <w:tabs>
          <w:tab w:val="num" w:pos="720"/>
        </w:tabs>
        <w:spacing w:before="0" w:beforeAutospacing="0"/>
        <w:ind w:left="720" w:hanging="360"/>
      </w:pPr>
      <w:r>
        <w:rPr>
          <w:rStyle w:val="Strong"/>
        </w:rPr>
        <w:t>Transaction:</w:t>
      </w:r>
      <w:r>
        <w:t xml:space="preserve"> The company paid consultancy fees to Global Maharaja Pte Ltd. (GMPL), a Singapore-based company, for services related to foreign exchange derivative transactions.</w:t>
      </w:r>
    </w:p>
    <w:p w:rsidR="00A056B6" w:rsidRDefault="00A056B6" w:rsidP="00743A5F">
      <w:pPr>
        <w:pStyle w:val="NormalWeb"/>
        <w:tabs>
          <w:tab w:val="num" w:pos="720"/>
        </w:tabs>
        <w:spacing w:before="0" w:beforeAutospacing="0"/>
        <w:ind w:left="720" w:hanging="360"/>
      </w:pPr>
      <w:r>
        <w:rPr>
          <w:rStyle w:val="Strong"/>
        </w:rPr>
        <w:t>Tax Deduction at Source (TDS):</w:t>
      </w:r>
      <w:r>
        <w:t xml:space="preserve"> The assessee did not deduct tax at source on these payments, contending that the income was not taxable in India under the India-Singapore DTAA.</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lastRenderedPageBreak/>
        <w:t>Taxability of Consultancy Fees:</w:t>
      </w:r>
      <w:r>
        <w:t xml:space="preserve"> Whether the consultancy fees paid to the Singapore-based company were taxable in India as "Fees for Technical Services" (FTS) under the Income Tax Act, 1961, and the India-Singapore DTAA.</w:t>
      </w:r>
    </w:p>
    <w:p w:rsidR="00A056B6" w:rsidRDefault="00A056B6" w:rsidP="00743A5F">
      <w:pPr>
        <w:pStyle w:val="NormalWeb"/>
        <w:tabs>
          <w:tab w:val="num" w:pos="720"/>
        </w:tabs>
        <w:spacing w:before="0" w:beforeAutospacing="0"/>
        <w:ind w:left="720" w:hanging="360"/>
      </w:pPr>
      <w:r>
        <w:rPr>
          <w:rStyle w:val="Strong"/>
        </w:rPr>
        <w:t>Applicability of Section 40(a)(i):</w:t>
      </w:r>
      <w:r>
        <w:t xml:space="preserve"> Whether the failure to deduct tax at source on these payments would attract disallowance under Section 40(a)(i) of the Income Tax Act.</w:t>
      </w:r>
    </w:p>
    <w:p w:rsidR="00A056B6" w:rsidRDefault="00A056B6" w:rsidP="004D0ABB">
      <w:pPr>
        <w:pStyle w:val="Heading5"/>
        <w:spacing w:before="0" w:beforeAutospacing="0"/>
      </w:pPr>
      <w:r>
        <w:rPr>
          <w:rStyle w:val="Strong"/>
        </w:rPr>
        <w:t>Supreme Court's Analysis:</w:t>
      </w:r>
    </w:p>
    <w:p w:rsidR="00A056B6" w:rsidRDefault="00A056B6" w:rsidP="00743A5F">
      <w:pPr>
        <w:pStyle w:val="NormalWeb"/>
        <w:tabs>
          <w:tab w:val="num" w:pos="720"/>
        </w:tabs>
        <w:spacing w:before="0" w:beforeAutospacing="0"/>
        <w:ind w:left="720" w:hanging="360"/>
      </w:pPr>
      <w:r>
        <w:rPr>
          <w:rStyle w:val="Strong"/>
        </w:rPr>
        <w:t>Definition of FTS under DTAA:</w:t>
      </w:r>
      <w:r>
        <w:t xml:space="preserve"> Article 12(4)(b) of the India-Singapore DTAA defines FTS as payments for services that "make available" technical knowledge, experience, skill, know-how, or processes, enabling the recipient to apply the technology independently.</w:t>
      </w:r>
    </w:p>
    <w:p w:rsidR="00A056B6" w:rsidRDefault="00A056B6" w:rsidP="00743A5F">
      <w:pPr>
        <w:pStyle w:val="NormalWeb"/>
        <w:tabs>
          <w:tab w:val="num" w:pos="720"/>
        </w:tabs>
        <w:spacing w:before="0" w:beforeAutospacing="0"/>
        <w:ind w:left="720" w:hanging="360"/>
      </w:pPr>
      <w:r>
        <w:rPr>
          <w:rStyle w:val="Strong"/>
        </w:rPr>
        <w:t>Nature of Services Provided:</w:t>
      </w:r>
      <w:r>
        <w:t xml:space="preserve"> The consultancy services rendered by GMPL did not involve the transfer of technical knowledge or skills that would enable the assessee to apply the technology independently.</w:t>
      </w:r>
    </w:p>
    <w:p w:rsidR="00A056B6" w:rsidRDefault="00A056B6" w:rsidP="00743A5F">
      <w:pPr>
        <w:pStyle w:val="NormalWeb"/>
        <w:tabs>
          <w:tab w:val="num" w:pos="720"/>
        </w:tabs>
        <w:spacing w:before="0" w:beforeAutospacing="0"/>
        <w:ind w:left="720" w:hanging="360"/>
      </w:pPr>
      <w:r>
        <w:rPr>
          <w:rStyle w:val="Strong"/>
        </w:rPr>
        <w:t>Taxability under DTAA:</w:t>
      </w:r>
      <w:r>
        <w:t xml:space="preserve"> Since the services did not "make available" technical knowledge, the payments did not qualify as FTS under the DTAA. Additionally, GMPL did not have a Permanent Establishment (PE) in India. Therefore, the income was not taxable in India under the DTAA.</w:t>
      </w:r>
    </w:p>
    <w:p w:rsidR="00A056B6" w:rsidRDefault="00A056B6" w:rsidP="00743A5F">
      <w:pPr>
        <w:pStyle w:val="NormalWeb"/>
        <w:tabs>
          <w:tab w:val="num" w:pos="720"/>
        </w:tabs>
        <w:spacing w:before="0" w:beforeAutospacing="0"/>
        <w:ind w:left="720" w:hanging="360"/>
      </w:pPr>
      <w:r>
        <w:rPr>
          <w:rStyle w:val="Strong"/>
        </w:rPr>
        <w:t>Implications for TDS and Disallowance:</w:t>
      </w:r>
      <w:r>
        <w:t xml:space="preserve"> As the income was not taxable in India, the assessee was not obligated to deduct tax at source under Section 195. Consequently, disallowance under Section 40(a)(i) was not applicable.</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No Tax Liability in India:</w:t>
      </w:r>
      <w:r>
        <w:t xml:space="preserve"> The Supreme Court upheld the view that the consultancy fees paid to the Singapore-based company were not taxable in India under the India-Singapore DTAA.</w:t>
      </w:r>
    </w:p>
    <w:p w:rsidR="00A056B6" w:rsidRDefault="00A056B6" w:rsidP="00743A5F">
      <w:pPr>
        <w:pStyle w:val="NormalWeb"/>
        <w:tabs>
          <w:tab w:val="num" w:pos="720"/>
        </w:tabs>
        <w:spacing w:before="0" w:beforeAutospacing="0"/>
        <w:ind w:left="720" w:hanging="360"/>
      </w:pPr>
      <w:r>
        <w:rPr>
          <w:rStyle w:val="Strong"/>
        </w:rPr>
        <w:t>No Disallowance under Section 40(a)(i):</w:t>
      </w:r>
      <w:r>
        <w:t xml:space="preserve"> The Court affirmed that the assessee was not required to deduct tax at source, and therefore, no disallowance under Section 40(a)(i) was warranted.</w:t>
      </w:r>
    </w:p>
    <w:p w:rsidR="00A056B6" w:rsidRDefault="00A056B6" w:rsidP="004D0ABB">
      <w:pPr>
        <w:pStyle w:val="Heading5"/>
        <w:spacing w:before="0" w:beforeAutospacing="0"/>
      </w:pPr>
      <w:r>
        <w:rPr>
          <w:rStyle w:val="Strong"/>
        </w:rPr>
        <w:t>Conclusion:</w:t>
      </w:r>
    </w:p>
    <w:p w:rsidR="00A056B6" w:rsidRDefault="00A056B6" w:rsidP="00743A5F">
      <w:pPr>
        <w:pStyle w:val="NormalWeb"/>
        <w:spacing w:before="0" w:beforeAutospacing="0"/>
      </w:pPr>
      <w:r>
        <w:t>This judgment clarifies that consultancy fees paid to a non-resident entity are not taxable in India under the India-Singapore DTAA if the services do not "make available" technical knowledge or skills to the recipient, and the non-resident does not have a Permanent Establishment in India. Consequently, there is no obligation to deduct tax at source on such payments, and disallowance under Section 40(a)(i) is not applicable.</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Commissioner of Income Tax v. Andaman Sea Food Pvt. Ltd., Special Leave Petition (C) No. 36385/2014, Supreme Court of India, dated January 8, 2015.</w:t>
      </w:r>
    </w:p>
    <w:p w:rsidR="00A056B6" w:rsidRDefault="00A056B6" w:rsidP="00743A5F">
      <w:pPr>
        <w:pStyle w:val="NormalWeb"/>
        <w:tabs>
          <w:tab w:val="num" w:pos="720"/>
        </w:tabs>
        <w:spacing w:before="0" w:beforeAutospacing="0"/>
        <w:ind w:left="720" w:hanging="360"/>
      </w:pPr>
      <w:r>
        <w:rPr>
          <w:rStyle w:val="Strong"/>
        </w:rPr>
        <w:lastRenderedPageBreak/>
        <w:t>Source:</w:t>
      </w:r>
      <w:r>
        <w:t xml:space="preserve"> </w:t>
      </w:r>
      <w:hyperlink r:id="rId59" w:tgtFrame="_new" w:history="1">
        <w:r>
          <w:rPr>
            <w:rStyle w:val="Hyperlink"/>
          </w:rPr>
          <w:t>Indian Kanoon</w:t>
        </w:r>
      </w:hyperlink>
    </w:p>
    <w:p w:rsidR="00A056B6" w:rsidRDefault="00A056B6" w:rsidP="00743A5F">
      <w:pPr>
        <w:pStyle w:val="NormalWeb"/>
        <w:spacing w:before="0" w:beforeAutospacing="0"/>
      </w:pPr>
      <w:r>
        <w:t>This decision provides clarity on the interpretation of "Fees for Technical Services" under the India-Singapore DTAA and the associated obligations for tax deduction at source.</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DIT (International Taxation) vs. Marks &amp; Spencer Reliance India Pvt. Ltd - TS-178-HC- 2017(BOM) - INCOME TAX APPEAL NO. 893 OF 2014 dated 03.05.2017</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5525C307" wp14:editId="24B7B4EB">
            <wp:extent cx="763905" cy="763905"/>
            <wp:effectExtent l="0" t="0" r="0" b="0"/>
            <wp:docPr id="426" name="Picture 42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3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4D0ABB">
      <w:pPr>
        <w:pStyle w:val="Heading5"/>
        <w:spacing w:before="0" w:beforeAutospacing="0"/>
      </w:pPr>
      <w:r>
        <w:t xml:space="preserve">In the case of </w:t>
      </w:r>
      <w:r>
        <w:rPr>
          <w:rStyle w:val="Strong"/>
        </w:rPr>
        <w:t>Director of Income Tax (International Taxation) v. Marks &amp; Spencer Reliance India Pvt. Ltd.</w:t>
      </w:r>
      <w:r>
        <w:t xml:space="preserve">, the </w:t>
      </w:r>
      <w:r>
        <w:rPr>
          <w:rStyle w:val="Strong"/>
        </w:rPr>
        <w:t>Bombay High Court</w:t>
      </w:r>
      <w:r>
        <w:t xml:space="preserve"> addressed the tax implications of payments made by an Indian company to its UK-based parent company under a secondment agreement.</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Marks &amp; Spencer Reliance India Pvt. Ltd., an Indian joint venture between Marks &amp; Spencer Plc (UK) and Reliance Retail Ltd.</w:t>
      </w:r>
    </w:p>
    <w:p w:rsidR="00A056B6" w:rsidRDefault="00A056B6" w:rsidP="00743A5F">
      <w:pPr>
        <w:pStyle w:val="NormalWeb"/>
        <w:tabs>
          <w:tab w:val="num" w:pos="720"/>
        </w:tabs>
        <w:spacing w:before="0" w:beforeAutospacing="0"/>
        <w:ind w:left="720" w:hanging="360"/>
      </w:pPr>
      <w:r>
        <w:rPr>
          <w:rStyle w:val="Strong"/>
        </w:rPr>
        <w:t>Agreement:</w:t>
      </w:r>
      <w:r>
        <w:t xml:space="preserve"> The Indian company entered into a secondment agreement with Marks &amp; Spencer Plc, whereby certain employees were deputed to India to assist in various functions, including management, business setup, property selection, retail operations, and merchandising.</w:t>
      </w:r>
    </w:p>
    <w:p w:rsidR="00A056B6" w:rsidRDefault="00A056B6" w:rsidP="00743A5F">
      <w:pPr>
        <w:pStyle w:val="NormalWeb"/>
        <w:tabs>
          <w:tab w:val="num" w:pos="720"/>
        </w:tabs>
        <w:spacing w:before="0" w:beforeAutospacing="0"/>
        <w:ind w:left="720" w:hanging="360"/>
      </w:pPr>
      <w:r>
        <w:rPr>
          <w:rStyle w:val="Strong"/>
        </w:rPr>
        <w:t>Payments:</w:t>
      </w:r>
      <w:r>
        <w:t xml:space="preserve"> The Indian company reimbursed Marks &amp; Spencer Plc for the salaries of the seconded employees.</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Nature of Payments:</w:t>
      </w:r>
      <w:r>
        <w:t xml:space="preserve"> Whether the reimbursements made by the Indian company to Marks &amp; Spencer Plc for the salaries of seconded employees constituted "Fees for Technical Services" (FTS) under the Income Tax Act, 1961, and the India-UK Double Taxation Avoidance Agreement (DTAA).</w:t>
      </w:r>
    </w:p>
    <w:p w:rsidR="00A056B6" w:rsidRDefault="00A056B6" w:rsidP="00743A5F">
      <w:pPr>
        <w:pStyle w:val="NormalWeb"/>
        <w:tabs>
          <w:tab w:val="num" w:pos="720"/>
        </w:tabs>
        <w:spacing w:before="0" w:beforeAutospacing="0"/>
        <w:ind w:left="720" w:hanging="360"/>
      </w:pPr>
      <w:r>
        <w:rPr>
          <w:rStyle w:val="Strong"/>
        </w:rPr>
        <w:t>Tax Deduction at Source (TDS):</w:t>
      </w:r>
      <w:r>
        <w:t xml:space="preserve"> Whether the Indian company was liable to deduct tax at source under Section 195 of the Income Tax Act on these reimbursements.</w:t>
      </w:r>
    </w:p>
    <w:p w:rsidR="00A056B6" w:rsidRDefault="00A056B6" w:rsidP="00743A5F">
      <w:pPr>
        <w:pStyle w:val="NormalWeb"/>
        <w:spacing w:before="0" w:beforeAutospacing="0"/>
      </w:pPr>
      <w:r>
        <w:rPr>
          <w:rStyle w:val="Strong"/>
        </w:rPr>
        <w:t>High Court's Analysis:</w:t>
      </w:r>
    </w:p>
    <w:p w:rsidR="00A056B6" w:rsidRDefault="00A056B6" w:rsidP="00743A5F">
      <w:pPr>
        <w:pStyle w:val="NormalWeb"/>
        <w:tabs>
          <w:tab w:val="num" w:pos="720"/>
        </w:tabs>
        <w:spacing w:before="0" w:beforeAutospacing="0"/>
        <w:ind w:left="720" w:hanging="360"/>
      </w:pPr>
      <w:r>
        <w:rPr>
          <w:rStyle w:val="Strong"/>
        </w:rPr>
        <w:t>Employer-Employee Relationship:</w:t>
      </w:r>
      <w:r>
        <w:t xml:space="preserve"> The court observed that during the secondment period, the seconded employees worked under the control and supervision of the Indian company, indicating an employer-employee relationship between the Indian company and the seconded personnel.</w:t>
      </w:r>
    </w:p>
    <w:p w:rsidR="00A056B6" w:rsidRDefault="00A056B6" w:rsidP="00743A5F">
      <w:pPr>
        <w:pStyle w:val="NormalWeb"/>
        <w:tabs>
          <w:tab w:val="num" w:pos="720"/>
        </w:tabs>
        <w:spacing w:before="0" w:beforeAutospacing="0"/>
        <w:ind w:left="720" w:hanging="360"/>
      </w:pPr>
      <w:r>
        <w:rPr>
          <w:rStyle w:val="Strong"/>
        </w:rPr>
        <w:lastRenderedPageBreak/>
        <w:t>Reimbursement Nature:</w:t>
      </w:r>
      <w:r>
        <w:t xml:space="preserve"> The payments made by the Indian company were reimbursements of the salaries paid to the seconded employees, without any markup or profit element.</w:t>
      </w:r>
    </w:p>
    <w:p w:rsidR="00A056B6" w:rsidRDefault="00A056B6" w:rsidP="00743A5F">
      <w:pPr>
        <w:pStyle w:val="NormalWeb"/>
        <w:tabs>
          <w:tab w:val="num" w:pos="720"/>
        </w:tabs>
        <w:spacing w:before="0" w:beforeAutospacing="0"/>
        <w:ind w:left="720" w:hanging="360"/>
      </w:pPr>
      <w:r>
        <w:rPr>
          <w:rStyle w:val="Strong"/>
        </w:rPr>
        <w:t>FTS Classification:</w:t>
      </w:r>
      <w:r>
        <w:t xml:space="preserve"> The court held that since the payments were mere reimbursements for salaries and there was an employer-employee relationship, they did not constitute "Fees for Technical Services" under the Income Tax Act or the India-UK DTAA.</w:t>
      </w:r>
    </w:p>
    <w:p w:rsidR="00A056B6" w:rsidRDefault="00A056B6" w:rsidP="00743A5F">
      <w:pPr>
        <w:pStyle w:val="NormalWeb"/>
        <w:tabs>
          <w:tab w:val="num" w:pos="720"/>
        </w:tabs>
        <w:spacing w:before="0" w:beforeAutospacing="0"/>
        <w:ind w:left="720" w:hanging="360"/>
      </w:pPr>
      <w:r>
        <w:rPr>
          <w:rStyle w:val="Strong"/>
        </w:rPr>
        <w:t>TDS Obligation:</w:t>
      </w:r>
      <w:r>
        <w:t xml:space="preserve"> As the payments were not in the nature of FTS and were reimbursements of salaries (which are taxable in the hands of the employees), the Indian company was not liable to deduct tax at source under Section 195.</w:t>
      </w:r>
    </w:p>
    <w:p w:rsidR="00A056B6" w:rsidRDefault="00A056B6" w:rsidP="00743A5F">
      <w:pPr>
        <w:pStyle w:val="NormalWeb"/>
        <w:spacing w:before="0" w:beforeAutospacing="0"/>
      </w:pPr>
      <w:r>
        <w:rPr>
          <w:rStyle w:val="Strong"/>
        </w:rPr>
        <w:t>Ruling:</w:t>
      </w:r>
    </w:p>
    <w:p w:rsidR="00A056B6" w:rsidRDefault="00A056B6" w:rsidP="00743A5F">
      <w:pPr>
        <w:tabs>
          <w:tab w:val="num" w:pos="720"/>
        </w:tabs>
        <w:spacing w:before="100" w:after="100" w:afterAutospacing="1" w:line="240" w:lineRule="auto"/>
        <w:ind w:left="720" w:hanging="360"/>
      </w:pPr>
      <w:r>
        <w:rPr>
          <w:rStyle w:val="Strong"/>
        </w:rPr>
        <w:t>No TDS Requirement:</w:t>
      </w:r>
      <w:r>
        <w:t xml:space="preserve"> The Bombay High Court upheld the decision of the Income Tax Appellate Tribunal (ITAT), ruling that the Indian company was not required to deduct tax at source on the reimbursements made to Marks &amp; Spencer Plc for the salaries of seconded employees.</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clarifies that reimbursements of salaries paid to seconded employees, where an employer-employee relationship exists between the Indian company and the secondees, do not constitute "Fees for Technical Services" under the Income Tax Act or the relevant DTAA. Consequently, such payments are not subject to tax deduction at source under Section 195.</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Director of Income Tax (International Taxation) v. Marks &amp; Spencer Reliance India Pvt. Ltd., Income Tax Appeal No. 893 of 2014, Bombay High Court, dated May 3, 2017.</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60" w:tgtFrame="_new" w:history="1">
        <w:r>
          <w:rPr>
            <w:rStyle w:val="Hyperlink"/>
          </w:rPr>
          <w:t>Taxscan</w:t>
        </w:r>
      </w:hyperlink>
    </w:p>
    <w:p w:rsidR="00A056B6" w:rsidRDefault="00A056B6" w:rsidP="00743A5F">
      <w:pPr>
        <w:pStyle w:val="NormalWeb"/>
        <w:spacing w:before="0" w:beforeAutospacing="0"/>
      </w:pPr>
      <w:r>
        <w:t>This decision provides clarity on the tax treatment of reimbursements under secondment agreements, emphasizing the importance of the nature of payments and the underlying relationships in determining tax liabilities.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Steria India Ltd - TS-416-HC-2016 (Del) - W.P.(C) 4793/2014 &amp; CM APPL. 9551/2014 [India - France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36A458E3" wp14:editId="59F2DB2C">
            <wp:extent cx="763905" cy="763905"/>
            <wp:effectExtent l="0" t="0" r="0" b="0"/>
            <wp:docPr id="425" name="Picture 42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3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lastRenderedPageBreak/>
        <w:t xml:space="preserve">In </w:t>
      </w:r>
      <w:r>
        <w:rPr>
          <w:rStyle w:val="Strong"/>
        </w:rPr>
        <w:t>Steria (India) Ltd. v. Commissioner of Income Tax-VI &amp; Anr.</w:t>
      </w:r>
      <w:r>
        <w:t xml:space="preserve">, the </w:t>
      </w:r>
      <w:r>
        <w:rPr>
          <w:rStyle w:val="Strong"/>
        </w:rPr>
        <w:t>Delhi High Court</w:t>
      </w:r>
      <w:r>
        <w:t xml:space="preserve"> examined the applicability of the Most Favored Nation (MFN) clause in the Protocol to the India-France Double Taxation Avoidance Agreement (DTAA) concerning payments for management services.</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Steria (India) Ltd., an Indian company, entered into a Management Services Agreement with its French parent company, Groupe Steria SCA (Steria France), under which Steria France provided various management services.</w:t>
      </w:r>
    </w:p>
    <w:p w:rsidR="00A056B6" w:rsidRDefault="00A056B6" w:rsidP="00743A5F">
      <w:pPr>
        <w:pStyle w:val="NormalWeb"/>
        <w:tabs>
          <w:tab w:val="num" w:pos="720"/>
        </w:tabs>
        <w:spacing w:before="0" w:beforeAutospacing="0"/>
        <w:ind w:left="720" w:hanging="360"/>
      </w:pPr>
      <w:r>
        <w:rPr>
          <w:rStyle w:val="Strong"/>
        </w:rPr>
        <w:t>Nature of Services:</w:t>
      </w:r>
      <w:r>
        <w:t xml:space="preserve"> The services included corporate communication, group marketing, development, information systems, legal, and human resources services.</w:t>
      </w:r>
    </w:p>
    <w:p w:rsidR="00A056B6" w:rsidRDefault="00A056B6" w:rsidP="00743A5F">
      <w:pPr>
        <w:pStyle w:val="NormalWeb"/>
        <w:tabs>
          <w:tab w:val="num" w:pos="720"/>
        </w:tabs>
        <w:spacing w:before="0" w:beforeAutospacing="0"/>
        <w:ind w:left="720" w:hanging="360"/>
      </w:pPr>
      <w:r>
        <w:rPr>
          <w:rStyle w:val="Strong"/>
        </w:rPr>
        <w:t>Tax Deduction at Source (TDS):</w:t>
      </w:r>
      <w:r>
        <w:t xml:space="preserve"> Steria (India) Ltd. sought a ruling on whether payments to Steria France for these services were taxable in India as "fees for technical services" (FTS) under the India-France DTAA, and consequently, whether tax was required to be withheld under Section 195 of the Income Tax Act, 1961.</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Definition of FTS under India-France DTAA:</w:t>
      </w:r>
      <w:r>
        <w:t xml:space="preserve"> The India-France DTAA includes payments for services of a managerial, technical, or consultancy nature within the definition of FTS.</w:t>
      </w:r>
    </w:p>
    <w:p w:rsidR="00A056B6" w:rsidRDefault="00A056B6" w:rsidP="00743A5F">
      <w:pPr>
        <w:pStyle w:val="NormalWeb"/>
        <w:tabs>
          <w:tab w:val="num" w:pos="720"/>
        </w:tabs>
        <w:spacing w:before="0" w:beforeAutospacing="0"/>
        <w:ind w:left="720" w:hanging="360"/>
      </w:pPr>
      <w:r>
        <w:rPr>
          <w:rStyle w:val="Strong"/>
        </w:rPr>
        <w:t>MFN Clause in the Protocol:</w:t>
      </w:r>
      <w:r>
        <w:t xml:space="preserve"> Clause 7 of the Protocol to the India-France DTAA stipulates that if India enters into a DTAA with an OECD member country after September 1, 1989, providing a more restrictive scope or lower rate of taxation on dividends, interest, royalties, or FTS, the same benefits shall apply under the India-France DTAA.</w:t>
      </w:r>
    </w:p>
    <w:p w:rsidR="00A056B6" w:rsidRDefault="00A056B6" w:rsidP="00743A5F">
      <w:pPr>
        <w:pStyle w:val="NormalWeb"/>
        <w:tabs>
          <w:tab w:val="num" w:pos="720"/>
        </w:tabs>
        <w:spacing w:before="0" w:beforeAutospacing="0"/>
        <w:ind w:left="720" w:hanging="360"/>
      </w:pPr>
      <w:r>
        <w:rPr>
          <w:rStyle w:val="Strong"/>
        </w:rPr>
        <w:t>Comparison with India-UK DTAA:</w:t>
      </w:r>
      <w:r>
        <w:t xml:space="preserve"> The India-UK DTAA, signed after September 1, 1989, excludes managerial services from the definition of FTS and incorporates a "make available" clause, narrowing the scope of what constitutes taxable FTS.</w:t>
      </w:r>
    </w:p>
    <w:p w:rsidR="00A056B6" w:rsidRDefault="00A056B6" w:rsidP="00743A5F">
      <w:pPr>
        <w:pStyle w:val="NormalWeb"/>
        <w:spacing w:before="0" w:beforeAutospacing="0"/>
      </w:pPr>
      <w:r>
        <w:rPr>
          <w:rStyle w:val="Strong"/>
        </w:rPr>
        <w:t>High Court's Analysis:</w:t>
      </w:r>
    </w:p>
    <w:p w:rsidR="00A056B6" w:rsidRDefault="00A056B6" w:rsidP="00743A5F">
      <w:pPr>
        <w:pStyle w:val="NormalWeb"/>
        <w:tabs>
          <w:tab w:val="num" w:pos="720"/>
        </w:tabs>
        <w:spacing w:before="0" w:beforeAutospacing="0"/>
        <w:ind w:left="720" w:hanging="360"/>
      </w:pPr>
      <w:r>
        <w:rPr>
          <w:rStyle w:val="Strong"/>
        </w:rPr>
        <w:t>Integral Part of DTAA:</w:t>
      </w:r>
      <w:r>
        <w:t xml:space="preserve"> The Court held that the Protocol forms an integral part of the India-France DTAA, and its provisions are automatically applicable without the need for a separate notification.</w:t>
      </w:r>
    </w:p>
    <w:p w:rsidR="00A056B6" w:rsidRDefault="00A056B6" w:rsidP="00743A5F">
      <w:pPr>
        <w:pStyle w:val="NormalWeb"/>
        <w:tabs>
          <w:tab w:val="num" w:pos="720"/>
        </w:tabs>
        <w:spacing w:before="0" w:beforeAutospacing="0"/>
        <w:ind w:left="720" w:hanging="360"/>
      </w:pPr>
      <w:r>
        <w:rPr>
          <w:rStyle w:val="Strong"/>
        </w:rPr>
        <w:t>MFN Clause Applicability:</w:t>
      </w:r>
      <w:r>
        <w:t xml:space="preserve"> The MFN clause ensures that any more favorable terms agreed upon by India in subsequent treaties with OECD member countries apply to the India-France DTAA.</w:t>
      </w:r>
    </w:p>
    <w:p w:rsidR="00A056B6" w:rsidRDefault="00A056B6" w:rsidP="00743A5F">
      <w:pPr>
        <w:pStyle w:val="NormalWeb"/>
        <w:tabs>
          <w:tab w:val="num" w:pos="720"/>
        </w:tabs>
        <w:spacing w:before="0" w:beforeAutospacing="0"/>
        <w:ind w:left="720" w:hanging="360"/>
      </w:pPr>
      <w:r>
        <w:rPr>
          <w:rStyle w:val="Strong"/>
        </w:rPr>
        <w:t>Adoption of Restrictive Scope:</w:t>
      </w:r>
      <w:r>
        <w:t xml:space="preserve"> Given that the India-UK DTAA provides a more restrictive definition of FTS by excluding managerial services and requiring the "make available" condition, these provisions should be read into the India-France DTAA.</w:t>
      </w:r>
    </w:p>
    <w:p w:rsidR="00A056B6" w:rsidRDefault="00A056B6" w:rsidP="00743A5F">
      <w:pPr>
        <w:pStyle w:val="NormalWeb"/>
        <w:spacing w:before="0" w:beforeAutospacing="0"/>
      </w:pPr>
      <w:r>
        <w:rPr>
          <w:rStyle w:val="Strong"/>
        </w:rPr>
        <w:lastRenderedPageBreak/>
        <w:t>Ruling:</w:t>
      </w:r>
    </w:p>
    <w:p w:rsidR="00A056B6" w:rsidRDefault="00A056B6" w:rsidP="00743A5F">
      <w:pPr>
        <w:pStyle w:val="NormalWeb"/>
        <w:tabs>
          <w:tab w:val="num" w:pos="720"/>
        </w:tabs>
        <w:spacing w:before="0" w:beforeAutospacing="0"/>
        <w:ind w:left="720" w:hanging="360"/>
      </w:pPr>
      <w:r>
        <w:rPr>
          <w:rStyle w:val="Strong"/>
        </w:rPr>
        <w:t>Payments Not Taxable as FTS:</w:t>
      </w:r>
      <w:r>
        <w:t xml:space="preserve"> The Delhi High Court concluded that the payments made by Steria (India) Ltd. to Steria France for managerial services do not qualify as FTS under the India-France DTAA, as modified by the MFN clause referencing the India-UK DTAA.</w:t>
      </w:r>
    </w:p>
    <w:p w:rsidR="00A056B6" w:rsidRDefault="00A056B6" w:rsidP="00743A5F">
      <w:pPr>
        <w:pStyle w:val="NormalWeb"/>
        <w:tabs>
          <w:tab w:val="num" w:pos="720"/>
        </w:tabs>
        <w:spacing w:before="0" w:beforeAutospacing="0"/>
        <w:ind w:left="720" w:hanging="360"/>
      </w:pPr>
      <w:r>
        <w:rPr>
          <w:rStyle w:val="Strong"/>
        </w:rPr>
        <w:t>No TDS Obligation:</w:t>
      </w:r>
      <w:r>
        <w:t xml:space="preserve"> Consequently, Steria (India) Ltd. was not obligated to deduct tax at source under Section 195 of the Income Tax Act on these payments.</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underscores the significance of the MFN clause in tax treaties, emphasizing that more favorable provisions in treaties with OECD member countries can modify existing agreements, potentially reducing tax liabilities.</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Steria (India) Ltd. v. Commissioner of Income Tax-VI &amp; Anr., W.P.(C) 4793/2014 &amp; CM APPL. 9551/2014, Delhi High Court, dated July 28, 2016.</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61" w:tgtFrame="_new" w:history="1">
        <w:r>
          <w:rPr>
            <w:rStyle w:val="Hyperlink"/>
          </w:rPr>
          <w:t>Indian Kanoon</w:t>
        </w:r>
      </w:hyperlink>
    </w:p>
    <w:p w:rsidR="00A056B6" w:rsidRDefault="00A056B6" w:rsidP="00743A5F">
      <w:pPr>
        <w:pStyle w:val="NormalWeb"/>
        <w:spacing w:before="0" w:beforeAutospacing="0"/>
      </w:pPr>
      <w:r>
        <w:t>This decision provides clarity on the interpretation and application of MFN clauses in DTAAs, particularly concerning the taxation of cross-border service payments.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Cummins Ltd In re - [2016] 65 taxmann.com 247 (AAR - New Delhi) [India - UK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54CF179A" wp14:editId="27C94903">
            <wp:extent cx="763905" cy="763905"/>
            <wp:effectExtent l="0" t="0" r="0" b="0"/>
            <wp:docPr id="424" name="Picture 42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3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w:t>
      </w:r>
      <w:r>
        <w:rPr>
          <w:rStyle w:val="Strong"/>
        </w:rPr>
        <w:t>Cummins Ltd., In re</w:t>
      </w:r>
      <w:r>
        <w:t xml:space="preserve">, the </w:t>
      </w:r>
      <w:r>
        <w:rPr>
          <w:rStyle w:val="Strong"/>
        </w:rPr>
        <w:t>Authority for Advance Rulings (AAR) New Delhi</w:t>
      </w:r>
      <w:r>
        <w:t xml:space="preserve"> examined the tax implications under the India-UK Double Taxation Avoidance Agreement (DTAA) concerning fees received by Cummins Ltd., a UK-based company, from Cummins Technologies India Ltd. (CTIL) for supply management services.</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Applicant:</w:t>
      </w:r>
      <w:r>
        <w:t xml:space="preserve"> Cummins Ltd., a company incorporated in the United Kingdom.</w:t>
      </w:r>
    </w:p>
    <w:p w:rsidR="00A056B6" w:rsidRDefault="00A056B6" w:rsidP="00743A5F">
      <w:pPr>
        <w:pStyle w:val="NormalWeb"/>
        <w:tabs>
          <w:tab w:val="num" w:pos="720"/>
        </w:tabs>
        <w:spacing w:before="0" w:beforeAutospacing="0"/>
        <w:ind w:left="720" w:hanging="360"/>
      </w:pPr>
      <w:r>
        <w:rPr>
          <w:rStyle w:val="Strong"/>
        </w:rPr>
        <w:t>Indian Entity:</w:t>
      </w:r>
      <w:r>
        <w:t xml:space="preserve"> Cummins Technologies India Ltd. (CTIL), engaged in manufacturing and selling turbochargers.</w:t>
      </w:r>
    </w:p>
    <w:p w:rsidR="00A056B6" w:rsidRDefault="00A056B6" w:rsidP="00743A5F">
      <w:pPr>
        <w:pStyle w:val="NormalWeb"/>
        <w:tabs>
          <w:tab w:val="num" w:pos="720"/>
        </w:tabs>
        <w:spacing w:before="0" w:beforeAutospacing="0"/>
        <w:ind w:left="720" w:hanging="360"/>
      </w:pPr>
      <w:r>
        <w:rPr>
          <w:rStyle w:val="Strong"/>
        </w:rPr>
        <w:lastRenderedPageBreak/>
        <w:t>Agreement:</w:t>
      </w:r>
      <w:r>
        <w:t xml:space="preserve"> Cummins Ltd. entered into a Material Suppliers Management Service Agreement with CTIL, under which it provided supply management services, including ensuring competitive pricing from suppliers in the UK and the US.</w:t>
      </w:r>
    </w:p>
    <w:p w:rsidR="00A056B6" w:rsidRDefault="00A056B6" w:rsidP="00743A5F">
      <w:pPr>
        <w:pStyle w:val="NormalWeb"/>
        <w:tabs>
          <w:tab w:val="num" w:pos="720"/>
        </w:tabs>
        <w:spacing w:before="0" w:beforeAutospacing="0"/>
        <w:ind w:left="720" w:hanging="360"/>
      </w:pPr>
      <w:r>
        <w:rPr>
          <w:rStyle w:val="Strong"/>
        </w:rPr>
        <w:t>Fees:</w:t>
      </w:r>
      <w:r>
        <w:t xml:space="preserve"> CTIL paid Cummins Ltd. a supply management service fee calculated at 5% of the base prices of the suppliers.</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Classification of Fees:</w:t>
      </w:r>
      <w:r>
        <w:t xml:space="preserve"> Whether the supply management service fees received by Cummins Ltd. from CTIL qualify as "Fees for Technical Services" (FTS) or "royalties" under Article 13 of the India-UK DTAA.</w:t>
      </w:r>
    </w:p>
    <w:p w:rsidR="00A056B6" w:rsidRDefault="00A056B6" w:rsidP="00743A5F">
      <w:pPr>
        <w:pStyle w:val="NormalWeb"/>
        <w:tabs>
          <w:tab w:val="num" w:pos="720"/>
        </w:tabs>
        <w:spacing w:before="0" w:beforeAutospacing="0"/>
        <w:ind w:left="720" w:hanging="360"/>
      </w:pPr>
      <w:r>
        <w:rPr>
          <w:rStyle w:val="Strong"/>
        </w:rPr>
        <w:t>Taxability in India:</w:t>
      </w:r>
      <w:r>
        <w:t xml:space="preserve"> If the fees are classified as FTS or royalties, whether they are taxable in India, considering Cummins Ltd. does not have a Permanent Establishment (PE) in India as per Article 5 of the India-UK DTAA.</w:t>
      </w:r>
    </w:p>
    <w:p w:rsidR="00A056B6" w:rsidRDefault="00A056B6" w:rsidP="00743A5F">
      <w:pPr>
        <w:pStyle w:val="NormalWeb"/>
        <w:tabs>
          <w:tab w:val="num" w:pos="720"/>
        </w:tabs>
        <w:spacing w:before="0" w:beforeAutospacing="0"/>
        <w:ind w:left="720" w:hanging="360"/>
      </w:pPr>
      <w:r>
        <w:rPr>
          <w:rStyle w:val="Strong"/>
        </w:rPr>
        <w:t>Transfer Pricing Provisions:</w:t>
      </w:r>
      <w:r>
        <w:t xml:space="preserve"> If the fees are not taxable in India, whether the provisions of Sections 92 to 92F of the Income Tax Act, relating to transfer pricing, apply to Cummins Ltd. concerning the supply management service fees.</w:t>
      </w:r>
    </w:p>
    <w:p w:rsidR="00A056B6" w:rsidRDefault="00A056B6" w:rsidP="00743A5F">
      <w:pPr>
        <w:pStyle w:val="NormalWeb"/>
        <w:tabs>
          <w:tab w:val="num" w:pos="720"/>
        </w:tabs>
        <w:spacing w:before="0" w:beforeAutospacing="0"/>
        <w:ind w:left="720" w:hanging="360"/>
      </w:pPr>
      <w:r>
        <w:rPr>
          <w:rStyle w:val="Strong"/>
        </w:rPr>
        <w:t>Withholding Tax Obligation:</w:t>
      </w:r>
      <w:r>
        <w:t xml:space="preserve"> Whether CTIL, the payer of the supply management service fees, is required to withhold tax under Section 195 of the Income Tax Act if the fees are not liable to income tax in India.</w:t>
      </w:r>
    </w:p>
    <w:p w:rsidR="00A056B6" w:rsidRDefault="00A056B6" w:rsidP="00743A5F">
      <w:pPr>
        <w:pStyle w:val="NormalWeb"/>
        <w:spacing w:before="0" w:beforeAutospacing="0"/>
      </w:pPr>
      <w:r>
        <w:rPr>
          <w:rStyle w:val="Strong"/>
        </w:rPr>
        <w:t>AAR's Analysis:</w:t>
      </w:r>
    </w:p>
    <w:p w:rsidR="00A056B6" w:rsidRDefault="00A056B6" w:rsidP="00743A5F">
      <w:pPr>
        <w:pStyle w:val="NormalWeb"/>
        <w:tabs>
          <w:tab w:val="num" w:pos="720"/>
        </w:tabs>
        <w:spacing w:before="0" w:beforeAutospacing="0"/>
        <w:ind w:left="720" w:hanging="360"/>
      </w:pPr>
      <w:r>
        <w:rPr>
          <w:rStyle w:val="Strong"/>
        </w:rPr>
        <w:t>Nature of Services:</w:t>
      </w:r>
      <w:r>
        <w:t xml:space="preserve"> The AAR observed that Cummins Ltd. was engaged to ensure market-competitive pricing from suppliers and maintained contractual agreements with them. The services provided were managerial in nature, focusing on procurement and supply chain management.</w:t>
      </w:r>
    </w:p>
    <w:p w:rsidR="00A056B6" w:rsidRDefault="00A056B6" w:rsidP="00743A5F">
      <w:pPr>
        <w:pStyle w:val="NormalWeb"/>
        <w:tabs>
          <w:tab w:val="num" w:pos="720"/>
        </w:tabs>
        <w:spacing w:before="0" w:beforeAutospacing="0"/>
        <w:ind w:left="720" w:hanging="360"/>
      </w:pPr>
      <w:r>
        <w:rPr>
          <w:rStyle w:val="Strong"/>
        </w:rPr>
        <w:t>"Make Available" Clause:</w:t>
      </w:r>
      <w:r>
        <w:t xml:space="preserve"> The India-UK DTAA specifies that for services to be considered FTS, they must "make available" technical knowledge, experience, skill, know-how, or processes to the recipient, enabling them to apply the technology independently. In this case, Cummins Ltd. did not impart any technical knowledge or expertise to CTIL that would enable CTIL to perform such services on its own in the future.</w:t>
      </w:r>
    </w:p>
    <w:p w:rsidR="00A056B6" w:rsidRDefault="00A056B6" w:rsidP="00743A5F">
      <w:pPr>
        <w:pStyle w:val="NormalWeb"/>
        <w:tabs>
          <w:tab w:val="num" w:pos="720"/>
        </w:tabs>
        <w:spacing w:before="0" w:beforeAutospacing="0"/>
        <w:ind w:left="720" w:hanging="360"/>
      </w:pPr>
      <w:r>
        <w:rPr>
          <w:rStyle w:val="Strong"/>
        </w:rPr>
        <w:t>Exclusion of Managerial Services:</w:t>
      </w:r>
      <w:r>
        <w:t xml:space="preserve"> With effect from February 11, 1994, managerial services were excluded from the definition of FTS under the India-UK DTAA. Since the services rendered were managerial and did not involve the transfer of technical knowledge, they did not qualify as FTS.</w:t>
      </w:r>
    </w:p>
    <w:p w:rsidR="00A056B6" w:rsidRDefault="00A056B6" w:rsidP="00743A5F">
      <w:pPr>
        <w:pStyle w:val="NormalWeb"/>
        <w:tabs>
          <w:tab w:val="num" w:pos="720"/>
        </w:tabs>
        <w:spacing w:before="0" w:beforeAutospacing="0"/>
        <w:ind w:left="720" w:hanging="360"/>
      </w:pPr>
      <w:r>
        <w:rPr>
          <w:rStyle w:val="Strong"/>
        </w:rPr>
        <w:t>Absence of PE in India:</w:t>
      </w:r>
      <w:r>
        <w:t xml:space="preserve"> Cummins Ltd. did not have a PE in India. Therefore, its business profits, including the supply management service fees, are not taxable in India under Article 7 of the DTAA.</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lastRenderedPageBreak/>
        <w:t>Fees Not Classified as FTS or Royalties:</w:t>
      </w:r>
      <w:r>
        <w:t xml:space="preserve"> The supply management service fees received by Cummins Ltd. from CTIL do not constitute "Fees for Technical Services" or "royalties" under Article 13 of the India-UK DTAA.</w:t>
      </w:r>
    </w:p>
    <w:p w:rsidR="00A056B6" w:rsidRDefault="00A056B6" w:rsidP="00743A5F">
      <w:pPr>
        <w:pStyle w:val="NormalWeb"/>
        <w:tabs>
          <w:tab w:val="num" w:pos="720"/>
        </w:tabs>
        <w:spacing w:before="0" w:beforeAutospacing="0"/>
        <w:ind w:left="720" w:hanging="360"/>
      </w:pPr>
      <w:r>
        <w:rPr>
          <w:rStyle w:val="Strong"/>
        </w:rPr>
        <w:t>No Tax Liability in India:</w:t>
      </w:r>
      <w:r>
        <w:t xml:space="preserve"> In the absence of a PE in India, the fees are not chargeable to income tax in India.</w:t>
      </w:r>
    </w:p>
    <w:p w:rsidR="00A056B6" w:rsidRDefault="00A056B6" w:rsidP="00743A5F">
      <w:pPr>
        <w:pStyle w:val="NormalWeb"/>
        <w:tabs>
          <w:tab w:val="num" w:pos="720"/>
        </w:tabs>
        <w:spacing w:before="0" w:beforeAutospacing="0"/>
        <w:ind w:left="720" w:hanging="360"/>
      </w:pPr>
      <w:r>
        <w:rPr>
          <w:rStyle w:val="Strong"/>
        </w:rPr>
        <w:t>Transfer Pricing Provisions Not Applicable:</w:t>
      </w:r>
      <w:r>
        <w:t xml:space="preserve"> Since the fees are not taxable in India, the transfer pricing provisions under Sections 92 to 92F of the Income Tax Act do not apply to Cummins Ltd.</w:t>
      </w:r>
    </w:p>
    <w:p w:rsidR="00A056B6" w:rsidRDefault="00A056B6" w:rsidP="00743A5F">
      <w:pPr>
        <w:pStyle w:val="NormalWeb"/>
        <w:tabs>
          <w:tab w:val="num" w:pos="720"/>
        </w:tabs>
        <w:spacing w:before="0" w:beforeAutospacing="0"/>
        <w:ind w:left="720" w:hanging="360"/>
      </w:pPr>
      <w:r>
        <w:rPr>
          <w:rStyle w:val="Strong"/>
        </w:rPr>
        <w:t>No Withholding Tax Obligation:</w:t>
      </w:r>
      <w:r>
        <w:t xml:space="preserve"> CTIL is not required to withhold tax under Section 195 of the Income Tax Act on the supply management service fees paid to Cummins Ltd.</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ruling clarifies that managerial services, which do not "make available" technical knowledge or skills to the recipient, are not considered "Fees for Technical Services" under the India-UK DTAA. Consequently, in the absence of a Permanent Establishment in India, such fees are not taxable in India, and there is no obligation for the Indian payer to withhold tax at source.</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Cummins Ltd., In re, [2016] 65 taxmann.com 247 (AAR - New Delhi), dated January 12, 2016.</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62" w:tgtFrame="_new" w:history="1">
        <w:r>
          <w:rPr>
            <w:rStyle w:val="Hyperlink"/>
          </w:rPr>
          <w:t>Bombay Chartered Accountant Journal</w:t>
        </w:r>
      </w:hyperlink>
    </w:p>
    <w:p w:rsidR="00A056B6" w:rsidRDefault="00A056B6" w:rsidP="00743A5F">
      <w:pPr>
        <w:pStyle w:val="NormalWeb"/>
        <w:spacing w:before="0" w:beforeAutospacing="0"/>
      </w:pPr>
      <w:r>
        <w:t>This decision provides guidance on the interpretation of "Fees for Technical Services" and the applicability of tax treaties in determining tax liabilities for cross-border service arrangements.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Authority for Advance Rulings- Measurement Technology Ltd. United Kingdom,- (2015) 60 taxmann.com 1- A.A.R. No.966 of 2010 dated July 29, 2015</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7002B84D" wp14:editId="3365555D">
            <wp:extent cx="763905" cy="763905"/>
            <wp:effectExtent l="0" t="0" r="0" b="0"/>
            <wp:docPr id="423" name="Picture 42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3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w:t>
      </w:r>
      <w:r>
        <w:rPr>
          <w:rStyle w:val="Strong"/>
        </w:rPr>
        <w:t>Measurement Technology Ltd., In re</w:t>
      </w:r>
      <w:r>
        <w:t xml:space="preserve">, the </w:t>
      </w:r>
      <w:r>
        <w:rPr>
          <w:rStyle w:val="Strong"/>
        </w:rPr>
        <w:t>Authority for Advance Rulings (AAR) New Delhi</w:t>
      </w:r>
      <w:r>
        <w:t xml:space="preserve"> examined the tax implications under the India-UK Double Taxation Avoidance </w:t>
      </w:r>
      <w:r>
        <w:lastRenderedPageBreak/>
        <w:t>Agreement (DTAA) concerning payments received by Measurement Technology Ltd., a UK-based company, from its Indian subsidiary for management and procurement services.</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Applicant:</w:t>
      </w:r>
      <w:r>
        <w:t xml:space="preserve"> Measurement Technology Ltd. (MTL), a company incorporated in the United Kingdom, engaged in developing and supplying intrinsic safety explosion protection devices, field bus and industrial networks, lightning and surge protection, and gas analysis equipment.</w:t>
      </w:r>
    </w:p>
    <w:p w:rsidR="00A056B6" w:rsidRDefault="00A056B6" w:rsidP="00743A5F">
      <w:pPr>
        <w:pStyle w:val="NormalWeb"/>
        <w:tabs>
          <w:tab w:val="num" w:pos="720"/>
        </w:tabs>
        <w:spacing w:before="0" w:beforeAutospacing="0"/>
        <w:ind w:left="720" w:hanging="360"/>
      </w:pPr>
      <w:r>
        <w:rPr>
          <w:rStyle w:val="Strong"/>
        </w:rPr>
        <w:t>Indian Subsidiary:</w:t>
      </w:r>
      <w:r>
        <w:t xml:space="preserve"> MTL Instruments Private Limited (MTL India), engaged in manufacturing industrial control equipment used for process control in hazardous environments.</w:t>
      </w:r>
    </w:p>
    <w:p w:rsidR="00A056B6" w:rsidRDefault="00A056B6" w:rsidP="00743A5F">
      <w:pPr>
        <w:pStyle w:val="NormalWeb"/>
        <w:tabs>
          <w:tab w:val="num" w:pos="720"/>
        </w:tabs>
        <w:spacing w:before="0" w:beforeAutospacing="0"/>
        <w:ind w:left="720" w:hanging="360"/>
      </w:pPr>
      <w:r>
        <w:rPr>
          <w:rStyle w:val="Strong"/>
        </w:rPr>
        <w:t>Agreements: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Management Services Agreement:</w:t>
      </w:r>
      <w:r>
        <w:t xml:space="preserve"> MTL provided services through its Group Operations Director (GD) based in the UK, including strategic business development, participation in operational meetings, personnel management, and related activities.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Procurement Services Agreement:</w:t>
      </w:r>
      <w:r>
        <w:t xml:space="preserve"> MTL's UK-based procurement team offered global sourcing services to MTL India, aiming to reduce costs and avoid duplication of procurement efforts within the MTL Group.</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Classification of Services:</w:t>
      </w:r>
      <w:r>
        <w:t xml:space="preserve"> Whether the management and procurement services rendered by MTL qualify as "Fees for Technical Services" (FTS) under Article 13 of the India-UK DTAA.</w:t>
      </w:r>
    </w:p>
    <w:p w:rsidR="00A056B6" w:rsidRDefault="00A056B6" w:rsidP="00743A5F">
      <w:pPr>
        <w:pStyle w:val="NormalWeb"/>
        <w:tabs>
          <w:tab w:val="num" w:pos="720"/>
        </w:tabs>
        <w:spacing w:before="0" w:beforeAutospacing="0"/>
        <w:ind w:left="720" w:hanging="360"/>
      </w:pPr>
      <w:r>
        <w:rPr>
          <w:rStyle w:val="Strong"/>
        </w:rPr>
        <w:t>Taxability in India:</w:t>
      </w:r>
      <w:r>
        <w:t xml:space="preserve"> If classified as FTS, whether the payments for these services are taxable in India, considering the provisions of the DTAA.</w:t>
      </w:r>
    </w:p>
    <w:p w:rsidR="00A056B6" w:rsidRDefault="00A056B6" w:rsidP="00743A5F">
      <w:pPr>
        <w:pStyle w:val="NormalWeb"/>
        <w:tabs>
          <w:tab w:val="num" w:pos="720"/>
        </w:tabs>
        <w:spacing w:before="0" w:beforeAutospacing="0"/>
        <w:ind w:left="720" w:hanging="360"/>
      </w:pPr>
      <w:r>
        <w:rPr>
          <w:rStyle w:val="Strong"/>
        </w:rPr>
        <w:t>Withholding Tax Obligation:</w:t>
      </w:r>
      <w:r>
        <w:t xml:space="preserve"> Whether MTL India is required to withhold tax under Section 195 of the Income Tax Act, 1961, on payments made to MTL for these services.</w:t>
      </w:r>
    </w:p>
    <w:p w:rsidR="00A056B6" w:rsidRDefault="00A056B6" w:rsidP="00743A5F">
      <w:pPr>
        <w:pStyle w:val="NormalWeb"/>
        <w:spacing w:before="0" w:beforeAutospacing="0"/>
      </w:pPr>
      <w:r>
        <w:rPr>
          <w:rStyle w:val="Strong"/>
        </w:rPr>
        <w:t>AAR's Analysis:</w:t>
      </w:r>
    </w:p>
    <w:p w:rsidR="00A056B6" w:rsidRDefault="00A056B6" w:rsidP="00743A5F">
      <w:pPr>
        <w:pStyle w:val="NormalWeb"/>
        <w:tabs>
          <w:tab w:val="num" w:pos="720"/>
        </w:tabs>
        <w:spacing w:before="0" w:beforeAutospacing="0"/>
        <w:ind w:left="720" w:hanging="360"/>
      </w:pPr>
      <w:r>
        <w:rPr>
          <w:rStyle w:val="Strong"/>
        </w:rPr>
        <w:t>Management Services: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Nature of Services:</w:t>
      </w:r>
      <w:r>
        <w:t xml:space="preserve"> The services provided by the GD were managerial, involving oversight and guidance on financial, operational, and human resource matters.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"Make Available" Criterion:</w:t>
      </w:r>
      <w:r>
        <w:t xml:space="preserve"> For services to be considered FTS under the India-UK DTAA, they must "make available" technical knowledge, experience, skill, know-how, or processes to the recipient, enabling them to apply the technology independently. The AAR concluded that the managerial services provided did not impart technical knowledge or skills to MTL India that would enable it to perform such services independently in the future.</w:t>
      </w:r>
    </w:p>
    <w:p w:rsidR="00A056B6" w:rsidRDefault="00A056B6" w:rsidP="00743A5F">
      <w:pPr>
        <w:numPr>
          <w:ilvl w:val="1"/>
          <w:numId w:val="0"/>
        </w:numPr>
        <w:tabs>
          <w:tab w:val="num" w:pos="1440"/>
        </w:tabs>
        <w:spacing w:before="100" w:after="100" w:afterAutospacing="1" w:line="240" w:lineRule="auto"/>
        <w:ind w:left="1440" w:hanging="360"/>
      </w:pPr>
      <w:r>
        <w:rPr>
          <w:rStyle w:val="Strong"/>
        </w:rPr>
        <w:lastRenderedPageBreak/>
        <w:t>Exclusion of Managerial Services:</w:t>
      </w:r>
      <w:r>
        <w:t xml:space="preserve"> Post the 1994 amendment to the India-UK DTAA, managerial services are excluded from the definition of FTS. Therefore, the payments for managerial services did not qualify as FTS under the DTAA.</w:t>
      </w:r>
    </w:p>
    <w:p w:rsidR="00A056B6" w:rsidRDefault="00A056B6" w:rsidP="00743A5F">
      <w:pPr>
        <w:pStyle w:val="NormalWeb"/>
        <w:tabs>
          <w:tab w:val="num" w:pos="720"/>
        </w:tabs>
        <w:spacing w:before="0" w:beforeAutospacing="0"/>
        <w:ind w:left="720" w:hanging="360"/>
      </w:pPr>
      <w:r>
        <w:rPr>
          <w:rStyle w:val="Strong"/>
        </w:rPr>
        <w:t>Procurement Services: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Nature of Services:</w:t>
      </w:r>
      <w:r>
        <w:t xml:space="preserve"> The procurement services involved sourcing materials globally to benefit the MTL Group, including MTL India. These services were routine and did not involve the transfer of technical knowledge or expertise.</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FTS Classification:</w:t>
      </w:r>
      <w:r>
        <w:t xml:space="preserve"> The AAR determined that procurement services could not be classified as technical or consultancy services and did not "make available" any technical knowledge, experience, or skill to MTL India. Thus, these services did not fall under the definition of FTS in the DTAA.</w:t>
      </w:r>
    </w:p>
    <w:p w:rsidR="00A056B6" w:rsidRDefault="00A056B6" w:rsidP="00743A5F">
      <w:pPr>
        <w:pStyle w:val="NormalWeb"/>
        <w:tabs>
          <w:tab w:val="num" w:pos="720"/>
        </w:tabs>
        <w:spacing w:before="0" w:beforeAutospacing="0"/>
        <w:ind w:left="720" w:hanging="360"/>
      </w:pPr>
      <w:r>
        <w:rPr>
          <w:rStyle w:val="Strong"/>
        </w:rPr>
        <w:t>Royalty Consideration:</w:t>
      </w:r>
      <w:r>
        <w:t xml:space="preserve"> The AAR also addressed whether the payments could be considered "royalty" under the DTAA and concluded that the services provided did not create any intellectual property or involve the transfer of rights that would classify the payments as royalty.</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No Tax Liability in India:</w:t>
      </w:r>
      <w:r>
        <w:t xml:space="preserve"> The AAR ruled that the payments received by MTL for management and procurement services are not taxable in India under the provisions of the India-UK DTAA, as they do not qualify as FTS or royalty.</w:t>
      </w:r>
    </w:p>
    <w:p w:rsidR="00A056B6" w:rsidRDefault="00A056B6" w:rsidP="00743A5F">
      <w:pPr>
        <w:pStyle w:val="NormalWeb"/>
        <w:tabs>
          <w:tab w:val="num" w:pos="720"/>
        </w:tabs>
        <w:spacing w:before="0" w:beforeAutospacing="0"/>
        <w:ind w:left="720" w:hanging="360"/>
      </w:pPr>
      <w:r>
        <w:rPr>
          <w:rStyle w:val="Strong"/>
        </w:rPr>
        <w:t>No Withholding Tax Obligation:</w:t>
      </w:r>
      <w:r>
        <w:t xml:space="preserve"> Consequently, MTL India is not required to withhold tax under Section 195 of the Income Tax Act on payments made to MTL for these services.</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ruling clarifies that managerial and procurement services, which do not "make available" technical knowledge or skills to the recipient, are not considered "Fees for Technical Services" under the India-UK DTAA. Therefore, payments for such services are not taxable in India, and there is no obligation for the Indian payer to withhold tax at source.</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Measurement Technology Ltd., In re, A.A.R. No. 966 of 2010, Authority for Advance Rulings (Income Tax), New Delhi, dated July 29, 2015.</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63" w:tgtFrame="_new" w:history="1">
        <w:r>
          <w:rPr>
            <w:rStyle w:val="Hyperlink"/>
          </w:rPr>
          <w:t>KPMG Flash News</w:t>
        </w:r>
      </w:hyperlink>
    </w:p>
    <w:p w:rsidR="00A056B6" w:rsidRDefault="00A056B6" w:rsidP="00743A5F">
      <w:pPr>
        <w:pStyle w:val="NormalWeb"/>
        <w:spacing w:before="0" w:beforeAutospacing="0"/>
      </w:pPr>
      <w:r>
        <w:t>This decision provides guidance on the interpretation of "Fees for Technical Services" and the applicability of tax treaties in determining tax liabilities for cross-border service arrangements.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lastRenderedPageBreak/>
        <w:t>Discuss i2 Technologies US Inc. [TS-263-ITAT-2017(Banglore)]</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5188A022" wp14:editId="01741FE8">
            <wp:extent cx="763905" cy="763905"/>
            <wp:effectExtent l="0" t="0" r="0" b="0"/>
            <wp:docPr id="422" name="Picture 42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3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i2 Technologies US Inc.</w:t>
      </w:r>
      <w:r>
        <w:t xml:space="preserve">, the </w:t>
      </w:r>
      <w:r>
        <w:rPr>
          <w:rStyle w:val="Strong"/>
        </w:rPr>
        <w:t>Income Tax Appellate Tribunal (ITAT) Bangalore Bench</w:t>
      </w:r>
      <w:r>
        <w:t xml:space="preserve"> addressed the taxability of various payments received by the taxpayer from Indian customers, particularly focusing on the characterization of income from software licenses and related services under the </w:t>
      </w:r>
      <w:r>
        <w:rPr>
          <w:rStyle w:val="Strong"/>
        </w:rPr>
        <w:t>India-USA Double Taxation Avoidance Agreement (DTAA)</w:t>
      </w:r>
      <w:r>
        <w:t>.</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Taxpayer:</w:t>
      </w:r>
      <w:r>
        <w:t xml:space="preserve"> i2 Technologies US Inc., a non-resident foreign company incorporated in the USA, engaged in supplying software to Indian customers.</w:t>
      </w:r>
    </w:p>
    <w:p w:rsidR="00A056B6" w:rsidRDefault="00A056B6" w:rsidP="00743A5F">
      <w:pPr>
        <w:pStyle w:val="NormalWeb"/>
        <w:tabs>
          <w:tab w:val="num" w:pos="720"/>
        </w:tabs>
        <w:spacing w:before="0" w:beforeAutospacing="0"/>
        <w:ind w:left="720" w:hanging="360"/>
      </w:pPr>
      <w:r>
        <w:rPr>
          <w:rStyle w:val="Strong"/>
        </w:rPr>
        <w:t>Services Provided:</w:t>
      </w:r>
      <w:r>
        <w:t xml:space="preserve"> In addition to software licenses, the taxpayer provided implementation, consulting, maintenance, and other technical services related to the software.</w:t>
      </w:r>
    </w:p>
    <w:p w:rsidR="00A056B6" w:rsidRDefault="00A056B6" w:rsidP="00743A5F">
      <w:pPr>
        <w:pStyle w:val="NormalWeb"/>
        <w:tabs>
          <w:tab w:val="num" w:pos="720"/>
        </w:tabs>
        <w:spacing w:before="0" w:beforeAutospacing="0"/>
        <w:ind w:left="720" w:hanging="360"/>
      </w:pPr>
      <w:r>
        <w:rPr>
          <w:rStyle w:val="Strong"/>
        </w:rPr>
        <w:t>Income Streams:</w:t>
      </w:r>
      <w:r>
        <w:t xml:space="preserve"> During the assessment year 2008-09, the taxpayer earned income from:</w:t>
      </w:r>
    </w:p>
    <w:p w:rsidR="00A056B6" w:rsidRDefault="00A056B6" w:rsidP="00743A5F">
      <w:pPr>
        <w:numPr>
          <w:ilvl w:val="1"/>
          <w:numId w:val="0"/>
        </w:numPr>
        <w:tabs>
          <w:tab w:val="num" w:pos="1440"/>
        </w:tabs>
        <w:spacing w:before="100" w:after="100" w:afterAutospacing="1" w:line="240" w:lineRule="auto"/>
        <w:ind w:left="1440" w:hanging="360"/>
      </w:pPr>
      <w:r>
        <w:t>Sale of software licenses</w:t>
      </w:r>
    </w:p>
    <w:p w:rsidR="00A056B6" w:rsidRDefault="00A056B6" w:rsidP="00743A5F">
      <w:pPr>
        <w:numPr>
          <w:ilvl w:val="1"/>
          <w:numId w:val="0"/>
        </w:numPr>
        <w:tabs>
          <w:tab w:val="num" w:pos="1440"/>
        </w:tabs>
        <w:spacing w:before="100" w:after="100" w:afterAutospacing="1" w:line="240" w:lineRule="auto"/>
        <w:ind w:left="1440" w:hanging="360"/>
      </w:pPr>
      <w:r>
        <w:t>Implementation and consulting services</w:t>
      </w:r>
    </w:p>
    <w:p w:rsidR="00A056B6" w:rsidRDefault="00A056B6" w:rsidP="00743A5F">
      <w:pPr>
        <w:numPr>
          <w:ilvl w:val="1"/>
          <w:numId w:val="0"/>
        </w:numPr>
        <w:tabs>
          <w:tab w:val="num" w:pos="1440"/>
        </w:tabs>
        <w:spacing w:before="100" w:after="100" w:afterAutospacing="1" w:line="240" w:lineRule="auto"/>
        <w:ind w:left="1440" w:hanging="360"/>
      </w:pPr>
      <w:r>
        <w:t>Annual maintenance fees</w:t>
      </w:r>
    </w:p>
    <w:p w:rsidR="00A056B6" w:rsidRDefault="00A056B6" w:rsidP="00743A5F">
      <w:pPr>
        <w:numPr>
          <w:ilvl w:val="1"/>
          <w:numId w:val="0"/>
        </w:numPr>
        <w:tabs>
          <w:tab w:val="num" w:pos="1440"/>
        </w:tabs>
        <w:spacing w:before="100" w:after="100" w:afterAutospacing="1" w:line="240" w:lineRule="auto"/>
        <w:ind w:left="1440" w:hanging="360"/>
      </w:pPr>
      <w:r>
        <w:t>Training fees</w:t>
      </w:r>
    </w:p>
    <w:p w:rsidR="00A056B6" w:rsidRDefault="00A056B6" w:rsidP="00743A5F">
      <w:pPr>
        <w:numPr>
          <w:ilvl w:val="1"/>
          <w:numId w:val="0"/>
        </w:numPr>
        <w:tabs>
          <w:tab w:val="num" w:pos="1440"/>
        </w:tabs>
        <w:spacing w:before="100" w:after="100" w:afterAutospacing="1" w:line="240" w:lineRule="auto"/>
        <w:ind w:left="1440" w:hanging="360"/>
      </w:pPr>
      <w:r>
        <w:t>Partnership fees</w:t>
      </w:r>
    </w:p>
    <w:p w:rsidR="00A056B6" w:rsidRDefault="00A056B6" w:rsidP="00743A5F">
      <w:pPr>
        <w:pStyle w:val="NormalWeb"/>
        <w:tabs>
          <w:tab w:val="num" w:pos="720"/>
        </w:tabs>
        <w:spacing w:before="0" w:beforeAutospacing="0"/>
        <w:ind w:left="720" w:hanging="360"/>
      </w:pPr>
      <w:r>
        <w:rPr>
          <w:rStyle w:val="Strong"/>
        </w:rPr>
        <w:t>Tax Return Position:</w:t>
      </w:r>
      <w:r>
        <w:t xml:space="preserve"> The taxpayer filed its return of income, offering only the training fees as taxable income in India.</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Characterization of Income from Software Licenses:</w:t>
      </w:r>
      <w:r>
        <w:t xml:space="preserve"> Whether the income from the sale of software licenses should be classified as "royalty" under Article 12(3) of the India-USA DTAA.</w:t>
      </w:r>
    </w:p>
    <w:p w:rsidR="00A056B6" w:rsidRDefault="00A056B6" w:rsidP="00743A5F">
      <w:pPr>
        <w:pStyle w:val="NormalWeb"/>
        <w:tabs>
          <w:tab w:val="num" w:pos="720"/>
        </w:tabs>
        <w:spacing w:before="0" w:beforeAutospacing="0"/>
        <w:ind w:left="720" w:hanging="360"/>
      </w:pPr>
      <w:r>
        <w:rPr>
          <w:rStyle w:val="Strong"/>
        </w:rPr>
        <w:t>Taxability of Implementation, Consulting, and Maintenance Services:</w:t>
      </w:r>
      <w:r>
        <w:t xml:space="preserve"> Whether the fees received for implementation, consulting, and annual maintenance services qualify as "Fees for Included Services" (FIS) under Article 12(4) of the India-USA DTAA.</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lastRenderedPageBreak/>
        <w:t>Software License Fees as Royalty:</w:t>
      </w:r>
    </w:p>
    <w:p w:rsidR="00A056B6" w:rsidRDefault="00A056B6" w:rsidP="00743A5F">
      <w:pPr>
        <w:numPr>
          <w:ilvl w:val="1"/>
          <w:numId w:val="0"/>
        </w:numPr>
        <w:tabs>
          <w:tab w:val="num" w:pos="1440"/>
        </w:tabs>
        <w:spacing w:before="100" w:after="100" w:afterAutospacing="1" w:line="240" w:lineRule="auto"/>
        <w:ind w:left="1440" w:hanging="360"/>
      </w:pPr>
      <w:r>
        <w:t xml:space="preserve">The ITAT referred to the jurisdictional High Court's decision in </w:t>
      </w:r>
      <w:r>
        <w:rPr>
          <w:rStyle w:val="Strong"/>
        </w:rPr>
        <w:t>CIT v. Samsung Electronics Co. Ltd.</w:t>
      </w:r>
      <w:r>
        <w:t xml:space="preserve"> </w:t>
      </w:r>
    </w:p>
    <w:p w:rsidR="00A056B6" w:rsidRDefault="00A056B6" w:rsidP="00743A5F">
      <w:pPr>
        <w:spacing w:before="100" w:after="100" w:afterAutospacing="1" w:line="240" w:lineRule="auto"/>
        <w:ind w:left="1440"/>
      </w:pPr>
      <w:hyperlink r:id="rId64" w:tgtFrame="_blank" w:history="1">
        <w:r>
          <w:rPr>
            <w:rStyle w:val="truncate"/>
            <w:color w:val="0000FF"/>
            <w:u w:val="single"/>
          </w:rPr>
          <w:t>PwC</w:t>
        </w:r>
      </w:hyperlink>
    </w:p>
    <w:p w:rsidR="00A056B6" w:rsidRDefault="00A056B6" w:rsidP="00743A5F">
      <w:pPr>
        <w:spacing w:before="100" w:after="100" w:afterAutospacing="1" w:line="240" w:lineRule="auto"/>
        <w:ind w:left="1440"/>
      </w:pPr>
      <w:r>
        <w:t>, which held that payments for software licenses constitute "royalty" under the DTAA.</w:t>
      </w:r>
    </w:p>
    <w:p w:rsidR="00A056B6" w:rsidRDefault="00A056B6" w:rsidP="00743A5F">
      <w:pPr>
        <w:numPr>
          <w:ilvl w:val="1"/>
          <w:numId w:val="0"/>
        </w:numPr>
        <w:tabs>
          <w:tab w:val="num" w:pos="1440"/>
        </w:tabs>
        <w:spacing w:before="100" w:after="100" w:afterAutospacing="1" w:line="240" w:lineRule="auto"/>
        <w:ind w:left="1440" w:hanging="360"/>
      </w:pPr>
      <w:r>
        <w:t>Following this precedent, the ITAT concluded that the payments received by the taxpayer for software licenses are taxable as royalty income in India.</w:t>
      </w:r>
    </w:p>
    <w:p w:rsidR="00A056B6" w:rsidRDefault="00A056B6" w:rsidP="00743A5F">
      <w:pPr>
        <w:pStyle w:val="NormalWeb"/>
        <w:tabs>
          <w:tab w:val="num" w:pos="720"/>
        </w:tabs>
        <w:spacing w:before="0" w:beforeAutospacing="0"/>
        <w:ind w:left="720" w:hanging="360"/>
      </w:pPr>
      <w:r>
        <w:rPr>
          <w:rStyle w:val="Strong"/>
        </w:rPr>
        <w:t>Implementation, Consulting, and Maintenance Services as FIS:</w:t>
      </w:r>
    </w:p>
    <w:p w:rsidR="00A056B6" w:rsidRDefault="00A056B6" w:rsidP="00743A5F">
      <w:pPr>
        <w:numPr>
          <w:ilvl w:val="1"/>
          <w:numId w:val="0"/>
        </w:numPr>
        <w:tabs>
          <w:tab w:val="num" w:pos="1440"/>
        </w:tabs>
        <w:spacing w:before="100" w:after="100" w:afterAutospacing="1" w:line="240" w:lineRule="auto"/>
        <w:ind w:left="1440" w:hanging="360"/>
      </w:pPr>
      <w:r>
        <w:t>The ITAT examined whether these services are ancillary and subsidiary to the sale of software licenses and whether they "make available" technical knowledge, experience, skill, know-how, or processes to the Indian customers.</w:t>
      </w:r>
    </w:p>
    <w:p w:rsidR="00A056B6" w:rsidRDefault="00A056B6" w:rsidP="00743A5F">
      <w:pPr>
        <w:numPr>
          <w:ilvl w:val="1"/>
          <w:numId w:val="0"/>
        </w:numPr>
        <w:tabs>
          <w:tab w:val="num" w:pos="1440"/>
        </w:tabs>
        <w:spacing w:before="100" w:after="100" w:afterAutospacing="1" w:line="240" w:lineRule="auto"/>
        <w:ind w:left="1440" w:hanging="360"/>
      </w:pPr>
      <w:r>
        <w:t>The Tribunal observed that the implementation and consulting services were essential for the effective use of the licensed software, indicating that they are ancillary and subsidiary to the sale of software.</w:t>
      </w:r>
    </w:p>
    <w:p w:rsidR="00A056B6" w:rsidRDefault="00A056B6" w:rsidP="00743A5F">
      <w:pPr>
        <w:numPr>
          <w:ilvl w:val="1"/>
          <w:numId w:val="0"/>
        </w:numPr>
        <w:tabs>
          <w:tab w:val="num" w:pos="1440"/>
        </w:tabs>
        <w:spacing w:before="100" w:after="100" w:afterAutospacing="1" w:line="240" w:lineRule="auto"/>
        <w:ind w:left="1440" w:hanging="360"/>
      </w:pPr>
      <w:r>
        <w:t>Regarding the "make available" criterion, the ITAT noted that the services provided did not enable the Indian customers to perform the services independently in the future.</w:t>
      </w:r>
    </w:p>
    <w:p w:rsidR="00A056B6" w:rsidRDefault="00A056B6" w:rsidP="00743A5F">
      <w:pPr>
        <w:numPr>
          <w:ilvl w:val="1"/>
          <w:numId w:val="0"/>
        </w:numPr>
        <w:tabs>
          <w:tab w:val="num" w:pos="1440"/>
        </w:tabs>
        <w:spacing w:before="100" w:after="100" w:afterAutospacing="1" w:line="240" w:lineRule="auto"/>
        <w:ind w:left="1440" w:hanging="360"/>
      </w:pPr>
      <w:r>
        <w:t>Despite this, the ITAT concluded that the implementation, consulting, and maintenance services are taxable as FIS under Article 12(4)(a) of the DTAA, as they are ancillary and subsidiary to the sale of software, which is considered royalty income.</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Software License Fees:</w:t>
      </w:r>
      <w:r>
        <w:t xml:space="preserve"> Taxable as royalty income under Article 12(3) of the India-USA DTAA.</w:t>
      </w:r>
    </w:p>
    <w:p w:rsidR="00A056B6" w:rsidRDefault="00A056B6" w:rsidP="00743A5F">
      <w:pPr>
        <w:pStyle w:val="NormalWeb"/>
        <w:tabs>
          <w:tab w:val="num" w:pos="720"/>
        </w:tabs>
        <w:spacing w:before="0" w:beforeAutospacing="0"/>
        <w:ind w:left="720" w:hanging="360"/>
      </w:pPr>
      <w:r>
        <w:rPr>
          <w:rStyle w:val="Strong"/>
        </w:rPr>
        <w:t>Implementation, Consulting, and Maintenance Services:</w:t>
      </w:r>
      <w:r>
        <w:t xml:space="preserve"> Taxable as Fees for Included Services under Article 12(4)(a) of the DTAA.</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The ITAT's decision underscores the importance of the nature of payments and the specific provisions of the DTAA in determining tax liabilities for cross-border transactions. Payments for software licenses were deemed royalty, and related services were considered Fees for Included Services, both taxable in India under the India-USA DTAA.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i2 Technologies US Inc. v. Deputy Commissioner of Income Tax, IT(TP)A No.1207/Bang/2014, ITAT Bangalore Bench, dated April 21, 2017.</w:t>
      </w:r>
    </w:p>
    <w:p w:rsidR="00A056B6" w:rsidRDefault="00A056B6" w:rsidP="00743A5F">
      <w:pPr>
        <w:pStyle w:val="NormalWeb"/>
        <w:tabs>
          <w:tab w:val="num" w:pos="720"/>
        </w:tabs>
        <w:spacing w:before="0" w:beforeAutospacing="0"/>
        <w:ind w:left="720" w:hanging="360"/>
      </w:pPr>
      <w:r>
        <w:rPr>
          <w:rStyle w:val="Strong"/>
        </w:rPr>
        <w:lastRenderedPageBreak/>
        <w:t>Source:</w:t>
      </w:r>
      <w:r>
        <w:t xml:space="preserve"> </w:t>
      </w:r>
      <w:hyperlink r:id="rId65" w:tgtFrame="_new" w:history="1">
        <w:r>
          <w:rPr>
            <w:rStyle w:val="Hyperlink"/>
          </w:rPr>
          <w:t>Indian Kanoon</w:t>
        </w:r>
      </w:hyperlink>
    </w:p>
    <w:p w:rsidR="00A056B6" w:rsidRDefault="00A056B6" w:rsidP="00743A5F">
      <w:pPr>
        <w:pStyle w:val="NormalWeb"/>
        <w:spacing w:before="0" w:beforeAutospacing="0"/>
      </w:pPr>
      <w:r>
        <w:t>This decision provides clarity on the tax treatment of software-related transactions between India and the USA, highlighting the significance of treaty provisions in cross-border taxation.</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J.C. Bamford Excavators Ltd v DDIT [TS-389-ITAT-2018(DEL)] – ITA No. 1540/DEL/2014 dated July 18, 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5EF8BBCE" wp14:editId="0749B458">
            <wp:extent cx="763905" cy="763905"/>
            <wp:effectExtent l="0" t="0" r="0" b="0"/>
            <wp:docPr id="421" name="Picture 42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3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J.C. Bamford Excavators Ltd. v. Deputy Director of Income Tax</w:t>
      </w:r>
      <w:r>
        <w:t xml:space="preserve">, the </w:t>
      </w:r>
      <w:r>
        <w:rPr>
          <w:rStyle w:val="Strong"/>
        </w:rPr>
        <w:t>Income Tax Appellate Tribunal (ITAT) Delhi Bench</w:t>
      </w:r>
      <w:r>
        <w:t xml:space="preserve"> addressed the tax implications for J.C. Bamford Excavators Ltd. (JCBE), a UK-based company, concerning its operations and income in India for the Assessment Year (AY) 2004-05.</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JCBE, a company incorporated in the United Kingdom, engaged in manufacturing and selling construction equipment.</w:t>
      </w:r>
    </w:p>
    <w:p w:rsidR="00A056B6" w:rsidRDefault="00A056B6" w:rsidP="00743A5F">
      <w:pPr>
        <w:pStyle w:val="NormalWeb"/>
        <w:tabs>
          <w:tab w:val="num" w:pos="720"/>
        </w:tabs>
        <w:spacing w:before="0" w:beforeAutospacing="0"/>
        <w:ind w:left="720" w:hanging="360"/>
      </w:pPr>
      <w:r>
        <w:rPr>
          <w:rStyle w:val="Strong"/>
        </w:rPr>
        <w:t>Indian Subsidiary:</w:t>
      </w:r>
      <w:r>
        <w:t xml:space="preserve"> JCB India Ltd. (JCB India), a wholly-owned subsidiary of JCBE, operating in India.</w:t>
      </w:r>
    </w:p>
    <w:p w:rsidR="00A056B6" w:rsidRDefault="00A056B6" w:rsidP="00743A5F">
      <w:pPr>
        <w:pStyle w:val="NormalWeb"/>
        <w:tabs>
          <w:tab w:val="num" w:pos="720"/>
        </w:tabs>
        <w:spacing w:before="0" w:beforeAutospacing="0"/>
        <w:ind w:left="720" w:hanging="360"/>
      </w:pPr>
      <w:r>
        <w:rPr>
          <w:rStyle w:val="Strong"/>
        </w:rPr>
        <w:t>Agreements: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Technology Transfer Agreement (TTA):</w:t>
      </w:r>
      <w:r>
        <w:t xml:space="preserve"> JCBE granted JCB India exclusive rights to manufacture and market certain products in India under the JCB brand.</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International Personnel Assignment Agreement (IPAA):</w:t>
      </w:r>
      <w:r>
        <w:t xml:space="preserve"> JCBE seconded certain employees to JCB India to provide managerial and technical support.</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Existence of a Service Permanent Establishment (PE):</w:t>
      </w:r>
      <w:r>
        <w:t xml:space="preserve"> Whether the secondment of employees to JCB India constituted a Service PE of JCBE in India under Article 5 of the India-UK Double Taxation Avoidance Agreement (DTAA).</w:t>
      </w:r>
    </w:p>
    <w:p w:rsidR="00A056B6" w:rsidRDefault="00A056B6" w:rsidP="00743A5F">
      <w:pPr>
        <w:pStyle w:val="NormalWeb"/>
        <w:tabs>
          <w:tab w:val="num" w:pos="720"/>
        </w:tabs>
        <w:spacing w:before="0" w:beforeAutospacing="0"/>
        <w:ind w:left="720" w:hanging="360"/>
      </w:pPr>
      <w:r>
        <w:rPr>
          <w:rStyle w:val="Strong"/>
        </w:rPr>
        <w:t>Taxability of Royalty Income:</w:t>
      </w:r>
      <w:r>
        <w:t xml:space="preserve"> Whether the royalty payments received by JCBE from JCB India were effectively connected to the alleged Service PE, thereby altering their tax treatment under the DTAA.</w:t>
      </w:r>
    </w:p>
    <w:p w:rsidR="00A056B6" w:rsidRDefault="00A056B6" w:rsidP="00743A5F">
      <w:pPr>
        <w:pStyle w:val="NormalWeb"/>
        <w:tabs>
          <w:tab w:val="num" w:pos="720"/>
        </w:tabs>
        <w:spacing w:before="0" w:beforeAutospacing="0"/>
        <w:ind w:left="720" w:hanging="360"/>
      </w:pPr>
      <w:r>
        <w:rPr>
          <w:rStyle w:val="Strong"/>
        </w:rPr>
        <w:t>Characterization of Other Receipts:</w:t>
      </w:r>
      <w:r>
        <w:t xml:space="preserve"> Whether payments received by JCBE for central cost recharges, structural tests, and reimbursements towards salary costs of seconded </w:t>
      </w:r>
      <w:r>
        <w:lastRenderedPageBreak/>
        <w:t>employees qualified as Fees for Technical Services (FTS) under Article 13 of the India-UK DTAA.</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Service Permanent Establishment (PE):</w:t>
      </w:r>
    </w:p>
    <w:p w:rsidR="00A056B6" w:rsidRDefault="00A056B6" w:rsidP="00743A5F">
      <w:pPr>
        <w:numPr>
          <w:ilvl w:val="1"/>
          <w:numId w:val="0"/>
        </w:numPr>
        <w:tabs>
          <w:tab w:val="num" w:pos="1440"/>
        </w:tabs>
        <w:spacing w:before="100" w:after="100" w:afterAutospacing="1" w:line="240" w:lineRule="auto"/>
        <w:ind w:left="1440" w:hanging="360"/>
      </w:pPr>
      <w:r>
        <w:t>The Tribunal noted that JCBE had seconded employees to JCB India, who were involved in managerial roles such as Managing Director, Joint Managing Director, and Vice-President.</w:t>
      </w:r>
    </w:p>
    <w:p w:rsidR="00A056B6" w:rsidRDefault="00A056B6" w:rsidP="00743A5F">
      <w:pPr>
        <w:numPr>
          <w:ilvl w:val="1"/>
          <w:numId w:val="0"/>
        </w:numPr>
        <w:tabs>
          <w:tab w:val="num" w:pos="1440"/>
        </w:tabs>
        <w:spacing w:before="100" w:after="100" w:afterAutospacing="1" w:line="240" w:lineRule="auto"/>
        <w:ind w:left="1440" w:hanging="360"/>
      </w:pPr>
      <w:r>
        <w:t>These employees were present in India for periods exceeding 90 days within a twelve-month period.</w:t>
      </w:r>
    </w:p>
    <w:p w:rsidR="00A056B6" w:rsidRDefault="00A056B6" w:rsidP="00743A5F">
      <w:pPr>
        <w:numPr>
          <w:ilvl w:val="1"/>
          <w:numId w:val="0"/>
        </w:numPr>
        <w:tabs>
          <w:tab w:val="num" w:pos="1440"/>
        </w:tabs>
        <w:spacing w:before="100" w:after="100" w:afterAutospacing="1" w:line="240" w:lineRule="auto"/>
        <w:ind w:left="1440" w:hanging="360"/>
      </w:pPr>
      <w:r>
        <w:t>The ITAT concluded that the presence and activities of these seconded employees constituted a Service PE of JCBE in India under Article 5(2)(k)(i) of the India-UK DTAA.</w:t>
      </w:r>
    </w:p>
    <w:p w:rsidR="00A056B6" w:rsidRDefault="00A056B6" w:rsidP="00743A5F">
      <w:pPr>
        <w:pStyle w:val="NormalWeb"/>
        <w:tabs>
          <w:tab w:val="num" w:pos="720"/>
        </w:tabs>
        <w:spacing w:before="0" w:beforeAutospacing="0"/>
        <w:ind w:left="720" w:hanging="360"/>
      </w:pPr>
      <w:r>
        <w:rPr>
          <w:rStyle w:val="Strong"/>
        </w:rPr>
        <w:t>Taxability of Royalty Income:</w:t>
      </w:r>
    </w:p>
    <w:p w:rsidR="00A056B6" w:rsidRDefault="00A056B6" w:rsidP="00743A5F">
      <w:pPr>
        <w:numPr>
          <w:ilvl w:val="1"/>
          <w:numId w:val="0"/>
        </w:numPr>
        <w:tabs>
          <w:tab w:val="num" w:pos="1440"/>
        </w:tabs>
        <w:spacing w:before="100" w:after="100" w:afterAutospacing="1" w:line="240" w:lineRule="auto"/>
        <w:ind w:left="1440" w:hanging="360"/>
      </w:pPr>
      <w:r>
        <w:t>The Tribunal examined whether the royalty income received by JCBE was "effectively connected" with the Service PE in India.</w:t>
      </w:r>
    </w:p>
    <w:p w:rsidR="00A056B6" w:rsidRDefault="00A056B6" w:rsidP="00743A5F">
      <w:pPr>
        <w:numPr>
          <w:ilvl w:val="1"/>
          <w:numId w:val="0"/>
        </w:numPr>
        <w:tabs>
          <w:tab w:val="num" w:pos="1440"/>
        </w:tabs>
        <w:spacing w:before="100" w:after="100" w:afterAutospacing="1" w:line="240" w:lineRule="auto"/>
        <w:ind w:left="1440" w:hanging="360"/>
      </w:pPr>
      <w:r>
        <w:t>It was determined that the Service PE was involved in activities related to the licensed products, ensuring manufacturing as per specifications and maintaining quality.</w:t>
      </w:r>
    </w:p>
    <w:p w:rsidR="00A056B6" w:rsidRDefault="00A056B6" w:rsidP="00743A5F">
      <w:pPr>
        <w:numPr>
          <w:ilvl w:val="1"/>
          <w:numId w:val="0"/>
        </w:numPr>
        <w:tabs>
          <w:tab w:val="num" w:pos="1440"/>
        </w:tabs>
        <w:spacing w:before="100" w:after="100" w:afterAutospacing="1" w:line="240" w:lineRule="auto"/>
        <w:ind w:left="1440" w:hanging="360"/>
      </w:pPr>
      <w:r>
        <w:t>Therefore, the royalty income was considered effectively connected to the Service PE and was taxable as business profits under Article 7 of the DTAA, rather than as royalties under Article 13.</w:t>
      </w:r>
    </w:p>
    <w:p w:rsidR="00A056B6" w:rsidRDefault="00A056B6" w:rsidP="00743A5F">
      <w:pPr>
        <w:pStyle w:val="NormalWeb"/>
        <w:tabs>
          <w:tab w:val="num" w:pos="720"/>
        </w:tabs>
        <w:spacing w:before="0" w:beforeAutospacing="0"/>
        <w:ind w:left="720" w:hanging="360"/>
      </w:pPr>
      <w:r>
        <w:rPr>
          <w:rStyle w:val="Strong"/>
        </w:rPr>
        <w:t>Characterization of Other Receipts: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Central Cost Recharges and Structural Tests:</w:t>
      </w:r>
    </w:p>
    <w:p w:rsidR="00A056B6" w:rsidRDefault="00A056B6" w:rsidP="00743A5F">
      <w:pPr>
        <w:numPr>
          <w:ilvl w:val="2"/>
          <w:numId w:val="0"/>
        </w:numPr>
        <w:tabs>
          <w:tab w:val="num" w:pos="2160"/>
        </w:tabs>
        <w:spacing w:before="100" w:after="100" w:afterAutospacing="1" w:line="240" w:lineRule="auto"/>
        <w:ind w:left="2160" w:hanging="360"/>
      </w:pPr>
      <w:r>
        <w:t>The ITAT analyzed whether these payments qualified as FTS under Article 13 of the DTAA.</w:t>
      </w:r>
    </w:p>
    <w:p w:rsidR="00A056B6" w:rsidRDefault="00A056B6" w:rsidP="00743A5F">
      <w:pPr>
        <w:numPr>
          <w:ilvl w:val="2"/>
          <w:numId w:val="0"/>
        </w:numPr>
        <w:tabs>
          <w:tab w:val="num" w:pos="2160"/>
        </w:tabs>
        <w:spacing w:before="100" w:after="100" w:afterAutospacing="1" w:line="240" w:lineRule="auto"/>
        <w:ind w:left="2160" w:hanging="360"/>
      </w:pPr>
      <w:r>
        <w:t>It was found that the services provided did not "make available" technical knowledge, experience, skill, know-how, or processes to JCB India, a requirement under the DTAA for classification as FTS.</w:t>
      </w:r>
    </w:p>
    <w:p w:rsidR="00A056B6" w:rsidRDefault="00A056B6" w:rsidP="00743A5F">
      <w:pPr>
        <w:numPr>
          <w:ilvl w:val="2"/>
          <w:numId w:val="0"/>
        </w:numPr>
        <w:tabs>
          <w:tab w:val="num" w:pos="2160"/>
        </w:tabs>
        <w:spacing w:before="100" w:after="100" w:afterAutospacing="1" w:line="240" w:lineRule="auto"/>
        <w:ind w:left="2160" w:hanging="360"/>
      </w:pPr>
      <w:r>
        <w:t>Consequently, these payments were not considered FTS and were not taxable in India.</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Reimbursements for Seconded Employees:</w:t>
      </w:r>
    </w:p>
    <w:p w:rsidR="00A056B6" w:rsidRDefault="00A056B6" w:rsidP="00743A5F">
      <w:pPr>
        <w:numPr>
          <w:ilvl w:val="2"/>
          <w:numId w:val="0"/>
        </w:numPr>
        <w:tabs>
          <w:tab w:val="num" w:pos="2160"/>
        </w:tabs>
        <w:spacing w:before="100" w:after="100" w:afterAutospacing="1" w:line="240" w:lineRule="auto"/>
        <w:ind w:left="2160" w:hanging="360"/>
      </w:pPr>
      <w:r>
        <w:t>The Tribunal observed that the reimbursements were towards the salary costs of employees who were under the control and supervision of JCB India.</w:t>
      </w:r>
    </w:p>
    <w:p w:rsidR="00A056B6" w:rsidRDefault="00A056B6" w:rsidP="00743A5F">
      <w:pPr>
        <w:numPr>
          <w:ilvl w:val="2"/>
          <w:numId w:val="0"/>
        </w:numPr>
        <w:tabs>
          <w:tab w:val="num" w:pos="2160"/>
        </w:tabs>
        <w:spacing w:before="100" w:after="100" w:afterAutospacing="1" w:line="240" w:lineRule="auto"/>
        <w:ind w:left="2160" w:hanging="360"/>
      </w:pPr>
      <w:r>
        <w:t>Since these employees were effectively functioning as employees of JCB India, the reimbursements did not constitute FTS and were not taxable in India.</w:t>
      </w:r>
    </w:p>
    <w:p w:rsidR="00A056B6" w:rsidRDefault="00A056B6" w:rsidP="00743A5F">
      <w:pPr>
        <w:pStyle w:val="NormalWeb"/>
        <w:spacing w:before="0" w:beforeAutospacing="0"/>
      </w:pPr>
      <w:r>
        <w:rPr>
          <w:rStyle w:val="Strong"/>
        </w:rPr>
        <w:lastRenderedPageBreak/>
        <w:t>Ruling:</w:t>
      </w:r>
    </w:p>
    <w:p w:rsidR="00A056B6" w:rsidRDefault="00A056B6" w:rsidP="00743A5F">
      <w:pPr>
        <w:pStyle w:val="NormalWeb"/>
        <w:tabs>
          <w:tab w:val="num" w:pos="720"/>
        </w:tabs>
        <w:spacing w:before="0" w:beforeAutospacing="0"/>
        <w:ind w:left="720" w:hanging="360"/>
      </w:pPr>
      <w:r>
        <w:rPr>
          <w:rStyle w:val="Strong"/>
        </w:rPr>
        <w:t>Existence of Service PE:</w:t>
      </w:r>
      <w:r>
        <w:t xml:space="preserve"> The ITAT held that JCBE had a Service PE in India due to the secondment of employees to JCB India.</w:t>
      </w:r>
    </w:p>
    <w:p w:rsidR="00A056B6" w:rsidRDefault="00A056B6" w:rsidP="00743A5F">
      <w:pPr>
        <w:pStyle w:val="NormalWeb"/>
        <w:tabs>
          <w:tab w:val="num" w:pos="720"/>
        </w:tabs>
        <w:spacing w:before="0" w:beforeAutospacing="0"/>
        <w:ind w:left="720" w:hanging="360"/>
      </w:pPr>
      <w:r>
        <w:rPr>
          <w:rStyle w:val="Strong"/>
        </w:rPr>
        <w:t>Taxability of Royalty Income:</w:t>
      </w:r>
      <w:r>
        <w:t xml:space="preserve"> The royalty payments were effectively connected to the Service PE and were taxable as business profits under Article 7 of the India-UK DTAA.</w:t>
      </w:r>
    </w:p>
    <w:p w:rsidR="00A056B6" w:rsidRDefault="00A056B6" w:rsidP="00743A5F">
      <w:pPr>
        <w:pStyle w:val="NormalWeb"/>
        <w:tabs>
          <w:tab w:val="num" w:pos="720"/>
        </w:tabs>
        <w:spacing w:before="0" w:beforeAutospacing="0"/>
        <w:ind w:left="720" w:hanging="360"/>
      </w:pPr>
      <w:r>
        <w:rPr>
          <w:rStyle w:val="Strong"/>
        </w:rPr>
        <w:t>Other Receipts:</w:t>
      </w:r>
      <w:r>
        <w:t xml:space="preserve"> Payments for central cost recharges, structural tests, and reimbursements towards salary costs of seconded employees were not taxable in India, as they did not qualify as FTS under the DTAA.</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decision underscores the importance of analyzing the nature of cross-border arrangements, the role of seconded employees, and the specific provisions of international tax treaties in determining tax liabilities. The presence of a Service PE can significantly impact the taxation of income streams between associated enterprises operating across jurisdictions.</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J.C. Bamford Excavators Ltd. v. Deputy Director of Income Tax, ITA No. 1540/DEL/2014, ITAT Delhi Bench, dated July 18, 2018.</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66" w:tgtFrame="_new" w:history="1">
        <w:r>
          <w:rPr>
            <w:rStyle w:val="Hyperlink"/>
          </w:rPr>
          <w:t>Indian Kanoon</w:t>
        </w:r>
      </w:hyperlink>
    </w:p>
    <w:p w:rsidR="00A056B6" w:rsidRDefault="00A056B6" w:rsidP="00743A5F">
      <w:pPr>
        <w:pStyle w:val="NormalWeb"/>
        <w:spacing w:before="0" w:beforeAutospacing="0"/>
      </w:pPr>
      <w:r>
        <w:t>This ruling provides valuable insights into the interpretation of Service Permanent Establishments and the tax treatment of various income streams under the India-UK DTAA.</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ABB FZ LLC [TS-589-ITAT-2016(Bang)] (I.T.(I.T) A. No.188/Bang/2016) (India-UAE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31983F21" wp14:editId="38BAA071">
            <wp:extent cx="763905" cy="763905"/>
            <wp:effectExtent l="0" t="0" r="0" b="0"/>
            <wp:docPr id="420" name="Picture 42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3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ABB FZ-LLC v. Deputy Commissioner of Income Tax</w:t>
      </w:r>
      <w:r>
        <w:t xml:space="preserve">, the </w:t>
      </w:r>
      <w:r>
        <w:rPr>
          <w:rStyle w:val="Strong"/>
        </w:rPr>
        <w:t>Income Tax Appellate Tribunal (ITAT) Bangalore Bench</w:t>
      </w:r>
      <w:r>
        <w:t xml:space="preserve"> addressed the taxability of fees received by ABB FZ-LLC, a company incorporated in the United Arab Emirates (UAE), from its Indian counterpart, ABB India Ltd., under the </w:t>
      </w:r>
      <w:r>
        <w:rPr>
          <w:rStyle w:val="Strong"/>
        </w:rPr>
        <w:t>India-UAE Double Taxation Avoidance Agreement (DTAA)</w:t>
      </w:r>
      <w:r>
        <w:t>.</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lastRenderedPageBreak/>
        <w:t>Assessee:</w:t>
      </w:r>
      <w:r>
        <w:t xml:space="preserve"> ABB FZ-LLC, a UAE-based company, provided regional services to ABB India Ltd.</w:t>
      </w:r>
    </w:p>
    <w:p w:rsidR="00A056B6" w:rsidRDefault="00A056B6" w:rsidP="00743A5F">
      <w:pPr>
        <w:pStyle w:val="NormalWeb"/>
        <w:tabs>
          <w:tab w:val="num" w:pos="720"/>
        </w:tabs>
        <w:spacing w:before="0" w:beforeAutospacing="0"/>
        <w:ind w:left="720" w:hanging="360"/>
      </w:pPr>
      <w:r>
        <w:rPr>
          <w:rStyle w:val="Strong"/>
        </w:rPr>
        <w:t>Services Rendered:</w:t>
      </w:r>
      <w:r>
        <w:t xml:space="preserve"> The services included managerial, technical, and consultancy support.</w:t>
      </w:r>
    </w:p>
    <w:p w:rsidR="00A056B6" w:rsidRDefault="00A056B6" w:rsidP="00743A5F">
      <w:pPr>
        <w:pStyle w:val="NormalWeb"/>
        <w:tabs>
          <w:tab w:val="num" w:pos="720"/>
        </w:tabs>
        <w:spacing w:before="0" w:beforeAutospacing="0"/>
        <w:ind w:left="720" w:hanging="360"/>
      </w:pPr>
      <w:r>
        <w:rPr>
          <w:rStyle w:val="Strong"/>
        </w:rPr>
        <w:t>Fees Received:</w:t>
      </w:r>
      <w:r>
        <w:t xml:space="preserve"> ABB FZ-LLC received payments from ABB India Ltd. for these services.</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Taxability of Fees for Technical Services (FTS):</w:t>
      </w:r>
      <w:r>
        <w:t xml:space="preserve"> Whether the fees received by ABB FZ-LLC qualify as FTS and are taxable in India, considering the provisions of the India-UAE DTAA.</w:t>
      </w:r>
    </w:p>
    <w:p w:rsidR="00A056B6" w:rsidRDefault="00A056B6" w:rsidP="00743A5F">
      <w:pPr>
        <w:pStyle w:val="NormalWeb"/>
        <w:tabs>
          <w:tab w:val="num" w:pos="720"/>
        </w:tabs>
        <w:spacing w:before="0" w:beforeAutospacing="0"/>
        <w:ind w:left="720" w:hanging="360"/>
      </w:pPr>
      <w:r>
        <w:rPr>
          <w:rStyle w:val="Strong"/>
        </w:rPr>
        <w:t>Applicability of Domestic Tax Laws:</w:t>
      </w:r>
      <w:r>
        <w:t xml:space="preserve"> In the absence of a specific FTS clause in the India-UAE DTAA, whether the domestic tax laws of India apply to tax such income.</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Absence of FTS Clause in DTAA:</w:t>
      </w:r>
      <w:r>
        <w:t xml:space="preserve"> The ITAT noted that the India-UAE DTAA does not contain a specific article dealing with FTS.</w:t>
      </w:r>
    </w:p>
    <w:p w:rsidR="00A056B6" w:rsidRDefault="00A056B6" w:rsidP="00743A5F">
      <w:pPr>
        <w:pStyle w:val="NormalWeb"/>
        <w:tabs>
          <w:tab w:val="num" w:pos="720"/>
        </w:tabs>
        <w:spacing w:before="0" w:beforeAutospacing="0"/>
        <w:ind w:left="720" w:hanging="360"/>
      </w:pPr>
      <w:r>
        <w:rPr>
          <w:rStyle w:val="Strong"/>
        </w:rPr>
        <w:t>Reference to Domestic Law:</w:t>
      </w:r>
      <w:r>
        <w:t xml:space="preserve"> In the absence of a specific provision in the DTAA, the Tribunal considered the applicability of domestic tax laws.</w:t>
      </w:r>
    </w:p>
    <w:p w:rsidR="00A056B6" w:rsidRDefault="00A056B6" w:rsidP="00743A5F">
      <w:pPr>
        <w:pStyle w:val="NormalWeb"/>
        <w:tabs>
          <w:tab w:val="num" w:pos="720"/>
        </w:tabs>
        <w:spacing w:before="0" w:beforeAutospacing="0"/>
        <w:ind w:left="720" w:hanging="360"/>
      </w:pPr>
      <w:r>
        <w:rPr>
          <w:rStyle w:val="Strong"/>
        </w:rPr>
        <w:t>Definition under Domestic Law:</w:t>
      </w:r>
      <w:r>
        <w:t xml:space="preserve"> Under Section 9(1)(vii) of the Income Tax Act, 1961, FTS is defined, and such income is deemed to accrue or arise in India if it is payable by a resident, except where the payment is for services utilized in a business or profession carried on outside India or for earning income from sources outside India.</w:t>
      </w:r>
    </w:p>
    <w:p w:rsidR="00A056B6" w:rsidRDefault="00A056B6" w:rsidP="00743A5F">
      <w:pPr>
        <w:pStyle w:val="NormalWeb"/>
        <w:tabs>
          <w:tab w:val="num" w:pos="720"/>
        </w:tabs>
        <w:spacing w:before="0" w:beforeAutospacing="0"/>
        <w:ind w:left="720" w:hanging="360"/>
      </w:pPr>
      <w:r>
        <w:rPr>
          <w:rStyle w:val="Strong"/>
        </w:rPr>
        <w:t>Taxability in India:</w:t>
      </w:r>
      <w:r>
        <w:t xml:space="preserve"> The ITAT concluded that in the absence of a specific FTS article in the DTAA, the domestic law provisions apply. Therefore, the fees received by ABB FZ-LLC for services rendered to ABB India Ltd. are taxable in India as FTS under Section 9(1)(vii) of the Income Tax Act.</w:t>
      </w:r>
    </w:p>
    <w:p w:rsidR="00A056B6" w:rsidRDefault="00A056B6" w:rsidP="00743A5F">
      <w:pPr>
        <w:pStyle w:val="NormalWeb"/>
        <w:spacing w:before="0" w:beforeAutospacing="0"/>
      </w:pPr>
      <w:r>
        <w:rPr>
          <w:rStyle w:val="Strong"/>
        </w:rPr>
        <w:t>Ruling:</w:t>
      </w:r>
    </w:p>
    <w:p w:rsidR="00A056B6" w:rsidRDefault="00A056B6" w:rsidP="00743A5F">
      <w:pPr>
        <w:tabs>
          <w:tab w:val="num" w:pos="720"/>
        </w:tabs>
        <w:spacing w:before="100" w:after="100" w:afterAutospacing="1" w:line="240" w:lineRule="auto"/>
        <w:ind w:left="720" w:hanging="360"/>
      </w:pPr>
      <w:r>
        <w:rPr>
          <w:rStyle w:val="Strong"/>
        </w:rPr>
        <w:t>Fees Taxable as FTS:</w:t>
      </w:r>
      <w:r>
        <w:t xml:space="preserve"> The fees received by ABB FZ-LLC from ABB India Ltd. are taxable in India as Fees for Technical Services under Section 9(1)(vii) of the Income Tax Act, 1961.</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ruling clarifies that in the absence of a specific FTS clause in the India-UAE DTAA, the domestic tax laws of India apply, rendering fees for technical, managerial, or consultancy services taxable in India.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ABB FZ-LLC v. Deputy Commissioner of Income Tax, IT(IT)A No.188/Bang/2016, ITAT Bangalore Bench, dated October 28, 2016.</w:t>
      </w:r>
    </w:p>
    <w:p w:rsidR="00A056B6" w:rsidRDefault="00A056B6" w:rsidP="00743A5F">
      <w:pPr>
        <w:pStyle w:val="NormalWeb"/>
        <w:tabs>
          <w:tab w:val="num" w:pos="720"/>
        </w:tabs>
        <w:spacing w:before="0" w:beforeAutospacing="0"/>
        <w:ind w:left="720" w:hanging="360"/>
      </w:pPr>
      <w:r>
        <w:rPr>
          <w:rStyle w:val="Strong"/>
        </w:rPr>
        <w:lastRenderedPageBreak/>
        <w:t>Source:</w:t>
      </w:r>
      <w:r>
        <w:t xml:space="preserve"> </w:t>
      </w:r>
      <w:hyperlink r:id="rId67" w:tgtFrame="_new" w:history="1">
        <w:r>
          <w:rPr>
            <w:rStyle w:val="Hyperlink"/>
          </w:rPr>
          <w:t>Indian Kanoon</w:t>
        </w:r>
      </w:hyperlink>
    </w:p>
    <w:p w:rsidR="00A056B6" w:rsidRDefault="00A056B6" w:rsidP="00743A5F">
      <w:pPr>
        <w:pStyle w:val="NormalWeb"/>
        <w:spacing w:before="0" w:beforeAutospacing="0"/>
      </w:pPr>
      <w:r>
        <w:t>This decision provides clarity on the tax treatment of fees for technical services in the context of the India-UAE DTAA, emphasizing the applicability of domestic tax laws in the absence of specific treaty provisions.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Booz &amp; Company (ME) FZ-LLC v DDIT – (2018] 90 taxmann.com 49 (Mum) – ITA No. 4063 (Mum.) of 2015 dated 19.01.2018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6AA9E584" wp14:editId="12D6EA53">
            <wp:extent cx="763905" cy="763905"/>
            <wp:effectExtent l="0" t="0" r="0" b="0"/>
            <wp:docPr id="419" name="Picture 41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3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Booz &amp; Company (ME) FZ-LLC v. Deputy Director of Income Tax</w:t>
      </w:r>
      <w:r>
        <w:t xml:space="preserve">, the </w:t>
      </w:r>
      <w:r>
        <w:rPr>
          <w:rStyle w:val="Strong"/>
        </w:rPr>
        <w:t>Income Tax Appellate Tribunal (ITAT) Mumbai Bench</w:t>
      </w:r>
      <w:r>
        <w:t xml:space="preserve"> examined the taxability of fees received by Booz &amp; Company (ME) FZ-LLC (hereinafter referred to as "the assessee"), a company incorporated in the United Arab Emirates (UAE), from its Indian associated enterprise (AE) under the </w:t>
      </w:r>
      <w:r>
        <w:rPr>
          <w:rStyle w:val="Strong"/>
        </w:rPr>
        <w:t>India-UAE Double Taxation Avoidance Agreement (DTAA)</w:t>
      </w:r>
      <w:r>
        <w:t>.</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Booz &amp; Company (ME) FZ-LLC, a UAE-based company engaged in providing management and technical consultancy services.</w:t>
      </w:r>
    </w:p>
    <w:p w:rsidR="00A056B6" w:rsidRDefault="00A056B6" w:rsidP="00743A5F">
      <w:pPr>
        <w:pStyle w:val="NormalWeb"/>
        <w:tabs>
          <w:tab w:val="num" w:pos="720"/>
        </w:tabs>
        <w:spacing w:before="0" w:beforeAutospacing="0"/>
        <w:ind w:left="720" w:hanging="360"/>
      </w:pPr>
      <w:r>
        <w:rPr>
          <w:rStyle w:val="Strong"/>
        </w:rPr>
        <w:t>Indian AE:</w:t>
      </w:r>
      <w:r>
        <w:t xml:space="preserve"> Booz &amp; Company India Private Limited (Booz India).</w:t>
      </w:r>
    </w:p>
    <w:p w:rsidR="00A056B6" w:rsidRDefault="00A056B6" w:rsidP="00743A5F">
      <w:pPr>
        <w:pStyle w:val="NormalWeb"/>
        <w:tabs>
          <w:tab w:val="num" w:pos="720"/>
        </w:tabs>
        <w:spacing w:before="0" w:beforeAutospacing="0"/>
        <w:ind w:left="720" w:hanging="360"/>
      </w:pPr>
      <w:r>
        <w:rPr>
          <w:rStyle w:val="Strong"/>
        </w:rPr>
        <w:t>Services Rendered:</w:t>
      </w:r>
      <w:r>
        <w:t xml:space="preserve"> The assessee provided technical and professional personnel to Booz India.</w:t>
      </w:r>
    </w:p>
    <w:p w:rsidR="00A056B6" w:rsidRDefault="00A056B6" w:rsidP="00743A5F">
      <w:pPr>
        <w:pStyle w:val="NormalWeb"/>
        <w:tabs>
          <w:tab w:val="num" w:pos="720"/>
        </w:tabs>
        <w:spacing w:before="0" w:beforeAutospacing="0"/>
        <w:ind w:left="720" w:hanging="360"/>
      </w:pPr>
      <w:r>
        <w:rPr>
          <w:rStyle w:val="Strong"/>
        </w:rPr>
        <w:t>Fees Received:</w:t>
      </w:r>
      <w:r>
        <w:t xml:space="preserve"> During the Assessment Year (AY) 2011-12, the assessee received fees amounting to ₹112.83 lakhs from Booz India.</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Existence of Permanent Establishment (PE):</w:t>
      </w:r>
      <w:r>
        <w:t xml:space="preserve"> Whether the assessee had a PE in India due to the provision of personnel to Booz India, thereby making its business income taxable in India under Article 7 of the India-UAE DTAA.</w:t>
      </w:r>
    </w:p>
    <w:p w:rsidR="00A056B6" w:rsidRDefault="00A056B6" w:rsidP="00743A5F">
      <w:pPr>
        <w:pStyle w:val="NormalWeb"/>
        <w:tabs>
          <w:tab w:val="num" w:pos="720"/>
        </w:tabs>
        <w:spacing w:before="0" w:beforeAutospacing="0"/>
        <w:ind w:left="720" w:hanging="360"/>
      </w:pPr>
      <w:r>
        <w:rPr>
          <w:rStyle w:val="Strong"/>
        </w:rPr>
        <w:t>Taxability of Fees for Technical Services (FTS):</w:t>
      </w:r>
      <w:r>
        <w:t xml:space="preserve"> In the absence of a specific FTS clause in the India-UAE DTAA, whether the fees received by the assessee are taxable as business income in India.</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lastRenderedPageBreak/>
        <w:t>Permanent Establishment (PE):</w:t>
      </w:r>
    </w:p>
    <w:p w:rsidR="00A056B6" w:rsidRDefault="00A056B6" w:rsidP="00743A5F">
      <w:pPr>
        <w:numPr>
          <w:ilvl w:val="1"/>
          <w:numId w:val="0"/>
        </w:numPr>
        <w:tabs>
          <w:tab w:val="num" w:pos="1440"/>
        </w:tabs>
        <w:spacing w:before="100" w:after="100" w:afterAutospacing="1" w:line="240" w:lineRule="auto"/>
        <w:ind w:left="1440" w:hanging="360"/>
      </w:pPr>
      <w:r>
        <w:t>The Assessing Officer (AO) relied on a ruling by the Authority for Advance Rulings (AAR) concerning group companies of the assessee, which indicated the existence of a PE in India.</w:t>
      </w:r>
    </w:p>
    <w:p w:rsidR="00A056B6" w:rsidRDefault="00A056B6" w:rsidP="00743A5F">
      <w:pPr>
        <w:numPr>
          <w:ilvl w:val="1"/>
          <w:numId w:val="0"/>
        </w:numPr>
        <w:tabs>
          <w:tab w:val="num" w:pos="1440"/>
        </w:tabs>
        <w:spacing w:before="100" w:after="100" w:afterAutospacing="1" w:line="240" w:lineRule="auto"/>
        <w:ind w:left="1440" w:hanging="360"/>
      </w:pPr>
      <w:r>
        <w:t>The ITAT noted that the AAR's ruling pertained to different entities and could not be directly applied to the assessee without examining the specific facts of the case.</w:t>
      </w:r>
    </w:p>
    <w:p w:rsidR="00A056B6" w:rsidRDefault="00A056B6" w:rsidP="00743A5F">
      <w:pPr>
        <w:numPr>
          <w:ilvl w:val="1"/>
          <w:numId w:val="0"/>
        </w:numPr>
        <w:tabs>
          <w:tab w:val="num" w:pos="1440"/>
        </w:tabs>
        <w:spacing w:before="100" w:after="100" w:afterAutospacing="1" w:line="240" w:lineRule="auto"/>
        <w:ind w:left="1440" w:hanging="360"/>
      </w:pPr>
      <w:r>
        <w:t>The Tribunal emphasized that the existence of a PE must be determined based on the assessee's activities and presence in India.</w:t>
      </w:r>
    </w:p>
    <w:p w:rsidR="00A056B6" w:rsidRDefault="00A056B6" w:rsidP="00743A5F">
      <w:pPr>
        <w:numPr>
          <w:ilvl w:val="1"/>
          <w:numId w:val="0"/>
        </w:numPr>
        <w:tabs>
          <w:tab w:val="num" w:pos="1440"/>
        </w:tabs>
        <w:spacing w:before="100" w:after="100" w:afterAutospacing="1" w:line="240" w:lineRule="auto"/>
        <w:ind w:left="1440" w:hanging="360"/>
      </w:pPr>
      <w:r>
        <w:t>It was observed that the personnel provided by the assessee were present in India for an aggregate period of 156 days during the relevant year.</w:t>
      </w:r>
    </w:p>
    <w:p w:rsidR="00A056B6" w:rsidRDefault="00A056B6" w:rsidP="00743A5F">
      <w:pPr>
        <w:numPr>
          <w:ilvl w:val="1"/>
          <w:numId w:val="0"/>
        </w:numPr>
        <w:tabs>
          <w:tab w:val="num" w:pos="1440"/>
        </w:tabs>
        <w:spacing w:before="100" w:after="100" w:afterAutospacing="1" w:line="240" w:lineRule="auto"/>
        <w:ind w:left="1440" w:hanging="360"/>
      </w:pPr>
      <w:r>
        <w:t>Under Article 5(3)(b) of the India-UAE DTAA, a Service PE is constituted if activities continue for a period exceeding nine months within any twelve-month period.</w:t>
      </w:r>
    </w:p>
    <w:p w:rsidR="00A056B6" w:rsidRDefault="00A056B6" w:rsidP="00743A5F">
      <w:pPr>
        <w:numPr>
          <w:ilvl w:val="1"/>
          <w:numId w:val="0"/>
        </w:numPr>
        <w:tabs>
          <w:tab w:val="num" w:pos="1440"/>
        </w:tabs>
        <w:spacing w:before="100" w:after="100" w:afterAutospacing="1" w:line="240" w:lineRule="auto"/>
        <w:ind w:left="1440" w:hanging="360"/>
      </w:pPr>
      <w:r>
        <w:t>Since the duration of the assessee's activities in India was less than nine months, the ITAT concluded that the assessee did not have a PE in India.</w:t>
      </w:r>
    </w:p>
    <w:p w:rsidR="00A056B6" w:rsidRDefault="00A056B6" w:rsidP="00743A5F">
      <w:pPr>
        <w:pStyle w:val="NormalWeb"/>
        <w:tabs>
          <w:tab w:val="num" w:pos="720"/>
        </w:tabs>
        <w:spacing w:before="0" w:beforeAutospacing="0"/>
        <w:ind w:left="720" w:hanging="360"/>
      </w:pPr>
      <w:r>
        <w:rPr>
          <w:rStyle w:val="Strong"/>
        </w:rPr>
        <w:t>Taxability of Fees:</w:t>
      </w:r>
    </w:p>
    <w:p w:rsidR="00A056B6" w:rsidRDefault="00A056B6" w:rsidP="00743A5F">
      <w:pPr>
        <w:numPr>
          <w:ilvl w:val="1"/>
          <w:numId w:val="0"/>
        </w:numPr>
        <w:tabs>
          <w:tab w:val="num" w:pos="1440"/>
        </w:tabs>
        <w:spacing w:before="100" w:after="100" w:afterAutospacing="1" w:line="240" w:lineRule="auto"/>
        <w:ind w:left="1440" w:hanging="360"/>
      </w:pPr>
      <w:r>
        <w:t>The ITAT observed that the India-UAE DTAA does not have a specific article dealing with FTS.</w:t>
      </w:r>
    </w:p>
    <w:p w:rsidR="00A056B6" w:rsidRDefault="00A056B6" w:rsidP="00743A5F">
      <w:pPr>
        <w:numPr>
          <w:ilvl w:val="1"/>
          <w:numId w:val="0"/>
        </w:numPr>
        <w:tabs>
          <w:tab w:val="num" w:pos="1440"/>
        </w:tabs>
        <w:spacing w:before="100" w:after="100" w:afterAutospacing="1" w:line="240" w:lineRule="auto"/>
        <w:ind w:left="1440" w:hanging="360"/>
      </w:pPr>
      <w:r>
        <w:t>In the absence of a specific FTS clause, such fees are treated as business profits under Article 7 of the DTAA.</w:t>
      </w:r>
    </w:p>
    <w:p w:rsidR="00A056B6" w:rsidRDefault="00A056B6" w:rsidP="00743A5F">
      <w:pPr>
        <w:numPr>
          <w:ilvl w:val="1"/>
          <w:numId w:val="0"/>
        </w:numPr>
        <w:tabs>
          <w:tab w:val="num" w:pos="1440"/>
        </w:tabs>
        <w:spacing w:before="100" w:after="100" w:afterAutospacing="1" w:line="240" w:lineRule="auto"/>
        <w:ind w:left="1440" w:hanging="360"/>
      </w:pPr>
      <w:r>
        <w:t>Business profits of a non-resident are taxable in India only if the non-resident has a PE in India.</w:t>
      </w:r>
    </w:p>
    <w:p w:rsidR="00A056B6" w:rsidRDefault="00A056B6" w:rsidP="00743A5F">
      <w:pPr>
        <w:numPr>
          <w:ilvl w:val="1"/>
          <w:numId w:val="0"/>
        </w:numPr>
        <w:tabs>
          <w:tab w:val="num" w:pos="1440"/>
        </w:tabs>
        <w:spacing w:before="100" w:after="100" w:afterAutospacing="1" w:line="240" w:lineRule="auto"/>
        <w:ind w:left="1440" w:hanging="360"/>
      </w:pPr>
      <w:r>
        <w:t>Since the assessee did not have a PE in India, the fees received from Booz India were not taxable in India.</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No Permanent Establishment:</w:t>
      </w:r>
      <w:r>
        <w:t xml:space="preserve"> The ITAT held that the assessee did not have a PE in India during the relevant assessment year.</w:t>
      </w:r>
    </w:p>
    <w:p w:rsidR="00A056B6" w:rsidRDefault="00A056B6" w:rsidP="00743A5F">
      <w:pPr>
        <w:pStyle w:val="NormalWeb"/>
        <w:tabs>
          <w:tab w:val="num" w:pos="720"/>
        </w:tabs>
        <w:spacing w:before="0" w:beforeAutospacing="0"/>
        <w:ind w:left="720" w:hanging="360"/>
      </w:pPr>
      <w:r>
        <w:rPr>
          <w:rStyle w:val="Strong"/>
        </w:rPr>
        <w:t>Non-Taxability of Fees:</w:t>
      </w:r>
      <w:r>
        <w:t xml:space="preserve"> In the absence of a PE, the fees received by the assessee from Booz India were not taxable in India under the provisions of the India-UAE DTAA.</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ruling underscores the importance of assessing the existence of a Permanent Establishment based on the specific facts and duration of activities in India. It also highlights that in the absence of a specific FTS clause in the India-UAE DTAA, fees for technical services are treated as business profits and are taxable in India only if the foreign entity has a PE in India.</w:t>
      </w:r>
    </w:p>
    <w:p w:rsidR="00A056B6" w:rsidRDefault="00A056B6" w:rsidP="00743A5F">
      <w:pPr>
        <w:pStyle w:val="NormalWeb"/>
        <w:spacing w:before="0" w:beforeAutospacing="0"/>
      </w:pPr>
      <w:r>
        <w:rPr>
          <w:rStyle w:val="Strong"/>
        </w:rPr>
        <w:lastRenderedPageBreak/>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Booz &amp; Company (ME) FZ-LLC v. Deputy Director of Income Tax, ITA No. 4063/Mum/2015, ITAT Mumbai Bench, dated January 19, 2018.</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68" w:tgtFrame="_new" w:history="1">
        <w:r>
          <w:rPr>
            <w:rStyle w:val="Hyperlink"/>
          </w:rPr>
          <w:t>Indian Kanoon</w:t>
        </w:r>
      </w:hyperlink>
    </w:p>
    <w:p w:rsidR="00A056B6" w:rsidRDefault="00A056B6" w:rsidP="00743A5F">
      <w:pPr>
        <w:pStyle w:val="NormalWeb"/>
        <w:spacing w:before="0" w:beforeAutospacing="0"/>
      </w:pPr>
      <w:r>
        <w:t>This decision provides clarity on the interpretation of Permanent Establishment and the tax treatment of fees for technical services under the India-UAE DTAA.</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Cooper Standard Automotive India (P.) Ltd. v ACIT - [2017] 84 taxmann.com 200 (Chennai - Trib.) - I.T. APPEAL NO. 785 (MDS.) OF 2014 dated 12.04.2017</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59E81ECF" wp14:editId="38F2CEEE">
            <wp:extent cx="763905" cy="763905"/>
            <wp:effectExtent l="0" t="0" r="0" b="0"/>
            <wp:docPr id="418" name="Picture 41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3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w:t>
      </w:r>
      <w:r>
        <w:rPr>
          <w:rStyle w:val="Strong"/>
        </w:rPr>
        <w:t>Cooper Standard Automotive India (P.) Ltd. v. Assistant Commissioner of Income Tax</w:t>
      </w:r>
      <w:r>
        <w:t xml:space="preserve">, the </w:t>
      </w:r>
      <w:r>
        <w:rPr>
          <w:rStyle w:val="Strong"/>
        </w:rPr>
        <w:t>Income Tax Appellate Tribunal (ITAT) Chennai Bench</w:t>
      </w:r>
      <w:r>
        <w:t xml:space="preserve"> addressed the tax implications of payments made by Cooper Standard Automotive India Pvt. Ltd. (the assessee) to its non-resident parent company for certain services rendered.</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Cooper Standard Automotive India Pvt. Ltd., an Indian company engaged in manufacturing automotive components.</w:t>
      </w:r>
    </w:p>
    <w:p w:rsidR="00A056B6" w:rsidRDefault="00A056B6" w:rsidP="00743A5F">
      <w:pPr>
        <w:pStyle w:val="NormalWeb"/>
        <w:tabs>
          <w:tab w:val="num" w:pos="720"/>
        </w:tabs>
        <w:spacing w:before="0" w:beforeAutospacing="0"/>
        <w:ind w:left="720" w:hanging="360"/>
      </w:pPr>
      <w:r>
        <w:rPr>
          <w:rStyle w:val="Strong"/>
        </w:rPr>
        <w:t>Parent Company:</w:t>
      </w:r>
      <w:r>
        <w:t xml:space="preserve"> Cooper Standard Automotive Inc., a non-resident company based in the USA.</w:t>
      </w:r>
    </w:p>
    <w:p w:rsidR="00A056B6" w:rsidRDefault="00A056B6" w:rsidP="00743A5F">
      <w:pPr>
        <w:pStyle w:val="NormalWeb"/>
        <w:tabs>
          <w:tab w:val="num" w:pos="720"/>
        </w:tabs>
        <w:spacing w:before="0" w:beforeAutospacing="0"/>
        <w:ind w:left="720" w:hanging="360"/>
      </w:pPr>
      <w:r>
        <w:rPr>
          <w:rStyle w:val="Strong"/>
        </w:rPr>
        <w:t>Services Rendered:</w:t>
      </w:r>
      <w:r>
        <w:t xml:space="preserve"> The parent company provided various services, including management support, technical assistance, and other related services, to the assessee.</w:t>
      </w:r>
    </w:p>
    <w:p w:rsidR="00A056B6" w:rsidRDefault="00A056B6" w:rsidP="00743A5F">
      <w:pPr>
        <w:pStyle w:val="NormalWeb"/>
        <w:tabs>
          <w:tab w:val="num" w:pos="720"/>
        </w:tabs>
        <w:spacing w:before="0" w:beforeAutospacing="0"/>
        <w:ind w:left="720" w:hanging="360"/>
      </w:pPr>
      <w:r>
        <w:rPr>
          <w:rStyle w:val="Strong"/>
        </w:rPr>
        <w:t>Payments Made:</w:t>
      </w:r>
      <w:r>
        <w:t xml:space="preserve"> The assessee made payments to the parent company for these services without deducting tax at source under Section 195 of the Income Tax Act, 1961.</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Characterization of Payments:</w:t>
      </w:r>
      <w:r>
        <w:t xml:space="preserve"> Whether the payments made by the assessee to its non-resident parent company for services rendered qualify as "Fees for Technical Services" (FTS) under Section 9(1)(vii) of the Income Tax Act, 1961, and the India-USA Double Taxation Avoidance Agreement (DTAA).</w:t>
      </w:r>
    </w:p>
    <w:p w:rsidR="00A056B6" w:rsidRDefault="00A056B6" w:rsidP="00743A5F">
      <w:pPr>
        <w:pStyle w:val="NormalWeb"/>
        <w:tabs>
          <w:tab w:val="num" w:pos="720"/>
        </w:tabs>
        <w:spacing w:before="0" w:beforeAutospacing="0"/>
        <w:ind w:left="720" w:hanging="360"/>
      </w:pPr>
      <w:r>
        <w:rPr>
          <w:rStyle w:val="Strong"/>
        </w:rPr>
        <w:lastRenderedPageBreak/>
        <w:t>Tax Deduction at Source (TDS):</w:t>
      </w:r>
      <w:r>
        <w:t xml:space="preserve"> Whether the assessee was liable to deduct tax at source under Section 195 on these payments.</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Nature of Services:</w:t>
      </w:r>
      <w:r>
        <w:t xml:space="preserve"> The Tribunal examined the nature of services provided by the parent company, noting that they included managerial and technical assistance.</w:t>
      </w:r>
    </w:p>
    <w:p w:rsidR="00A056B6" w:rsidRDefault="00A056B6" w:rsidP="00743A5F">
      <w:pPr>
        <w:pStyle w:val="NormalWeb"/>
        <w:tabs>
          <w:tab w:val="num" w:pos="720"/>
        </w:tabs>
        <w:spacing w:before="0" w:beforeAutospacing="0"/>
        <w:ind w:left="720" w:hanging="360"/>
      </w:pPr>
      <w:r>
        <w:rPr>
          <w:rStyle w:val="Strong"/>
        </w:rPr>
        <w:t>Make Available Clause:</w:t>
      </w:r>
      <w:r>
        <w:t xml:space="preserve"> Under the India-USA DTAA, for services to be classified as FTS, they must "make available" technical knowledge, experience, skill, know-how, or processes to the recipient, enabling them to apply the technology independently.</w:t>
      </w:r>
    </w:p>
    <w:p w:rsidR="00A056B6" w:rsidRDefault="00A056B6" w:rsidP="00743A5F">
      <w:pPr>
        <w:pStyle w:val="NormalWeb"/>
        <w:tabs>
          <w:tab w:val="num" w:pos="720"/>
        </w:tabs>
        <w:spacing w:before="0" w:beforeAutospacing="0"/>
        <w:ind w:left="720" w:hanging="360"/>
      </w:pPr>
      <w:r>
        <w:rPr>
          <w:rStyle w:val="Strong"/>
        </w:rPr>
        <w:t>Findings:</w:t>
      </w:r>
      <w:r>
        <w:t xml:space="preserve"> The ITAT observed that the services rendered by the parent company did not "make available" any technical knowledge or skill to the assessee that would enable it to perform such services independently in the future.</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Not FTS under DTAA:</w:t>
      </w:r>
      <w:r>
        <w:t xml:space="preserve"> The ITAT held that the payments made by the assessee to its non-resident parent company did not qualify as "Fees for Technical Services" under the India-USA DTAA, as the services did not "make available" technical knowledge or skills to the assessee.</w:t>
      </w:r>
    </w:p>
    <w:p w:rsidR="00A056B6" w:rsidRDefault="00A056B6" w:rsidP="00743A5F">
      <w:pPr>
        <w:pStyle w:val="NormalWeb"/>
        <w:tabs>
          <w:tab w:val="num" w:pos="720"/>
        </w:tabs>
        <w:spacing w:before="0" w:beforeAutospacing="0"/>
        <w:ind w:left="720" w:hanging="360"/>
      </w:pPr>
      <w:r>
        <w:rPr>
          <w:rStyle w:val="Strong"/>
        </w:rPr>
        <w:t>No TDS Obligation:</w:t>
      </w:r>
      <w:r>
        <w:t xml:space="preserve"> Consequently, the assessee was not liable to deduct tax at source under Section 195 on these payments.</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clarifies that for payments to be classified as "Fees for Technical Services" under the India-USA DTAA, the services must "make available" technical knowledge or skills to the recipient, enabling them to apply the technology independently. In the absence of such a transfer of knowledge, there is no obligation to deduct tax at source under Section 195 of the Income Tax Act.</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Cooper Standard Automotive India (P.) Ltd. v. Assistant Commissioner of Income Tax, I.T. Appeal No. 785 (Mds.) of 2014, ITAT Chennai Bench, dated April 12, 2017.</w:t>
      </w:r>
    </w:p>
    <w:p w:rsidR="00A056B6" w:rsidRDefault="00A056B6" w:rsidP="00743A5F">
      <w:pPr>
        <w:pStyle w:val="NormalWeb"/>
        <w:tabs>
          <w:tab w:val="num" w:pos="720"/>
        </w:tabs>
        <w:spacing w:before="0" w:beforeAutospacing="0"/>
        <w:ind w:left="720" w:hanging="360"/>
      </w:pPr>
      <w:r>
        <w:rPr>
          <w:rStyle w:val="Strong"/>
        </w:rPr>
        <w:t>Source:</w:t>
      </w:r>
      <w:r>
        <w:t xml:space="preserve"> Taxmann</w:t>
      </w:r>
    </w:p>
    <w:p w:rsidR="00A056B6" w:rsidRDefault="00A056B6" w:rsidP="00743A5F">
      <w:pPr>
        <w:pStyle w:val="NormalWeb"/>
        <w:spacing w:before="0" w:beforeAutospacing="0"/>
      </w:pPr>
      <w:r>
        <w:t>This decision provides guidance on the interpretation of "Fees for Technical Services" under the India-USA DTAA and the associated obligations for tax deduction at source.</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Rhodia Specialty Chemicals India Ltd. v Add CIT - [2017] 81 taxmann.com 423 (Mumbai - Trib.) - IT APPEAL NOS. 622 &amp; 830 (MUM.) OF 2014 dated 24.04.2017</w:t>
      </w:r>
    </w:p>
    <w:p w:rsidR="00A056B6" w:rsidRDefault="00A056B6" w:rsidP="00743A5F">
      <w:pPr>
        <w:pStyle w:val="Heading6"/>
        <w:spacing w:before="0" w:beforeAutospacing="0"/>
      </w:pPr>
      <w:r>
        <w:lastRenderedPageBreak/>
        <w:t>ChatGPT said:</w:t>
      </w:r>
    </w:p>
    <w:p w:rsidR="00A056B6" w:rsidRDefault="00A056B6" w:rsidP="00743A5F">
      <w:pPr>
        <w:spacing w:line="240" w:lineRule="auto"/>
      </w:pPr>
      <w:r>
        <w:rPr>
          <w:noProof/>
          <w:lang w:eastAsia="en-IN" w:bidi="ta-IN"/>
        </w:rPr>
        <w:drawing>
          <wp:inline distT="0" distB="0" distL="0" distR="0" wp14:anchorId="55F9513C" wp14:editId="58AE3D4B">
            <wp:extent cx="763905" cy="763905"/>
            <wp:effectExtent l="0" t="0" r="0" b="0"/>
            <wp:docPr id="417" name="Picture 41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4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Rhodia Specialty Chemicals India Ltd. v. Additional Commissioner of Income Tax</w:t>
      </w:r>
      <w:r>
        <w:t xml:space="preserve">, the </w:t>
      </w:r>
      <w:r>
        <w:rPr>
          <w:rStyle w:val="Strong"/>
        </w:rPr>
        <w:t>Income Tax Appellate Tribunal (ITAT) Mumbai Bench</w:t>
      </w:r>
      <w:r>
        <w:t xml:space="preserve"> addressed several issues concerning the assessment for the Assessment Year (AY) 2009-10.</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Rhodia Specialty Chemicals India Ltd., formerly known as Albright &amp; Wilson Chemicals India Ltd., engaged in the business of manufacturing and trading in chemicals.</w:t>
      </w:r>
    </w:p>
    <w:p w:rsidR="00A056B6" w:rsidRDefault="00A056B6" w:rsidP="00743A5F">
      <w:pPr>
        <w:pStyle w:val="NormalWeb"/>
        <w:tabs>
          <w:tab w:val="num" w:pos="720"/>
        </w:tabs>
        <w:spacing w:before="0" w:beforeAutospacing="0"/>
        <w:ind w:left="720" w:hanging="360"/>
      </w:pPr>
      <w:r>
        <w:rPr>
          <w:rStyle w:val="Strong"/>
        </w:rPr>
        <w:t>Assessment Year:</w:t>
      </w:r>
      <w:r>
        <w:t xml:space="preserve"> 2009-10.</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Addition Due to Mismatch in Credit Card Transactions:</w:t>
      </w:r>
    </w:p>
    <w:p w:rsidR="00A056B6" w:rsidRDefault="00A056B6" w:rsidP="00743A5F">
      <w:pPr>
        <w:numPr>
          <w:ilvl w:val="1"/>
          <w:numId w:val="0"/>
        </w:numPr>
        <w:tabs>
          <w:tab w:val="num" w:pos="1440"/>
        </w:tabs>
        <w:spacing w:before="100" w:after="100" w:afterAutospacing="1" w:line="240" w:lineRule="auto"/>
        <w:ind w:left="1440" w:hanging="360"/>
      </w:pPr>
      <w:r>
        <w:t>The Assessing Officer (AO) noted a discrepancy between the credit card transactions reported in the Annual Information Return (AIR) and the assessee's books of account.</w:t>
      </w:r>
    </w:p>
    <w:p w:rsidR="00A056B6" w:rsidRDefault="00A056B6" w:rsidP="00743A5F">
      <w:pPr>
        <w:numPr>
          <w:ilvl w:val="1"/>
          <w:numId w:val="0"/>
        </w:numPr>
        <w:tabs>
          <w:tab w:val="num" w:pos="1440"/>
        </w:tabs>
        <w:spacing w:before="100" w:after="100" w:afterAutospacing="1" w:line="240" w:lineRule="auto"/>
        <w:ind w:left="1440" w:hanging="360"/>
      </w:pPr>
      <w:r>
        <w:t>The AIR indicated transactions amounting to ₹5,34,631, while the assessee's records showed ₹4,93,466, resulting in a difference of ₹41,165.</w:t>
      </w:r>
    </w:p>
    <w:p w:rsidR="00A056B6" w:rsidRDefault="00A056B6" w:rsidP="00743A5F">
      <w:pPr>
        <w:numPr>
          <w:ilvl w:val="1"/>
          <w:numId w:val="0"/>
        </w:numPr>
        <w:tabs>
          <w:tab w:val="num" w:pos="1440"/>
        </w:tabs>
        <w:spacing w:before="100" w:after="100" w:afterAutospacing="1" w:line="240" w:lineRule="auto"/>
        <w:ind w:left="1440" w:hanging="360"/>
      </w:pPr>
      <w:r>
        <w:t>The assessee explained that the difference pertained to personal expenses incurred by employees using company-issued credit cards, which were subsequently reimbursed by the employees and not recorded as company expenses.</w:t>
      </w:r>
    </w:p>
    <w:p w:rsidR="00A056B6" w:rsidRDefault="00A056B6" w:rsidP="00743A5F">
      <w:pPr>
        <w:numPr>
          <w:ilvl w:val="1"/>
          <w:numId w:val="0"/>
        </w:numPr>
        <w:tabs>
          <w:tab w:val="num" w:pos="1440"/>
        </w:tabs>
        <w:spacing w:before="100" w:after="100" w:afterAutospacing="1" w:line="240" w:lineRule="auto"/>
        <w:ind w:left="1440" w:hanging="360"/>
      </w:pPr>
      <w:r>
        <w:t>The AO added the difference to the assessee's income, citing failure to reconcile the discrepancy.</w:t>
      </w:r>
    </w:p>
    <w:p w:rsidR="00A056B6" w:rsidRDefault="00A056B6" w:rsidP="00743A5F">
      <w:pPr>
        <w:pStyle w:val="NormalWeb"/>
        <w:tabs>
          <w:tab w:val="num" w:pos="720"/>
        </w:tabs>
        <w:spacing w:before="0" w:beforeAutospacing="0"/>
        <w:ind w:left="720" w:hanging="360"/>
      </w:pPr>
      <w:r>
        <w:rPr>
          <w:rStyle w:val="Strong"/>
        </w:rPr>
        <w:t>Transfer Pricing Adjustment:</w:t>
      </w:r>
    </w:p>
    <w:p w:rsidR="00A056B6" w:rsidRDefault="00A056B6" w:rsidP="00743A5F">
      <w:pPr>
        <w:numPr>
          <w:ilvl w:val="1"/>
          <w:numId w:val="0"/>
        </w:numPr>
        <w:tabs>
          <w:tab w:val="num" w:pos="1440"/>
        </w:tabs>
        <w:spacing w:before="100" w:after="100" w:afterAutospacing="1" w:line="240" w:lineRule="auto"/>
        <w:ind w:left="1440" w:hanging="360"/>
      </w:pPr>
      <w:r>
        <w:t>The Transfer Pricing Officer (TPO) made adjustments to the international transactions between the assessee and its associated enterprises, affecting the taxable income.</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Credit Card Transactions:</w:t>
      </w:r>
    </w:p>
    <w:p w:rsidR="00A056B6" w:rsidRDefault="00A056B6" w:rsidP="00743A5F">
      <w:pPr>
        <w:numPr>
          <w:ilvl w:val="1"/>
          <w:numId w:val="0"/>
        </w:numPr>
        <w:tabs>
          <w:tab w:val="num" w:pos="1440"/>
        </w:tabs>
        <w:spacing w:before="100" w:after="100" w:afterAutospacing="1" w:line="240" w:lineRule="auto"/>
        <w:ind w:left="1440" w:hanging="360"/>
      </w:pPr>
      <w:r>
        <w:t>The ITAT observed that the addition was made solely based on AIR information without providing specific details to the assessee for reconciliation.</w:t>
      </w:r>
    </w:p>
    <w:p w:rsidR="00A056B6" w:rsidRDefault="00A056B6" w:rsidP="00743A5F">
      <w:pPr>
        <w:numPr>
          <w:ilvl w:val="1"/>
          <w:numId w:val="0"/>
        </w:numPr>
        <w:tabs>
          <w:tab w:val="num" w:pos="1440"/>
        </w:tabs>
        <w:spacing w:before="100" w:after="100" w:afterAutospacing="1" w:line="240" w:lineRule="auto"/>
        <w:ind w:left="1440" w:hanging="360"/>
      </w:pPr>
      <w:r>
        <w:lastRenderedPageBreak/>
        <w:t xml:space="preserve">The Tribunal referenced the decision in </w:t>
      </w:r>
      <w:r>
        <w:rPr>
          <w:rStyle w:val="Strong"/>
        </w:rPr>
        <w:t>AF Ferguson &amp; Co. v. JCIT</w:t>
      </w:r>
      <w:r>
        <w:t xml:space="preserve"> (ITA No. 5037/Mum/2012), where it was held that additions based solely on AIR information, without furnishing complete details to the assessee, are unsustainable.</w:t>
      </w:r>
    </w:p>
    <w:p w:rsidR="00A056B6" w:rsidRDefault="00A056B6" w:rsidP="00743A5F">
      <w:pPr>
        <w:numPr>
          <w:ilvl w:val="1"/>
          <w:numId w:val="0"/>
        </w:numPr>
        <w:tabs>
          <w:tab w:val="num" w:pos="1440"/>
        </w:tabs>
        <w:spacing w:before="100" w:after="100" w:afterAutospacing="1" w:line="240" w:lineRule="auto"/>
        <w:ind w:left="1440" w:hanging="360"/>
      </w:pPr>
      <w:r>
        <w:t>Consequently, the ITAT deleted the addition of ₹41,165, emphasizing the need for the AO to provide specific details to the assessee for proper reconciliation.</w:t>
      </w:r>
    </w:p>
    <w:p w:rsidR="00A056B6" w:rsidRDefault="00A056B6" w:rsidP="00743A5F">
      <w:pPr>
        <w:pStyle w:val="NormalWeb"/>
        <w:tabs>
          <w:tab w:val="num" w:pos="720"/>
        </w:tabs>
        <w:spacing w:before="0" w:beforeAutospacing="0"/>
        <w:ind w:left="720" w:hanging="360"/>
      </w:pPr>
      <w:r>
        <w:rPr>
          <w:rStyle w:val="Strong"/>
        </w:rPr>
        <w:t>Transfer Pricing Adjustment:</w:t>
      </w:r>
    </w:p>
    <w:p w:rsidR="00A056B6" w:rsidRDefault="00A056B6" w:rsidP="00743A5F">
      <w:pPr>
        <w:numPr>
          <w:ilvl w:val="1"/>
          <w:numId w:val="0"/>
        </w:numPr>
        <w:tabs>
          <w:tab w:val="num" w:pos="1440"/>
        </w:tabs>
        <w:spacing w:before="100" w:after="100" w:afterAutospacing="1" w:line="240" w:lineRule="auto"/>
        <w:ind w:left="1440" w:hanging="360"/>
      </w:pPr>
      <w:r>
        <w:t>The ITAT examined the TPO's methodology and the comparables selected for determining the arm's length price.</w:t>
      </w:r>
    </w:p>
    <w:p w:rsidR="00A056B6" w:rsidRDefault="00A056B6" w:rsidP="00743A5F">
      <w:pPr>
        <w:numPr>
          <w:ilvl w:val="1"/>
          <w:numId w:val="0"/>
        </w:numPr>
        <w:tabs>
          <w:tab w:val="num" w:pos="1440"/>
        </w:tabs>
        <w:spacing w:before="100" w:after="100" w:afterAutospacing="1" w:line="240" w:lineRule="auto"/>
        <w:ind w:left="1440" w:hanging="360"/>
      </w:pPr>
      <w:r>
        <w:t>The Tribunal found merit in the assessee's contentions regarding the selection of comparables and the functional dissimilarities.</w:t>
      </w:r>
    </w:p>
    <w:p w:rsidR="00A056B6" w:rsidRDefault="00A056B6" w:rsidP="00743A5F">
      <w:pPr>
        <w:numPr>
          <w:ilvl w:val="1"/>
          <w:numId w:val="0"/>
        </w:numPr>
        <w:tabs>
          <w:tab w:val="num" w:pos="1440"/>
        </w:tabs>
        <w:spacing w:before="100" w:after="100" w:afterAutospacing="1" w:line="240" w:lineRule="auto"/>
        <w:ind w:left="1440" w:hanging="360"/>
      </w:pPr>
      <w:r>
        <w:t>Accordingly, the ITAT directed the AO/TPO to reconsider the transfer pricing adjustments after providing the assessee an opportunity to present its case and submit relevant evidence.</w:t>
      </w:r>
    </w:p>
    <w:p w:rsidR="00A056B6" w:rsidRDefault="00A056B6" w:rsidP="00743A5F">
      <w:pPr>
        <w:pStyle w:val="NormalWeb"/>
        <w:spacing w:before="0" w:beforeAutospacing="0"/>
      </w:pPr>
      <w:r>
        <w:rPr>
          <w:rStyle w:val="Strong"/>
        </w:rPr>
        <w:t>Conclusion:</w:t>
      </w:r>
    </w:p>
    <w:p w:rsidR="00A056B6" w:rsidRDefault="00A056B6" w:rsidP="00743A5F">
      <w:pPr>
        <w:pStyle w:val="NormalWeb"/>
        <w:tabs>
          <w:tab w:val="num" w:pos="720"/>
        </w:tabs>
        <w:spacing w:before="0" w:beforeAutospacing="0"/>
        <w:ind w:left="720" w:hanging="360"/>
      </w:pPr>
      <w:r>
        <w:rPr>
          <w:rStyle w:val="Strong"/>
        </w:rPr>
        <w:t>Credit Card Transactions:</w:t>
      </w:r>
      <w:r>
        <w:t xml:space="preserve"> Additions based solely on AIR information, without providing specific details to the assessee for reconciliation, are not sustainable.</w:t>
      </w:r>
    </w:p>
    <w:p w:rsidR="00A056B6" w:rsidRDefault="00A056B6" w:rsidP="00743A5F">
      <w:pPr>
        <w:pStyle w:val="NormalWeb"/>
        <w:tabs>
          <w:tab w:val="num" w:pos="720"/>
        </w:tabs>
        <w:spacing w:before="0" w:beforeAutospacing="0"/>
        <w:ind w:left="720" w:hanging="360"/>
      </w:pPr>
      <w:r>
        <w:rPr>
          <w:rStyle w:val="Strong"/>
        </w:rPr>
        <w:t>Transfer Pricing Adjustment:</w:t>
      </w:r>
      <w:r>
        <w:t xml:space="preserve"> The selection of comparables and determination of the arm's length price must consider functional similarities and provide the assessee an opportunity to present its case.</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Rhodia Specialty Chemicals India Ltd. v. Additional Commissioner of Income Tax, ITA Nos. 622 &amp; 830/Mum/2014, ITAT Mumbai Bench, dated April 24, 2017.</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69" w:tgtFrame="_new" w:history="1">
        <w:r>
          <w:rPr>
            <w:rStyle w:val="Hyperlink"/>
          </w:rPr>
          <w:t>Indian Kanoon</w:t>
        </w:r>
      </w:hyperlink>
    </w:p>
    <w:p w:rsidR="00A056B6" w:rsidRDefault="00A056B6" w:rsidP="00743A5F">
      <w:pPr>
        <w:pStyle w:val="NormalWeb"/>
        <w:spacing w:before="0" w:beforeAutospacing="0"/>
      </w:pPr>
      <w:r>
        <w:t>This decision underscores the importance of providing specific information to taxpayers for reconciliation purposes and ensuring that transfer pricing adjustments are made based on appropriate comparables and methodologies.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A.P. Moller Maersk A/S [TS-70-SC-2017] (Civil Appeal No.8040/2015)</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lastRenderedPageBreak/>
        <w:drawing>
          <wp:inline distT="0" distB="0" distL="0" distR="0" wp14:anchorId="2F723F90" wp14:editId="4CFD3E92">
            <wp:extent cx="763905" cy="763905"/>
            <wp:effectExtent l="0" t="0" r="0" b="0"/>
            <wp:docPr id="416" name="Picture 41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4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Director of Income Tax (International Taxation) v. A.P. Moller Maersk A/S</w:t>
      </w:r>
      <w:r>
        <w:t xml:space="preserve">, the </w:t>
      </w:r>
      <w:r>
        <w:rPr>
          <w:rStyle w:val="Strong"/>
        </w:rPr>
        <w:t>Supreme Court of India</w:t>
      </w:r>
      <w:r>
        <w:t xml:space="preserve"> addressed the taxability of payments received by A.P. Moller Maersk A/S (hereinafter referred to as "the assessee"), a Denmark-based shipping company, from its agents in India.</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A.P. Moller Maersk A/S, a Danish company engaged in international shipping operations.</w:t>
      </w:r>
    </w:p>
    <w:p w:rsidR="00A056B6" w:rsidRDefault="00A056B6" w:rsidP="00743A5F">
      <w:pPr>
        <w:pStyle w:val="NormalWeb"/>
        <w:tabs>
          <w:tab w:val="num" w:pos="720"/>
        </w:tabs>
        <w:spacing w:before="0" w:beforeAutospacing="0"/>
        <w:ind w:left="720" w:hanging="360"/>
      </w:pPr>
      <w:r>
        <w:rPr>
          <w:rStyle w:val="Strong"/>
        </w:rPr>
        <w:t>Indian Agents:</w:t>
      </w:r>
      <w:r>
        <w:t xml:space="preserve"> The assessee operated in India through agents, including Maersk Logistics India Pvt. Ltd. and Maersk India Pvt. Ltd.</w:t>
      </w:r>
    </w:p>
    <w:p w:rsidR="00A056B6" w:rsidRDefault="00A056B6" w:rsidP="00743A5F">
      <w:pPr>
        <w:pStyle w:val="NormalWeb"/>
        <w:tabs>
          <w:tab w:val="num" w:pos="720"/>
        </w:tabs>
        <w:spacing w:before="0" w:beforeAutospacing="0"/>
        <w:ind w:left="720" w:hanging="360"/>
      </w:pPr>
      <w:r>
        <w:rPr>
          <w:rStyle w:val="Strong"/>
        </w:rPr>
        <w:t>Services Rendered:</w:t>
      </w:r>
      <w:r>
        <w:t xml:space="preserve"> The assessee provided a global telecommunication facility called "Maersk Net" to its agents, facilitating communication and data transfer essential for shipping operations.</w:t>
      </w:r>
    </w:p>
    <w:p w:rsidR="00A056B6" w:rsidRDefault="00A056B6" w:rsidP="00743A5F">
      <w:pPr>
        <w:pStyle w:val="NormalWeb"/>
        <w:tabs>
          <w:tab w:val="num" w:pos="720"/>
        </w:tabs>
        <w:spacing w:before="0" w:beforeAutospacing="0"/>
        <w:ind w:left="720" w:hanging="360"/>
      </w:pPr>
      <w:r>
        <w:rPr>
          <w:rStyle w:val="Strong"/>
        </w:rPr>
        <w:t>Payments Received:</w:t>
      </w:r>
      <w:r>
        <w:t xml:space="preserve"> The assessee received payments from its Indian agents for the use of Maersk Net.</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Characterization of Payments:</w:t>
      </w:r>
      <w:r>
        <w:t xml:space="preserve"> Whether the payments received by the assessee from its Indian agents for the use of Maersk Net qualify as "Fees for Technical Services" (FTS) or "Royalty" under the </w:t>
      </w:r>
      <w:r>
        <w:rPr>
          <w:rStyle w:val="Strong"/>
        </w:rPr>
        <w:t>India-Denmark Double Taxation Avoidance Agreement (DTAA)</w:t>
      </w:r>
      <w:r>
        <w:t xml:space="preserve"> and the </w:t>
      </w:r>
      <w:r>
        <w:rPr>
          <w:rStyle w:val="Strong"/>
        </w:rPr>
        <w:t>Income Tax Act, 1961</w:t>
      </w:r>
      <w:r>
        <w:t>.</w:t>
      </w:r>
    </w:p>
    <w:p w:rsidR="00A056B6" w:rsidRDefault="00A056B6" w:rsidP="00743A5F">
      <w:pPr>
        <w:pStyle w:val="NormalWeb"/>
        <w:tabs>
          <w:tab w:val="num" w:pos="720"/>
        </w:tabs>
        <w:spacing w:before="0" w:beforeAutospacing="0"/>
        <w:ind w:left="720" w:hanging="360"/>
      </w:pPr>
      <w:r>
        <w:rPr>
          <w:rStyle w:val="Strong"/>
        </w:rPr>
        <w:t>Taxability in India:</w:t>
      </w:r>
      <w:r>
        <w:t xml:space="preserve"> Whether such payments are taxable in India, considering the provisions of the DTAA and domestic tax laws.</w:t>
      </w:r>
    </w:p>
    <w:p w:rsidR="00A056B6" w:rsidRDefault="00A056B6" w:rsidP="00743A5F">
      <w:pPr>
        <w:pStyle w:val="NormalWeb"/>
        <w:spacing w:before="0" w:beforeAutospacing="0"/>
      </w:pPr>
      <w:r>
        <w:rPr>
          <w:rStyle w:val="Strong"/>
        </w:rPr>
        <w:t>Supreme Court's Analysis:</w:t>
      </w:r>
    </w:p>
    <w:p w:rsidR="00A056B6" w:rsidRDefault="00A056B6" w:rsidP="00743A5F">
      <w:pPr>
        <w:pStyle w:val="NormalWeb"/>
        <w:tabs>
          <w:tab w:val="num" w:pos="720"/>
        </w:tabs>
        <w:spacing w:before="0" w:beforeAutospacing="0"/>
        <w:ind w:left="720" w:hanging="360"/>
      </w:pPr>
      <w:r>
        <w:rPr>
          <w:rStyle w:val="Strong"/>
        </w:rPr>
        <w:t>Nature of Maersk Net:</w:t>
      </w:r>
      <w:r>
        <w:t xml:space="preserve"> The Court examined the functionality of Maersk Net, noting that it is a proprietary communication system facilitating data and document transmission between the assessee and its agents worldwide.</w:t>
      </w:r>
    </w:p>
    <w:p w:rsidR="00A056B6" w:rsidRDefault="00A056B6" w:rsidP="00743A5F">
      <w:pPr>
        <w:pStyle w:val="NormalWeb"/>
        <w:tabs>
          <w:tab w:val="num" w:pos="720"/>
        </w:tabs>
        <w:spacing w:before="0" w:beforeAutospacing="0"/>
        <w:ind w:left="720" w:hanging="360"/>
      </w:pPr>
      <w:r>
        <w:rPr>
          <w:rStyle w:val="Strong"/>
        </w:rPr>
        <w:t>Characterization as Royalty or FTS: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Royalty:</w:t>
      </w:r>
      <w:r>
        <w:t xml:space="preserve"> The Court observed that for a payment to be classified as royalty, it must be for the use of or the right to use any copyright, patent, trademark, design, or similar property.</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FTS:</w:t>
      </w:r>
      <w:r>
        <w:t xml:space="preserve"> For a payment to be considered FTS, it must be for services that make available technical knowledge, experience, skill, know-how, or processes.</w:t>
      </w:r>
    </w:p>
    <w:p w:rsidR="00A056B6" w:rsidRDefault="00A056B6" w:rsidP="00743A5F">
      <w:pPr>
        <w:pStyle w:val="NormalWeb"/>
        <w:tabs>
          <w:tab w:val="num" w:pos="720"/>
        </w:tabs>
        <w:spacing w:before="0" w:beforeAutospacing="0"/>
        <w:ind w:left="720" w:hanging="360"/>
      </w:pPr>
      <w:r>
        <w:rPr>
          <w:rStyle w:val="Strong"/>
        </w:rPr>
        <w:lastRenderedPageBreak/>
        <w:t>Findings:</w:t>
      </w:r>
    </w:p>
    <w:p w:rsidR="00A056B6" w:rsidRDefault="00A056B6" w:rsidP="00743A5F">
      <w:pPr>
        <w:numPr>
          <w:ilvl w:val="1"/>
          <w:numId w:val="0"/>
        </w:numPr>
        <w:tabs>
          <w:tab w:val="num" w:pos="1440"/>
        </w:tabs>
        <w:spacing w:before="100" w:after="100" w:afterAutospacing="1" w:line="240" w:lineRule="auto"/>
        <w:ind w:left="1440" w:hanging="360"/>
      </w:pPr>
      <w:r>
        <w:t>The Court concluded that Maersk Net is a standard facility provided to the agents to ensure seamless communication and does not involve the transfer of any technical knowledge or intellectual property rights to the agents.</w:t>
      </w:r>
    </w:p>
    <w:p w:rsidR="00A056B6" w:rsidRDefault="00A056B6" w:rsidP="00743A5F">
      <w:pPr>
        <w:numPr>
          <w:ilvl w:val="1"/>
          <w:numId w:val="0"/>
        </w:numPr>
        <w:tabs>
          <w:tab w:val="num" w:pos="1440"/>
        </w:tabs>
        <w:spacing w:before="100" w:after="100" w:afterAutospacing="1" w:line="240" w:lineRule="auto"/>
        <w:ind w:left="1440" w:hanging="360"/>
      </w:pPr>
      <w:r>
        <w:t>The agents do not acquire any rights over the system, nor do they gain any technical knowledge enabling them to operate such a system independently.</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Not Royalty or FTS:</w:t>
      </w:r>
      <w:r>
        <w:t xml:space="preserve"> The Supreme Court held that the payments made by the Indian agents to the assessee for the use of Maersk Net do not qualify as "Royalty" or "Fees for Technical Services" under the India-Denmark DTAA or the Income Tax Act, 1961.</w:t>
      </w:r>
    </w:p>
    <w:p w:rsidR="00A056B6" w:rsidRDefault="00A056B6" w:rsidP="00743A5F">
      <w:pPr>
        <w:pStyle w:val="NormalWeb"/>
        <w:tabs>
          <w:tab w:val="num" w:pos="720"/>
        </w:tabs>
        <w:spacing w:before="0" w:beforeAutospacing="0"/>
        <w:ind w:left="720" w:hanging="360"/>
      </w:pPr>
      <w:r>
        <w:rPr>
          <w:rStyle w:val="Strong"/>
        </w:rPr>
        <w:t>Not Taxable in India:</w:t>
      </w:r>
      <w:r>
        <w:t xml:space="preserve"> Consequently, such payments are not taxable in India, and the assessee is not liable to pay tax on these receipts under Indian tax laws.</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clarifies that payments made for the use of standard facilities essential for business operations, without the transfer of technical knowledge or intellectual property rights, do not constitute "Royalty" or "Fees for Technical Services" under the India-Denmark DTAA. Therefore, such payments are not subject to taxation in India.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Director of Income Tax (International Taxation) v. A.P. Moller Maersk A/S, Civil Appeal No. 8040 of 2015, Supreme Court of India, dated February 17, 2017.</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70" w:tgtFrame="_new" w:history="1">
        <w:r>
          <w:rPr>
            <w:rStyle w:val="Hyperlink"/>
          </w:rPr>
          <w:t>Indian Kanoon</w:t>
        </w:r>
      </w:hyperlink>
    </w:p>
    <w:p w:rsidR="00A056B6" w:rsidRDefault="00A056B6" w:rsidP="00743A5F">
      <w:pPr>
        <w:pStyle w:val="NormalWeb"/>
        <w:spacing w:before="0" w:beforeAutospacing="0"/>
      </w:pPr>
      <w:r>
        <w:t>This decision provides significant guidance on the interpretation of "Royalty" and "Fees for Technical Services" in the context of international taxation agreements, particularly concerning the use of standard business facilities.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Flughafen Zurich AG [TS-96-ITAT-2017(Bang)] (I.T.(I.T) A. No.1525/Bang/ 2010)</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2A5636EA" wp14:editId="48857A9C">
            <wp:extent cx="763905" cy="763905"/>
            <wp:effectExtent l="0" t="0" r="0" b="0"/>
            <wp:docPr id="415" name="Picture 41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4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lastRenderedPageBreak/>
        <w:t xml:space="preserve">In the case of </w:t>
      </w:r>
      <w:r>
        <w:rPr>
          <w:rStyle w:val="Strong"/>
        </w:rPr>
        <w:t>Flughafen Zurich AG v. Deputy Director of Income Tax</w:t>
      </w:r>
      <w:r>
        <w:t xml:space="preserve">, the </w:t>
      </w:r>
      <w:r>
        <w:rPr>
          <w:rStyle w:val="Strong"/>
        </w:rPr>
        <w:t>Income Tax Appellate Tribunal (ITAT) Bangalore Bench</w:t>
      </w:r>
      <w:r>
        <w:t xml:space="preserve"> examined the tax implications of payments received by Flughafen Zurich AG (the assessee), a Swiss company, from Bangalore International Airport Limited (BIAL) for services rendered in connection with the development and operation of Bangalore International Airport.</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Flughafen Zurich AG, a company incorporated in Switzerland, specializing in airport management and operations.</w:t>
      </w:r>
    </w:p>
    <w:p w:rsidR="00A056B6" w:rsidRDefault="00A056B6" w:rsidP="00743A5F">
      <w:pPr>
        <w:pStyle w:val="NormalWeb"/>
        <w:tabs>
          <w:tab w:val="num" w:pos="720"/>
        </w:tabs>
        <w:spacing w:before="0" w:beforeAutospacing="0"/>
        <w:ind w:left="720" w:hanging="360"/>
      </w:pPr>
      <w:r>
        <w:rPr>
          <w:rStyle w:val="Strong"/>
        </w:rPr>
        <w:t>Indian Entity:</w:t>
      </w:r>
      <w:r>
        <w:t xml:space="preserve"> Bangalore International Airport Limited (BIAL), responsible for the development and operation of Bangalore International Airport.</w:t>
      </w:r>
    </w:p>
    <w:p w:rsidR="00A056B6" w:rsidRDefault="00A056B6" w:rsidP="00743A5F">
      <w:pPr>
        <w:pStyle w:val="NormalWeb"/>
        <w:tabs>
          <w:tab w:val="num" w:pos="720"/>
        </w:tabs>
        <w:spacing w:before="0" w:beforeAutospacing="0"/>
        <w:ind w:left="720" w:hanging="360"/>
      </w:pPr>
      <w:r>
        <w:rPr>
          <w:rStyle w:val="Strong"/>
        </w:rPr>
        <w:t>Agreements: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Shareholders Agreement:</w:t>
      </w:r>
      <w:r>
        <w:t xml:space="preserve"> The assessee held a 17% equity stake in BIAL during the construction phase of the airport.</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Technical Services Agreement (TSA):</w:t>
      </w:r>
      <w:r>
        <w:t xml:space="preserve"> The assessee provided technical and management services to BIAL, including project planning, design, construction, and operational support.</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Characterization of Payments:</w:t>
      </w:r>
      <w:r>
        <w:t xml:space="preserve"> Whether the payments received by the assessee from BIAL under the TSA qualify as "Fees for Technical Services" (FTS) under Section 9(1)(vii) of the Income Tax Act, 1961, and the </w:t>
      </w:r>
      <w:r>
        <w:rPr>
          <w:rStyle w:val="Strong"/>
        </w:rPr>
        <w:t>India-Switzerland Double Taxation Avoidance Agreement (DTAA)</w:t>
      </w:r>
      <w:r>
        <w:t>.</w:t>
      </w:r>
    </w:p>
    <w:p w:rsidR="00A056B6" w:rsidRDefault="00A056B6" w:rsidP="00743A5F">
      <w:pPr>
        <w:pStyle w:val="NormalWeb"/>
        <w:tabs>
          <w:tab w:val="num" w:pos="720"/>
        </w:tabs>
        <w:spacing w:before="0" w:beforeAutospacing="0"/>
        <w:ind w:left="720" w:hanging="360"/>
      </w:pPr>
      <w:r>
        <w:rPr>
          <w:rStyle w:val="Strong"/>
        </w:rPr>
        <w:t>Taxability in India:</w:t>
      </w:r>
      <w:r>
        <w:t xml:space="preserve"> Whether such payments are taxable in India, considering the provisions of the DTAA and domestic tax laws.</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Nature of Services:</w:t>
      </w:r>
      <w:r>
        <w:t xml:space="preserve"> The Tribunal examined the services provided by the assessee, noting that they encompassed technical and managerial assistance essential for the establishment and operation of the airport.</w:t>
      </w:r>
    </w:p>
    <w:p w:rsidR="00A056B6" w:rsidRDefault="00A056B6" w:rsidP="00743A5F">
      <w:pPr>
        <w:pStyle w:val="NormalWeb"/>
        <w:tabs>
          <w:tab w:val="num" w:pos="720"/>
        </w:tabs>
        <w:spacing w:before="0" w:beforeAutospacing="0"/>
        <w:ind w:left="720" w:hanging="360"/>
      </w:pPr>
      <w:r>
        <w:rPr>
          <w:rStyle w:val="Strong"/>
        </w:rPr>
        <w:t>Definition of FTS: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Income Tax Act:</w:t>
      </w:r>
      <w:r>
        <w:t xml:space="preserve"> Section 9(1)(vii) defines FTS as payments for managerial, technical, or consultancy services.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India-Switzerland DTAA:</w:t>
      </w:r>
      <w:r>
        <w:t xml:space="preserve"> Article 12 of the DTAA covers payments for services of a managerial, technical, or consultancy nature, including provisions for the "make available" clause.</w:t>
      </w:r>
    </w:p>
    <w:p w:rsidR="00A056B6" w:rsidRDefault="00A056B6" w:rsidP="00743A5F">
      <w:pPr>
        <w:pStyle w:val="NormalWeb"/>
        <w:tabs>
          <w:tab w:val="num" w:pos="720"/>
        </w:tabs>
        <w:spacing w:before="0" w:beforeAutospacing="0"/>
        <w:ind w:left="720" w:hanging="360"/>
      </w:pPr>
      <w:r>
        <w:rPr>
          <w:rStyle w:val="Strong"/>
        </w:rPr>
        <w:t>Findings:</w:t>
      </w:r>
    </w:p>
    <w:p w:rsidR="00A056B6" w:rsidRDefault="00A056B6" w:rsidP="00743A5F">
      <w:pPr>
        <w:numPr>
          <w:ilvl w:val="1"/>
          <w:numId w:val="0"/>
        </w:numPr>
        <w:tabs>
          <w:tab w:val="num" w:pos="1440"/>
        </w:tabs>
        <w:spacing w:before="100" w:after="100" w:afterAutospacing="1" w:line="240" w:lineRule="auto"/>
        <w:ind w:left="1440" w:hanging="360"/>
      </w:pPr>
      <w:r>
        <w:lastRenderedPageBreak/>
        <w:t>The ITAT observed that the services rendered by the assessee were technical and managerial in nature, falling within the ambit of FTS under both the Income Tax Act and the DTAA.</w:t>
      </w:r>
    </w:p>
    <w:p w:rsidR="00A056B6" w:rsidRDefault="00A056B6" w:rsidP="00743A5F">
      <w:pPr>
        <w:numPr>
          <w:ilvl w:val="1"/>
          <w:numId w:val="0"/>
        </w:numPr>
        <w:tabs>
          <w:tab w:val="num" w:pos="1440"/>
        </w:tabs>
        <w:spacing w:before="100" w:after="100" w:afterAutospacing="1" w:line="240" w:lineRule="auto"/>
        <w:ind w:left="1440" w:hanging="360"/>
      </w:pPr>
      <w:r>
        <w:t>The Tribunal noted that the services provided by the assessee did not merely involve the deployment of personnel but included the transfer of technical knowledge and expertise to BIAL, thereby satisfying the "make available" requirement under the DTAA.</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Taxability as FTS:</w:t>
      </w:r>
      <w:r>
        <w:t xml:space="preserve"> The ITAT held that the payments received by Flughafen Zurich AG from BIAL under the Technical Services Agreement qualify as "Fees for Technical Services" under Section 9(1)(vii) of the Income Tax Act, 1961, and Article 12 of the India-Switzerland DTAA.</w:t>
      </w:r>
    </w:p>
    <w:p w:rsidR="00A056B6" w:rsidRDefault="00A056B6" w:rsidP="00743A5F">
      <w:pPr>
        <w:pStyle w:val="NormalWeb"/>
        <w:tabs>
          <w:tab w:val="num" w:pos="720"/>
        </w:tabs>
        <w:spacing w:before="0" w:beforeAutospacing="0"/>
        <w:ind w:left="720" w:hanging="360"/>
      </w:pPr>
      <w:r>
        <w:rPr>
          <w:rStyle w:val="Strong"/>
        </w:rPr>
        <w:t>Tax Liability in India:</w:t>
      </w:r>
      <w:r>
        <w:t xml:space="preserve"> Consequently, such payments are taxable in India, and the assessee is liable to pay tax on these receipts as per the applicable provisions.</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clarifies that payments for technical and managerial services, which involve the transfer of technical knowledge and expertise, are taxable as "Fees for Technical Services" under both domestic tax laws and the India-Switzerland DTAA. The decision emphasizes the importance of the "make available" clause in determining the taxability of such payments in cross-border service arrangements.</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Flughafen Zurich AG v. Deputy Director of Income Tax, ITA No. 1525/Bang/2010, ITAT Bangalore Bench.</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71" w:tgtFrame="_new" w:history="1">
        <w:r>
          <w:rPr>
            <w:rStyle w:val="Hyperlink"/>
          </w:rPr>
          <w:t>ITAT Orders</w:t>
        </w:r>
      </w:hyperlink>
    </w:p>
    <w:p w:rsidR="00A056B6" w:rsidRDefault="00A056B6" w:rsidP="00743A5F">
      <w:pPr>
        <w:pStyle w:val="NormalWeb"/>
        <w:spacing w:before="0" w:beforeAutospacing="0"/>
      </w:pPr>
      <w:r>
        <w:t>This decision provides significant insights into the interpretation of "Fees for Technical Services" in the context of international taxation and the applicability of the "make available" clause under the India-Switzerland DTAA.</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Shivsu Canadian Clear Waters Ltd. v DCIT – (2018) 90 taxmann.com 352 (Chen Trib) - ITA No. 2347 (Mds.) of 2017 dated 25.01.2018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43BD9713" wp14:editId="5B599D07">
            <wp:extent cx="763905" cy="763905"/>
            <wp:effectExtent l="0" t="0" r="0" b="0"/>
            <wp:docPr id="414" name="Picture 41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4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lastRenderedPageBreak/>
        <w:t xml:space="preserve">In the case of </w:t>
      </w:r>
      <w:r>
        <w:rPr>
          <w:rStyle w:val="Strong"/>
        </w:rPr>
        <w:t>Shivsu Canadian Clear Waters Ltd. v. Deputy Commissioner of Income Tax</w:t>
      </w:r>
      <w:r>
        <w:t xml:space="preserve">, the </w:t>
      </w:r>
      <w:r>
        <w:rPr>
          <w:rStyle w:val="Strong"/>
        </w:rPr>
        <w:t>Income Tax Appellate Tribunal (ITAT) Chennai Bench</w:t>
      </w:r>
      <w:r>
        <w:t xml:space="preserve"> addressed the tax implications of payments made by the assessee to a foreign company without deducting tax at source under Section 195 of the Income Tax Act, 1961.</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Shivsu Canadian Clear Waters Ltd., an Indian company engaged in manufacturing water treatment plants.</w:t>
      </w:r>
    </w:p>
    <w:p w:rsidR="00A056B6" w:rsidRDefault="00A056B6" w:rsidP="00743A5F">
      <w:pPr>
        <w:pStyle w:val="NormalWeb"/>
        <w:tabs>
          <w:tab w:val="num" w:pos="720"/>
        </w:tabs>
        <w:spacing w:before="0" w:beforeAutospacing="0"/>
        <w:ind w:left="720" w:hanging="360"/>
      </w:pPr>
      <w:r>
        <w:rPr>
          <w:rStyle w:val="Strong"/>
        </w:rPr>
        <w:t>Foreign Company:</w:t>
      </w:r>
      <w:r>
        <w:t xml:space="preserve"> Canadian Crystalline Emirates, UAE.</w:t>
      </w:r>
    </w:p>
    <w:p w:rsidR="00A056B6" w:rsidRDefault="00A056B6" w:rsidP="00743A5F">
      <w:pPr>
        <w:pStyle w:val="NormalWeb"/>
        <w:tabs>
          <w:tab w:val="num" w:pos="720"/>
        </w:tabs>
        <w:spacing w:before="0" w:beforeAutospacing="0"/>
        <w:ind w:left="720" w:hanging="360"/>
      </w:pPr>
      <w:r>
        <w:rPr>
          <w:rStyle w:val="Strong"/>
        </w:rPr>
        <w:t>Transaction:</w:t>
      </w:r>
      <w:r>
        <w:t xml:space="preserve"> The assessee made a payment of ₹5,25,00,000 to Canadian Crystalline Emirates for erection and commissioning services related to water treatment plants.</w:t>
      </w:r>
    </w:p>
    <w:p w:rsidR="00A056B6" w:rsidRDefault="00A056B6" w:rsidP="00743A5F">
      <w:pPr>
        <w:pStyle w:val="NormalWeb"/>
        <w:tabs>
          <w:tab w:val="num" w:pos="720"/>
        </w:tabs>
        <w:spacing w:before="0" w:beforeAutospacing="0"/>
        <w:ind w:left="720" w:hanging="360"/>
      </w:pPr>
      <w:r>
        <w:rPr>
          <w:rStyle w:val="Strong"/>
        </w:rPr>
        <w:t>Assessment Year:</w:t>
      </w:r>
      <w:r>
        <w:t xml:space="preserve"> 2009-10.</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Reopening of Assessment under Section 147:</w:t>
      </w:r>
    </w:p>
    <w:p w:rsidR="00A056B6" w:rsidRDefault="00A056B6" w:rsidP="00743A5F">
      <w:pPr>
        <w:numPr>
          <w:ilvl w:val="1"/>
          <w:numId w:val="0"/>
        </w:numPr>
        <w:tabs>
          <w:tab w:val="num" w:pos="1440"/>
        </w:tabs>
        <w:spacing w:before="100" w:after="100" w:afterAutospacing="1" w:line="240" w:lineRule="auto"/>
        <w:ind w:left="1440" w:hanging="360"/>
      </w:pPr>
      <w:r>
        <w:t>The original assessment was completed under Section 143(3).</w:t>
      </w:r>
    </w:p>
    <w:p w:rsidR="00A056B6" w:rsidRDefault="00A056B6" w:rsidP="00743A5F">
      <w:pPr>
        <w:numPr>
          <w:ilvl w:val="1"/>
          <w:numId w:val="0"/>
        </w:numPr>
        <w:tabs>
          <w:tab w:val="num" w:pos="1440"/>
        </w:tabs>
        <w:spacing w:before="100" w:after="100" w:afterAutospacing="1" w:line="240" w:lineRule="auto"/>
        <w:ind w:left="1440" w:hanging="360"/>
      </w:pPr>
      <w:r>
        <w:t>Subsequently, the assessment was reopened under Section 147 on the grounds that the assessee had not deducted tax at source under Section 195 for the payment made to the foreign company.</w:t>
      </w:r>
    </w:p>
    <w:p w:rsidR="00A056B6" w:rsidRDefault="00A056B6" w:rsidP="00743A5F">
      <w:pPr>
        <w:pStyle w:val="NormalWeb"/>
        <w:tabs>
          <w:tab w:val="num" w:pos="720"/>
        </w:tabs>
        <w:spacing w:before="0" w:beforeAutospacing="0"/>
        <w:ind w:left="720" w:hanging="360"/>
      </w:pPr>
      <w:r>
        <w:rPr>
          <w:rStyle w:val="Strong"/>
        </w:rPr>
        <w:t>Disallowance under Section 40(a)(i):</w:t>
      </w:r>
    </w:p>
    <w:p w:rsidR="00A056B6" w:rsidRDefault="00A056B6" w:rsidP="00743A5F">
      <w:pPr>
        <w:numPr>
          <w:ilvl w:val="1"/>
          <w:numId w:val="0"/>
        </w:numPr>
        <w:tabs>
          <w:tab w:val="num" w:pos="1440"/>
        </w:tabs>
        <w:spacing w:before="100" w:after="100" w:afterAutospacing="1" w:line="240" w:lineRule="auto"/>
        <w:ind w:left="1440" w:hanging="360"/>
      </w:pPr>
      <w:r>
        <w:t>The Assessing Officer (AO) disallowed the payment of ₹5,25,00,000 under Section 40(a)(i) due to the assessee's failure to deduct tax at source.</w:t>
      </w:r>
    </w:p>
    <w:p w:rsidR="00A056B6" w:rsidRDefault="00A056B6" w:rsidP="00743A5F">
      <w:pPr>
        <w:pStyle w:val="NormalWeb"/>
        <w:spacing w:before="0" w:beforeAutospacing="0"/>
      </w:pPr>
      <w:r>
        <w:rPr>
          <w:rStyle w:val="Strong"/>
        </w:rPr>
        <w:t>Assessee's Contentions:</w:t>
      </w:r>
    </w:p>
    <w:p w:rsidR="00A056B6" w:rsidRDefault="00A056B6" w:rsidP="00743A5F">
      <w:pPr>
        <w:pStyle w:val="NormalWeb"/>
        <w:tabs>
          <w:tab w:val="num" w:pos="720"/>
        </w:tabs>
        <w:spacing w:before="0" w:beforeAutospacing="0"/>
        <w:ind w:left="720" w:hanging="360"/>
      </w:pPr>
      <w:r>
        <w:rPr>
          <w:rStyle w:val="Strong"/>
        </w:rPr>
        <w:t>On Reopening of Assessment:</w:t>
      </w:r>
    </w:p>
    <w:p w:rsidR="00A056B6" w:rsidRDefault="00A056B6" w:rsidP="00743A5F">
      <w:pPr>
        <w:numPr>
          <w:ilvl w:val="1"/>
          <w:numId w:val="0"/>
        </w:numPr>
        <w:tabs>
          <w:tab w:val="num" w:pos="1440"/>
        </w:tabs>
        <w:spacing w:before="100" w:after="100" w:afterAutospacing="1" w:line="240" w:lineRule="auto"/>
        <w:ind w:left="1440" w:hanging="360"/>
      </w:pPr>
      <w:r>
        <w:t>The assessee argued that all relevant details were furnished during the original assessment, and no new material had come to the AO's possession to justify the reopening.</w:t>
      </w:r>
    </w:p>
    <w:p w:rsidR="00A056B6" w:rsidRDefault="00A056B6" w:rsidP="00743A5F">
      <w:pPr>
        <w:numPr>
          <w:ilvl w:val="1"/>
          <w:numId w:val="0"/>
        </w:numPr>
        <w:tabs>
          <w:tab w:val="num" w:pos="1440"/>
        </w:tabs>
        <w:spacing w:before="100" w:after="100" w:afterAutospacing="1" w:line="240" w:lineRule="auto"/>
        <w:ind w:left="1440" w:hanging="360"/>
      </w:pPr>
      <w:r>
        <w:t>The reopening was merely based on a change of opinion, which is not permissible.</w:t>
      </w:r>
    </w:p>
    <w:p w:rsidR="00A056B6" w:rsidRDefault="00A056B6" w:rsidP="00743A5F">
      <w:pPr>
        <w:pStyle w:val="NormalWeb"/>
        <w:tabs>
          <w:tab w:val="num" w:pos="720"/>
        </w:tabs>
        <w:spacing w:before="0" w:beforeAutospacing="0"/>
        <w:ind w:left="720" w:hanging="360"/>
      </w:pPr>
      <w:r>
        <w:rPr>
          <w:rStyle w:val="Strong"/>
        </w:rPr>
        <w:t>On Disallowance:</w:t>
      </w:r>
    </w:p>
    <w:p w:rsidR="00A056B6" w:rsidRDefault="00A056B6" w:rsidP="00743A5F">
      <w:pPr>
        <w:numPr>
          <w:ilvl w:val="1"/>
          <w:numId w:val="0"/>
        </w:numPr>
        <w:tabs>
          <w:tab w:val="num" w:pos="1440"/>
        </w:tabs>
        <w:spacing w:before="100" w:after="100" w:afterAutospacing="1" w:line="240" w:lineRule="auto"/>
        <w:ind w:left="1440" w:hanging="360"/>
      </w:pPr>
      <w:r>
        <w:t>The payment was for erection and commissioning services, not for technical services; hence, it did not attract tax deduction under Section 195.</w:t>
      </w:r>
    </w:p>
    <w:p w:rsidR="00A056B6" w:rsidRDefault="00A056B6" w:rsidP="00743A5F">
      <w:pPr>
        <w:numPr>
          <w:ilvl w:val="1"/>
          <w:numId w:val="0"/>
        </w:numPr>
        <w:tabs>
          <w:tab w:val="num" w:pos="1440"/>
        </w:tabs>
        <w:spacing w:before="100" w:after="100" w:afterAutospacing="1" w:line="240" w:lineRule="auto"/>
        <w:ind w:left="1440" w:hanging="360"/>
      </w:pPr>
      <w:r>
        <w:t>The services were rendered outside India by a non-resident without any permanent establishment in India, making the income non-taxable in India.</w:t>
      </w:r>
    </w:p>
    <w:p w:rsidR="00A056B6" w:rsidRDefault="00A056B6" w:rsidP="00743A5F">
      <w:pPr>
        <w:pStyle w:val="NormalWeb"/>
        <w:spacing w:before="0" w:beforeAutospacing="0"/>
      </w:pPr>
      <w:r>
        <w:rPr>
          <w:rStyle w:val="Strong"/>
        </w:rPr>
        <w:lastRenderedPageBreak/>
        <w:t>Tribunal's Findings:</w:t>
      </w:r>
    </w:p>
    <w:p w:rsidR="00A056B6" w:rsidRDefault="00A056B6" w:rsidP="00743A5F">
      <w:pPr>
        <w:pStyle w:val="NormalWeb"/>
        <w:tabs>
          <w:tab w:val="num" w:pos="720"/>
        </w:tabs>
        <w:spacing w:before="0" w:beforeAutospacing="0"/>
        <w:ind w:left="720" w:hanging="360"/>
      </w:pPr>
      <w:r>
        <w:rPr>
          <w:rStyle w:val="Strong"/>
        </w:rPr>
        <w:t>Reopening of Assessment:</w:t>
      </w:r>
    </w:p>
    <w:p w:rsidR="00A056B6" w:rsidRDefault="00A056B6" w:rsidP="00743A5F">
      <w:pPr>
        <w:numPr>
          <w:ilvl w:val="1"/>
          <w:numId w:val="0"/>
        </w:numPr>
        <w:tabs>
          <w:tab w:val="num" w:pos="1440"/>
        </w:tabs>
        <w:spacing w:before="100" w:after="100" w:afterAutospacing="1" w:line="240" w:lineRule="auto"/>
        <w:ind w:left="1440" w:hanging="360"/>
      </w:pPr>
      <w:r>
        <w:t>The Tribunal noted that the AO had not brought any new material on record to justify the reopening.</w:t>
      </w:r>
    </w:p>
    <w:p w:rsidR="00A056B6" w:rsidRDefault="00A056B6" w:rsidP="00743A5F">
      <w:pPr>
        <w:numPr>
          <w:ilvl w:val="1"/>
          <w:numId w:val="0"/>
        </w:numPr>
        <w:tabs>
          <w:tab w:val="num" w:pos="1440"/>
        </w:tabs>
        <w:spacing w:before="100" w:after="100" w:afterAutospacing="1" w:line="240" w:lineRule="auto"/>
        <w:ind w:left="1440" w:hanging="360"/>
      </w:pPr>
      <w:r>
        <w:t>Since the original assessment was completed after thorough scrutiny, the reopening based on the same set of facts amounted to a change of opinion, which is not permissible.</w:t>
      </w:r>
    </w:p>
    <w:p w:rsidR="00A056B6" w:rsidRDefault="00A056B6" w:rsidP="00743A5F">
      <w:pPr>
        <w:pStyle w:val="NormalWeb"/>
        <w:tabs>
          <w:tab w:val="num" w:pos="720"/>
        </w:tabs>
        <w:spacing w:before="0" w:beforeAutospacing="0"/>
        <w:ind w:left="720" w:hanging="360"/>
      </w:pPr>
      <w:r>
        <w:rPr>
          <w:rStyle w:val="Strong"/>
        </w:rPr>
        <w:t>Disallowance under Section 40(a)(i):</w:t>
      </w:r>
    </w:p>
    <w:p w:rsidR="00A056B6" w:rsidRDefault="00A056B6" w:rsidP="00743A5F">
      <w:pPr>
        <w:numPr>
          <w:ilvl w:val="1"/>
          <w:numId w:val="0"/>
        </w:numPr>
        <w:tabs>
          <w:tab w:val="num" w:pos="1440"/>
        </w:tabs>
        <w:spacing w:before="100" w:after="100" w:afterAutospacing="1" w:line="240" w:lineRule="auto"/>
        <w:ind w:left="1440" w:hanging="360"/>
      </w:pPr>
      <w:r>
        <w:t>The Tribunal observed that the payment was for erection and commissioning services, which are not covered under the definition of "fees for technical services" as per Explanation 2 to Section 9(1)(vii).</w:t>
      </w:r>
    </w:p>
    <w:p w:rsidR="00A056B6" w:rsidRDefault="00A056B6" w:rsidP="00743A5F">
      <w:pPr>
        <w:numPr>
          <w:ilvl w:val="1"/>
          <w:numId w:val="0"/>
        </w:numPr>
        <w:tabs>
          <w:tab w:val="num" w:pos="1440"/>
        </w:tabs>
        <w:spacing w:before="100" w:after="100" w:afterAutospacing="1" w:line="240" w:lineRule="auto"/>
        <w:ind w:left="1440" w:hanging="360"/>
      </w:pPr>
      <w:r>
        <w:t>Since the services were rendered outside India and the foreign company did not have a permanent establishment in India, the income was not taxable in India.</w:t>
      </w:r>
    </w:p>
    <w:p w:rsidR="00A056B6" w:rsidRDefault="00A056B6" w:rsidP="00743A5F">
      <w:pPr>
        <w:numPr>
          <w:ilvl w:val="1"/>
          <w:numId w:val="0"/>
        </w:numPr>
        <w:tabs>
          <w:tab w:val="num" w:pos="1440"/>
        </w:tabs>
        <w:spacing w:before="100" w:after="100" w:afterAutospacing="1" w:line="240" w:lineRule="auto"/>
        <w:ind w:left="1440" w:hanging="360"/>
      </w:pPr>
      <w:r>
        <w:t>Consequently, there was no obligation on the assessee to deduct tax at source under Section 195.</w:t>
      </w:r>
    </w:p>
    <w:p w:rsidR="00A056B6" w:rsidRDefault="00A056B6" w:rsidP="00743A5F">
      <w:pPr>
        <w:pStyle w:val="NormalWeb"/>
        <w:spacing w:before="0" w:beforeAutospacing="0"/>
      </w:pPr>
      <w:r>
        <w:rPr>
          <w:rStyle w:val="Strong"/>
        </w:rPr>
        <w:t>Conclusion:</w:t>
      </w:r>
    </w:p>
    <w:p w:rsidR="00A056B6" w:rsidRDefault="00A056B6" w:rsidP="00743A5F">
      <w:pPr>
        <w:pStyle w:val="NormalWeb"/>
        <w:tabs>
          <w:tab w:val="num" w:pos="720"/>
        </w:tabs>
        <w:spacing w:before="0" w:beforeAutospacing="0"/>
        <w:ind w:left="720" w:hanging="360"/>
      </w:pPr>
      <w:r>
        <w:rPr>
          <w:rStyle w:val="Strong"/>
        </w:rPr>
        <w:t>Reopening Invalid:</w:t>
      </w:r>
      <w:r>
        <w:t xml:space="preserve"> The Tribunal held that the reopening of the assessment under Section 147 was invalid due to the absence of new material and the mere change of opinion by the AO.</w:t>
      </w:r>
    </w:p>
    <w:p w:rsidR="00A056B6" w:rsidRDefault="00A056B6" w:rsidP="00743A5F">
      <w:pPr>
        <w:pStyle w:val="NormalWeb"/>
        <w:tabs>
          <w:tab w:val="num" w:pos="720"/>
        </w:tabs>
        <w:spacing w:before="0" w:beforeAutospacing="0"/>
        <w:ind w:left="720" w:hanging="360"/>
      </w:pPr>
      <w:r>
        <w:rPr>
          <w:rStyle w:val="Strong"/>
        </w:rPr>
        <w:t>Disallowance Deleted:</w:t>
      </w:r>
      <w:r>
        <w:t xml:space="preserve"> The disallowance under Section 40(a)(i) was deleted, as the payment did not attract tax deduction at source under Section 195.</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Shivsu Canadian Clear Waters Ltd. v. DCIT, ITA No. 2347/Mds/2017, ITAT Chennai Bench, dated January 25, 2018.</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72" w:tgtFrame="_new" w:history="1">
        <w:r>
          <w:rPr>
            <w:rStyle w:val="Hyperlink"/>
          </w:rPr>
          <w:t>Indian Kanoon</w:t>
        </w:r>
      </w:hyperlink>
    </w:p>
    <w:p w:rsidR="00A056B6" w:rsidRDefault="00A056B6" w:rsidP="00743A5F">
      <w:pPr>
        <w:pStyle w:val="NormalWeb"/>
        <w:spacing w:before="0" w:beforeAutospacing="0"/>
      </w:pPr>
      <w:r>
        <w:t>This decision underscores the importance of distinguishing between different types of services and their tax implications, particularly concerning the obligation to deduct tax at source under Section 195.</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Flag Telecom Group Ltd. v. Dy. DIT (International Taxation) [2015] 59 taxmann.com 411/69 SOT 679/174 TTJ 92 (Mum.)</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lastRenderedPageBreak/>
        <w:drawing>
          <wp:inline distT="0" distB="0" distL="0" distR="0" wp14:anchorId="17E9E951" wp14:editId="03A87EC1">
            <wp:extent cx="763905" cy="763905"/>
            <wp:effectExtent l="0" t="0" r="0" b="0"/>
            <wp:docPr id="413" name="Picture 41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4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Flag Telecom Group Ltd. v. Deputy Director of Income Tax (International Taxation)</w:t>
      </w:r>
      <w:r>
        <w:t xml:space="preserve">, the </w:t>
      </w:r>
      <w:r>
        <w:rPr>
          <w:rStyle w:val="Strong"/>
        </w:rPr>
        <w:t>Income Tax Appellate Tribunal (ITAT) Mumbai Bench</w:t>
      </w:r>
      <w:r>
        <w:t xml:space="preserve"> addressed the taxability of payments received by Flag Telecom Group Ltd. (the assessee), a Bermuda-based company, from Videsh Sanchar Nigam Limited (VSNL) concerning the sale of capacity in an undersea fiber optic telecommunication cable system and related standby maintenance charges.</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Flag Telecom Group Ltd., incorporated in Bermuda, engaged in establishing and operating a submarine fiber optic telecommunication cable system linking various countries, including India.</w:t>
      </w:r>
    </w:p>
    <w:p w:rsidR="00A056B6" w:rsidRDefault="00A056B6" w:rsidP="00743A5F">
      <w:pPr>
        <w:pStyle w:val="NormalWeb"/>
        <w:tabs>
          <w:tab w:val="num" w:pos="720"/>
        </w:tabs>
        <w:spacing w:before="0" w:beforeAutospacing="0"/>
        <w:ind w:left="720" w:hanging="360"/>
      </w:pPr>
      <w:r>
        <w:rPr>
          <w:rStyle w:val="Strong"/>
        </w:rPr>
        <w:t>Indian Entity:</w:t>
      </w:r>
      <w:r>
        <w:t xml:space="preserve"> Videsh Sanchar Nigam Limited (VSNL), an Indian telecommunications company.</w:t>
      </w:r>
    </w:p>
    <w:p w:rsidR="00A056B6" w:rsidRDefault="00A056B6" w:rsidP="00743A5F">
      <w:pPr>
        <w:pStyle w:val="NormalWeb"/>
        <w:tabs>
          <w:tab w:val="num" w:pos="720"/>
        </w:tabs>
        <w:spacing w:before="0" w:beforeAutospacing="0"/>
        <w:ind w:left="720" w:hanging="360"/>
      </w:pPr>
      <w:r>
        <w:rPr>
          <w:rStyle w:val="Strong"/>
        </w:rPr>
        <w:t>Agreements: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Capacity Sales Agreement (CSA):</w:t>
      </w:r>
      <w:r>
        <w:t xml:space="preserve"> The assessee sold indefeasible rights to use (IRUs) in the cable system to VSNL for a consideration of USD 28.94 million, granting VSNL ownership rights in the system, including the ability to transfer or assign the capacity.</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Construction and Maintenance Agreement (C&amp;MA):</w:t>
      </w:r>
      <w:r>
        <w:t xml:space="preserve"> This agreement outlined the joint operation and maintenance responsibilities of the cable system among the parties, including provisions for standby maintenance services.</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Characterization of Payments for Capacity Sales:</w:t>
      </w:r>
    </w:p>
    <w:p w:rsidR="00A056B6" w:rsidRDefault="00A056B6" w:rsidP="00743A5F">
      <w:pPr>
        <w:numPr>
          <w:ilvl w:val="1"/>
          <w:numId w:val="0"/>
        </w:numPr>
        <w:tabs>
          <w:tab w:val="num" w:pos="1440"/>
        </w:tabs>
        <w:spacing w:before="100" w:after="100" w:afterAutospacing="1" w:line="240" w:lineRule="auto"/>
        <w:ind w:left="1440" w:hanging="360"/>
      </w:pPr>
      <w:r>
        <w:t>Whether the consideration received by the assessee from VSNL for the sale of capacity in the cable system constitutes "Royalty" under Section 9(1)(vi) of the Income Tax Act, 1961.</w:t>
      </w:r>
    </w:p>
    <w:p w:rsidR="00A056B6" w:rsidRDefault="00A056B6" w:rsidP="00743A5F">
      <w:pPr>
        <w:pStyle w:val="NormalWeb"/>
        <w:tabs>
          <w:tab w:val="num" w:pos="720"/>
        </w:tabs>
        <w:spacing w:before="0" w:beforeAutospacing="0"/>
        <w:ind w:left="720" w:hanging="360"/>
      </w:pPr>
      <w:r>
        <w:rPr>
          <w:rStyle w:val="Strong"/>
        </w:rPr>
        <w:t>Taxability of Standby Maintenance Charges:</w:t>
      </w:r>
    </w:p>
    <w:p w:rsidR="00A056B6" w:rsidRDefault="00A056B6" w:rsidP="00743A5F">
      <w:pPr>
        <w:numPr>
          <w:ilvl w:val="1"/>
          <w:numId w:val="0"/>
        </w:numPr>
        <w:tabs>
          <w:tab w:val="num" w:pos="1440"/>
        </w:tabs>
        <w:spacing w:before="100" w:after="100" w:afterAutospacing="1" w:line="240" w:lineRule="auto"/>
        <w:ind w:left="1440" w:hanging="360"/>
      </w:pPr>
      <w:r>
        <w:t>Whether the payments received for standby maintenance services are taxable as "Fees for Technical Services" (FTS) under Section 9(1)(vii) of the Act.</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Capacity Sales:</w:t>
      </w:r>
    </w:p>
    <w:p w:rsidR="00A056B6" w:rsidRDefault="00A056B6" w:rsidP="00743A5F">
      <w:pPr>
        <w:numPr>
          <w:ilvl w:val="1"/>
          <w:numId w:val="0"/>
        </w:numPr>
        <w:tabs>
          <w:tab w:val="num" w:pos="1440"/>
        </w:tabs>
        <w:spacing w:before="100" w:after="100" w:afterAutospacing="1" w:line="240" w:lineRule="auto"/>
        <w:ind w:left="1440" w:hanging="360"/>
      </w:pPr>
      <w:r>
        <w:lastRenderedPageBreak/>
        <w:t>The Tribunal examined the nature of the transaction under the CSA and concluded that it was an outright sale of ownership rights in the cable system, granting VSNL full control, including rights to transfer or assign the capacity.</w:t>
      </w:r>
    </w:p>
    <w:p w:rsidR="00A056B6" w:rsidRDefault="00A056B6" w:rsidP="00743A5F">
      <w:pPr>
        <w:numPr>
          <w:ilvl w:val="1"/>
          <w:numId w:val="0"/>
        </w:numPr>
        <w:tabs>
          <w:tab w:val="num" w:pos="1440"/>
        </w:tabs>
        <w:spacing w:before="100" w:after="100" w:afterAutospacing="1" w:line="240" w:lineRule="auto"/>
        <w:ind w:left="1440" w:hanging="360"/>
      </w:pPr>
      <w:r>
        <w:t>It was determined that such a transaction does not fall within the definition of "Royalty," as there was no mere granting of the right to use the asset; instead, there was a complete transfer of ownership.</w:t>
      </w:r>
    </w:p>
    <w:p w:rsidR="00A056B6" w:rsidRDefault="00A056B6" w:rsidP="00743A5F">
      <w:pPr>
        <w:numPr>
          <w:ilvl w:val="1"/>
          <w:numId w:val="0"/>
        </w:numPr>
        <w:tabs>
          <w:tab w:val="num" w:pos="1440"/>
        </w:tabs>
        <w:spacing w:before="100" w:after="100" w:afterAutospacing="1" w:line="240" w:lineRule="auto"/>
        <w:ind w:left="1440" w:hanging="360"/>
      </w:pPr>
      <w:r>
        <w:t>The ITAT referenced the distinction that in the case of royalty, ownership remains with the grantor, and only usage rights are provided. In contrast, the present transaction involved the transfer of all rights, indicating a sale rather than a licensing arrangement.</w:t>
      </w:r>
    </w:p>
    <w:p w:rsidR="00A056B6" w:rsidRDefault="00A056B6" w:rsidP="00743A5F">
      <w:pPr>
        <w:pStyle w:val="NormalWeb"/>
        <w:tabs>
          <w:tab w:val="num" w:pos="720"/>
        </w:tabs>
        <w:spacing w:before="0" w:beforeAutospacing="0"/>
        <w:ind w:left="720" w:hanging="360"/>
      </w:pPr>
      <w:r>
        <w:rPr>
          <w:rStyle w:val="Strong"/>
        </w:rPr>
        <w:t>Standby Maintenance Charges:</w:t>
      </w:r>
    </w:p>
    <w:p w:rsidR="00A056B6" w:rsidRDefault="00A056B6" w:rsidP="00743A5F">
      <w:pPr>
        <w:numPr>
          <w:ilvl w:val="1"/>
          <w:numId w:val="0"/>
        </w:numPr>
        <w:tabs>
          <w:tab w:val="num" w:pos="1440"/>
        </w:tabs>
        <w:spacing w:before="100" w:after="100" w:afterAutospacing="1" w:line="240" w:lineRule="auto"/>
        <w:ind w:left="1440" w:hanging="360"/>
      </w:pPr>
      <w:r>
        <w:t>The Tribunal noted that standby maintenance charges were fixed annual payments for maintaining a readiness to provide maintenance services if required, rather than payments for actual services rendered.</w:t>
      </w:r>
    </w:p>
    <w:p w:rsidR="00A056B6" w:rsidRDefault="00A056B6" w:rsidP="00743A5F">
      <w:pPr>
        <w:numPr>
          <w:ilvl w:val="1"/>
          <w:numId w:val="0"/>
        </w:numPr>
        <w:tabs>
          <w:tab w:val="num" w:pos="1440"/>
        </w:tabs>
        <w:spacing w:before="100" w:after="100" w:afterAutospacing="1" w:line="240" w:lineRule="auto"/>
        <w:ind w:left="1440" w:hanging="360"/>
      </w:pPr>
      <w:r>
        <w:t>It was held that such charges do not qualify as FTS, as there was no actual rendering of technical or consultancy services during the standby period.</w:t>
      </w:r>
    </w:p>
    <w:p w:rsidR="00A056B6" w:rsidRDefault="00A056B6" w:rsidP="00743A5F">
      <w:pPr>
        <w:numPr>
          <w:ilvl w:val="1"/>
          <w:numId w:val="0"/>
        </w:numPr>
        <w:tabs>
          <w:tab w:val="num" w:pos="1440"/>
        </w:tabs>
        <w:spacing w:before="100" w:after="100" w:afterAutospacing="1" w:line="240" w:lineRule="auto"/>
        <w:ind w:left="1440" w:hanging="360"/>
      </w:pPr>
      <w:r>
        <w:t>The ITAT emphasized that for a payment to be classified as FTS, there must be a direct rendering of technical services, which was not the case here.</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Capacity Sales:</w:t>
      </w:r>
      <w:r>
        <w:t xml:space="preserve"> The consideration received by the assessee from VSNL for the sale of capacity in the cable system was not taxable as "Royalty" under Section 9(1)(vi) of the Income Tax Act, 1961, as it constituted an outright sale of ownership rights.</w:t>
      </w:r>
    </w:p>
    <w:p w:rsidR="00A056B6" w:rsidRDefault="00A056B6" w:rsidP="00743A5F">
      <w:pPr>
        <w:pStyle w:val="NormalWeb"/>
        <w:tabs>
          <w:tab w:val="num" w:pos="720"/>
        </w:tabs>
        <w:spacing w:before="0" w:beforeAutospacing="0"/>
        <w:ind w:left="720" w:hanging="360"/>
      </w:pPr>
      <w:r>
        <w:rPr>
          <w:rStyle w:val="Strong"/>
        </w:rPr>
        <w:t>Standby Maintenance Charges:</w:t>
      </w:r>
      <w:r>
        <w:t xml:space="preserve"> The payments received for standby maintenance services were not taxable as "Fees for Technical Services" under Section 9(1)(vii) of the Act, due to the absence of actual service provision.</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clarifies that payments received from the outright sale of ownership rights in assets do not constitute "Royalty" under Indian tax law. Additionally, fixed charges for standby maintenance, without actual service provision, do not qualify as "Fees for Technical Services."</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Flag Telecom Group Ltd. v. Deputy Director of Income Tax (International Taxation), [2015] 59 taxmann.com 411/69 SOT 679/174 TTJ 92 (Mumbai - Trib.).</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73" w:tgtFrame="_new" w:history="1">
        <w:r>
          <w:rPr>
            <w:rStyle w:val="Hyperlink"/>
          </w:rPr>
          <w:t>Taxmann</w:t>
        </w:r>
      </w:hyperlink>
    </w:p>
    <w:p w:rsidR="00A056B6" w:rsidRDefault="00A056B6" w:rsidP="00743A5F">
      <w:pPr>
        <w:pStyle w:val="NormalWeb"/>
        <w:spacing w:before="0" w:beforeAutospacing="0"/>
      </w:pPr>
      <w:r>
        <w:lastRenderedPageBreak/>
        <w:t>This decision provides significant insights into the interpretation of "Royalty" and "Fees for Technical Services" concerning international transactions involving the sale of telecommunication infrastructure capacity and related services.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The Regents of University of California - TS- 490-AAR-2016 - A.A.R. No 1656 of 2014 [India - US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721359AC" wp14:editId="6B641816">
            <wp:extent cx="763905" cy="763905"/>
            <wp:effectExtent l="0" t="0" r="0" b="0"/>
            <wp:docPr id="412" name="Picture 41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4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The Regents of the University of California UCLA Anderson School of Management Executive Education, USA</w:t>
      </w:r>
      <w:r>
        <w:t xml:space="preserve">, the </w:t>
      </w:r>
      <w:r>
        <w:rPr>
          <w:rStyle w:val="Strong"/>
        </w:rPr>
        <w:t>Authority for Advance Rulings (AAR)</w:t>
      </w:r>
      <w:r>
        <w:t xml:space="preserve"> addressed the tax implications under the </w:t>
      </w:r>
      <w:r>
        <w:rPr>
          <w:rStyle w:val="Strong"/>
        </w:rPr>
        <w:t>India-USA Double Taxation Avoidance Agreement (DTAA)</w:t>
      </w:r>
      <w:r>
        <w:t xml:space="preserve"> concerning payments made to the applicant for conducting executive education programs in India.</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Applicant:</w:t>
      </w:r>
      <w:r>
        <w:t xml:space="preserve"> The Regents of the University of California, a non-profit public benefit corporation incorporated in the USA, operating as UCLA Anderson School of Management Executive Education.</w:t>
      </w:r>
    </w:p>
    <w:p w:rsidR="00A056B6" w:rsidRDefault="00A056B6" w:rsidP="00743A5F">
      <w:pPr>
        <w:pStyle w:val="NormalWeb"/>
        <w:tabs>
          <w:tab w:val="num" w:pos="720"/>
        </w:tabs>
        <w:spacing w:before="0" w:beforeAutospacing="0"/>
        <w:ind w:left="720" w:hanging="360"/>
      </w:pPr>
      <w:r>
        <w:rPr>
          <w:rStyle w:val="Strong"/>
        </w:rPr>
        <w:t>Indian Partner:</w:t>
      </w:r>
      <w:r>
        <w:t xml:space="preserve"> Northwest Universal Education Private Limited (Northwest), an Indian company that collaborated with the applicant to conduct management training programs in India.</w:t>
      </w:r>
    </w:p>
    <w:p w:rsidR="00A056B6" w:rsidRDefault="00A056B6" w:rsidP="00743A5F">
      <w:pPr>
        <w:pStyle w:val="NormalWeb"/>
        <w:tabs>
          <w:tab w:val="num" w:pos="720"/>
        </w:tabs>
        <w:spacing w:before="0" w:beforeAutospacing="0"/>
        <w:ind w:left="720" w:hanging="360"/>
      </w:pPr>
      <w:r>
        <w:rPr>
          <w:rStyle w:val="Strong"/>
        </w:rPr>
        <w:t>Programs Conducted:</w:t>
      </w:r>
      <w:r>
        <w:t xml:space="preserve"> Short-duration executive education programs ranging from 4 to 12 days, focusing on management techniques for senior executives with over eight years of experience.</w:t>
      </w:r>
    </w:p>
    <w:p w:rsidR="00A056B6" w:rsidRDefault="00A056B6" w:rsidP="00743A5F">
      <w:pPr>
        <w:pStyle w:val="NormalWeb"/>
        <w:tabs>
          <w:tab w:val="num" w:pos="720"/>
        </w:tabs>
        <w:spacing w:before="0" w:beforeAutospacing="0"/>
        <w:ind w:left="720" w:hanging="360"/>
      </w:pPr>
      <w:r>
        <w:rPr>
          <w:rStyle w:val="Strong"/>
        </w:rPr>
        <w:t>Payment Structure:</w:t>
      </w:r>
      <w:r>
        <w:t xml:space="preserve"> Northwest paid the applicant for the teaching services provided during these programs. Participants did not make direct payments to the applicant.</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Classification of Income:</w:t>
      </w:r>
      <w:r>
        <w:t xml:space="preserve"> Whether the payments received by the applicant from Northwest constituted "Fees for Included Services" (FIS) under Article 12 of the India-USA DTAA, thereby attracting tax liability in India.</w:t>
      </w:r>
    </w:p>
    <w:p w:rsidR="00A056B6" w:rsidRDefault="00A056B6" w:rsidP="00743A5F">
      <w:pPr>
        <w:pStyle w:val="NormalWeb"/>
        <w:tabs>
          <w:tab w:val="num" w:pos="720"/>
        </w:tabs>
        <w:spacing w:before="0" w:beforeAutospacing="0"/>
        <w:ind w:left="720" w:hanging="360"/>
      </w:pPr>
      <w:r>
        <w:rPr>
          <w:rStyle w:val="Strong"/>
        </w:rPr>
        <w:t>Existence of Permanent Establishment (PE):</w:t>
      </w:r>
      <w:r>
        <w:t xml:space="preserve"> Whether the applicant's activities in India resulted in the creation of a Permanent Establishment under Article 5 of the DTAA, leading to business profits being taxable in India under Article 7.</w:t>
      </w:r>
    </w:p>
    <w:p w:rsidR="00A056B6" w:rsidRDefault="00A056B6" w:rsidP="00743A5F">
      <w:pPr>
        <w:pStyle w:val="NormalWeb"/>
        <w:spacing w:before="0" w:beforeAutospacing="0"/>
      </w:pPr>
      <w:r>
        <w:rPr>
          <w:rStyle w:val="Strong"/>
        </w:rPr>
        <w:lastRenderedPageBreak/>
        <w:t>AAR's Analysis:</w:t>
      </w:r>
    </w:p>
    <w:p w:rsidR="00A056B6" w:rsidRDefault="00A056B6" w:rsidP="00743A5F">
      <w:pPr>
        <w:pStyle w:val="NormalWeb"/>
        <w:tabs>
          <w:tab w:val="num" w:pos="720"/>
        </w:tabs>
        <w:spacing w:before="0" w:beforeAutospacing="0"/>
        <w:ind w:left="720" w:hanging="360"/>
      </w:pPr>
      <w:r>
        <w:rPr>
          <w:rStyle w:val="Strong"/>
        </w:rPr>
        <w:t>Fees for Included Services (FIS):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Article 12(5)(c) of the DTAA:</w:t>
      </w:r>
      <w:r>
        <w:t xml:space="preserve"> Specifically excludes payments for teaching in or by educational institutions from the definition of FIS.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Conclusion:</w:t>
      </w:r>
      <w:r>
        <w:t xml:space="preserve"> The AAR concluded that the payments received by the applicant for conducting educational programs did not qualify as FIS under the DTAA, as they fell within the exclusion for teaching services.</w:t>
      </w:r>
    </w:p>
    <w:p w:rsidR="00A056B6" w:rsidRDefault="00A056B6" w:rsidP="00743A5F">
      <w:pPr>
        <w:pStyle w:val="NormalWeb"/>
        <w:tabs>
          <w:tab w:val="num" w:pos="720"/>
        </w:tabs>
        <w:spacing w:before="0" w:beforeAutospacing="0"/>
        <w:ind w:left="720" w:hanging="360"/>
      </w:pPr>
      <w:r>
        <w:rPr>
          <w:rStyle w:val="Strong"/>
        </w:rPr>
        <w:t>Permanent Establishment (PE):</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Fixed Place of Business:</w:t>
      </w:r>
      <w:r>
        <w:t xml:space="preserve"> The programs were conducted at venues arranged by Northwest, varying with each program, indicating the absence of a fixed place of business for the applicant in India.</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Control Over Premises:</w:t>
      </w:r>
      <w:r>
        <w:t xml:space="preserve"> The applicant did not have control over the premises where the programs were conducted.</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Duration of Activities:</w:t>
      </w:r>
      <w:r>
        <w:t xml:space="preserve"> The teaching activities spanned only a few days for each program.</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Conclusion:</w:t>
      </w:r>
      <w:r>
        <w:t xml:space="preserve"> The AAR determined that the applicant did not have a PE in India as per Article 5 of the DTAA, and therefore, the business profits could not be taxed in India under Article 7.</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Non-Taxability of Payments:</w:t>
      </w:r>
      <w:r>
        <w:t xml:space="preserve"> The AAR ruled that the payments received by the applicant from Northwest for conducting executive education programs in India were not taxable as FIS under Article 12 of the India-USA DTAA.</w:t>
      </w:r>
    </w:p>
    <w:p w:rsidR="00A056B6" w:rsidRDefault="00A056B6" w:rsidP="00743A5F">
      <w:pPr>
        <w:pStyle w:val="NormalWeb"/>
        <w:tabs>
          <w:tab w:val="num" w:pos="720"/>
        </w:tabs>
        <w:spacing w:before="0" w:beforeAutospacing="0"/>
        <w:ind w:left="720" w:hanging="360"/>
      </w:pPr>
      <w:r>
        <w:rPr>
          <w:rStyle w:val="Strong"/>
        </w:rPr>
        <w:t>Absence of PE:</w:t>
      </w:r>
      <w:r>
        <w:t xml:space="preserve"> The applicant did not have a Permanent Establishment in India; hence, the business profits were not taxable in India under Article 7 of the DTAA.</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ruling clarifies that payments made to a non-profit educational institution for conducting short-term educational programs in India are not taxable as "Fees for Included Services" under the India-USA DTAA, provided the services fall within the teaching exclusion. Additionally, the absence of a fixed place of business and control over the premises in India indicates that no Permanent Establishment is constituted, thereby exempting the entity from business tax liability in India under the DTAA.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In Re: The Regents of the University of California UCLA Anderson School of Management Executive Education, USA, A.A.R. No. 1656 of 2014, Authority for Advance Rulings, dated April 12, 2016.</w:t>
      </w:r>
    </w:p>
    <w:p w:rsidR="00A056B6" w:rsidRDefault="00A056B6" w:rsidP="00743A5F">
      <w:pPr>
        <w:pStyle w:val="NormalWeb"/>
        <w:tabs>
          <w:tab w:val="num" w:pos="720"/>
        </w:tabs>
        <w:spacing w:before="0" w:beforeAutospacing="0"/>
        <w:ind w:left="720" w:hanging="360"/>
      </w:pPr>
      <w:r>
        <w:rPr>
          <w:rStyle w:val="Strong"/>
        </w:rPr>
        <w:lastRenderedPageBreak/>
        <w:t>Source:</w:t>
      </w:r>
      <w:r>
        <w:t xml:space="preserve"> </w:t>
      </w:r>
      <w:hyperlink r:id="rId74" w:tgtFrame="_new" w:history="1">
        <w:r>
          <w:rPr>
            <w:rStyle w:val="Hyperlink"/>
          </w:rPr>
          <w:t>Nishith Desai Associates</w:t>
        </w:r>
      </w:hyperlink>
    </w:p>
    <w:p w:rsidR="00A056B6" w:rsidRDefault="00A056B6" w:rsidP="00743A5F">
      <w:pPr>
        <w:pStyle w:val="NormalWeb"/>
        <w:spacing w:before="0" w:beforeAutospacing="0"/>
      </w:pPr>
      <w:r>
        <w:t>This decision provides valuable guidance for educational institutions and non-profit organizations engaging in cross-border educational activities, emphasizing the importance of understanding treaty provisions to determine tax liabilities.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Guangzhou Usha International Ltd In re – (2015) 62 taxmann.com 96 (AAR – New Delhi)</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79FD06E4" wp14:editId="7AFE3F40">
            <wp:extent cx="763905" cy="763905"/>
            <wp:effectExtent l="0" t="0" r="0" b="0"/>
            <wp:docPr id="411" name="Picture 41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4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Guangzhou Usha International Ltd., In re</w:t>
      </w:r>
      <w:r>
        <w:t xml:space="preserve"> ([2015] 62 taxmann.com 96 (AAR – New Delhi)), the </w:t>
      </w:r>
      <w:r>
        <w:rPr>
          <w:rStyle w:val="Strong"/>
        </w:rPr>
        <w:t>Authority for Advance Rulings (AAR)</w:t>
      </w:r>
      <w:r>
        <w:t xml:space="preserve"> examined the tax implications under the </w:t>
      </w:r>
      <w:r>
        <w:rPr>
          <w:rStyle w:val="Strong"/>
        </w:rPr>
        <w:t>India-China Double Taxation Avoidance Agreement (DTAA)</w:t>
      </w:r>
      <w:r>
        <w:t xml:space="preserve"> concerning service fees received by Guangzhou Usha International Ltd. (the applicant) from Usha International Limited (UIL), an Indian company.</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Applicant:</w:t>
      </w:r>
      <w:r>
        <w:t xml:space="preserve"> Guangzhou Usha International Ltd., a company incorporated under Chinese laws, wholly owned by Usha International Limited (UIL), an Indian company.</w:t>
      </w:r>
    </w:p>
    <w:p w:rsidR="00A056B6" w:rsidRDefault="00A056B6" w:rsidP="00743A5F">
      <w:pPr>
        <w:pStyle w:val="NormalWeb"/>
        <w:tabs>
          <w:tab w:val="num" w:pos="720"/>
        </w:tabs>
        <w:spacing w:before="0" w:beforeAutospacing="0"/>
        <w:ind w:left="720" w:hanging="360"/>
      </w:pPr>
      <w:r>
        <w:rPr>
          <w:rStyle w:val="Strong"/>
        </w:rPr>
        <w:t>Services Provided:</w:t>
      </w:r>
      <w:r>
        <w:t xml:space="preserve"> The applicant entered into a service agreement with UIL to offer various services related to the procurement of goods from Chinese vendors. These services included:</w:t>
      </w:r>
    </w:p>
    <w:p w:rsidR="00A056B6" w:rsidRDefault="00A056B6" w:rsidP="00743A5F">
      <w:pPr>
        <w:pStyle w:val="NormalWeb"/>
        <w:numPr>
          <w:ilvl w:val="1"/>
          <w:numId w:val="0"/>
        </w:numPr>
        <w:tabs>
          <w:tab w:val="num" w:pos="1440"/>
        </w:tabs>
        <w:spacing w:before="0" w:beforeAutospacing="0"/>
        <w:ind w:left="1440" w:hanging="360"/>
      </w:pPr>
      <w:r>
        <w:t>Identifying and evaluating new suppliers and products.</w:t>
      </w:r>
    </w:p>
    <w:p w:rsidR="00A056B6" w:rsidRDefault="00A056B6" w:rsidP="00743A5F">
      <w:pPr>
        <w:pStyle w:val="NormalWeb"/>
        <w:numPr>
          <w:ilvl w:val="1"/>
          <w:numId w:val="0"/>
        </w:numPr>
        <w:tabs>
          <w:tab w:val="num" w:pos="1440"/>
        </w:tabs>
        <w:spacing w:before="0" w:beforeAutospacing="0"/>
        <w:ind w:left="1440" w:hanging="360"/>
      </w:pPr>
      <w:r>
        <w:t>Conducting market research and generating new product ideas.</w:t>
      </w:r>
    </w:p>
    <w:p w:rsidR="00A056B6" w:rsidRDefault="00A056B6" w:rsidP="00743A5F">
      <w:pPr>
        <w:pStyle w:val="NormalWeb"/>
        <w:numPr>
          <w:ilvl w:val="1"/>
          <w:numId w:val="0"/>
        </w:numPr>
        <w:tabs>
          <w:tab w:val="num" w:pos="1440"/>
        </w:tabs>
        <w:spacing w:before="0" w:beforeAutospacing="0"/>
        <w:ind w:left="1440" w:hanging="360"/>
      </w:pPr>
      <w:r>
        <w:t>Negotiating prices and payment terms.</w:t>
      </w:r>
    </w:p>
    <w:p w:rsidR="00A056B6" w:rsidRDefault="00A056B6" w:rsidP="00743A5F">
      <w:pPr>
        <w:pStyle w:val="NormalWeb"/>
        <w:numPr>
          <w:ilvl w:val="1"/>
          <w:numId w:val="0"/>
        </w:numPr>
        <w:tabs>
          <w:tab w:val="num" w:pos="1440"/>
        </w:tabs>
        <w:spacing w:before="0" w:beforeAutospacing="0"/>
        <w:ind w:left="1440" w:hanging="360"/>
      </w:pPr>
      <w:r>
        <w:t>Performing safety, performance, and endurance tests.</w:t>
      </w:r>
    </w:p>
    <w:p w:rsidR="00A056B6" w:rsidRDefault="00A056B6" w:rsidP="00743A5F">
      <w:pPr>
        <w:pStyle w:val="NormalWeb"/>
        <w:numPr>
          <w:ilvl w:val="1"/>
          <w:numId w:val="0"/>
        </w:numPr>
        <w:tabs>
          <w:tab w:val="num" w:pos="1440"/>
        </w:tabs>
        <w:spacing w:before="0" w:beforeAutospacing="0"/>
        <w:ind w:left="1440" w:hanging="360"/>
      </w:pPr>
      <w:r>
        <w:t>Reviewing quality systems and conducting inspections.</w:t>
      </w:r>
    </w:p>
    <w:p w:rsidR="00A056B6" w:rsidRDefault="00A056B6" w:rsidP="00743A5F">
      <w:pPr>
        <w:pStyle w:val="NormalWeb"/>
        <w:numPr>
          <w:ilvl w:val="1"/>
          <w:numId w:val="0"/>
        </w:numPr>
        <w:tabs>
          <w:tab w:val="num" w:pos="1440"/>
        </w:tabs>
        <w:spacing w:before="0" w:beforeAutospacing="0"/>
        <w:ind w:left="1440" w:hanging="360"/>
      </w:pPr>
      <w:r>
        <w:t>Interacting with vendors and sharing relevant information with UIL.</w:t>
      </w:r>
    </w:p>
    <w:p w:rsidR="00A056B6" w:rsidRDefault="00A056B6" w:rsidP="00743A5F">
      <w:pPr>
        <w:pStyle w:val="NormalWeb"/>
        <w:tabs>
          <w:tab w:val="num" w:pos="720"/>
        </w:tabs>
        <w:spacing w:before="0" w:beforeAutospacing="0"/>
        <w:ind w:left="720" w:hanging="360"/>
      </w:pPr>
      <w:r>
        <w:rPr>
          <w:rStyle w:val="Strong"/>
        </w:rPr>
        <w:t>Service Fee:</w:t>
      </w:r>
      <w:r>
        <w:t xml:space="preserve"> The applicant was compensated on a cost-plus basis, with a 10% markup over actual costs incurred.</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lastRenderedPageBreak/>
        <w:t>Taxability of Service Fees in India:</w:t>
      </w:r>
    </w:p>
    <w:p w:rsidR="00A056B6" w:rsidRDefault="00A056B6" w:rsidP="00743A5F">
      <w:pPr>
        <w:numPr>
          <w:ilvl w:val="1"/>
          <w:numId w:val="0"/>
        </w:numPr>
        <w:tabs>
          <w:tab w:val="num" w:pos="1440"/>
        </w:tabs>
        <w:spacing w:before="100" w:after="100" w:afterAutospacing="1" w:line="240" w:lineRule="auto"/>
        <w:ind w:left="1440" w:hanging="360"/>
      </w:pPr>
      <w:r>
        <w:t>Whether the service fees received by the applicant from UIL for services rendered in China are taxable in India under the provisions of the Income Tax Act, 1961, and the India-China DTAA.</w:t>
      </w:r>
    </w:p>
    <w:p w:rsidR="00A056B6" w:rsidRDefault="00A056B6" w:rsidP="00743A5F">
      <w:pPr>
        <w:pStyle w:val="NormalWeb"/>
        <w:tabs>
          <w:tab w:val="num" w:pos="720"/>
        </w:tabs>
        <w:spacing w:before="0" w:beforeAutospacing="0"/>
        <w:ind w:left="720" w:hanging="360"/>
      </w:pPr>
      <w:r>
        <w:rPr>
          <w:rStyle w:val="Strong"/>
        </w:rPr>
        <w:t>Classification as Fees for Technical Services (FTS):</w:t>
      </w:r>
    </w:p>
    <w:p w:rsidR="00A056B6" w:rsidRDefault="00A056B6" w:rsidP="00743A5F">
      <w:pPr>
        <w:numPr>
          <w:ilvl w:val="1"/>
          <w:numId w:val="0"/>
        </w:numPr>
        <w:tabs>
          <w:tab w:val="num" w:pos="1440"/>
        </w:tabs>
        <w:spacing w:before="100" w:after="100" w:afterAutospacing="1" w:line="240" w:lineRule="auto"/>
        <w:ind w:left="1440" w:hanging="360"/>
      </w:pPr>
      <w:r>
        <w:t>Whether the services provided by the applicant qualify as "Fees for Technical Services" under Article 12 of the India-China DTAA.</w:t>
      </w:r>
    </w:p>
    <w:p w:rsidR="00A056B6" w:rsidRDefault="00A056B6" w:rsidP="00743A5F">
      <w:pPr>
        <w:pStyle w:val="NormalWeb"/>
        <w:spacing w:before="0" w:beforeAutospacing="0"/>
      </w:pPr>
      <w:r>
        <w:rPr>
          <w:rStyle w:val="Strong"/>
        </w:rPr>
        <w:t>AAR's Analysis:</w:t>
      </w:r>
    </w:p>
    <w:p w:rsidR="00A056B6" w:rsidRDefault="00A056B6" w:rsidP="00743A5F">
      <w:pPr>
        <w:pStyle w:val="NormalWeb"/>
        <w:tabs>
          <w:tab w:val="num" w:pos="720"/>
        </w:tabs>
        <w:spacing w:before="0" w:beforeAutospacing="0"/>
        <w:ind w:left="720" w:hanging="360"/>
      </w:pPr>
      <w:r>
        <w:rPr>
          <w:rStyle w:val="Strong"/>
        </w:rPr>
        <w:t>Scope of 'Provision of Services':</w:t>
      </w:r>
    </w:p>
    <w:p w:rsidR="00A056B6" w:rsidRDefault="00A056B6" w:rsidP="00743A5F">
      <w:pPr>
        <w:numPr>
          <w:ilvl w:val="1"/>
          <w:numId w:val="0"/>
        </w:numPr>
        <w:tabs>
          <w:tab w:val="num" w:pos="1440"/>
        </w:tabs>
        <w:spacing w:before="100" w:after="100" w:afterAutospacing="1" w:line="240" w:lineRule="auto"/>
        <w:ind w:left="1440" w:hanging="360"/>
      </w:pPr>
      <w:r>
        <w:t>The AAR noted that the term "provision of services" in Article 12 of the India-China DTAA is broader than the phrase "provision of rendering of services" found in other treaties. This broader interpretation encompasses services utilized in India, even if rendered outside India.</w:t>
      </w:r>
    </w:p>
    <w:p w:rsidR="00A056B6" w:rsidRDefault="00A056B6" w:rsidP="00743A5F">
      <w:pPr>
        <w:pStyle w:val="NormalWeb"/>
        <w:tabs>
          <w:tab w:val="num" w:pos="720"/>
        </w:tabs>
        <w:spacing w:before="0" w:beforeAutospacing="0"/>
        <w:ind w:left="720" w:hanging="360"/>
      </w:pPr>
      <w:r>
        <w:rPr>
          <w:rStyle w:val="Strong"/>
        </w:rPr>
        <w:t>Nature of Services as Consultancy:</w:t>
      </w:r>
    </w:p>
    <w:p w:rsidR="00A056B6" w:rsidRDefault="00A056B6" w:rsidP="00743A5F">
      <w:pPr>
        <w:numPr>
          <w:ilvl w:val="1"/>
          <w:numId w:val="0"/>
        </w:numPr>
        <w:tabs>
          <w:tab w:val="num" w:pos="1440"/>
        </w:tabs>
        <w:spacing w:before="100" w:after="100" w:afterAutospacing="1" w:line="240" w:lineRule="auto"/>
        <w:ind w:left="1440" w:hanging="360"/>
      </w:pPr>
      <w:r>
        <w:t>The AAR observed that the applicant's services required specialized skills, knowledge, and expertise, particularly in evaluating suppliers, conducting market research, and providing technical advice. Such activities fall within the ambit of consultancy services.</w:t>
      </w:r>
    </w:p>
    <w:p w:rsidR="00A056B6" w:rsidRDefault="00A056B6" w:rsidP="00743A5F">
      <w:pPr>
        <w:pStyle w:val="NormalWeb"/>
        <w:tabs>
          <w:tab w:val="num" w:pos="720"/>
        </w:tabs>
        <w:spacing w:before="0" w:beforeAutospacing="0"/>
        <w:ind w:left="720" w:hanging="360"/>
      </w:pPr>
      <w:r>
        <w:rPr>
          <w:rStyle w:val="Strong"/>
        </w:rPr>
        <w:t>Taxability under the DTAA:</w:t>
      </w:r>
    </w:p>
    <w:p w:rsidR="00A056B6" w:rsidRDefault="00A056B6" w:rsidP="00743A5F">
      <w:pPr>
        <w:numPr>
          <w:ilvl w:val="1"/>
          <w:numId w:val="0"/>
        </w:numPr>
        <w:tabs>
          <w:tab w:val="num" w:pos="1440"/>
        </w:tabs>
        <w:spacing w:before="100" w:after="100" w:afterAutospacing="1" w:line="240" w:lineRule="auto"/>
        <w:ind w:left="1440" w:hanging="360"/>
      </w:pPr>
      <w:r>
        <w:t>Given that the services were utilized by UIL in India, the AAR concluded that the service fees constitute Fees for Technical Services under Article 12 of the India-China DTAA. Consequently, these fees are taxable in India.</w:t>
      </w:r>
    </w:p>
    <w:p w:rsidR="00A056B6" w:rsidRDefault="00A056B6" w:rsidP="00743A5F">
      <w:pPr>
        <w:pStyle w:val="NormalWeb"/>
        <w:tabs>
          <w:tab w:val="num" w:pos="720"/>
        </w:tabs>
        <w:spacing w:before="0" w:beforeAutospacing="0"/>
        <w:ind w:left="720" w:hanging="360"/>
      </w:pPr>
      <w:r>
        <w:rPr>
          <w:rStyle w:val="Strong"/>
        </w:rPr>
        <w:t>Gross Basis Taxation:</w:t>
      </w:r>
    </w:p>
    <w:p w:rsidR="00A056B6" w:rsidRDefault="00A056B6" w:rsidP="00743A5F">
      <w:pPr>
        <w:numPr>
          <w:ilvl w:val="1"/>
          <w:numId w:val="0"/>
        </w:numPr>
        <w:tabs>
          <w:tab w:val="num" w:pos="1440"/>
        </w:tabs>
        <w:spacing w:before="100" w:after="100" w:afterAutospacing="1" w:line="240" w:lineRule="auto"/>
        <w:ind w:left="1440" w:hanging="360"/>
      </w:pPr>
      <w:r>
        <w:t>The AAR determined that the entire service fee, including the 10% markup, is subject to tax in India on a gross basis, as per the provisions of the DTAA.</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Taxability in India:</w:t>
      </w:r>
      <w:r>
        <w:t xml:space="preserve"> The service fees received by Guangzhou Usha International Ltd. from Usha International Limited are taxable in India as Fees for Technical Services under Article 12 of the India-China DTAA.</w:t>
      </w:r>
    </w:p>
    <w:p w:rsidR="00A056B6" w:rsidRDefault="00A056B6" w:rsidP="00743A5F">
      <w:pPr>
        <w:pStyle w:val="NormalWeb"/>
        <w:tabs>
          <w:tab w:val="num" w:pos="720"/>
        </w:tabs>
        <w:spacing w:before="0" w:beforeAutospacing="0"/>
        <w:ind w:left="720" w:hanging="360"/>
      </w:pPr>
      <w:r>
        <w:rPr>
          <w:rStyle w:val="Strong"/>
        </w:rPr>
        <w:t>Withholding Tax Obligation:</w:t>
      </w:r>
      <w:r>
        <w:t xml:space="preserve"> Usha International Limited is required to withhold tax at the applicable rate on the entire service fee paid to the applicant.</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lastRenderedPageBreak/>
        <w:t>This ruling underscores that services rendered outside India but utilized within India can be taxed as Fees for Technical Services under the India-China DTAA. The interpretation of treaty terms, such as "provision of services," plays a crucial role in determining tax liabilities in cross-border service arrangements.</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Guangzhou Usha International Ltd., In re, [2015] 62 taxmann.com 96 (AAR – New Delhi).</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75" w:tgtFrame="_new" w:history="1">
        <w:r>
          <w:rPr>
            <w:rStyle w:val="Hyperlink"/>
          </w:rPr>
          <w:t>Taxmann</w:t>
        </w:r>
      </w:hyperlink>
    </w:p>
    <w:p w:rsidR="00A056B6" w:rsidRDefault="00A056B6" w:rsidP="00743A5F">
      <w:pPr>
        <w:pStyle w:val="NormalWeb"/>
        <w:spacing w:before="0" w:beforeAutospacing="0"/>
      </w:pPr>
      <w:r>
        <w:t>This decision highlights the importance of understanding the nuances of international tax treaties and their application to services provided across borders.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DIT (IT) v Modiluft Ltd – (2018) 93 taxmann.com 180 (Del) – ITA Nos. 772 of 2004 &amp; 15 of 2005 and others dated May 8, 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06CD8625" wp14:editId="159FF1B7">
            <wp:extent cx="763905" cy="763905"/>
            <wp:effectExtent l="0" t="0" r="0" b="0"/>
            <wp:docPr id="410" name="Picture 41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4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Director of Income Tax (International Taxation) v. Modiluft Ltd.</w:t>
      </w:r>
      <w:r>
        <w:t xml:space="preserve">, the </w:t>
      </w:r>
      <w:r>
        <w:rPr>
          <w:rStyle w:val="Strong"/>
        </w:rPr>
        <w:t>Delhi High Court</w:t>
      </w:r>
      <w:r>
        <w:t xml:space="preserve"> addressed the tax implications of payments made by Modiluft Ltd. (the assessee) to a German company, Deutsche Lufthansa AG, under technical and crew lease agreements.</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Modiluft Ltd., an Indian company engaged in the aviation sector.</w:t>
      </w:r>
    </w:p>
    <w:p w:rsidR="00A056B6" w:rsidRDefault="00A056B6" w:rsidP="00743A5F">
      <w:pPr>
        <w:pStyle w:val="NormalWeb"/>
        <w:tabs>
          <w:tab w:val="num" w:pos="720"/>
        </w:tabs>
        <w:spacing w:before="0" w:beforeAutospacing="0"/>
        <w:ind w:left="720" w:hanging="360"/>
      </w:pPr>
      <w:r>
        <w:rPr>
          <w:rStyle w:val="Strong"/>
        </w:rPr>
        <w:t>Foreign Entity:</w:t>
      </w:r>
      <w:r>
        <w:t xml:space="preserve"> Deutsche Lufthansa AG, a German airline company.</w:t>
      </w:r>
    </w:p>
    <w:p w:rsidR="00A056B6" w:rsidRDefault="00A056B6" w:rsidP="00743A5F">
      <w:pPr>
        <w:pStyle w:val="NormalWeb"/>
        <w:tabs>
          <w:tab w:val="num" w:pos="720"/>
        </w:tabs>
        <w:spacing w:before="0" w:beforeAutospacing="0"/>
        <w:ind w:left="720" w:hanging="360"/>
      </w:pPr>
      <w:r>
        <w:rPr>
          <w:rStyle w:val="Strong"/>
        </w:rPr>
        <w:t>Agreements: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Technical Support Agreement:</w:t>
      </w:r>
      <w:r>
        <w:t xml:space="preserve"> Modiluft Ltd. entered into an agreement with Deutsche Lufthansa AG for technical support services.</w:t>
      </w:r>
    </w:p>
    <w:p w:rsidR="00A056B6" w:rsidRDefault="00A056B6" w:rsidP="00743A5F">
      <w:pPr>
        <w:numPr>
          <w:ilvl w:val="1"/>
          <w:numId w:val="0"/>
        </w:numPr>
        <w:tabs>
          <w:tab w:val="num" w:pos="1440"/>
        </w:tabs>
        <w:spacing w:before="100" w:after="100" w:afterAutospacing="1" w:line="240" w:lineRule="auto"/>
        <w:ind w:left="1440" w:hanging="360"/>
      </w:pPr>
      <w:r>
        <w:rPr>
          <w:rStyle w:val="Strong"/>
        </w:rPr>
        <w:t>Crew Lease Agreement:</w:t>
      </w:r>
      <w:r>
        <w:t xml:space="preserve"> The assessee also entered into an agreement for leasing crew from Deutsche Lufthansa AG.</w:t>
      </w:r>
    </w:p>
    <w:p w:rsidR="00A056B6" w:rsidRDefault="00A056B6" w:rsidP="00743A5F">
      <w:pPr>
        <w:pStyle w:val="NormalWeb"/>
        <w:tabs>
          <w:tab w:val="num" w:pos="720"/>
        </w:tabs>
        <w:spacing w:before="0" w:beforeAutospacing="0"/>
        <w:ind w:left="720" w:hanging="360"/>
      </w:pPr>
      <w:r>
        <w:rPr>
          <w:rStyle w:val="Strong"/>
        </w:rPr>
        <w:t>Payments Made:</w:t>
      </w:r>
      <w:r>
        <w:t xml:space="preserve"> Modiluft Ltd. made payments to Deutsche Lufthansa AG under both agreements without deducting tax at source.</w:t>
      </w:r>
    </w:p>
    <w:p w:rsidR="00A056B6" w:rsidRDefault="00A056B6" w:rsidP="00743A5F">
      <w:pPr>
        <w:pStyle w:val="NormalWeb"/>
        <w:spacing w:before="0" w:beforeAutospacing="0"/>
      </w:pPr>
      <w:r>
        <w:rPr>
          <w:rStyle w:val="Strong"/>
        </w:rPr>
        <w:lastRenderedPageBreak/>
        <w:t>Key Issues:</w:t>
      </w:r>
    </w:p>
    <w:p w:rsidR="00A056B6" w:rsidRDefault="00A056B6" w:rsidP="00743A5F">
      <w:pPr>
        <w:pStyle w:val="NormalWeb"/>
        <w:tabs>
          <w:tab w:val="num" w:pos="720"/>
        </w:tabs>
        <w:spacing w:before="0" w:beforeAutospacing="0"/>
        <w:ind w:left="720" w:hanging="360"/>
      </w:pPr>
      <w:r>
        <w:rPr>
          <w:rStyle w:val="Strong"/>
        </w:rPr>
        <w:t>Characterization of Payments:</w:t>
      </w:r>
    </w:p>
    <w:p w:rsidR="00A056B6" w:rsidRDefault="00A056B6" w:rsidP="00743A5F">
      <w:pPr>
        <w:numPr>
          <w:ilvl w:val="1"/>
          <w:numId w:val="0"/>
        </w:numPr>
        <w:tabs>
          <w:tab w:val="num" w:pos="1440"/>
        </w:tabs>
        <w:spacing w:before="100" w:after="100" w:afterAutospacing="1" w:line="240" w:lineRule="auto"/>
        <w:ind w:left="1440" w:hanging="360"/>
      </w:pPr>
      <w:r>
        <w:t xml:space="preserve">Whether the payments made by Modiluft Ltd. to Deutsche Lufthansa AG under the technical support and crew lease agreements qualify as "Fees for Technical Services" (FTS) or "Royalty" under the </w:t>
      </w:r>
      <w:r>
        <w:rPr>
          <w:rStyle w:val="Strong"/>
        </w:rPr>
        <w:t>Income Tax Act, 1961</w:t>
      </w:r>
      <w:r>
        <w:t xml:space="preserve">, and the </w:t>
      </w:r>
      <w:r>
        <w:rPr>
          <w:rStyle w:val="Strong"/>
        </w:rPr>
        <w:t>India-Germany Double Taxation Avoidance Agreement (DTAA)</w:t>
      </w:r>
      <w:r>
        <w:t>.</w:t>
      </w:r>
    </w:p>
    <w:p w:rsidR="00A056B6" w:rsidRDefault="00A056B6" w:rsidP="00743A5F">
      <w:pPr>
        <w:pStyle w:val="NormalWeb"/>
        <w:tabs>
          <w:tab w:val="num" w:pos="720"/>
        </w:tabs>
        <w:spacing w:before="0" w:beforeAutospacing="0"/>
        <w:ind w:left="720" w:hanging="360"/>
      </w:pPr>
      <w:r>
        <w:rPr>
          <w:rStyle w:val="Strong"/>
        </w:rPr>
        <w:t>Tax Deduction at Source (TDS) Obligation:</w:t>
      </w:r>
    </w:p>
    <w:p w:rsidR="00A056B6" w:rsidRDefault="00A056B6" w:rsidP="00743A5F">
      <w:pPr>
        <w:numPr>
          <w:ilvl w:val="1"/>
          <w:numId w:val="0"/>
        </w:numPr>
        <w:tabs>
          <w:tab w:val="num" w:pos="1440"/>
        </w:tabs>
        <w:spacing w:before="100" w:after="100" w:afterAutospacing="1" w:line="240" w:lineRule="auto"/>
        <w:ind w:left="1440" w:hanging="360"/>
      </w:pPr>
      <w:r>
        <w:t>Whether Modiluft Ltd. was obligated to deduct tax at source under Section 195 of the Income Tax Act on the payments made to Deutsche Lufthansa AG.</w:t>
      </w:r>
    </w:p>
    <w:p w:rsidR="00A056B6" w:rsidRDefault="00A056B6" w:rsidP="00743A5F">
      <w:pPr>
        <w:pStyle w:val="NormalWeb"/>
        <w:spacing w:before="0" w:beforeAutospacing="0"/>
      </w:pPr>
      <w:r>
        <w:rPr>
          <w:rStyle w:val="Strong"/>
        </w:rPr>
        <w:t>High Court's Analysis:</w:t>
      </w:r>
    </w:p>
    <w:p w:rsidR="00A056B6" w:rsidRDefault="00A056B6" w:rsidP="00743A5F">
      <w:pPr>
        <w:pStyle w:val="NormalWeb"/>
        <w:tabs>
          <w:tab w:val="num" w:pos="720"/>
        </w:tabs>
        <w:spacing w:before="0" w:beforeAutospacing="0"/>
        <w:ind w:left="720" w:hanging="360"/>
      </w:pPr>
      <w:r>
        <w:rPr>
          <w:rStyle w:val="Strong"/>
        </w:rPr>
        <w:t>Tribunal's Findings:</w:t>
      </w:r>
    </w:p>
    <w:p w:rsidR="00A056B6" w:rsidRDefault="00A056B6" w:rsidP="00743A5F">
      <w:pPr>
        <w:numPr>
          <w:ilvl w:val="1"/>
          <w:numId w:val="0"/>
        </w:numPr>
        <w:tabs>
          <w:tab w:val="num" w:pos="1440"/>
        </w:tabs>
        <w:spacing w:before="100" w:after="100" w:afterAutospacing="1" w:line="240" w:lineRule="auto"/>
        <w:ind w:left="1440" w:hanging="360"/>
      </w:pPr>
      <w:r>
        <w:t>The Income Tax Appellate Tribunal (ITAT) had previously ruled in favor of Modiluft Ltd., holding that the payments did not constitute FTS or Royalty and, therefore, were not subject to tax deduction at source.</w:t>
      </w:r>
    </w:p>
    <w:p w:rsidR="00A056B6" w:rsidRDefault="00A056B6" w:rsidP="00743A5F">
      <w:pPr>
        <w:pStyle w:val="NormalWeb"/>
        <w:tabs>
          <w:tab w:val="num" w:pos="720"/>
        </w:tabs>
        <w:spacing w:before="0" w:beforeAutospacing="0"/>
        <w:ind w:left="720" w:hanging="360"/>
      </w:pPr>
      <w:r>
        <w:rPr>
          <w:rStyle w:val="Strong"/>
        </w:rPr>
        <w:t>High Court's Observations:</w:t>
      </w:r>
    </w:p>
    <w:p w:rsidR="00A056B6" w:rsidRDefault="00A056B6" w:rsidP="00743A5F">
      <w:pPr>
        <w:numPr>
          <w:ilvl w:val="1"/>
          <w:numId w:val="0"/>
        </w:numPr>
        <w:tabs>
          <w:tab w:val="num" w:pos="1440"/>
        </w:tabs>
        <w:spacing w:before="100" w:after="100" w:afterAutospacing="1" w:line="240" w:lineRule="auto"/>
        <w:ind w:left="1440" w:hanging="360"/>
      </w:pPr>
      <w:r>
        <w:t>The Delhi High Court noted that the ITAT had not adequately examined the nature of services provided under the agreements in the context of the definitions of FTS and Royalty in both the Income Tax Act and the India-Germany DTAA.</w:t>
      </w:r>
    </w:p>
    <w:p w:rsidR="00A056B6" w:rsidRDefault="00A056B6" w:rsidP="00743A5F">
      <w:pPr>
        <w:numPr>
          <w:ilvl w:val="1"/>
          <w:numId w:val="0"/>
        </w:numPr>
        <w:tabs>
          <w:tab w:val="num" w:pos="1440"/>
        </w:tabs>
        <w:spacing w:before="100" w:after="100" w:afterAutospacing="1" w:line="240" w:lineRule="auto"/>
        <w:ind w:left="1440" w:hanging="360"/>
      </w:pPr>
      <w:r>
        <w:t>The Court emphasized the need for a detailed analysis of the agreements to determine the exact nature of services rendered and the applicability of tax provisions.</w:t>
      </w:r>
    </w:p>
    <w:p w:rsidR="00A056B6" w:rsidRDefault="00A056B6" w:rsidP="00743A5F">
      <w:pPr>
        <w:pStyle w:val="NormalWeb"/>
        <w:spacing w:before="0" w:beforeAutospacing="0"/>
      </w:pPr>
      <w:r>
        <w:rPr>
          <w:rStyle w:val="Strong"/>
        </w:rPr>
        <w:t>Ruling:</w:t>
      </w:r>
    </w:p>
    <w:p w:rsidR="00A056B6" w:rsidRDefault="00A056B6" w:rsidP="00743A5F">
      <w:pPr>
        <w:tabs>
          <w:tab w:val="num" w:pos="720"/>
        </w:tabs>
        <w:spacing w:before="100" w:after="100" w:afterAutospacing="1" w:line="240" w:lineRule="auto"/>
        <w:ind w:left="720" w:hanging="360"/>
      </w:pPr>
      <w:r>
        <w:rPr>
          <w:rStyle w:val="Strong"/>
        </w:rPr>
        <w:t>Remand to ITAT:</w:t>
      </w:r>
    </w:p>
    <w:p w:rsidR="00A056B6" w:rsidRDefault="00A056B6" w:rsidP="00743A5F">
      <w:pPr>
        <w:numPr>
          <w:ilvl w:val="1"/>
          <w:numId w:val="0"/>
        </w:numPr>
        <w:tabs>
          <w:tab w:val="num" w:pos="1440"/>
        </w:tabs>
        <w:spacing w:before="100" w:after="100" w:afterAutospacing="1" w:line="240" w:lineRule="auto"/>
        <w:ind w:left="1440" w:hanging="360"/>
      </w:pPr>
      <w:r>
        <w:t>The Delhi High Court set aside the ITAT's order and remanded the matter back to the Tribunal for a comprehensive examination.</w:t>
      </w:r>
    </w:p>
    <w:p w:rsidR="00A056B6" w:rsidRDefault="00A056B6" w:rsidP="00743A5F">
      <w:pPr>
        <w:numPr>
          <w:ilvl w:val="1"/>
          <w:numId w:val="0"/>
        </w:numPr>
        <w:tabs>
          <w:tab w:val="num" w:pos="1440"/>
        </w:tabs>
        <w:spacing w:before="100" w:after="100" w:afterAutospacing="1" w:line="240" w:lineRule="auto"/>
        <w:ind w:left="1440" w:hanging="360"/>
      </w:pPr>
      <w:r>
        <w:t>The ITAT was directed to analyze the terms of the technical support and crew lease agreements in light of the relevant provisions of the Income Tax Act and the India-Germany DTAA to ascertain the correct tax treatment of the payments.</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underscores the importance of thoroughly analyzing the nature of services rendered under international agreements to determine their tax implications accurately. The characterization of payments as FTS or Royalty has significant consequences for tax deduction obligations under Section 195 of the Income Tax Act and the applicability of provisions under the relevant DTAA.</w:t>
      </w:r>
    </w:p>
    <w:p w:rsidR="00A056B6" w:rsidRDefault="00A056B6" w:rsidP="00743A5F">
      <w:pPr>
        <w:pStyle w:val="NormalWeb"/>
        <w:spacing w:before="0" w:beforeAutospacing="0"/>
      </w:pPr>
      <w:r>
        <w:rPr>
          <w:rStyle w:val="Strong"/>
        </w:rPr>
        <w:lastRenderedPageBreak/>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Director of Income Tax (International Taxation) v. Modiluft Ltd., ITA Nos. 772 of 2004 &amp; 15 of 2005, Delhi High Court, dated May 8, 2018.</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76" w:tgtFrame="_new" w:history="1">
        <w:r>
          <w:rPr>
            <w:rStyle w:val="Hyperlink"/>
          </w:rPr>
          <w:t>Indian Kanoon</w:t>
        </w:r>
      </w:hyperlink>
    </w:p>
    <w:p w:rsidR="00A056B6" w:rsidRDefault="00A056B6" w:rsidP="00743A5F">
      <w:pPr>
        <w:pStyle w:val="NormalWeb"/>
        <w:spacing w:before="0" w:beforeAutospacing="0"/>
      </w:pPr>
      <w:r>
        <w:t>This decision highlights the necessity for detailed scrutiny of contractual agreements in cross-border transactions to ensure compliance with tax laws and treaties.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Vanenburg Facilities BV [TS-246-HC-2017(AP)] I.T.T.A. NOS.55 AND 71 OF 2014 dated 16.06.2017</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3408BCC4" wp14:editId="4E3E8963">
            <wp:extent cx="763905" cy="763905"/>
            <wp:effectExtent l="0" t="0" r="0" b="0"/>
            <wp:docPr id="409" name="Picture 40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4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Director of Income Tax (International Taxation) v. Vanenburg Facilities BV</w:t>
      </w:r>
      <w:r>
        <w:t xml:space="preserve">, the </w:t>
      </w:r>
      <w:r>
        <w:rPr>
          <w:rStyle w:val="Strong"/>
        </w:rPr>
        <w:t>Andhra Pradesh and Telangana High Court</w:t>
      </w:r>
      <w:r>
        <w:t xml:space="preserve"> addressed the tax implications of capital gains arising from the sale of shares in an Indian company by a Dutch entity to a Singaporean company, under the </w:t>
      </w:r>
      <w:r>
        <w:rPr>
          <w:rStyle w:val="Strong"/>
        </w:rPr>
        <w:t>India-Netherlands Double Taxation Avoidance Agreement (DTAA)</w:t>
      </w:r>
      <w:r>
        <w:t>.</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Vanenburg Facilities BV, a company incorporated in the Netherlands.</w:t>
      </w:r>
    </w:p>
    <w:p w:rsidR="00A056B6" w:rsidRDefault="00A056B6" w:rsidP="00743A5F">
      <w:pPr>
        <w:pStyle w:val="NormalWeb"/>
        <w:tabs>
          <w:tab w:val="num" w:pos="720"/>
        </w:tabs>
        <w:spacing w:before="0" w:beforeAutospacing="0"/>
        <w:ind w:left="720" w:hanging="360"/>
      </w:pPr>
      <w:r>
        <w:rPr>
          <w:rStyle w:val="Strong"/>
        </w:rPr>
        <w:t>Transaction:</w:t>
      </w:r>
      <w:r>
        <w:t xml:space="preserve"> The assessee sold its entire shareholding in an Indian company, Vanenburg IT Park Pvt. Ltd. (VITP), to Ascendas Property Fund (India) Pte. Ltd., a Singapore-based company, during the financial year 2004-05.</w:t>
      </w:r>
    </w:p>
    <w:p w:rsidR="00A056B6" w:rsidRDefault="00A056B6" w:rsidP="00743A5F">
      <w:pPr>
        <w:pStyle w:val="NormalWeb"/>
        <w:tabs>
          <w:tab w:val="num" w:pos="720"/>
        </w:tabs>
        <w:spacing w:before="0" w:beforeAutospacing="0"/>
        <w:ind w:left="720" w:hanging="360"/>
      </w:pPr>
      <w:r>
        <w:rPr>
          <w:rStyle w:val="Strong"/>
        </w:rPr>
        <w:t>Nature of VITP's Assets:</w:t>
      </w:r>
      <w:r>
        <w:t xml:space="preserve"> VITP was engaged in developing, maintaining, and operating an industrial park in India, with its assets primarily comprising immovable property.</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Taxability of Capital Gains:</w:t>
      </w:r>
    </w:p>
    <w:p w:rsidR="00A056B6" w:rsidRDefault="00A056B6" w:rsidP="00743A5F">
      <w:pPr>
        <w:numPr>
          <w:ilvl w:val="1"/>
          <w:numId w:val="0"/>
        </w:numPr>
        <w:tabs>
          <w:tab w:val="num" w:pos="1440"/>
        </w:tabs>
        <w:spacing w:before="100" w:after="100" w:afterAutospacing="1" w:line="240" w:lineRule="auto"/>
        <w:ind w:left="1440" w:hanging="360"/>
      </w:pPr>
      <w:r>
        <w:t>Whether the capital gains arising from the sale of shares by the Dutch company (assessee) to the Singaporean company are taxable in India under the provisions of the Income Tax Act, 1961, and the India-Netherlands DTAA.</w:t>
      </w:r>
    </w:p>
    <w:p w:rsidR="00A056B6" w:rsidRDefault="00A056B6" w:rsidP="00743A5F">
      <w:pPr>
        <w:pStyle w:val="NormalWeb"/>
        <w:tabs>
          <w:tab w:val="num" w:pos="720"/>
        </w:tabs>
        <w:spacing w:before="0" w:beforeAutospacing="0"/>
        <w:ind w:left="720" w:hanging="360"/>
      </w:pPr>
      <w:r>
        <w:rPr>
          <w:rStyle w:val="Strong"/>
        </w:rPr>
        <w:t>Applicability of Article 13 of the DTAA:</w:t>
      </w:r>
    </w:p>
    <w:p w:rsidR="00A056B6" w:rsidRDefault="00A056B6" w:rsidP="00743A5F">
      <w:pPr>
        <w:numPr>
          <w:ilvl w:val="1"/>
          <w:numId w:val="0"/>
        </w:numPr>
        <w:tabs>
          <w:tab w:val="num" w:pos="1440"/>
        </w:tabs>
        <w:spacing w:before="100" w:after="100" w:afterAutospacing="1" w:line="240" w:lineRule="auto"/>
        <w:ind w:left="1440" w:hanging="360"/>
      </w:pPr>
      <w:r>
        <w:lastRenderedPageBreak/>
        <w:t>Whether the gains fall under Article 13(1) or Article 13(4) of the DTAA, which pertain to the taxation of capital gains.</w:t>
      </w:r>
    </w:p>
    <w:p w:rsidR="00A056B6" w:rsidRDefault="00A056B6" w:rsidP="00743A5F">
      <w:pPr>
        <w:pStyle w:val="NormalWeb"/>
        <w:spacing w:before="0" w:beforeAutospacing="0"/>
      </w:pPr>
      <w:r>
        <w:rPr>
          <w:rStyle w:val="Strong"/>
        </w:rPr>
        <w:t>High Court's Analysis:</w:t>
      </w:r>
    </w:p>
    <w:p w:rsidR="00A056B6" w:rsidRDefault="00A056B6" w:rsidP="00743A5F">
      <w:pPr>
        <w:pStyle w:val="NormalWeb"/>
        <w:tabs>
          <w:tab w:val="num" w:pos="720"/>
        </w:tabs>
        <w:spacing w:before="0" w:beforeAutospacing="0"/>
        <w:ind w:left="720" w:hanging="360"/>
      </w:pPr>
      <w:r>
        <w:rPr>
          <w:rStyle w:val="Strong"/>
        </w:rPr>
        <w:t>Article 13(1) vs. Article 13(4):</w:t>
      </w:r>
    </w:p>
    <w:p w:rsidR="00A056B6" w:rsidRDefault="00A056B6" w:rsidP="00743A5F">
      <w:pPr>
        <w:numPr>
          <w:ilvl w:val="1"/>
          <w:numId w:val="0"/>
        </w:numPr>
        <w:tabs>
          <w:tab w:val="num" w:pos="1440"/>
        </w:tabs>
        <w:spacing w:before="100" w:after="100" w:afterAutospacing="1" w:line="240" w:lineRule="auto"/>
        <w:ind w:left="1440" w:hanging="360"/>
      </w:pPr>
      <w:r>
        <w:t>Article 13(1) of the India-Netherlands DTAA deals with gains from the alienation of immovable property.</w:t>
      </w:r>
    </w:p>
    <w:p w:rsidR="00A056B6" w:rsidRDefault="00A056B6" w:rsidP="00743A5F">
      <w:pPr>
        <w:numPr>
          <w:ilvl w:val="1"/>
          <w:numId w:val="0"/>
        </w:numPr>
        <w:tabs>
          <w:tab w:val="num" w:pos="1440"/>
        </w:tabs>
        <w:spacing w:before="100" w:after="100" w:afterAutospacing="1" w:line="240" w:lineRule="auto"/>
        <w:ind w:left="1440" w:hanging="360"/>
      </w:pPr>
      <w:r>
        <w:t>Article 13(4) pertains to gains from the alienation of shares deriving more than 50% of their value directly or indirectly from immovable property.</w:t>
      </w:r>
    </w:p>
    <w:p w:rsidR="00A056B6" w:rsidRDefault="00A056B6" w:rsidP="00743A5F">
      <w:pPr>
        <w:pStyle w:val="NormalWeb"/>
        <w:tabs>
          <w:tab w:val="num" w:pos="720"/>
        </w:tabs>
        <w:spacing w:before="0" w:beforeAutospacing="0"/>
        <w:ind w:left="720" w:hanging="360"/>
      </w:pPr>
      <w:r>
        <w:rPr>
          <w:rStyle w:val="Strong"/>
        </w:rPr>
        <w:t>Tribunal's Findings:</w:t>
      </w:r>
    </w:p>
    <w:p w:rsidR="00A056B6" w:rsidRDefault="00A056B6" w:rsidP="00743A5F">
      <w:pPr>
        <w:numPr>
          <w:ilvl w:val="1"/>
          <w:numId w:val="0"/>
        </w:numPr>
        <w:tabs>
          <w:tab w:val="num" w:pos="1440"/>
        </w:tabs>
        <w:spacing w:before="100" w:after="100" w:afterAutospacing="1" w:line="240" w:lineRule="auto"/>
        <w:ind w:left="1440" w:hanging="360"/>
      </w:pPr>
      <w:r>
        <w:t>The Income Tax Appellate Tribunal (ITAT) had previously held that the gains did not fall under Article 13(1) since the transaction involved the sale of shares, not immovable property.</w:t>
      </w:r>
    </w:p>
    <w:p w:rsidR="00A056B6" w:rsidRDefault="00A056B6" w:rsidP="00743A5F">
      <w:pPr>
        <w:numPr>
          <w:ilvl w:val="1"/>
          <w:numId w:val="0"/>
        </w:numPr>
        <w:tabs>
          <w:tab w:val="num" w:pos="1440"/>
        </w:tabs>
        <w:spacing w:before="100" w:after="100" w:afterAutospacing="1" w:line="240" w:lineRule="auto"/>
        <w:ind w:left="1440" w:hanging="360"/>
      </w:pPr>
      <w:r>
        <w:t>The ITAT also concluded that Article 13(4) was not applicable, as the Assessing Officer and Commissioner of Income Tax (Appeals) had not invoked this provision during their assessments.</w:t>
      </w:r>
    </w:p>
    <w:p w:rsidR="00A056B6" w:rsidRDefault="00A056B6" w:rsidP="00743A5F">
      <w:pPr>
        <w:pStyle w:val="NormalWeb"/>
        <w:tabs>
          <w:tab w:val="num" w:pos="720"/>
        </w:tabs>
        <w:spacing w:before="0" w:beforeAutospacing="0"/>
        <w:ind w:left="720" w:hanging="360"/>
      </w:pPr>
      <w:r>
        <w:rPr>
          <w:rStyle w:val="Strong"/>
        </w:rPr>
        <w:t>High Court's Observations:</w:t>
      </w:r>
    </w:p>
    <w:p w:rsidR="00A056B6" w:rsidRDefault="00A056B6" w:rsidP="00743A5F">
      <w:pPr>
        <w:numPr>
          <w:ilvl w:val="1"/>
          <w:numId w:val="0"/>
        </w:numPr>
        <w:tabs>
          <w:tab w:val="num" w:pos="1440"/>
        </w:tabs>
        <w:spacing w:before="100" w:after="100" w:afterAutospacing="1" w:line="240" w:lineRule="auto"/>
        <w:ind w:left="1440" w:hanging="360"/>
      </w:pPr>
      <w:r>
        <w:t>The High Court agreed with the ITAT's view that the sale of shares does not equate to the sale of immovable property; thus, Article 13(1) was inapplicable.</w:t>
      </w:r>
    </w:p>
    <w:p w:rsidR="00A056B6" w:rsidRDefault="00A056B6" w:rsidP="00743A5F">
      <w:pPr>
        <w:numPr>
          <w:ilvl w:val="1"/>
          <w:numId w:val="0"/>
        </w:numPr>
        <w:tabs>
          <w:tab w:val="num" w:pos="1440"/>
        </w:tabs>
        <w:spacing w:before="100" w:after="100" w:afterAutospacing="1" w:line="240" w:lineRule="auto"/>
        <w:ind w:left="1440" w:hanging="360"/>
      </w:pPr>
      <w:r>
        <w:t>Regarding Article 13(4), the Court noted that the Revenue had not raised this argument at earlier stages, and it was inappropriate to introduce it at the High Court level without prior consideration by lower authorities.</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Non-Taxability in India:</w:t>
      </w:r>
    </w:p>
    <w:p w:rsidR="00A056B6" w:rsidRDefault="00A056B6" w:rsidP="00743A5F">
      <w:pPr>
        <w:numPr>
          <w:ilvl w:val="1"/>
          <w:numId w:val="0"/>
        </w:numPr>
        <w:tabs>
          <w:tab w:val="num" w:pos="1440"/>
        </w:tabs>
        <w:spacing w:before="100" w:after="100" w:afterAutospacing="1" w:line="240" w:lineRule="auto"/>
        <w:ind w:left="1440" w:hanging="360"/>
      </w:pPr>
      <w:r>
        <w:t>The High Court upheld the ITAT's decision that the capital gains arising from the sale of shares by Vanenburg Facilities BV to Ascendas Property Fund (India) Pte. Ltd. were not taxable in India under the India-Netherlands DTAA.</w:t>
      </w:r>
    </w:p>
    <w:p w:rsidR="00A056B6" w:rsidRDefault="00A056B6" w:rsidP="00743A5F">
      <w:pPr>
        <w:pStyle w:val="NormalWeb"/>
        <w:tabs>
          <w:tab w:val="num" w:pos="720"/>
        </w:tabs>
        <w:spacing w:before="0" w:beforeAutospacing="0"/>
        <w:ind w:left="720" w:hanging="360"/>
      </w:pPr>
      <w:r>
        <w:rPr>
          <w:rStyle w:val="Strong"/>
        </w:rPr>
        <w:t>Rejection of Article 13(4) Argument:</w:t>
      </w:r>
    </w:p>
    <w:p w:rsidR="00A056B6" w:rsidRDefault="00A056B6" w:rsidP="00743A5F">
      <w:pPr>
        <w:numPr>
          <w:ilvl w:val="1"/>
          <w:numId w:val="0"/>
        </w:numPr>
        <w:tabs>
          <w:tab w:val="num" w:pos="1440"/>
        </w:tabs>
        <w:spacing w:before="100" w:after="100" w:afterAutospacing="1" w:line="240" w:lineRule="auto"/>
        <w:ind w:left="1440" w:hanging="360"/>
      </w:pPr>
      <w:r>
        <w:t>The Court dismissed the Revenue's contention regarding the applicability of Article 13(4), emphasizing that it was not open to the Revenue to introduce this argument at the appellate stage without it being considered by the Assessing Officer or CIT(A).</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 xml:space="preserve">This judgment clarifies that capital gains arising from the sale of shares by a Dutch company, even if the underlying assets of the Indian company are primarily immovable property, are </w:t>
      </w:r>
      <w:r>
        <w:lastRenderedPageBreak/>
        <w:t>not taxable in India under the India-Netherlands DTAA, provided the specific provisions of the treaty do not attribute taxing rights to India.</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Director of Income Tax (International Taxation) v. Vanenburg Facilities BV, I.T.T.A. Nos. 55 and 71 of 2014, Andhra Pradesh and Telangana High Court, dated June 16, 2017.</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77" w:tgtFrame="_new" w:history="1">
        <w:r>
          <w:rPr>
            <w:rStyle w:val="Hyperlink"/>
          </w:rPr>
          <w:t>Taxscan</w:t>
        </w:r>
      </w:hyperlink>
    </w:p>
    <w:p w:rsidR="00A056B6" w:rsidRDefault="00A056B6" w:rsidP="00743A5F">
      <w:pPr>
        <w:pStyle w:val="NormalWeb"/>
        <w:spacing w:before="0" w:beforeAutospacing="0"/>
      </w:pPr>
      <w:r>
        <w:t>This decision underscores the importance of analyzing the specific provisions of international tax treaties to determine the taxability of cross-border transactions involving capital gains.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JSH (Mauritius) Ltd. TS-308-HC-2017(BOM) (W.P. No. 3070 of 2016 dated July 28, 2017)</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5029812B" wp14:editId="634D1F2B">
            <wp:extent cx="763905" cy="763905"/>
            <wp:effectExtent l="0" t="0" r="0" b="0"/>
            <wp:docPr id="408" name="Picture 40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4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Commissioner of Income Tax (International Taxation) v. JSH (Mauritius) Ltd.</w:t>
      </w:r>
      <w:r>
        <w:t xml:space="preserve">, the </w:t>
      </w:r>
      <w:r>
        <w:rPr>
          <w:rStyle w:val="Strong"/>
        </w:rPr>
        <w:t>Bombay High Court</w:t>
      </w:r>
      <w:r>
        <w:t xml:space="preserve"> addressed the applicability of the </w:t>
      </w:r>
      <w:r>
        <w:rPr>
          <w:rStyle w:val="Strong"/>
        </w:rPr>
        <w:t>India-Mauritius Double Taxation Avoidance Agreement (DTAA)</w:t>
      </w:r>
      <w:r>
        <w:t xml:space="preserve"> concerning capital gains tax on the sale of shares of an Indian company by a Mauritian entity.</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JSH (Mauritius) Ltd., a company incorporated in Mauritius, engaged in investment and financing activities, holding a valid Category 1 Global Business License and a Tax Residency Certificate (TRC) issued by Mauritian authorities.</w:t>
      </w:r>
    </w:p>
    <w:p w:rsidR="00A056B6" w:rsidRDefault="00A056B6" w:rsidP="00743A5F">
      <w:pPr>
        <w:pStyle w:val="NormalWeb"/>
        <w:tabs>
          <w:tab w:val="num" w:pos="720"/>
        </w:tabs>
        <w:spacing w:before="0" w:beforeAutospacing="0"/>
        <w:ind w:left="720" w:hanging="360"/>
      </w:pPr>
      <w:r>
        <w:rPr>
          <w:rStyle w:val="Strong"/>
        </w:rPr>
        <w:t>Transaction:</w:t>
      </w:r>
      <w:r>
        <w:t xml:space="preserve"> The assessee held shares in Tata Industries Limited (TIL), an Indian company, for approximately 13 years. In June 2009, it sold these shares to Tata Sons Limited, another Indian entity, and reinvested the proceeds into a group company of TIL.</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Taxability of Capital Gains:</w:t>
      </w:r>
    </w:p>
    <w:p w:rsidR="00A056B6" w:rsidRDefault="00A056B6" w:rsidP="00743A5F">
      <w:pPr>
        <w:numPr>
          <w:ilvl w:val="1"/>
          <w:numId w:val="0"/>
        </w:numPr>
        <w:tabs>
          <w:tab w:val="num" w:pos="1440"/>
        </w:tabs>
        <w:spacing w:before="100" w:after="100" w:afterAutospacing="1" w:line="240" w:lineRule="auto"/>
        <w:ind w:left="1440" w:hanging="360"/>
      </w:pPr>
      <w:r>
        <w:t>Whether the capital gains arising from the sale of shares by the Mauritian company are taxable in India under the provisions of the Income Tax Act, 1961, and the India-Mauritius DTAA.</w:t>
      </w:r>
    </w:p>
    <w:p w:rsidR="00A056B6" w:rsidRDefault="00A056B6" w:rsidP="00743A5F">
      <w:pPr>
        <w:pStyle w:val="NormalWeb"/>
        <w:tabs>
          <w:tab w:val="num" w:pos="720"/>
        </w:tabs>
        <w:spacing w:before="0" w:beforeAutospacing="0"/>
        <w:ind w:left="720" w:hanging="360"/>
      </w:pPr>
      <w:r>
        <w:rPr>
          <w:rStyle w:val="Strong"/>
        </w:rPr>
        <w:lastRenderedPageBreak/>
        <w:t>Eligibility for Treaty Benefits:</w:t>
      </w:r>
    </w:p>
    <w:p w:rsidR="00A056B6" w:rsidRDefault="00A056B6" w:rsidP="00743A5F">
      <w:pPr>
        <w:numPr>
          <w:ilvl w:val="1"/>
          <w:numId w:val="0"/>
        </w:numPr>
        <w:tabs>
          <w:tab w:val="num" w:pos="1440"/>
        </w:tabs>
        <w:spacing w:before="100" w:after="100" w:afterAutospacing="1" w:line="240" w:lineRule="auto"/>
        <w:ind w:left="1440" w:hanging="360"/>
      </w:pPr>
      <w:r>
        <w:t>Whether the assessee, holding a TRC from Mauritius, is entitled to claim benefits under the India-Mauritius DTAA, thereby exempting the capital gains from taxation in India.</w:t>
      </w:r>
    </w:p>
    <w:p w:rsidR="00A056B6" w:rsidRDefault="00A056B6" w:rsidP="00743A5F">
      <w:pPr>
        <w:pStyle w:val="NormalWeb"/>
        <w:spacing w:before="0" w:beforeAutospacing="0"/>
      </w:pPr>
      <w:r>
        <w:rPr>
          <w:rStyle w:val="Strong"/>
        </w:rPr>
        <w:t>High Court's Analysis:</w:t>
      </w:r>
    </w:p>
    <w:p w:rsidR="00A056B6" w:rsidRDefault="00A056B6" w:rsidP="00743A5F">
      <w:pPr>
        <w:pStyle w:val="NormalWeb"/>
        <w:tabs>
          <w:tab w:val="num" w:pos="720"/>
        </w:tabs>
        <w:spacing w:before="0" w:beforeAutospacing="0"/>
        <w:ind w:left="720" w:hanging="360"/>
      </w:pPr>
      <w:r>
        <w:rPr>
          <w:rStyle w:val="Strong"/>
        </w:rPr>
        <w:t>Validity of TRC:</w:t>
      </w:r>
    </w:p>
    <w:p w:rsidR="00A056B6" w:rsidRDefault="00A056B6" w:rsidP="00743A5F">
      <w:pPr>
        <w:numPr>
          <w:ilvl w:val="1"/>
          <w:numId w:val="0"/>
        </w:numPr>
        <w:tabs>
          <w:tab w:val="num" w:pos="1440"/>
        </w:tabs>
        <w:spacing w:before="100" w:after="100" w:afterAutospacing="1" w:line="240" w:lineRule="auto"/>
        <w:ind w:left="1440" w:hanging="360"/>
      </w:pPr>
      <w:r>
        <w:t>The Court noted that the assessee possessed a valid TRC, which, as per Circular No. 789 dated April 13, 2000, issued by the Central Board of Direct Taxes (CBDT), serves as sufficient evidence of residence and beneficial ownership for applying the DTAA.</w:t>
      </w:r>
    </w:p>
    <w:p w:rsidR="00A056B6" w:rsidRDefault="00A056B6" w:rsidP="00743A5F">
      <w:pPr>
        <w:pStyle w:val="NormalWeb"/>
        <w:tabs>
          <w:tab w:val="num" w:pos="720"/>
        </w:tabs>
        <w:spacing w:before="0" w:beforeAutospacing="0"/>
        <w:ind w:left="720" w:hanging="360"/>
      </w:pPr>
      <w:r>
        <w:rPr>
          <w:rStyle w:val="Strong"/>
        </w:rPr>
        <w:t>Substance Over Form Argument:</w:t>
      </w:r>
    </w:p>
    <w:p w:rsidR="00A056B6" w:rsidRDefault="00A056B6" w:rsidP="00743A5F">
      <w:pPr>
        <w:numPr>
          <w:ilvl w:val="1"/>
          <w:numId w:val="0"/>
        </w:numPr>
        <w:tabs>
          <w:tab w:val="num" w:pos="1440"/>
        </w:tabs>
        <w:spacing w:before="100" w:after="100" w:afterAutospacing="1" w:line="240" w:lineRule="auto"/>
        <w:ind w:left="1440" w:hanging="360"/>
      </w:pPr>
      <w:r>
        <w:t>The Revenue contended that the assessee was a shell company created solely to take advantage of the DTAA, lacking commercial substance. However, the Court observed that the assessee had held the shares for a substantial period (13 years), indicating a bona fide investment.</w:t>
      </w:r>
    </w:p>
    <w:p w:rsidR="00A056B6" w:rsidRDefault="00A056B6" w:rsidP="00743A5F">
      <w:pPr>
        <w:pStyle w:val="NormalWeb"/>
        <w:tabs>
          <w:tab w:val="num" w:pos="720"/>
        </w:tabs>
        <w:spacing w:before="0" w:beforeAutospacing="0"/>
        <w:ind w:left="720" w:hanging="360"/>
      </w:pPr>
      <w:r>
        <w:rPr>
          <w:rStyle w:val="Strong"/>
        </w:rPr>
        <w:t>Reliance on Precedents:</w:t>
      </w:r>
    </w:p>
    <w:p w:rsidR="00A056B6" w:rsidRDefault="00A056B6" w:rsidP="00743A5F">
      <w:pPr>
        <w:numPr>
          <w:ilvl w:val="1"/>
          <w:numId w:val="0"/>
        </w:numPr>
        <w:tabs>
          <w:tab w:val="num" w:pos="1440"/>
        </w:tabs>
        <w:spacing w:before="100" w:after="100" w:afterAutospacing="1" w:line="240" w:lineRule="auto"/>
        <w:ind w:left="1440" w:hanging="360"/>
      </w:pPr>
      <w:r>
        <w:t xml:space="preserve">The Court referred to the Supreme Court's decision in </w:t>
      </w:r>
      <w:r>
        <w:rPr>
          <w:rStyle w:val="Strong"/>
        </w:rPr>
        <w:t>Union of India v. Azadi Bachao Andolan</w:t>
      </w:r>
      <w:r>
        <w:t xml:space="preserve"> ([2003] 263 ITR 706), which upheld the validity of TRCs and the entitlement of Mauritian entities to benefits under the DTAA, dismissing concerns over treaty shopping.</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Exemption from Capital Gains Tax:</w:t>
      </w:r>
    </w:p>
    <w:p w:rsidR="00A056B6" w:rsidRDefault="00A056B6" w:rsidP="00743A5F">
      <w:pPr>
        <w:numPr>
          <w:ilvl w:val="1"/>
          <w:numId w:val="0"/>
        </w:numPr>
        <w:tabs>
          <w:tab w:val="num" w:pos="1440"/>
        </w:tabs>
        <w:spacing w:before="100" w:after="100" w:afterAutospacing="1" w:line="240" w:lineRule="auto"/>
        <w:ind w:left="1440" w:hanging="360"/>
      </w:pPr>
      <w:r>
        <w:t>The Bombay High Court upheld the decision of the Authority for Advance Rulings (AAR), ruling that the capital gains earned by JSH (Mauritius) Ltd. from the sale of shares in TIL are not taxable in India, in accordance with Article 13(4) of the India-Mauritius DTAA.</w:t>
      </w:r>
    </w:p>
    <w:p w:rsidR="00A056B6" w:rsidRDefault="00A056B6" w:rsidP="00743A5F">
      <w:pPr>
        <w:pStyle w:val="NormalWeb"/>
        <w:tabs>
          <w:tab w:val="num" w:pos="720"/>
        </w:tabs>
        <w:spacing w:before="0" w:beforeAutospacing="0"/>
        <w:ind w:left="720" w:hanging="360"/>
      </w:pPr>
      <w:r>
        <w:rPr>
          <w:rStyle w:val="Strong"/>
        </w:rPr>
        <w:t>Rejection of Revenue's Appeal:</w:t>
      </w:r>
    </w:p>
    <w:p w:rsidR="00A056B6" w:rsidRDefault="00A056B6" w:rsidP="00743A5F">
      <w:pPr>
        <w:numPr>
          <w:ilvl w:val="1"/>
          <w:numId w:val="0"/>
        </w:numPr>
        <w:tabs>
          <w:tab w:val="num" w:pos="1440"/>
        </w:tabs>
        <w:spacing w:before="100" w:after="100" w:afterAutospacing="1" w:line="240" w:lineRule="auto"/>
        <w:ind w:left="1440" w:hanging="360"/>
      </w:pPr>
      <w:r>
        <w:t>The Court dismissed the Revenue's appeal, affirming that the assessee, being a tax resident of Mauritius with a valid TRC, is entitled to the treaty benefits, and the transaction does not constitute an abuse of the treaty provisions.</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 xml:space="preserve">This judgment reinforces the legal position that capital gains derived by a Mauritian tax resident from the sale of shares in an Indian company are exempt from taxation in India under the India-Mauritius DTAA, provided the entity holds a valid TRC. The decision underscores the importance of TRCs in establishing residency and eligibility for treaty benefits, aligning with the principles established in the </w:t>
      </w:r>
      <w:r>
        <w:rPr>
          <w:rStyle w:val="Strong"/>
        </w:rPr>
        <w:t>Azadi Bachao Andolan</w:t>
      </w:r>
      <w:r>
        <w:t xml:space="preserve"> case.</w:t>
      </w:r>
    </w:p>
    <w:p w:rsidR="00A056B6" w:rsidRDefault="00A056B6" w:rsidP="00743A5F">
      <w:pPr>
        <w:pStyle w:val="NormalWeb"/>
        <w:spacing w:before="0" w:beforeAutospacing="0"/>
      </w:pPr>
      <w:r>
        <w:rPr>
          <w:rStyle w:val="Strong"/>
        </w:rPr>
        <w:lastRenderedPageBreak/>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Commissioner of Income Tax (International Taxation) v. JSH (Mauritius) Ltd., W.P. No. 3070 of 2016, Bombay High Court, dated July 28, 2017.</w:t>
      </w:r>
    </w:p>
    <w:p w:rsidR="00A056B6" w:rsidRDefault="00A056B6" w:rsidP="00743A5F">
      <w:pPr>
        <w:pStyle w:val="NormalWeb"/>
        <w:tabs>
          <w:tab w:val="num" w:pos="720"/>
        </w:tabs>
        <w:spacing w:before="0" w:beforeAutospacing="0"/>
        <w:ind w:left="720" w:hanging="360"/>
      </w:pPr>
      <w:r>
        <w:rPr>
          <w:rStyle w:val="Strong"/>
        </w:rPr>
        <w:t>Source:</w:t>
      </w:r>
      <w:r>
        <w:t xml:space="preserve"> Indian Kanoon</w:t>
      </w:r>
    </w:p>
    <w:p w:rsidR="00A056B6" w:rsidRDefault="00A056B6" w:rsidP="00743A5F">
      <w:pPr>
        <w:pStyle w:val="NormalWeb"/>
        <w:spacing w:before="0" w:beforeAutospacing="0"/>
      </w:pPr>
      <w:r>
        <w:t>This decision provides clarity on the applicability of the India-Mauritius DTAA concerning capital gains taxation and the significance of holding a valid TRC for claiming treaty benefits.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Finnish Fund for Industrial Cooperation Ltd., In re vs. – (2018) 91 taxmann.com 133 (AAR) – AAR no. 1375 of 2012 dated 28.02.2018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20B19894" wp14:editId="58372514">
            <wp:extent cx="763905" cy="763905"/>
            <wp:effectExtent l="0" t="0" r="0" b="0"/>
            <wp:docPr id="407" name="Picture 40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5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Finnish Fund for Industrial Cooperation Ltd., In re</w:t>
      </w:r>
      <w:r>
        <w:t xml:space="preserve"> ([2018] 91 taxmann.com 133 (AAR)), the </w:t>
      </w:r>
      <w:r>
        <w:rPr>
          <w:rStyle w:val="Strong"/>
        </w:rPr>
        <w:t>Authority for Advance Rulings (AAR)</w:t>
      </w:r>
      <w:r>
        <w:t xml:space="preserve"> addressed the tax implications under the </w:t>
      </w:r>
      <w:r>
        <w:rPr>
          <w:rStyle w:val="Strong"/>
        </w:rPr>
        <w:t>Income Tax Act, 1961</w:t>
      </w:r>
      <w:r>
        <w:t>, concerning long-term capital gains arising from the sale of equity shares in an Indian listed company by a non-resident entity.</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Applicant:</w:t>
      </w:r>
      <w:r>
        <w:t xml:space="preserve"> Finnish Fund for Industrial Cooperation Ltd. (Finnfund), a Finnish development finance company providing long-term risk capital for private projects in developing countries.</w:t>
      </w:r>
    </w:p>
    <w:p w:rsidR="00A056B6" w:rsidRDefault="00A056B6" w:rsidP="00743A5F">
      <w:pPr>
        <w:pStyle w:val="NormalWeb"/>
        <w:tabs>
          <w:tab w:val="num" w:pos="720"/>
        </w:tabs>
        <w:spacing w:before="0" w:beforeAutospacing="0"/>
        <w:ind w:left="720" w:hanging="360"/>
      </w:pPr>
      <w:r>
        <w:rPr>
          <w:rStyle w:val="Strong"/>
        </w:rPr>
        <w:t>Transaction:</w:t>
      </w:r>
      <w:r>
        <w:t xml:space="preserve"> Finnfund held equity shares in an Indian listed company, A Ltd., which it sold, resulting in long-term capital gains.</w:t>
      </w:r>
    </w:p>
    <w:p w:rsidR="00A056B6" w:rsidRDefault="00A056B6" w:rsidP="00743A5F">
      <w:pPr>
        <w:pStyle w:val="NormalWeb"/>
        <w:spacing w:before="0" w:beforeAutospacing="0"/>
      </w:pPr>
      <w:r>
        <w:rPr>
          <w:rStyle w:val="Strong"/>
        </w:rPr>
        <w:t>Key Issue:</w:t>
      </w:r>
    </w:p>
    <w:p w:rsidR="00A056B6" w:rsidRDefault="00A056B6" w:rsidP="00743A5F">
      <w:pPr>
        <w:tabs>
          <w:tab w:val="num" w:pos="720"/>
        </w:tabs>
        <w:spacing w:before="100" w:after="100" w:afterAutospacing="1" w:line="240" w:lineRule="auto"/>
        <w:ind w:left="720" w:hanging="360"/>
      </w:pPr>
      <w:r>
        <w:rPr>
          <w:rStyle w:val="Strong"/>
        </w:rPr>
        <w:t>Applicability of Concessional Tax Rate:</w:t>
      </w:r>
      <w:r>
        <w:t xml:space="preserve"> Whether the long-term capital gains arising from the sale of equity shares in an Indian listed company by a non-resident are taxable at the concessional rate of 10% under the proviso to Section 112(1) of the Income Tax Act, 1961.</w:t>
      </w:r>
    </w:p>
    <w:p w:rsidR="00A056B6" w:rsidRDefault="00A056B6" w:rsidP="00743A5F">
      <w:pPr>
        <w:pStyle w:val="NormalWeb"/>
        <w:spacing w:before="0" w:beforeAutospacing="0"/>
      </w:pPr>
      <w:r>
        <w:rPr>
          <w:rStyle w:val="Strong"/>
        </w:rPr>
        <w:t>AAR's Analysis:</w:t>
      </w:r>
    </w:p>
    <w:p w:rsidR="00A056B6" w:rsidRDefault="00A056B6" w:rsidP="00743A5F">
      <w:pPr>
        <w:pStyle w:val="NormalWeb"/>
        <w:tabs>
          <w:tab w:val="num" w:pos="720"/>
        </w:tabs>
        <w:spacing w:before="0" w:beforeAutospacing="0"/>
        <w:ind w:left="720" w:hanging="360"/>
      </w:pPr>
      <w:r>
        <w:rPr>
          <w:rStyle w:val="Strong"/>
        </w:rPr>
        <w:t>Section 112(1) Proviso:</w:t>
      </w:r>
      <w:r>
        <w:t xml:space="preserve"> The proviso to Section 112(1) stipulates that long-term capital gains arising from the transfer of listed securities, units, or zero-coupon bonds shall be taxed at a rate of 10% without the benefit of indexation.</w:t>
      </w:r>
    </w:p>
    <w:p w:rsidR="00A056B6" w:rsidRDefault="00A056B6" w:rsidP="00743A5F">
      <w:pPr>
        <w:pStyle w:val="NormalWeb"/>
        <w:tabs>
          <w:tab w:val="num" w:pos="720"/>
        </w:tabs>
        <w:spacing w:before="0" w:beforeAutospacing="0"/>
        <w:ind w:left="720" w:hanging="360"/>
      </w:pPr>
      <w:r>
        <w:rPr>
          <w:rStyle w:val="Strong"/>
        </w:rPr>
        <w:lastRenderedPageBreak/>
        <w:t>Non-Resident Taxation:</w:t>
      </w:r>
      <w:r>
        <w:t xml:space="preserve"> The AAR noted that the Income Tax Act does not differentiate between residents and non-residents concerning the applicability of the concessional tax rate under the proviso to Section 112(1).</w:t>
      </w:r>
    </w:p>
    <w:p w:rsidR="00A056B6" w:rsidRDefault="00A056B6" w:rsidP="00743A5F">
      <w:pPr>
        <w:pStyle w:val="NormalWeb"/>
        <w:tabs>
          <w:tab w:val="num" w:pos="720"/>
        </w:tabs>
        <w:spacing w:before="0" w:beforeAutospacing="0"/>
        <w:ind w:left="720" w:hanging="360"/>
      </w:pPr>
      <w:r>
        <w:rPr>
          <w:rStyle w:val="Strong"/>
        </w:rPr>
        <w:t>Entitlement to Concessional Rate:</w:t>
      </w:r>
      <w:r>
        <w:t xml:space="preserve"> Given that the applicant is a non-resident and the capital gains arose from the sale of listed equity shares, the AAR concluded that the concessional tax rate of 10% is applicable.</w:t>
      </w:r>
    </w:p>
    <w:p w:rsidR="00A056B6" w:rsidRDefault="00A056B6" w:rsidP="00743A5F">
      <w:pPr>
        <w:pStyle w:val="NormalWeb"/>
        <w:spacing w:before="0" w:beforeAutospacing="0"/>
      </w:pPr>
      <w:r>
        <w:rPr>
          <w:rStyle w:val="Strong"/>
        </w:rPr>
        <w:t>Ruling:</w:t>
      </w:r>
    </w:p>
    <w:p w:rsidR="00A056B6" w:rsidRDefault="00A056B6" w:rsidP="00743A5F">
      <w:pPr>
        <w:tabs>
          <w:tab w:val="num" w:pos="720"/>
        </w:tabs>
        <w:spacing w:before="100" w:after="100" w:afterAutospacing="1" w:line="240" w:lineRule="auto"/>
        <w:ind w:left="720" w:hanging="360"/>
      </w:pPr>
      <w:r>
        <w:rPr>
          <w:rStyle w:val="Strong"/>
        </w:rPr>
        <w:t>Tax Rate on Long-Term Capital Gains:</w:t>
      </w:r>
      <w:r>
        <w:t xml:space="preserve"> The AAR held that the long-term capital gains arising to Finnfund from the sale of equity shares in A Ltd., an Indian listed company, are taxable at the rate of 10% as per the proviso to Section 112(1) of the Income Tax Act, 1961.</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ruling clarifies that non-resident entities are eligible for the concessional tax rate of 10% on long-term capital gains arising from the sale of listed securities in India, as provided under the proviso to Section 112(1) of the Income Tax Act, 1961.</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Finnish Fund for Industrial Cooperation Ltd., In re, [2018] 91 taxmann.com 133 (AAR).</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78" w:tgtFrame="_new" w:history="1">
        <w:r>
          <w:rPr>
            <w:rStyle w:val="Hyperlink"/>
          </w:rPr>
          <w:t>ITAT Online Digest</w:t>
        </w:r>
      </w:hyperlink>
    </w:p>
    <w:p w:rsidR="00A056B6" w:rsidRDefault="00A056B6" w:rsidP="00743A5F">
      <w:pPr>
        <w:pStyle w:val="NormalWeb"/>
        <w:spacing w:before="0" w:beforeAutospacing="0"/>
      </w:pPr>
      <w:r>
        <w:t>This decision provides clarity on the tax treatment of long-term capital gains for non-resident investors in Indian listed companies, ensuring equitable application of tax provisions.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DCIT v Tripti Trading &amp; Investment Ltd - [2017] 80 taxmann.com 287 (SC) CIVIL APPEAL NO. 1521 of 2007 dated 09.03.2017</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56965CC3" wp14:editId="61717F47">
            <wp:extent cx="763905" cy="763905"/>
            <wp:effectExtent l="0" t="0" r="0" b="0"/>
            <wp:docPr id="406" name="Picture 40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5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Deputy Commissioner of Income Tax v. Tripti Trading &amp; Investment Ltd.</w:t>
      </w:r>
      <w:r>
        <w:t xml:space="preserve"> (Civil Appeal No. 1521 of 2007), the </w:t>
      </w:r>
      <w:r>
        <w:rPr>
          <w:rStyle w:val="Strong"/>
        </w:rPr>
        <w:t>Supreme Court of India</w:t>
      </w:r>
      <w:r>
        <w:t xml:space="preserve"> addressed the taxability of dividend income received by an Indian assessee from a foreign country under the provisions of the </w:t>
      </w:r>
      <w:r>
        <w:rPr>
          <w:rStyle w:val="Strong"/>
        </w:rPr>
        <w:t>Double Taxation Avoidance Agreement (DTAA)</w:t>
      </w:r>
      <w:r>
        <w:t xml:space="preserve"> between India and the respective foreign country.</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lastRenderedPageBreak/>
        <w:t>Assessee:</w:t>
      </w:r>
      <w:r>
        <w:t xml:space="preserve"> Tripti Trading &amp; Investment Ltd., an Indian company.</w:t>
      </w:r>
    </w:p>
    <w:p w:rsidR="00A056B6" w:rsidRDefault="00A056B6" w:rsidP="00743A5F">
      <w:pPr>
        <w:pStyle w:val="NormalWeb"/>
        <w:tabs>
          <w:tab w:val="num" w:pos="720"/>
        </w:tabs>
        <w:spacing w:before="0" w:beforeAutospacing="0"/>
        <w:ind w:left="720" w:hanging="360"/>
      </w:pPr>
      <w:r>
        <w:rPr>
          <w:rStyle w:val="Strong"/>
        </w:rPr>
        <w:t>Income in Question:</w:t>
      </w:r>
      <w:r>
        <w:t xml:space="preserve"> Dividend income received from investments in a foreign country.</w:t>
      </w:r>
    </w:p>
    <w:p w:rsidR="00A056B6" w:rsidRDefault="00A056B6" w:rsidP="00743A5F">
      <w:pPr>
        <w:pStyle w:val="NormalWeb"/>
        <w:spacing w:before="0" w:beforeAutospacing="0"/>
      </w:pPr>
      <w:r>
        <w:rPr>
          <w:rStyle w:val="Strong"/>
        </w:rPr>
        <w:t>Key Issue:</w:t>
      </w:r>
    </w:p>
    <w:p w:rsidR="00A056B6" w:rsidRDefault="00A056B6" w:rsidP="00743A5F">
      <w:pPr>
        <w:tabs>
          <w:tab w:val="num" w:pos="720"/>
        </w:tabs>
        <w:spacing w:before="100" w:after="100" w:afterAutospacing="1" w:line="240" w:lineRule="auto"/>
        <w:ind w:left="720" w:hanging="360"/>
      </w:pPr>
      <w:r>
        <w:t>Whether the dividend income received by the assessee from a foreign country is exempt from taxation in India under the relevant DTAA.</w:t>
      </w:r>
    </w:p>
    <w:p w:rsidR="00A056B6" w:rsidRDefault="00A056B6" w:rsidP="00743A5F">
      <w:pPr>
        <w:pStyle w:val="NormalWeb"/>
        <w:spacing w:before="0" w:beforeAutospacing="0"/>
      </w:pPr>
      <w:r>
        <w:rPr>
          <w:rStyle w:val="Strong"/>
        </w:rPr>
        <w:t>Supreme Court's Analysis:</w:t>
      </w:r>
    </w:p>
    <w:p w:rsidR="00A056B6" w:rsidRDefault="00A056B6" w:rsidP="00743A5F">
      <w:pPr>
        <w:pStyle w:val="NormalWeb"/>
        <w:tabs>
          <w:tab w:val="num" w:pos="720"/>
        </w:tabs>
        <w:spacing w:before="0" w:beforeAutospacing="0"/>
        <w:ind w:left="720" w:hanging="360"/>
      </w:pPr>
      <w:r>
        <w:t xml:space="preserve">The Supreme Court referred to its earlier decision in </w:t>
      </w:r>
      <w:r>
        <w:rPr>
          <w:rStyle w:val="Strong"/>
        </w:rPr>
        <w:t>Deputy Commissioner of Income Tax, Ujjain v. M/s. Torqouise Investment &amp; Finance Ltd.</w:t>
      </w:r>
      <w:r>
        <w:t xml:space="preserve"> ([2008] 300 ITR 1), where it was held that dividend income received by an Indian resident from a foreign country is exempt from taxation in India if the DTAA between India and the foreign country provides for such exemption.</w:t>
      </w:r>
    </w:p>
    <w:p w:rsidR="00A056B6" w:rsidRDefault="00A056B6" w:rsidP="00743A5F">
      <w:pPr>
        <w:pStyle w:val="NormalWeb"/>
        <w:tabs>
          <w:tab w:val="num" w:pos="720"/>
        </w:tabs>
        <w:spacing w:before="0" w:beforeAutospacing="0"/>
        <w:ind w:left="720" w:hanging="360"/>
      </w:pPr>
      <w:r>
        <w:t xml:space="preserve">In the </w:t>
      </w:r>
      <w:r>
        <w:rPr>
          <w:rStyle w:val="Strong"/>
        </w:rPr>
        <w:t>Torqouise Investment</w:t>
      </w:r>
      <w:r>
        <w:t xml:space="preserve"> case, the Court had interpreted the provisions of the DTAA to conclude that the taxing rights over such dividend income were allocated to the source country (i.e., the foreign country from which the dividend was paid), thereby exempting the income from taxation in India.</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t xml:space="preserve">Applying the precedent set in the </w:t>
      </w:r>
      <w:r>
        <w:rPr>
          <w:rStyle w:val="Strong"/>
        </w:rPr>
        <w:t>Torqouise Investment</w:t>
      </w:r>
      <w:r>
        <w:t xml:space="preserve"> case, the Supreme Court upheld the decision of the High Court, confirming that the dividend income received by Tripti Trading &amp; Investment Ltd. from the foreign country is exempt from taxation in India under the relevant DTAA.</w:t>
      </w:r>
    </w:p>
    <w:p w:rsidR="00A056B6" w:rsidRDefault="00A056B6" w:rsidP="00743A5F">
      <w:pPr>
        <w:pStyle w:val="NormalWeb"/>
        <w:tabs>
          <w:tab w:val="num" w:pos="720"/>
        </w:tabs>
        <w:spacing w:before="0" w:beforeAutospacing="0"/>
        <w:ind w:left="720" w:hanging="360"/>
      </w:pPr>
      <w:r>
        <w:t>The appeal filed by the Revenue was dismissed, and the judgment and order of the High Court were upheld.</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reinforces the principle that, under certain DTAAs, dividend income received by an Indian resident from a foreign country may be exempt from taxation in India if the treaty allocates taxing rights to the source country.</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Deputy Commissioner of Income Tax v. Tripti Trading &amp; Investment Ltd., Civil Appeal No. 1521 of 2007, Supreme Court of India, dated March 9, 2017.</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79" w:tgtFrame="_new" w:history="1">
        <w:r>
          <w:rPr>
            <w:rStyle w:val="Hyperlink"/>
          </w:rPr>
          <w:t>Law Finder Live</w:t>
        </w:r>
      </w:hyperlink>
    </w:p>
    <w:p w:rsidR="00A056B6" w:rsidRDefault="00A056B6" w:rsidP="00743A5F">
      <w:pPr>
        <w:pStyle w:val="NormalWeb"/>
        <w:spacing w:before="0" w:beforeAutospacing="0"/>
      </w:pPr>
      <w:r>
        <w:t>This decision underscores the importance of consulting the specific provisions of applicable DTAAs to determine the tax treatment of cross-border income, such as dividends, and highlights the judiciary's role in interpreting treaty provisions to resolve tax disputes.</w:t>
      </w:r>
    </w:p>
    <w:p w:rsidR="00A056B6" w:rsidRDefault="00A056B6" w:rsidP="00743A5F">
      <w:pPr>
        <w:spacing w:line="240" w:lineRule="auto"/>
      </w:pPr>
      <w:r>
        <w:t>Sources</w:t>
      </w:r>
    </w:p>
    <w:p w:rsidR="00A056B6" w:rsidRDefault="00A056B6" w:rsidP="00743A5F">
      <w:pPr>
        <w:pStyle w:val="Heading5"/>
        <w:spacing w:before="0" w:beforeAutospacing="0"/>
      </w:pPr>
      <w:r>
        <w:lastRenderedPageBreak/>
        <w:t>You said:</w:t>
      </w:r>
    </w:p>
    <w:p w:rsidR="00A056B6" w:rsidRDefault="00A056B6" w:rsidP="00743A5F">
      <w:pPr>
        <w:spacing w:line="240" w:lineRule="auto"/>
      </w:pPr>
      <w:r>
        <w:t>Discuss Krishak Bharati Cooperative Ltd v ACIT - (2016) 67 taxmann.com 138 (Del - Trib) [India - Oman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5A2CA9D9" wp14:editId="7E7CC89D">
            <wp:extent cx="763905" cy="763905"/>
            <wp:effectExtent l="0" t="0" r="0" b="0"/>
            <wp:docPr id="405" name="Picture 40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5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Krishak Bharati Cooperative Ltd. v. ACIT</w:t>
      </w:r>
      <w:r>
        <w:t xml:space="preserve"> ([2016] 67 taxmann.com 138 (Delhi - Trib)), the </w:t>
      </w:r>
      <w:r>
        <w:rPr>
          <w:rStyle w:val="Strong"/>
        </w:rPr>
        <w:t>Income Tax Appellate Tribunal (ITAT) Delhi Bench</w:t>
      </w:r>
      <w:r>
        <w:t xml:space="preserve"> addressed the issue of tax credit entitlement under the </w:t>
      </w:r>
      <w:r>
        <w:rPr>
          <w:rStyle w:val="Strong"/>
        </w:rPr>
        <w:t>India-Oman Double Taxation Avoidance Agreement (DTAA)</w:t>
      </w:r>
      <w:r>
        <w:t xml:space="preserve"> concerning dividend income received by an Indian cooperative society from its investment in an Omani company.</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Krishak Bharati Cooperative Ltd. (KRIBHCO), an Indian multi-state cooperative society engaged in manufacturing fertilizers.</w:t>
      </w:r>
    </w:p>
    <w:p w:rsidR="00A056B6" w:rsidRDefault="00A056B6" w:rsidP="00743A5F">
      <w:pPr>
        <w:pStyle w:val="NormalWeb"/>
        <w:tabs>
          <w:tab w:val="num" w:pos="720"/>
        </w:tabs>
        <w:spacing w:before="0" w:beforeAutospacing="0"/>
        <w:ind w:left="720" w:hanging="360"/>
      </w:pPr>
      <w:r>
        <w:rPr>
          <w:rStyle w:val="Strong"/>
        </w:rPr>
        <w:t>Investment in Oman:</w:t>
      </w:r>
      <w:r>
        <w:t xml:space="preserve"> KRIBHCO entered into a joint venture with Oman Oil Company, forming Oman India Fertilizer Company SAOC (OMIFCO), a company registered in Oman. KRIBHCO held a 25% share in OMIFCO, which was engaged in manufacturing fertilizers.</w:t>
      </w:r>
    </w:p>
    <w:p w:rsidR="00A056B6" w:rsidRDefault="00A056B6" w:rsidP="00743A5F">
      <w:pPr>
        <w:pStyle w:val="NormalWeb"/>
        <w:tabs>
          <w:tab w:val="num" w:pos="720"/>
        </w:tabs>
        <w:spacing w:before="0" w:beforeAutospacing="0"/>
        <w:ind w:left="720" w:hanging="360"/>
      </w:pPr>
      <w:r>
        <w:rPr>
          <w:rStyle w:val="Strong"/>
        </w:rPr>
        <w:t>Dividend Income:</w:t>
      </w:r>
      <w:r>
        <w:t xml:space="preserve"> KRIBHCO received dividend income from OMIFCO. Under Omani tax laws, dividends were exempt from taxation to attract foreign investments.</w:t>
      </w:r>
    </w:p>
    <w:p w:rsidR="00A056B6" w:rsidRDefault="00A056B6" w:rsidP="00743A5F">
      <w:pPr>
        <w:pStyle w:val="NormalWeb"/>
        <w:spacing w:before="0" w:beforeAutospacing="0"/>
      </w:pPr>
      <w:r>
        <w:rPr>
          <w:rStyle w:val="Strong"/>
        </w:rPr>
        <w:t>Key Issue:</w:t>
      </w:r>
    </w:p>
    <w:p w:rsidR="00A056B6" w:rsidRDefault="00A056B6" w:rsidP="00743A5F">
      <w:pPr>
        <w:tabs>
          <w:tab w:val="num" w:pos="720"/>
        </w:tabs>
        <w:spacing w:before="100" w:after="100" w:afterAutospacing="1" w:line="240" w:lineRule="auto"/>
        <w:ind w:left="720" w:hanging="360"/>
      </w:pPr>
      <w:r>
        <w:rPr>
          <w:rStyle w:val="Strong"/>
        </w:rPr>
        <w:t>Entitlement to Tax Credit:</w:t>
      </w:r>
      <w:r>
        <w:t xml:space="preserve"> Whether KRIBHCO was entitled to claim foreign tax credit in India under Article 25(4) of the India-Oman DTAA for the dividend income received from OMIFCO, despite the dividend being exempt from tax in Oman.</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Article 25(4) of India-Oman DTAA:</w:t>
      </w:r>
      <w:r>
        <w:t xml:space="preserve"> This article provides that where income is exempt from tax in Oman due to specific provisions aimed at promoting economic development, the income shall be deemed to have been taxed in Oman for the purposes of availing tax credit in India.</w:t>
      </w:r>
    </w:p>
    <w:p w:rsidR="00A056B6" w:rsidRDefault="00A056B6" w:rsidP="00743A5F">
      <w:pPr>
        <w:pStyle w:val="NormalWeb"/>
        <w:tabs>
          <w:tab w:val="num" w:pos="720"/>
        </w:tabs>
        <w:spacing w:before="0" w:beforeAutospacing="0"/>
        <w:ind w:left="720" w:hanging="360"/>
      </w:pPr>
      <w:r>
        <w:rPr>
          <w:rStyle w:val="Strong"/>
        </w:rPr>
        <w:t>Purpose of Exemption:</w:t>
      </w:r>
      <w:r>
        <w:t xml:space="preserve"> The exemption of dividend income in Oman was intended to attract foreign investments, qualifying it as a measure for economic development.</w:t>
      </w:r>
    </w:p>
    <w:p w:rsidR="00A056B6" w:rsidRDefault="00A056B6" w:rsidP="00743A5F">
      <w:pPr>
        <w:pStyle w:val="NormalWeb"/>
        <w:tabs>
          <w:tab w:val="num" w:pos="720"/>
        </w:tabs>
        <w:spacing w:before="0" w:beforeAutospacing="0"/>
        <w:ind w:left="720" w:hanging="360"/>
      </w:pPr>
      <w:r>
        <w:rPr>
          <w:rStyle w:val="Strong"/>
        </w:rPr>
        <w:t>Deemed Tax Credit:</w:t>
      </w:r>
      <w:r>
        <w:t xml:space="preserve"> The ITAT observed that, in line with Article 25(4), the dividend income, though exempt in Oman, should be deemed to have been taxed there, entitling KRIBHCO to claim foreign tax credit in India.</w:t>
      </w:r>
    </w:p>
    <w:p w:rsidR="00A056B6" w:rsidRDefault="00A056B6" w:rsidP="00743A5F">
      <w:pPr>
        <w:pStyle w:val="NormalWeb"/>
        <w:spacing w:before="0" w:beforeAutospacing="0"/>
      </w:pPr>
      <w:r>
        <w:rPr>
          <w:rStyle w:val="Strong"/>
        </w:rPr>
        <w:lastRenderedPageBreak/>
        <w:t>Ruling:</w:t>
      </w:r>
    </w:p>
    <w:p w:rsidR="00A056B6" w:rsidRDefault="00A056B6" w:rsidP="00743A5F">
      <w:pPr>
        <w:tabs>
          <w:tab w:val="num" w:pos="720"/>
        </w:tabs>
        <w:spacing w:before="100" w:after="100" w:afterAutospacing="1" w:line="240" w:lineRule="auto"/>
        <w:ind w:left="720" w:hanging="360"/>
      </w:pPr>
      <w:r>
        <w:rPr>
          <w:rStyle w:val="Strong"/>
        </w:rPr>
        <w:t>Entitlement to Tax Credit:</w:t>
      </w:r>
      <w:r>
        <w:t xml:space="preserve"> The ITAT held that KRIBHCO was entitled to claim foreign tax credit under Article 25(4) of the India-Oman DTAA for the dividend income received from OMIFCO, even though the dividend was exempt from tax in Oman.</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decision underscores the significance of specific provisions in DTAAs that facilitate tax credits to prevent double taxation, even in scenarios where income is exempt in the source country due to economic development incentives.</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Krishak Bharati Cooperative Ltd. v. ACIT, [2016] 67 taxmann.com 138 (Delhi - Trib).</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80" w:tgtFrame="_new" w:history="1">
        <w:r>
          <w:rPr>
            <w:rStyle w:val="Hyperlink"/>
          </w:rPr>
          <w:t>BCAJ</w:t>
        </w:r>
      </w:hyperlink>
    </w:p>
    <w:p w:rsidR="00A056B6" w:rsidRDefault="00A056B6" w:rsidP="00743A5F">
      <w:pPr>
        <w:pStyle w:val="NormalWeb"/>
        <w:spacing w:before="0" w:beforeAutospacing="0"/>
      </w:pPr>
      <w:r>
        <w:t>This ruling highlights the importance of understanding treaty provisions that allow for tax credits, ensuring that taxpayers can effectively mitigate the risk of double taxation on international income.</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ITO v Besco Engineering &amp; Services Pvt Ltd - (2016) 47 CCH 0028 (Kol) [India - Brazil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142926A0" wp14:editId="09BB77B5">
            <wp:extent cx="763905" cy="763905"/>
            <wp:effectExtent l="0" t="0" r="0" b="0"/>
            <wp:docPr id="404" name="Picture 40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5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ITO v. Besco Engineering &amp; Services Pvt. Ltd.</w:t>
      </w:r>
      <w:r>
        <w:t xml:space="preserve"> (ITA No. 727/Kol/2012), the </w:t>
      </w:r>
      <w:r>
        <w:rPr>
          <w:rStyle w:val="Strong"/>
        </w:rPr>
        <w:t>Income Tax Appellate Tribunal (ITAT) Kolkata Bench</w:t>
      </w:r>
      <w:r>
        <w:t xml:space="preserve"> addressed the taxability of dividend income received by an Indian company from a Brazilian company under the </w:t>
      </w:r>
      <w:r>
        <w:rPr>
          <w:rStyle w:val="Strong"/>
        </w:rPr>
        <w:t>India-Brazil Double Taxation Avoidance Agreement (DTAA)</w:t>
      </w:r>
      <w:r>
        <w:t>.</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Besco Engineering &amp; Services Pvt. Ltd., an Indian company.</w:t>
      </w:r>
    </w:p>
    <w:p w:rsidR="00A056B6" w:rsidRDefault="00A056B6" w:rsidP="00743A5F">
      <w:pPr>
        <w:pStyle w:val="NormalWeb"/>
        <w:tabs>
          <w:tab w:val="num" w:pos="720"/>
        </w:tabs>
        <w:spacing w:before="0" w:beforeAutospacing="0"/>
        <w:ind w:left="720" w:hanging="360"/>
      </w:pPr>
      <w:r>
        <w:rPr>
          <w:rStyle w:val="Strong"/>
        </w:rPr>
        <w:t>Transaction:</w:t>
      </w:r>
      <w:r>
        <w:t xml:space="preserve"> The assessee received dividend income from Millinium Investimentos Ltd., a company resident in Brazil.</w:t>
      </w:r>
    </w:p>
    <w:p w:rsidR="00A056B6" w:rsidRDefault="00A056B6" w:rsidP="00743A5F">
      <w:pPr>
        <w:pStyle w:val="NormalWeb"/>
        <w:spacing w:before="0" w:beforeAutospacing="0"/>
      </w:pPr>
      <w:r>
        <w:rPr>
          <w:rStyle w:val="Strong"/>
        </w:rPr>
        <w:t>Key Issue:</w:t>
      </w:r>
    </w:p>
    <w:p w:rsidR="00A056B6" w:rsidRDefault="00A056B6" w:rsidP="00743A5F">
      <w:pPr>
        <w:tabs>
          <w:tab w:val="num" w:pos="720"/>
        </w:tabs>
        <w:spacing w:before="100" w:after="100" w:afterAutospacing="1" w:line="240" w:lineRule="auto"/>
        <w:ind w:left="720" w:hanging="360"/>
      </w:pPr>
      <w:r>
        <w:lastRenderedPageBreak/>
        <w:t>Whether the dividend income received by the assessee from the Brazilian company is taxable in India under the provisions of the Income Tax Act, 1961, and the India-Brazil DTAA.</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Article 10 of the India-Brazil DTAA:</w:t>
      </w:r>
      <w:r>
        <w:t xml:space="preserve"> This article pertains to the taxation of dividends and provides that dividends paid by a company resident in one contracting state to a resident of the other contracting state may be taxed in that other state.</w:t>
      </w:r>
    </w:p>
    <w:p w:rsidR="00A056B6" w:rsidRDefault="00A056B6" w:rsidP="00743A5F">
      <w:pPr>
        <w:pStyle w:val="NormalWeb"/>
        <w:tabs>
          <w:tab w:val="num" w:pos="720"/>
        </w:tabs>
        <w:spacing w:before="0" w:beforeAutospacing="0"/>
        <w:ind w:left="720" w:hanging="360"/>
      </w:pPr>
      <w:r>
        <w:rPr>
          <w:rStyle w:val="Strong"/>
        </w:rPr>
        <w:t>Taxability in India:</w:t>
      </w:r>
      <w:r>
        <w:t xml:space="preserve"> The ITAT noted that, according to Article 10(1) of the DTAA, dividends paid by a Brazilian company to an Indian resident may be taxed in India.</w:t>
      </w:r>
    </w:p>
    <w:p w:rsidR="00A056B6" w:rsidRDefault="00A056B6" w:rsidP="00743A5F">
      <w:pPr>
        <w:pStyle w:val="NormalWeb"/>
        <w:tabs>
          <w:tab w:val="num" w:pos="720"/>
        </w:tabs>
        <w:spacing w:before="0" w:beforeAutospacing="0"/>
        <w:ind w:left="720" w:hanging="360"/>
      </w:pPr>
      <w:r>
        <w:rPr>
          <w:rStyle w:val="Strong"/>
        </w:rPr>
        <w:t>Non-Applicability of Section 115-O:</w:t>
      </w:r>
      <w:r>
        <w:t xml:space="preserve"> The Tribunal observed that Section 115-O of the Income Tax Act, which imposes a dividend distribution tax on domestic companies, does not apply to foreign companies. Therefore, the dividend received from the Brazilian company does not fall under the ambit of Section 115-O.</w:t>
      </w:r>
    </w:p>
    <w:p w:rsidR="00A056B6" w:rsidRDefault="00A056B6" w:rsidP="00743A5F">
      <w:pPr>
        <w:pStyle w:val="NormalWeb"/>
        <w:tabs>
          <w:tab w:val="num" w:pos="720"/>
        </w:tabs>
        <w:spacing w:before="0" w:beforeAutospacing="0"/>
        <w:ind w:left="720" w:hanging="360"/>
      </w:pPr>
      <w:r>
        <w:rPr>
          <w:rStyle w:val="Strong"/>
        </w:rPr>
        <w:t>Exemption under Section 10(34):</w:t>
      </w:r>
      <w:r>
        <w:t xml:space="preserve"> Section 10(34) exempts dividend income from taxation if it is subject to dividend distribution tax under Section 115-O. Since Section 115-O does not apply to dividends from foreign companies, the exemption under Section 10(34) is not available for such dividends.</w:t>
      </w:r>
    </w:p>
    <w:p w:rsidR="00A056B6" w:rsidRDefault="00A056B6" w:rsidP="00743A5F">
      <w:pPr>
        <w:pStyle w:val="NormalWeb"/>
        <w:spacing w:before="0" w:beforeAutospacing="0"/>
      </w:pPr>
      <w:r>
        <w:rPr>
          <w:rStyle w:val="Strong"/>
        </w:rPr>
        <w:t>Ruling:</w:t>
      </w:r>
    </w:p>
    <w:p w:rsidR="00A056B6" w:rsidRDefault="00A056B6" w:rsidP="00743A5F">
      <w:pPr>
        <w:tabs>
          <w:tab w:val="num" w:pos="720"/>
        </w:tabs>
        <w:spacing w:before="100" w:after="100" w:afterAutospacing="1" w:line="240" w:lineRule="auto"/>
        <w:ind w:left="720" w:hanging="360"/>
      </w:pPr>
      <w:r>
        <w:rPr>
          <w:rStyle w:val="Strong"/>
        </w:rPr>
        <w:t>Taxability Confirmed:</w:t>
      </w:r>
      <w:r>
        <w:t xml:space="preserve"> The ITAT held that the dividend income received by Besco Engineering &amp; Services Pvt. Ltd. from Millinium Investimentos Ltd., a Brazilian company, is taxable in India.</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decision clarifies that dividend income received by an Indian resident from a foreign company, such as a Brazilian entity, is taxable in India under the provisions of the Income Tax Act, 1961, and the applicable DTAA. The exemptions under Sections 115-O and 10(34) are not applicable to such foreign-sourced dividends.</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ITO v. Besco Engineering &amp; Services Pvt. Ltd., ITA No. 727/Kol/2012, ITAT Kolkata Bench.</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81" w:tgtFrame="_new" w:history="1">
        <w:r>
          <w:rPr>
            <w:rStyle w:val="Hyperlink"/>
          </w:rPr>
          <w:t>Indian Kanoon</w:t>
        </w:r>
      </w:hyperlink>
    </w:p>
    <w:p w:rsidR="00A056B6" w:rsidRDefault="00A056B6" w:rsidP="00743A5F">
      <w:pPr>
        <w:pStyle w:val="NormalWeb"/>
        <w:spacing w:before="0" w:beforeAutospacing="0"/>
      </w:pPr>
      <w:r>
        <w:t>This ruling emphasizes the importance of understanding the interplay between domestic tax laws and international tax treaties in determining the taxability of cross-border income.</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ITO v SusantoPurnamo - TS-438-ITAT-2016 (Ahd) - I.T.A. No. 254/ Ahd/2015 [India - US DTAA]</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lastRenderedPageBreak/>
        <w:drawing>
          <wp:inline distT="0" distB="0" distL="0" distR="0" wp14:anchorId="77EC1B57" wp14:editId="37E1C879">
            <wp:extent cx="763905" cy="763905"/>
            <wp:effectExtent l="0" t="0" r="0" b="0"/>
            <wp:docPr id="403" name="Picture 40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5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ITO v. Susanto Purnamo</w:t>
      </w:r>
      <w:r>
        <w:t xml:space="preserve"> (I.T.A. No. 254/Ahd/2015), the </w:t>
      </w:r>
      <w:r>
        <w:rPr>
          <w:rStyle w:val="Strong"/>
        </w:rPr>
        <w:t>Income Tax Appellate Tribunal (ITAT) Ahmedabad Bench</w:t>
      </w:r>
      <w:r>
        <w:t xml:space="preserve"> examined the taxability of income earned by a U.S.-based individual from software development services provided to an Indian company, under the provisions of the </w:t>
      </w:r>
      <w:r>
        <w:rPr>
          <w:rStyle w:val="Strong"/>
        </w:rPr>
        <w:t>India-USA Double Taxation Avoidance Agreement (DTAA)</w:t>
      </w:r>
      <w:r>
        <w:t>.</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Susanto Purnamo, an individual resident of the United States, operating as a sole proprietor.</w:t>
      </w:r>
    </w:p>
    <w:p w:rsidR="00A056B6" w:rsidRDefault="00A056B6" w:rsidP="00743A5F">
      <w:pPr>
        <w:pStyle w:val="NormalWeb"/>
        <w:tabs>
          <w:tab w:val="num" w:pos="720"/>
        </w:tabs>
        <w:spacing w:before="0" w:beforeAutospacing="0"/>
        <w:ind w:left="720" w:hanging="360"/>
      </w:pPr>
      <w:r>
        <w:rPr>
          <w:rStyle w:val="Strong"/>
        </w:rPr>
        <w:t>Services Rendered:</w:t>
      </w:r>
      <w:r>
        <w:t xml:space="preserve"> Provided software development services to an Indian company, which included designing, building, and maintaining a complete video streaming website.</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Applicability of Article 15 (Independent Personal Services) vs. Article 12 (Fees for Included Services) of the India-USA DTAA:</w:t>
      </w:r>
    </w:p>
    <w:p w:rsidR="00A056B6" w:rsidRDefault="00A056B6" w:rsidP="00743A5F">
      <w:pPr>
        <w:numPr>
          <w:ilvl w:val="1"/>
          <w:numId w:val="0"/>
        </w:numPr>
        <w:tabs>
          <w:tab w:val="num" w:pos="1440"/>
        </w:tabs>
        <w:spacing w:before="100" w:after="100" w:afterAutospacing="1" w:line="240" w:lineRule="auto"/>
        <w:ind w:left="1440" w:hanging="360"/>
      </w:pPr>
      <w:r>
        <w:t>Whether the income from software development services should be classified under Article 15, pertaining to Independent Personal Services (IPS), or under Article 12, relating to Fees for Included Services (FIS).</w:t>
      </w:r>
    </w:p>
    <w:p w:rsidR="00A056B6" w:rsidRDefault="00A056B6" w:rsidP="00743A5F">
      <w:pPr>
        <w:pStyle w:val="NormalWeb"/>
        <w:tabs>
          <w:tab w:val="num" w:pos="720"/>
        </w:tabs>
        <w:spacing w:before="0" w:beforeAutospacing="0"/>
        <w:ind w:left="720" w:hanging="360"/>
      </w:pPr>
      <w:r>
        <w:rPr>
          <w:rStyle w:val="Strong"/>
        </w:rPr>
        <w:t>Taxability in India:</w:t>
      </w:r>
    </w:p>
    <w:p w:rsidR="00A056B6" w:rsidRDefault="00A056B6" w:rsidP="00743A5F">
      <w:pPr>
        <w:numPr>
          <w:ilvl w:val="1"/>
          <w:numId w:val="0"/>
        </w:numPr>
        <w:tabs>
          <w:tab w:val="num" w:pos="1440"/>
        </w:tabs>
        <w:spacing w:before="100" w:after="100" w:afterAutospacing="1" w:line="240" w:lineRule="auto"/>
        <w:ind w:left="1440" w:hanging="360"/>
      </w:pPr>
      <w:r>
        <w:t>If Article 15 applies, whether the absence of a fixed base or the duration of stay in India affects the taxability of the income.</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Classification under Article 15:</w:t>
      </w:r>
    </w:p>
    <w:p w:rsidR="00A056B6" w:rsidRDefault="00A056B6" w:rsidP="00743A5F">
      <w:pPr>
        <w:numPr>
          <w:ilvl w:val="1"/>
          <w:numId w:val="0"/>
        </w:numPr>
        <w:tabs>
          <w:tab w:val="num" w:pos="1440"/>
        </w:tabs>
        <w:spacing w:before="100" w:after="100" w:afterAutospacing="1" w:line="240" w:lineRule="auto"/>
        <w:ind w:left="1440" w:hanging="360"/>
      </w:pPr>
      <w:r>
        <w:t>The Tribunal noted that Article 15 of the DTAA covers professional services, including independent activities of a scientific, literary, artistic, educational, or teaching nature, as well as the independent activities of physicians, lawyers, engineers, architects, dentists, and accountants.</w:t>
      </w:r>
    </w:p>
    <w:p w:rsidR="00A056B6" w:rsidRDefault="00A056B6" w:rsidP="00743A5F">
      <w:pPr>
        <w:numPr>
          <w:ilvl w:val="1"/>
          <w:numId w:val="0"/>
        </w:numPr>
        <w:tabs>
          <w:tab w:val="num" w:pos="1440"/>
        </w:tabs>
        <w:spacing w:before="100" w:after="100" w:afterAutospacing="1" w:line="240" w:lineRule="auto"/>
        <w:ind w:left="1440" w:hanging="360"/>
      </w:pPr>
      <w:r>
        <w:t>It was observed that software development services require specialized knowledge and intellectual skill, aligning with the nature of professional services envisaged under Article 15.</w:t>
      </w:r>
    </w:p>
    <w:p w:rsidR="00A056B6" w:rsidRDefault="00A056B6" w:rsidP="00743A5F">
      <w:pPr>
        <w:pStyle w:val="NormalWeb"/>
        <w:tabs>
          <w:tab w:val="num" w:pos="720"/>
        </w:tabs>
        <w:spacing w:before="0" w:beforeAutospacing="0"/>
        <w:ind w:left="720" w:hanging="360"/>
      </w:pPr>
      <w:r>
        <w:rPr>
          <w:rStyle w:val="Strong"/>
        </w:rPr>
        <w:t>Exclusion from Article 12:</w:t>
      </w:r>
    </w:p>
    <w:p w:rsidR="00A056B6" w:rsidRDefault="00A056B6" w:rsidP="00743A5F">
      <w:pPr>
        <w:numPr>
          <w:ilvl w:val="1"/>
          <w:numId w:val="0"/>
        </w:numPr>
        <w:tabs>
          <w:tab w:val="num" w:pos="1440"/>
        </w:tabs>
        <w:spacing w:before="100" w:after="100" w:afterAutospacing="1" w:line="240" w:lineRule="auto"/>
        <w:ind w:left="1440" w:hanging="360"/>
      </w:pPr>
      <w:r>
        <w:lastRenderedPageBreak/>
        <w:t>Article 12(5)(e) of the DTAA explicitly excludes amounts covered under Article 15 from being classified as Fees for Included Services.</w:t>
      </w:r>
    </w:p>
    <w:p w:rsidR="00A056B6" w:rsidRDefault="00A056B6" w:rsidP="00743A5F">
      <w:pPr>
        <w:numPr>
          <w:ilvl w:val="1"/>
          <w:numId w:val="0"/>
        </w:numPr>
        <w:tabs>
          <w:tab w:val="num" w:pos="1440"/>
        </w:tabs>
        <w:spacing w:before="100" w:after="100" w:afterAutospacing="1" w:line="240" w:lineRule="auto"/>
        <w:ind w:left="1440" w:hanging="360"/>
      </w:pPr>
      <w:r>
        <w:t>Therefore, once services are determined to fall under Article 15, they are excluded from the ambit of Article 12.</w:t>
      </w:r>
    </w:p>
    <w:p w:rsidR="00A056B6" w:rsidRDefault="00A056B6" w:rsidP="00743A5F">
      <w:pPr>
        <w:pStyle w:val="NormalWeb"/>
        <w:tabs>
          <w:tab w:val="num" w:pos="720"/>
        </w:tabs>
        <w:spacing w:before="0" w:beforeAutospacing="0"/>
        <w:ind w:left="720" w:hanging="360"/>
      </w:pPr>
      <w:r>
        <w:rPr>
          <w:rStyle w:val="Strong"/>
        </w:rPr>
        <w:t>Taxability Criteria under Article 15:</w:t>
      </w:r>
    </w:p>
    <w:p w:rsidR="00A056B6" w:rsidRDefault="00A056B6" w:rsidP="00743A5F">
      <w:pPr>
        <w:numPr>
          <w:ilvl w:val="1"/>
          <w:numId w:val="0"/>
        </w:numPr>
        <w:tabs>
          <w:tab w:val="num" w:pos="1440"/>
        </w:tabs>
        <w:spacing w:before="100" w:after="100" w:afterAutospacing="1" w:line="240" w:lineRule="auto"/>
        <w:ind w:left="1440" w:hanging="360"/>
      </w:pPr>
      <w:r>
        <w:t>For income from independent personal services to be taxable in India under Article 15, the individual must have a fixed base regularly available in India, or their stay in India must exceed 90 days within the relevant fiscal year.</w:t>
      </w:r>
    </w:p>
    <w:p w:rsidR="00A056B6" w:rsidRDefault="00A056B6" w:rsidP="00743A5F">
      <w:pPr>
        <w:numPr>
          <w:ilvl w:val="1"/>
          <w:numId w:val="0"/>
        </w:numPr>
        <w:tabs>
          <w:tab w:val="num" w:pos="1440"/>
        </w:tabs>
        <w:spacing w:before="100" w:after="100" w:afterAutospacing="1" w:line="240" w:lineRule="auto"/>
        <w:ind w:left="1440" w:hanging="360"/>
      </w:pPr>
      <w:r>
        <w:t>In this case, the assessee did not have a fixed base in India, nor did his stay exceed 90 days during the assessment year.</w:t>
      </w:r>
    </w:p>
    <w:p w:rsidR="00A056B6" w:rsidRDefault="00A056B6" w:rsidP="00743A5F">
      <w:pPr>
        <w:pStyle w:val="NormalWeb"/>
        <w:spacing w:before="0" w:beforeAutospacing="0"/>
      </w:pPr>
      <w:r>
        <w:rPr>
          <w:rStyle w:val="Strong"/>
        </w:rPr>
        <w:t>Ruling:</w:t>
      </w:r>
    </w:p>
    <w:p w:rsidR="00A056B6" w:rsidRDefault="00A056B6" w:rsidP="00743A5F">
      <w:pPr>
        <w:tabs>
          <w:tab w:val="num" w:pos="720"/>
        </w:tabs>
        <w:spacing w:before="100" w:after="100" w:afterAutospacing="1" w:line="240" w:lineRule="auto"/>
        <w:ind w:left="720" w:hanging="360"/>
      </w:pPr>
      <w:r>
        <w:rPr>
          <w:rStyle w:val="Strong"/>
        </w:rPr>
        <w:t>Non-Taxability in India:</w:t>
      </w:r>
    </w:p>
    <w:p w:rsidR="00A056B6" w:rsidRDefault="00A056B6" w:rsidP="00743A5F">
      <w:pPr>
        <w:numPr>
          <w:ilvl w:val="1"/>
          <w:numId w:val="0"/>
        </w:numPr>
        <w:tabs>
          <w:tab w:val="num" w:pos="1440"/>
        </w:tabs>
        <w:spacing w:before="100" w:after="100" w:afterAutospacing="1" w:line="240" w:lineRule="auto"/>
        <w:ind w:left="1440" w:hanging="360"/>
      </w:pPr>
      <w:r>
        <w:t>The ITAT concluded that the income earned by Susanto Purnamo from the software development services provided to the Indian company falls under Article 15 of the India-USA DTAA.</w:t>
      </w:r>
    </w:p>
    <w:p w:rsidR="00A056B6" w:rsidRDefault="00A056B6" w:rsidP="00743A5F">
      <w:pPr>
        <w:numPr>
          <w:ilvl w:val="1"/>
          <w:numId w:val="0"/>
        </w:numPr>
        <w:tabs>
          <w:tab w:val="num" w:pos="1440"/>
        </w:tabs>
        <w:spacing w:before="100" w:after="100" w:afterAutospacing="1" w:line="240" w:lineRule="auto"/>
        <w:ind w:left="1440" w:hanging="360"/>
      </w:pPr>
      <w:r>
        <w:t>Given the absence of a fixed base and the duration of stay being less than 90 days, the income is not taxable in India.</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ruling clarifies that income earned by a U.S.-based individual from providing software development services to an Indian company is not taxable in India under the India-USA DTAA, provided the individual does not have a fixed base in India and their stay does not exceed 90 days in the relevant fiscal year.</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ITO v. Susanto Purnamo, I.T.A. No. 254/Ahd/2015, ITAT Ahmedabad Bench.</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82" w:tgtFrame="_new" w:history="1">
        <w:r>
          <w:rPr>
            <w:rStyle w:val="Hyperlink"/>
          </w:rPr>
          <w:t>Indian Kanoon</w:t>
        </w:r>
      </w:hyperlink>
    </w:p>
    <w:p w:rsidR="00A056B6" w:rsidRDefault="00A056B6" w:rsidP="00743A5F">
      <w:pPr>
        <w:pStyle w:val="NormalWeb"/>
        <w:spacing w:before="0" w:beforeAutospacing="0"/>
      </w:pPr>
      <w:r>
        <w:t>This decision emphasizes the importance of analyzing the nature of services and the specific provisions of international tax treaties to determine the taxability of cross-border income.</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Outotec India (P.) Ltd. v. Asstt. CIT [2015] 59 taxmann.com 108/69 SOT 618/41 ITR (Trib.) 449/172 TTJ 186(Delhi)</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lastRenderedPageBreak/>
        <w:drawing>
          <wp:inline distT="0" distB="0" distL="0" distR="0" wp14:anchorId="6BD4AB23" wp14:editId="58B64E1B">
            <wp:extent cx="763905" cy="763905"/>
            <wp:effectExtent l="0" t="0" r="0" b="0"/>
            <wp:docPr id="402" name="Picture 40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5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w:t>
      </w:r>
    </w:p>
    <w:p w:rsidR="00A056B6" w:rsidRDefault="00A056B6" w:rsidP="00743A5F">
      <w:pPr>
        <w:pStyle w:val="Heading5"/>
        <w:spacing w:before="0" w:beforeAutospacing="0"/>
      </w:pPr>
      <w:r>
        <w:t>You said:</w:t>
      </w:r>
    </w:p>
    <w:p w:rsidR="00A056B6" w:rsidRDefault="00A056B6" w:rsidP="00743A5F">
      <w:pPr>
        <w:spacing w:line="240" w:lineRule="auto"/>
      </w:pPr>
      <w:r>
        <w:t>continue</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64DF4D54" wp14:editId="65A68274">
            <wp:extent cx="763905" cy="763905"/>
            <wp:effectExtent l="0" t="0" r="0" b="0"/>
            <wp:docPr id="401" name="Picture 40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5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Outotec India Pvt. Ltd. v. Assistant Commissioner of Income Tax</w:t>
      </w:r>
      <w:r>
        <w:t xml:space="preserve"> ([2015] 59 taxmann.com 108), the </w:t>
      </w:r>
      <w:r>
        <w:rPr>
          <w:rStyle w:val="Strong"/>
        </w:rPr>
        <w:t>Income Tax Appellate Tribunal (ITAT) Delhi Bench</w:t>
      </w:r>
      <w:r>
        <w:t xml:space="preserve"> examined the tax implications of payments made by an Indian company to a Finnish company for supervisory services under the </w:t>
      </w:r>
      <w:r>
        <w:rPr>
          <w:rStyle w:val="Strong"/>
        </w:rPr>
        <w:t>India-Finland Double Taxation Avoidance Agreement (DTAA)</w:t>
      </w:r>
      <w:r>
        <w:t>.</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Outotec India Pvt. Ltd., an Indian company.</w:t>
      </w:r>
    </w:p>
    <w:p w:rsidR="00A056B6" w:rsidRDefault="00A056B6" w:rsidP="00743A5F">
      <w:pPr>
        <w:pStyle w:val="NormalWeb"/>
        <w:tabs>
          <w:tab w:val="num" w:pos="720"/>
        </w:tabs>
        <w:spacing w:before="0" w:beforeAutospacing="0"/>
        <w:ind w:left="720" w:hanging="360"/>
      </w:pPr>
      <w:r>
        <w:rPr>
          <w:rStyle w:val="Strong"/>
        </w:rPr>
        <w:t>Transaction:</w:t>
      </w:r>
      <w:r>
        <w:t xml:space="preserve"> The assessee engaged a Finnish company to provide supervisory services for the erection and commissioning of a plant in India. Payments were made to the Finnish company for these services.</w:t>
      </w:r>
    </w:p>
    <w:p w:rsidR="00A056B6" w:rsidRDefault="00A056B6" w:rsidP="00743A5F">
      <w:pPr>
        <w:pStyle w:val="NormalWeb"/>
        <w:spacing w:before="0" w:beforeAutospacing="0"/>
      </w:pPr>
      <w:r>
        <w:rPr>
          <w:rStyle w:val="Strong"/>
        </w:rPr>
        <w:t>Key Issue:</w:t>
      </w:r>
    </w:p>
    <w:p w:rsidR="00A056B6" w:rsidRDefault="00A056B6" w:rsidP="00743A5F">
      <w:pPr>
        <w:tabs>
          <w:tab w:val="num" w:pos="720"/>
        </w:tabs>
        <w:spacing w:before="100" w:after="100" w:afterAutospacing="1" w:line="240" w:lineRule="auto"/>
        <w:ind w:left="720" w:hanging="360"/>
      </w:pPr>
      <w:r>
        <w:t>Whether the payments made by the assessee to the Finnish company for supervisory services qualify as "Fees for Technical Services" (FTS) under Article 13 of the India-Finland DTAA, thereby necessitating tax deduction at source under Section 195 of the Income Tax Act, 1961.</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Definition of FTS under DTAA:</w:t>
      </w:r>
      <w:r>
        <w:t xml:space="preserve"> Article 13(4) of the India-Finland DTAA defines FTS and includes a "make available" clause, implying that for a service to be considered FTS, it must result in the recipient being able to apply the technical knowledge or skills independently in the future without further assistance from the service provider.</w:t>
      </w:r>
    </w:p>
    <w:p w:rsidR="00A056B6" w:rsidRDefault="00A056B6" w:rsidP="00743A5F">
      <w:pPr>
        <w:pStyle w:val="NormalWeb"/>
        <w:tabs>
          <w:tab w:val="num" w:pos="720"/>
        </w:tabs>
        <w:spacing w:before="0" w:beforeAutospacing="0"/>
        <w:ind w:left="720" w:hanging="360"/>
      </w:pPr>
      <w:r>
        <w:rPr>
          <w:rStyle w:val="Strong"/>
        </w:rPr>
        <w:t>Nature of Services Provided:</w:t>
      </w:r>
      <w:r>
        <w:t xml:space="preserve"> The Tribunal observed that the supervisory services rendered by the Finnish company were specific to the erection and commissioning phase of the plant. These services did not transfer any technical knowledge or skill to the assessee that could be utilized independently in the future.</w:t>
      </w:r>
    </w:p>
    <w:p w:rsidR="00A056B6" w:rsidRDefault="00A056B6" w:rsidP="00743A5F">
      <w:pPr>
        <w:pStyle w:val="NormalWeb"/>
        <w:tabs>
          <w:tab w:val="num" w:pos="720"/>
        </w:tabs>
        <w:spacing w:before="0" w:beforeAutospacing="0"/>
        <w:ind w:left="720" w:hanging="360"/>
      </w:pPr>
      <w:r>
        <w:rPr>
          <w:rStyle w:val="Strong"/>
        </w:rPr>
        <w:lastRenderedPageBreak/>
        <w:t>Application of 'Make Available' Clause:</w:t>
      </w:r>
      <w:r>
        <w:t xml:space="preserve"> Since the services did not "make available" technical knowledge, experience, skill, know-how, or processes to the assessee, they did not meet the criteria for FTS under Article 13(4) of the DTAA.</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Non-Applicability of FTS Classification:</w:t>
      </w:r>
      <w:r>
        <w:t xml:space="preserve"> The ITAT concluded that the payments made by Outotec India Pvt. Ltd. to the Finnish company for supervisory services did not constitute FTS under the India-Finland DTAA.</w:t>
      </w:r>
    </w:p>
    <w:p w:rsidR="00A056B6" w:rsidRDefault="00A056B6" w:rsidP="00743A5F">
      <w:pPr>
        <w:pStyle w:val="NormalWeb"/>
        <w:tabs>
          <w:tab w:val="num" w:pos="720"/>
        </w:tabs>
        <w:spacing w:before="0" w:beforeAutospacing="0"/>
        <w:ind w:left="720" w:hanging="360"/>
      </w:pPr>
      <w:r>
        <w:rPr>
          <w:rStyle w:val="Strong"/>
        </w:rPr>
        <w:t>Implications for Tax Deduction at Source:</w:t>
      </w:r>
      <w:r>
        <w:t xml:space="preserve"> As the payments were not classified as FTS, the assessee was not required to deduct tax at source under Section 195 of the Income Tax Act. Consequently, the disallowance made under Section 40(a)(i) for non-deduction of tax at source was deleted.</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decision clarifies that payments for services that do not "make available" technical knowledge or skills to the recipient are not considered FTS under treaties with a "make available" clause, such as the India-Finland DTAA. Therefore, such payments may not attract withholding tax obligations under Section 195 of the Income Tax Act.</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Outotec India Pvt. Ltd. v. ACIT, [2015] 59 taxmann.com 108 (Delhi - Trib.).</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83" w:tgtFrame="_new" w:history="1">
        <w:r>
          <w:rPr>
            <w:rStyle w:val="Hyperlink"/>
          </w:rPr>
          <w:t>ITAT Online</w:t>
        </w:r>
      </w:hyperlink>
    </w:p>
    <w:p w:rsidR="00A056B6" w:rsidRDefault="00A056B6" w:rsidP="00743A5F">
      <w:pPr>
        <w:pStyle w:val="NormalWeb"/>
        <w:spacing w:before="0" w:beforeAutospacing="0"/>
      </w:pPr>
      <w:r>
        <w:t>This ruling emphasizes the importance of analyzing the specific provisions of international tax treaties, particularly the "make available" clause, to determine the tax treatment of cross-border service payments.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Sumana Bandyopadhyay vs DDIT- ITA No. 374 of 2016, [2017] 88 taxmann.com 847 (Calcutta)/[2017] 396 ITR 406 (Calcutta), dated 13.07.2017</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3FE78E68" wp14:editId="314F05B2">
            <wp:extent cx="763905" cy="763905"/>
            <wp:effectExtent l="0" t="0" r="0" b="0"/>
            <wp:docPr id="400" name="Picture 40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5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Smt. Sumana Bandyopadhyay &amp; Anr. v. Deputy Director of Income Tax (International Taxation) 3(1)</w:t>
      </w:r>
      <w:r>
        <w:t xml:space="preserve"> ([2017] 88 taxmann.com 847 (Calcutta)), the </w:t>
      </w:r>
      <w:r>
        <w:rPr>
          <w:rStyle w:val="Strong"/>
        </w:rPr>
        <w:t>Calcutta High Court</w:t>
      </w:r>
      <w:r>
        <w:t xml:space="preserve"> addressed the taxability of salary income earned by a non-resident Indian (NRI) for </w:t>
      </w:r>
      <w:r>
        <w:lastRenderedPageBreak/>
        <w:t>services rendered outside India, particularly when such income is credited directly to the individual's Non-Resident External (NRE) account in India.</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The original assessee, a marine engineer, was a non-resident under Section 6 of the Income Tax Act, 1961, during the assessment year 2010-11.</w:t>
      </w:r>
    </w:p>
    <w:p w:rsidR="00A056B6" w:rsidRDefault="00A056B6" w:rsidP="00743A5F">
      <w:pPr>
        <w:pStyle w:val="NormalWeb"/>
        <w:tabs>
          <w:tab w:val="num" w:pos="720"/>
        </w:tabs>
        <w:spacing w:before="0" w:beforeAutospacing="0"/>
        <w:ind w:left="720" w:hanging="360"/>
      </w:pPr>
      <w:r>
        <w:rPr>
          <w:rStyle w:val="Strong"/>
        </w:rPr>
        <w:t>Income in Question:</w:t>
      </w:r>
      <w:r>
        <w:t xml:space="preserve"> The assessee earned a total of ₹14,79,598 as salary from two employers, Great Offshore Limited and Bibby Ship Management (Singapore) Pte. Ltd., for services rendered outside India. This salary was directly credited to his NRE account in India.</w:t>
      </w:r>
    </w:p>
    <w:p w:rsidR="00A056B6" w:rsidRDefault="00A056B6" w:rsidP="00743A5F">
      <w:pPr>
        <w:pStyle w:val="NormalWeb"/>
        <w:spacing w:before="0" w:beforeAutospacing="0"/>
      </w:pPr>
      <w:r>
        <w:rPr>
          <w:rStyle w:val="Strong"/>
        </w:rPr>
        <w:t>Key Issue:</w:t>
      </w:r>
    </w:p>
    <w:p w:rsidR="00A056B6" w:rsidRDefault="00A056B6" w:rsidP="00743A5F">
      <w:pPr>
        <w:tabs>
          <w:tab w:val="num" w:pos="720"/>
        </w:tabs>
        <w:spacing w:before="100" w:after="100" w:afterAutospacing="1" w:line="240" w:lineRule="auto"/>
        <w:ind w:left="720" w:hanging="360"/>
      </w:pPr>
      <w:r>
        <w:t>Whether the salary income earned by the non-resident assessee for services rendered outside India becomes taxable in India merely because it was credited to his NRE account in India.</w:t>
      </w:r>
    </w:p>
    <w:p w:rsidR="00A056B6" w:rsidRDefault="00A056B6" w:rsidP="00743A5F">
      <w:pPr>
        <w:pStyle w:val="NormalWeb"/>
        <w:spacing w:before="0" w:beforeAutospacing="0"/>
      </w:pPr>
      <w:r>
        <w:rPr>
          <w:rStyle w:val="Strong"/>
        </w:rPr>
        <w:t>High Court's Analysis:</w:t>
      </w:r>
    </w:p>
    <w:p w:rsidR="00A056B6" w:rsidRDefault="00A056B6" w:rsidP="00743A5F">
      <w:pPr>
        <w:pStyle w:val="NormalWeb"/>
        <w:tabs>
          <w:tab w:val="num" w:pos="720"/>
        </w:tabs>
        <w:spacing w:before="0" w:beforeAutospacing="0"/>
        <w:ind w:left="720" w:hanging="360"/>
      </w:pPr>
      <w:r>
        <w:rPr>
          <w:rStyle w:val="Strong"/>
        </w:rPr>
        <w:t>Section 5(2) of the Income Tax Act:</w:t>
      </w:r>
      <w:r>
        <w:t xml:space="preserve"> This section defines the scope of total income for non-residents, including income received or deemed to be received in India.</w:t>
      </w:r>
    </w:p>
    <w:p w:rsidR="00A056B6" w:rsidRDefault="00A056B6" w:rsidP="00743A5F">
      <w:pPr>
        <w:pStyle w:val="NormalWeb"/>
        <w:tabs>
          <w:tab w:val="num" w:pos="720"/>
        </w:tabs>
        <w:spacing w:before="0" w:beforeAutospacing="0"/>
        <w:ind w:left="720" w:hanging="360"/>
      </w:pPr>
      <w:r>
        <w:rPr>
          <w:rStyle w:val="Strong"/>
        </w:rPr>
        <w:t>Accrual of Income:</w:t>
      </w:r>
      <w:r>
        <w:t xml:space="preserve"> The Court observed that the salary income accrued outside India for services rendered abroad.</w:t>
      </w:r>
    </w:p>
    <w:p w:rsidR="00A056B6" w:rsidRDefault="00A056B6" w:rsidP="00743A5F">
      <w:pPr>
        <w:pStyle w:val="NormalWeb"/>
        <w:tabs>
          <w:tab w:val="num" w:pos="720"/>
        </w:tabs>
        <w:spacing w:before="0" w:beforeAutospacing="0"/>
        <w:ind w:left="720" w:hanging="360"/>
      </w:pPr>
      <w:r>
        <w:rPr>
          <w:rStyle w:val="Strong"/>
        </w:rPr>
        <w:t>CBDT Circular No. 13/2017:</w:t>
      </w:r>
      <w:r>
        <w:t xml:space="preserve"> Issued on 11th April 2017, this circular clarifies that salary accrued to a non-resident seafarer for services rendered outside India on a foreign ship shall not be included in total income merely because it is credited to an NRE account maintained with an Indian bank. </w:t>
      </w:r>
    </w:p>
    <w:p w:rsidR="00A056B6" w:rsidRDefault="00A056B6" w:rsidP="00743A5F">
      <w:pPr>
        <w:spacing w:afterAutospacing="1" w:line="240" w:lineRule="auto"/>
        <w:ind w:left="720"/>
      </w:pPr>
      <w:hyperlink r:id="rId84" w:tgtFrame="_blank" w:history="1">
        <w:r>
          <w:rPr>
            <w:rStyle w:val="truncate"/>
            <w:color w:val="0000FF"/>
            <w:u w:val="single"/>
          </w:rPr>
          <w:t>itatonline.org</w:t>
        </w:r>
      </w:hyperlink>
    </w:p>
    <w:p w:rsidR="00A056B6" w:rsidRDefault="00A056B6" w:rsidP="00743A5F">
      <w:pPr>
        <w:pStyle w:val="NormalWeb"/>
        <w:tabs>
          <w:tab w:val="num" w:pos="720"/>
        </w:tabs>
        <w:spacing w:before="0" w:beforeAutospacing="0"/>
        <w:ind w:left="720" w:hanging="360"/>
      </w:pPr>
      <w:r>
        <w:rPr>
          <w:rStyle w:val="Strong"/>
        </w:rPr>
        <w:t>Judicial Precedents:</w:t>
      </w:r>
      <w:r>
        <w:t xml:space="preserve"> The Court referred to the Karnataka High Court's decision in </w:t>
      </w:r>
      <w:r>
        <w:rPr>
          <w:rStyle w:val="Strong"/>
        </w:rPr>
        <w:t>DIT v. Prahlad Vijendra Rao</w:t>
      </w:r>
      <w:r>
        <w:t xml:space="preserve"> ([2011] 198 Taxman 551), which held that salary earned by a non-resident for services rendered outside India is not taxable in India, even if credited to an NRE account. </w:t>
      </w:r>
    </w:p>
    <w:p w:rsidR="00A056B6" w:rsidRDefault="00A056B6" w:rsidP="00743A5F">
      <w:pPr>
        <w:spacing w:afterAutospacing="1" w:line="240" w:lineRule="auto"/>
        <w:ind w:left="720"/>
      </w:pPr>
      <w:hyperlink r:id="rId85" w:tgtFrame="_blank" w:history="1">
        <w:r>
          <w:rPr>
            <w:rStyle w:val="truncate"/>
            <w:color w:val="0000FF"/>
            <w:u w:val="single"/>
          </w:rPr>
          <w:t>itatonline.org</w:t>
        </w:r>
      </w:hyperlink>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t>The Calcutta High Court concluded that the salary income earned by the non-resident assessee for services rendered outside India does not become taxable in India solely because it was credited to his NRE account.</w:t>
      </w:r>
    </w:p>
    <w:p w:rsidR="00A056B6" w:rsidRDefault="00A056B6" w:rsidP="00743A5F">
      <w:pPr>
        <w:pStyle w:val="NormalWeb"/>
        <w:tabs>
          <w:tab w:val="num" w:pos="720"/>
        </w:tabs>
        <w:spacing w:before="0" w:beforeAutospacing="0"/>
        <w:ind w:left="720" w:hanging="360"/>
      </w:pPr>
      <w:r>
        <w:t>The Court allowed the appeal, setting aside the additions made by the Assessing Officer, and held that such income is not chargeable to tax in India under Section 5(2) of the Income Tax Act.</w:t>
      </w:r>
    </w:p>
    <w:p w:rsidR="00A056B6" w:rsidRDefault="00A056B6" w:rsidP="00743A5F">
      <w:pPr>
        <w:pStyle w:val="NormalWeb"/>
        <w:spacing w:before="0" w:beforeAutospacing="0"/>
      </w:pPr>
      <w:r>
        <w:rPr>
          <w:rStyle w:val="Strong"/>
        </w:rPr>
        <w:lastRenderedPageBreak/>
        <w:t>Conclusion:</w:t>
      </w:r>
    </w:p>
    <w:p w:rsidR="00A056B6" w:rsidRDefault="00A056B6" w:rsidP="00743A5F">
      <w:pPr>
        <w:pStyle w:val="NormalWeb"/>
        <w:spacing w:before="0" w:beforeAutospacing="0"/>
      </w:pPr>
      <w:r>
        <w:t>This judgment reinforces the principle that salary income earned by a non-resident for services rendered outside India is not taxable in India, even if the income is received in an NRE account within the country. The decision aligns with CBDT Circular No. 13/2017 and existing judicial precedents, providing clarity on the tax treatment of such income for non-resident individuals.</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Smt. Sumana Bandyopadhyay &amp; Anr. v. DDIT (International Taxation) 3(1), [2017] 88 taxmann.com 847 (Calcutta).</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86" w:tgtFrame="_new" w:history="1">
        <w:r>
          <w:rPr>
            <w:rStyle w:val="Hyperlink"/>
          </w:rPr>
          <w:t>ITAT Online</w:t>
        </w:r>
      </w:hyperlink>
    </w:p>
    <w:p w:rsidR="00A056B6" w:rsidRDefault="00A056B6" w:rsidP="00743A5F">
      <w:pPr>
        <w:pStyle w:val="NormalWeb"/>
        <w:spacing w:before="0" w:beforeAutospacing="0"/>
      </w:pPr>
      <w:r>
        <w:t>This decision provides significant relief to non-resident individuals, particularly seafarers, ensuring that their foreign-earned income remains exempt from Indian taxation when credited to NRE accounts, in line with the Income Tax Act and CBDT guidelines.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HEWLETT PACKARD INDIA SOFTWARE OPERAN PRIVATE LIMITED IN RE – (2018) 401 ITR 0339 (AAR) – A.A.R. No 1217 of 2011 dated 29.01.2018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3F9A564E" wp14:editId="1EEDC39B">
            <wp:extent cx="763905" cy="763905"/>
            <wp:effectExtent l="0" t="0" r="0" b="0"/>
            <wp:docPr id="399" name="Picture 39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5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Hewlett Packard India Software Operation Private Limited, In Re</w:t>
      </w:r>
      <w:r>
        <w:t xml:space="preserve"> (A.A.R. No. 1217 of 2011, dated January 29, 2018), the </w:t>
      </w:r>
      <w:r>
        <w:rPr>
          <w:rStyle w:val="Strong"/>
        </w:rPr>
        <w:t>Authority for Advance Rulings (AAR)</w:t>
      </w:r>
      <w:r>
        <w:t xml:space="preserve"> examined the tax implications under the </w:t>
      </w:r>
      <w:r>
        <w:rPr>
          <w:rStyle w:val="Strong"/>
        </w:rPr>
        <w:t>Income Tax Act, 1961</w:t>
      </w:r>
      <w:r>
        <w:t xml:space="preserve">, and the relevant </w:t>
      </w:r>
      <w:r>
        <w:rPr>
          <w:rStyle w:val="Strong"/>
        </w:rPr>
        <w:t>Double Taxation Avoidance Agreements (DTAAs)</w:t>
      </w:r>
      <w:r>
        <w:t xml:space="preserve"> concerning salary payments made by an Indian company to its employees deputed to the United States (U.S.) and Germany.</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Applicant:</w:t>
      </w:r>
      <w:r>
        <w:t xml:space="preserve"> Hewlett Packard India Software Operation Private Limited, an Indian company engaged in software development and IT-enabled services.</w:t>
      </w:r>
    </w:p>
    <w:p w:rsidR="00A056B6" w:rsidRDefault="00A056B6" w:rsidP="00743A5F">
      <w:pPr>
        <w:pStyle w:val="NormalWeb"/>
        <w:tabs>
          <w:tab w:val="num" w:pos="720"/>
        </w:tabs>
        <w:spacing w:before="0" w:beforeAutospacing="0"/>
        <w:ind w:left="720" w:hanging="360"/>
      </w:pPr>
      <w:r>
        <w:rPr>
          <w:rStyle w:val="Strong"/>
        </w:rPr>
        <w:t>Employees on Deputation:</w:t>
      </w:r>
      <w:r>
        <w:t xml:space="preserve"> The company deputed two employees—Mr. Rajendrababu to the U.S. and Ms. Prashanth to Germany—for specified periods. During their deputation, these employees:</w:t>
      </w:r>
    </w:p>
    <w:p w:rsidR="00A056B6" w:rsidRDefault="00A056B6" w:rsidP="00743A5F">
      <w:pPr>
        <w:pStyle w:val="NormalWeb"/>
        <w:numPr>
          <w:ilvl w:val="1"/>
          <w:numId w:val="0"/>
        </w:numPr>
        <w:tabs>
          <w:tab w:val="num" w:pos="1440"/>
        </w:tabs>
        <w:spacing w:before="0" w:beforeAutospacing="0"/>
        <w:ind w:left="1440" w:hanging="360"/>
      </w:pPr>
      <w:r>
        <w:t>Remained on the payroll of the Indian company and received salaries in India.</w:t>
      </w:r>
    </w:p>
    <w:p w:rsidR="00A056B6" w:rsidRDefault="00A056B6" w:rsidP="00743A5F">
      <w:pPr>
        <w:pStyle w:val="NormalWeb"/>
        <w:numPr>
          <w:ilvl w:val="1"/>
          <w:numId w:val="0"/>
        </w:numPr>
        <w:tabs>
          <w:tab w:val="num" w:pos="1440"/>
        </w:tabs>
        <w:spacing w:before="0" w:beforeAutospacing="0"/>
        <w:ind w:left="1440" w:hanging="360"/>
      </w:pPr>
      <w:r>
        <w:t>Rendered services exclusively in the host countries (U.S. and Germany).</w:t>
      </w:r>
    </w:p>
    <w:p w:rsidR="00A056B6" w:rsidRDefault="00A056B6" w:rsidP="00743A5F">
      <w:pPr>
        <w:pStyle w:val="NormalWeb"/>
        <w:numPr>
          <w:ilvl w:val="1"/>
          <w:numId w:val="0"/>
        </w:numPr>
        <w:tabs>
          <w:tab w:val="num" w:pos="1440"/>
        </w:tabs>
        <w:spacing w:before="0" w:beforeAutospacing="0"/>
        <w:ind w:left="1440" w:hanging="360"/>
      </w:pPr>
      <w:r>
        <w:lastRenderedPageBreak/>
        <w:t>Received additional allowances in the host countries to cover living expenses.</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Taxability of Salary in India:</w:t>
      </w:r>
      <w:r>
        <w:t xml:space="preserve"> Whether the salary paid in India to the deputed employees for services rendered abroad is liable to tax in India under the Income Tax Act and the respective DTAAs.</w:t>
      </w:r>
    </w:p>
    <w:p w:rsidR="00A056B6" w:rsidRDefault="00A056B6" w:rsidP="00743A5F">
      <w:pPr>
        <w:pStyle w:val="NormalWeb"/>
        <w:tabs>
          <w:tab w:val="num" w:pos="720"/>
        </w:tabs>
        <w:spacing w:before="0" w:beforeAutospacing="0"/>
        <w:ind w:left="720" w:hanging="360"/>
      </w:pPr>
      <w:r>
        <w:rPr>
          <w:rStyle w:val="Strong"/>
        </w:rPr>
        <w:t>Withholding Tax Obligations:</w:t>
      </w:r>
      <w:r>
        <w:t xml:space="preserve"> Whether the Indian company is obligated to withhold taxes on such salary payments under Section 192 of the Income Tax Act.</w:t>
      </w:r>
    </w:p>
    <w:p w:rsidR="00A056B6" w:rsidRDefault="00A056B6" w:rsidP="00743A5F">
      <w:pPr>
        <w:pStyle w:val="NormalWeb"/>
        <w:tabs>
          <w:tab w:val="num" w:pos="720"/>
        </w:tabs>
        <w:spacing w:before="0" w:beforeAutospacing="0"/>
        <w:ind w:left="720" w:hanging="360"/>
      </w:pPr>
      <w:r>
        <w:rPr>
          <w:rStyle w:val="Strong"/>
        </w:rPr>
        <w:t>Tax Credit for Taxes Paid Abroad:</w:t>
      </w:r>
      <w:r>
        <w:t xml:space="preserve"> Upon the employees' return to India and their classification as Resident and Ordinarily Resident (ROR) in subsequent financial years, can the Indian company consider taxes paid by the employees in the U.S. and Germany as credit while discharging its tax withholding obligations under Section 192?</w:t>
      </w:r>
    </w:p>
    <w:p w:rsidR="00A056B6" w:rsidRDefault="00A056B6" w:rsidP="00743A5F">
      <w:pPr>
        <w:pStyle w:val="NormalWeb"/>
        <w:spacing w:before="0" w:beforeAutospacing="0"/>
      </w:pPr>
      <w:r>
        <w:rPr>
          <w:rStyle w:val="Strong"/>
        </w:rPr>
        <w:t>AAR's Analysis:</w:t>
      </w:r>
    </w:p>
    <w:p w:rsidR="00A056B6" w:rsidRDefault="00A056B6" w:rsidP="00743A5F">
      <w:pPr>
        <w:pStyle w:val="NormalWeb"/>
        <w:tabs>
          <w:tab w:val="num" w:pos="720"/>
        </w:tabs>
        <w:spacing w:before="0" w:beforeAutospacing="0"/>
        <w:ind w:left="720" w:hanging="360"/>
      </w:pPr>
      <w:r>
        <w:rPr>
          <w:rStyle w:val="Strong"/>
        </w:rPr>
        <w:t>Taxability of Salary in India:</w:t>
      </w:r>
    </w:p>
    <w:p w:rsidR="00A056B6" w:rsidRDefault="00A056B6" w:rsidP="00743A5F">
      <w:pPr>
        <w:pStyle w:val="NormalWeb"/>
        <w:numPr>
          <w:ilvl w:val="1"/>
          <w:numId w:val="0"/>
        </w:numPr>
        <w:tabs>
          <w:tab w:val="num" w:pos="1440"/>
        </w:tabs>
        <w:spacing w:before="0" w:beforeAutospacing="0"/>
        <w:ind w:left="1440" w:hanging="360"/>
      </w:pPr>
      <w:r>
        <w:rPr>
          <w:rStyle w:val="Strong"/>
        </w:rPr>
        <w:t>Section 5(2) of the Income Tax Act:</w:t>
      </w:r>
      <w:r>
        <w:t xml:space="preserve"> Defines the scope of total income for non-residents, including income received or deemed to be received in India.</w:t>
      </w:r>
    </w:p>
    <w:p w:rsidR="00A056B6" w:rsidRDefault="00A056B6" w:rsidP="00743A5F">
      <w:pPr>
        <w:pStyle w:val="NormalWeb"/>
        <w:numPr>
          <w:ilvl w:val="1"/>
          <w:numId w:val="0"/>
        </w:numPr>
        <w:tabs>
          <w:tab w:val="num" w:pos="1440"/>
        </w:tabs>
        <w:spacing w:before="0" w:beforeAutospacing="0"/>
        <w:ind w:left="1440" w:hanging="360"/>
      </w:pPr>
      <w:r>
        <w:rPr>
          <w:rStyle w:val="Strong"/>
        </w:rPr>
        <w:t>Application of DTAAs:</w:t>
      </w:r>
    </w:p>
    <w:p w:rsidR="00A056B6" w:rsidRDefault="00A056B6" w:rsidP="00743A5F">
      <w:pPr>
        <w:pStyle w:val="NormalWeb"/>
        <w:numPr>
          <w:ilvl w:val="2"/>
          <w:numId w:val="0"/>
        </w:numPr>
        <w:tabs>
          <w:tab w:val="num" w:pos="2160"/>
        </w:tabs>
        <w:spacing w:before="0" w:beforeAutospacing="0"/>
        <w:ind w:left="2160" w:hanging="360"/>
      </w:pPr>
      <w:r>
        <w:rPr>
          <w:rStyle w:val="Strong"/>
        </w:rPr>
        <w:t>India-U.S. DTAA (Article 16):</w:t>
      </w:r>
      <w:r>
        <w:t xml:space="preserve"> Salaries derived by a resident of the U.S. in respect of employment exercised in the U.S. are taxable only in the U.S., provided the employment is not exercised in India.</w:t>
      </w:r>
    </w:p>
    <w:p w:rsidR="00A056B6" w:rsidRDefault="00A056B6" w:rsidP="00743A5F">
      <w:pPr>
        <w:pStyle w:val="NormalWeb"/>
        <w:numPr>
          <w:ilvl w:val="2"/>
          <w:numId w:val="0"/>
        </w:numPr>
        <w:tabs>
          <w:tab w:val="num" w:pos="2160"/>
        </w:tabs>
        <w:spacing w:before="0" w:beforeAutospacing="0"/>
        <w:ind w:left="2160" w:hanging="360"/>
      </w:pPr>
      <w:r>
        <w:rPr>
          <w:rStyle w:val="Strong"/>
        </w:rPr>
        <w:t>India-Germany DTAA (Article 15):</w:t>
      </w:r>
      <w:r>
        <w:t xml:space="preserve"> Similar provisions apply, where remuneration derived by a resident of Germany in respect of employment exercised in Germany is taxable only in Germany, provided the employment is not exercised in India.</w:t>
      </w:r>
    </w:p>
    <w:p w:rsidR="00A056B6" w:rsidRDefault="00A056B6" w:rsidP="00743A5F">
      <w:pPr>
        <w:pStyle w:val="NormalWeb"/>
        <w:numPr>
          <w:ilvl w:val="1"/>
          <w:numId w:val="0"/>
        </w:numPr>
        <w:tabs>
          <w:tab w:val="num" w:pos="1440"/>
        </w:tabs>
        <w:spacing w:before="0" w:beforeAutospacing="0"/>
        <w:ind w:left="1440" w:hanging="360"/>
      </w:pPr>
      <w:r>
        <w:rPr>
          <w:rStyle w:val="Strong"/>
        </w:rPr>
        <w:t>Conclusion:</w:t>
      </w:r>
      <w:r>
        <w:t xml:space="preserve"> Since the employees rendered services exclusively in the U.S. and Germany during their deputation and were considered residents of those countries under the respective DTAAs, their salaries, though paid in India, are taxable only in the host countries. Therefore, such income is not liable to tax in India.</w:t>
      </w:r>
    </w:p>
    <w:p w:rsidR="00A056B6" w:rsidRDefault="00A056B6" w:rsidP="00743A5F">
      <w:pPr>
        <w:pStyle w:val="NormalWeb"/>
        <w:tabs>
          <w:tab w:val="num" w:pos="720"/>
        </w:tabs>
        <w:spacing w:before="0" w:beforeAutospacing="0"/>
        <w:ind w:left="720" w:hanging="360"/>
      </w:pPr>
      <w:r>
        <w:rPr>
          <w:rStyle w:val="Strong"/>
        </w:rPr>
        <w:t>Withholding Tax Obligations:</w:t>
      </w:r>
    </w:p>
    <w:p w:rsidR="00A056B6" w:rsidRDefault="00A056B6" w:rsidP="00743A5F">
      <w:pPr>
        <w:pStyle w:val="NormalWeb"/>
        <w:numPr>
          <w:ilvl w:val="1"/>
          <w:numId w:val="0"/>
        </w:numPr>
        <w:tabs>
          <w:tab w:val="num" w:pos="1440"/>
        </w:tabs>
        <w:spacing w:before="0" w:beforeAutospacing="0"/>
        <w:ind w:left="1440" w:hanging="360"/>
      </w:pPr>
      <w:r>
        <w:rPr>
          <w:rStyle w:val="Strong"/>
        </w:rPr>
        <w:t>Section 192 of the Income Tax Act:</w:t>
      </w:r>
      <w:r>
        <w:t xml:space="preserve"> Mandates tax deduction at source on salary payments chargeable to tax under the Act.</w:t>
      </w:r>
    </w:p>
    <w:p w:rsidR="00A056B6" w:rsidRDefault="00A056B6" w:rsidP="00743A5F">
      <w:pPr>
        <w:pStyle w:val="NormalWeb"/>
        <w:numPr>
          <w:ilvl w:val="1"/>
          <w:numId w:val="0"/>
        </w:numPr>
        <w:tabs>
          <w:tab w:val="num" w:pos="1440"/>
        </w:tabs>
        <w:spacing w:before="0" w:beforeAutospacing="0"/>
        <w:ind w:left="1440" w:hanging="360"/>
      </w:pPr>
      <w:r>
        <w:rPr>
          <w:rStyle w:val="Strong"/>
        </w:rPr>
        <w:t>Conclusion:</w:t>
      </w:r>
      <w:r>
        <w:t xml:space="preserve"> Given that the salaries in question are not chargeable to tax in India due to the provisions of the DTAAs, the Indian company is not obligated to withhold taxes on these payments under Section 192.</w:t>
      </w:r>
    </w:p>
    <w:p w:rsidR="00A056B6" w:rsidRDefault="00A056B6" w:rsidP="00743A5F">
      <w:pPr>
        <w:pStyle w:val="NormalWeb"/>
        <w:tabs>
          <w:tab w:val="num" w:pos="720"/>
        </w:tabs>
        <w:spacing w:before="0" w:beforeAutospacing="0"/>
        <w:ind w:left="720" w:hanging="360"/>
      </w:pPr>
      <w:r>
        <w:rPr>
          <w:rStyle w:val="Strong"/>
        </w:rPr>
        <w:lastRenderedPageBreak/>
        <w:t>Tax Credit for Taxes Paid Abroad:</w:t>
      </w:r>
    </w:p>
    <w:p w:rsidR="00A056B6" w:rsidRDefault="00A056B6" w:rsidP="00743A5F">
      <w:pPr>
        <w:pStyle w:val="NormalWeb"/>
        <w:numPr>
          <w:ilvl w:val="1"/>
          <w:numId w:val="0"/>
        </w:numPr>
        <w:tabs>
          <w:tab w:val="num" w:pos="1440"/>
        </w:tabs>
        <w:spacing w:before="0" w:beforeAutospacing="0"/>
        <w:ind w:left="1440" w:hanging="360"/>
      </w:pPr>
      <w:r>
        <w:rPr>
          <w:rStyle w:val="Strong"/>
        </w:rPr>
        <w:t>Residential Status Upon Return:</w:t>
      </w:r>
      <w:r>
        <w:t xml:space="preserve"> Upon returning to India, the employees are classified as Resident and Ordinarily Resident (ROR) for the relevant financial years, making their global income taxable in India.</w:t>
      </w:r>
    </w:p>
    <w:p w:rsidR="00A056B6" w:rsidRDefault="00A056B6" w:rsidP="00743A5F">
      <w:pPr>
        <w:pStyle w:val="NormalWeb"/>
        <w:numPr>
          <w:ilvl w:val="1"/>
          <w:numId w:val="0"/>
        </w:numPr>
        <w:tabs>
          <w:tab w:val="num" w:pos="1440"/>
        </w:tabs>
        <w:spacing w:before="0" w:beforeAutospacing="0"/>
        <w:ind w:left="1440" w:hanging="360"/>
      </w:pPr>
      <w:r>
        <w:rPr>
          <w:rStyle w:val="Strong"/>
        </w:rPr>
        <w:t>Foreign Tax Credit (FTC):</w:t>
      </w:r>
    </w:p>
    <w:p w:rsidR="00A056B6" w:rsidRDefault="00A056B6" w:rsidP="00743A5F">
      <w:pPr>
        <w:numPr>
          <w:ilvl w:val="2"/>
          <w:numId w:val="0"/>
        </w:numPr>
        <w:tabs>
          <w:tab w:val="num" w:pos="2160"/>
        </w:tabs>
        <w:spacing w:before="100" w:after="100" w:afterAutospacing="1" w:line="240" w:lineRule="auto"/>
        <w:ind w:left="2160" w:hanging="360"/>
      </w:pPr>
      <w:r>
        <w:rPr>
          <w:rStyle w:val="Strong"/>
        </w:rPr>
        <w:t>Article 25 of the India-U.S. DTAA and Article 23 of the India-Germany DTAA:</w:t>
      </w:r>
      <w:r>
        <w:t xml:space="preserve"> Provide mechanisms to avoid double taxation, allowing residents to claim credit for taxes paid in the other contracting state.</w:t>
      </w:r>
    </w:p>
    <w:p w:rsidR="00A056B6" w:rsidRDefault="00A056B6" w:rsidP="00743A5F">
      <w:pPr>
        <w:pStyle w:val="NormalWeb"/>
        <w:numPr>
          <w:ilvl w:val="1"/>
          <w:numId w:val="0"/>
        </w:numPr>
        <w:tabs>
          <w:tab w:val="num" w:pos="1440"/>
        </w:tabs>
        <w:spacing w:before="0" w:beforeAutospacing="0"/>
        <w:ind w:left="1440" w:hanging="360"/>
      </w:pPr>
      <w:r>
        <w:rPr>
          <w:rStyle w:val="Strong"/>
        </w:rPr>
        <w:t>Employer's Withholding Obligations:</w:t>
      </w:r>
      <w:r>
        <w:t xml:space="preserve"> The employer's responsibility under Section 192 is to deduct tax at source on the estimated income of the employee, considering the provisions of the Act and applicable DTAAs. The employer is not responsible for granting FTC at the withholding stage; this relief is typically claimed by the employee at the time of filing their tax return.</w:t>
      </w:r>
    </w:p>
    <w:p w:rsidR="00A056B6" w:rsidRDefault="00A056B6" w:rsidP="00743A5F">
      <w:pPr>
        <w:pStyle w:val="NormalWeb"/>
        <w:numPr>
          <w:ilvl w:val="1"/>
          <w:numId w:val="0"/>
        </w:numPr>
        <w:tabs>
          <w:tab w:val="num" w:pos="1440"/>
        </w:tabs>
        <w:spacing w:before="0" w:beforeAutospacing="0"/>
        <w:ind w:left="1440" w:hanging="360"/>
      </w:pPr>
      <w:r>
        <w:rPr>
          <w:rStyle w:val="Strong"/>
        </w:rPr>
        <w:t>Conclusion:</w:t>
      </w:r>
      <w:r>
        <w:t xml:space="preserve"> The Indian company should deduct tax at source on the global income of the employees upon their return, without accounting for FTC. The employees can subsequently claim credit for foreign taxes paid when filing their Indian tax returns, in accordance with the provisions of the DTAAs and the Income Tax Act.</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Salary Payments During Deputation:</w:t>
      </w:r>
      <w:r>
        <w:t xml:space="preserve"> The salaries paid by Hewlett Packard India Software Operation Private Limited to its employees deputed to the U.S. and Germany are not liable to tax in India, as per the respective DTAAs. Consequently, the company is not required to withhold taxes on these payments under Section 192 during the period of deputation.</w:t>
      </w:r>
    </w:p>
    <w:p w:rsidR="00A056B6" w:rsidRDefault="00A056B6" w:rsidP="00743A5F">
      <w:pPr>
        <w:pStyle w:val="NormalWeb"/>
        <w:tabs>
          <w:tab w:val="num" w:pos="720"/>
        </w:tabs>
        <w:spacing w:before="0" w:beforeAutospacing="0"/>
        <w:ind w:left="720" w:hanging="360"/>
      </w:pPr>
      <w:r>
        <w:rPr>
          <w:rStyle w:val="Strong"/>
        </w:rPr>
        <w:t>Post-Return Withholding Obligations:</w:t>
      </w:r>
      <w:r>
        <w:t xml:space="preserve"> Upon the employees' return to India and their change in residential status to ROR, the company must withhold taxes on their global income without considering FTC. The employees can claim FTC when filing their tax returns.</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ruling provides clarity on the tax treatment of salaries paid by Indian employers to employees deputed abroad, emphasizing the importance of DTAAs in determining tax liability and withholding obligations. It also delineates the process for claiming foreign tax credits, underscoring that such credits are to be claimed by the employee at the time of filing their tax returns, rather than by the employer during withholding.</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Hewlett Packard India Software Operation Private Limited, In Re, A.A.R. No. 1217 of 2011, dated January 29, 2018.</w:t>
      </w:r>
    </w:p>
    <w:p w:rsidR="00A056B6" w:rsidRDefault="00A056B6" w:rsidP="00743A5F">
      <w:pPr>
        <w:pStyle w:val="NormalWeb"/>
        <w:tabs>
          <w:tab w:val="num" w:pos="720"/>
        </w:tabs>
        <w:spacing w:before="0" w:beforeAutospacing="0"/>
        <w:ind w:left="720" w:hanging="360"/>
      </w:pPr>
      <w:r>
        <w:rPr>
          <w:rStyle w:val="Strong"/>
        </w:rPr>
        <w:lastRenderedPageBreak/>
        <w:t>Source:</w:t>
      </w:r>
      <w:r>
        <w:t xml:space="preserve"> </w:t>
      </w:r>
      <w:hyperlink r:id="rId87" w:tgtFrame="_new" w:history="1">
        <w:r>
          <w:rPr>
            <w:rStyle w:val="Hyperlink"/>
          </w:rPr>
          <w:t>CaseMine</w:t>
        </w:r>
      </w:hyperlink>
    </w:p>
    <w:p w:rsidR="00A056B6" w:rsidRDefault="00A056B6" w:rsidP="00743A5F">
      <w:pPr>
        <w:pStyle w:val="NormalWeb"/>
        <w:spacing w:before="0" w:beforeAutospacing="0"/>
      </w:pPr>
      <w:r>
        <w:t>This decision underscores the significance of understanding international tax treaties and their application to cross-border employment scenarios, ensuring compliance with tax obligations while avoiding double taxation.</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AVDESH KUMAR vs. DCIT (2018) 172 ITD 0073 (Delhi-Trib) - ITA No. 747/Del/2018 dated July 30, 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2275DFE9" wp14:editId="1F1BB5E1">
            <wp:extent cx="763905" cy="763905"/>
            <wp:effectExtent l="0" t="0" r="0" b="0"/>
            <wp:docPr id="398" name="Picture 39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5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Avdesh Kumar v. DCIT</w:t>
      </w:r>
      <w:r>
        <w:t xml:space="preserve"> (ITA No. 747/Del/2018, dated July 30, 2018), the </w:t>
      </w:r>
      <w:r>
        <w:rPr>
          <w:rStyle w:val="Strong"/>
        </w:rPr>
        <w:t>Income Tax Appellate Tribunal (ITAT) Delhi Bench</w:t>
      </w:r>
      <w:r>
        <w:t xml:space="preserve"> addressed the taxability of salary income earned by an individual for services rendered outside India during the assessment year 2013-14.</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Avdesh Kumar, an individual who filed his return of income on July 21, 2013, declaring a total income of ₹12,03,582.</w:t>
      </w:r>
    </w:p>
    <w:p w:rsidR="00A056B6" w:rsidRDefault="00A056B6" w:rsidP="00743A5F">
      <w:pPr>
        <w:pStyle w:val="NormalWeb"/>
        <w:tabs>
          <w:tab w:val="num" w:pos="720"/>
        </w:tabs>
        <w:spacing w:before="0" w:beforeAutospacing="0"/>
        <w:ind w:left="720" w:hanging="360"/>
      </w:pPr>
      <w:r>
        <w:rPr>
          <w:rStyle w:val="Strong"/>
        </w:rPr>
        <w:t>Employment Details:</w:t>
      </w:r>
      <w:r>
        <w:t xml:space="preserve"> The assessee was employed in Korea and received a salary amounting to 227,29,050 Korean Won, equivalent to ₹17,09,702. This salary was credited to his bank account in Korea.</w:t>
      </w:r>
    </w:p>
    <w:p w:rsidR="00A056B6" w:rsidRDefault="00A056B6" w:rsidP="00743A5F">
      <w:pPr>
        <w:pStyle w:val="NormalWeb"/>
        <w:tabs>
          <w:tab w:val="num" w:pos="720"/>
        </w:tabs>
        <w:spacing w:before="0" w:beforeAutospacing="0"/>
        <w:ind w:left="720" w:hanging="360"/>
      </w:pPr>
      <w:r>
        <w:rPr>
          <w:rStyle w:val="Strong"/>
        </w:rPr>
        <w:t>Tax Deduction at Source (TDS):</w:t>
      </w:r>
      <w:r>
        <w:t xml:space="preserve"> The employer deducted TDS on the entire income, including the salary earned in Korea.</w:t>
      </w:r>
    </w:p>
    <w:p w:rsidR="00A056B6" w:rsidRDefault="00A056B6" w:rsidP="00743A5F">
      <w:pPr>
        <w:pStyle w:val="NormalWeb"/>
        <w:spacing w:before="0" w:beforeAutospacing="0"/>
      </w:pPr>
      <w:r>
        <w:rPr>
          <w:rStyle w:val="Strong"/>
        </w:rPr>
        <w:t>Key Issue:</w:t>
      </w:r>
    </w:p>
    <w:p w:rsidR="00A056B6" w:rsidRDefault="00A056B6" w:rsidP="00743A5F">
      <w:pPr>
        <w:tabs>
          <w:tab w:val="num" w:pos="720"/>
        </w:tabs>
        <w:spacing w:before="100" w:after="100" w:afterAutospacing="1" w:line="240" w:lineRule="auto"/>
        <w:ind w:left="720" w:hanging="360"/>
      </w:pPr>
      <w:r>
        <w:t>Whether the salary income earned by the assessee for services rendered outside India is taxable in India, considering his residential status during the relevant assessment year.</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Residential Status:</w:t>
      </w:r>
      <w:r>
        <w:t xml:space="preserve"> The assessee was outside India for more than 182 days during the assessment year 2013-14, qualifying him as a non-resident under Section 6 of the Income Tax Act, 1961.</w:t>
      </w:r>
    </w:p>
    <w:p w:rsidR="00A056B6" w:rsidRDefault="00A056B6" w:rsidP="00743A5F">
      <w:pPr>
        <w:pStyle w:val="NormalWeb"/>
        <w:tabs>
          <w:tab w:val="num" w:pos="720"/>
        </w:tabs>
        <w:spacing w:before="0" w:beforeAutospacing="0"/>
        <w:ind w:left="720" w:hanging="360"/>
      </w:pPr>
      <w:r>
        <w:rPr>
          <w:rStyle w:val="Strong"/>
        </w:rPr>
        <w:t>Scope of Total Income for Non-Residents:</w:t>
      </w:r>
      <w:r>
        <w:t xml:space="preserve"> As per Section 5(2) of the Income Tax Act, the total income of a non-resident includes income received or deemed to be received in India or income accruing or arising in India.</w:t>
      </w:r>
    </w:p>
    <w:p w:rsidR="00A056B6" w:rsidRDefault="00A056B6" w:rsidP="00743A5F">
      <w:pPr>
        <w:pStyle w:val="NormalWeb"/>
        <w:tabs>
          <w:tab w:val="num" w:pos="720"/>
        </w:tabs>
        <w:spacing w:before="0" w:beforeAutospacing="0"/>
        <w:ind w:left="720" w:hanging="360"/>
      </w:pPr>
      <w:r>
        <w:rPr>
          <w:rStyle w:val="Strong"/>
        </w:rPr>
        <w:lastRenderedPageBreak/>
        <w:t>Accrual of Salary Income:</w:t>
      </w:r>
      <w:r>
        <w:t xml:space="preserve"> The salary was earned for services rendered in Korea and was credited to the assessee's bank account in Korea. Therefore, it neither accrued nor was received in India.</w:t>
      </w:r>
    </w:p>
    <w:p w:rsidR="00A056B6" w:rsidRDefault="00A056B6" w:rsidP="00743A5F">
      <w:pPr>
        <w:pStyle w:val="NormalWeb"/>
        <w:tabs>
          <w:tab w:val="num" w:pos="720"/>
        </w:tabs>
        <w:spacing w:before="0" w:beforeAutospacing="0"/>
        <w:ind w:left="720" w:hanging="360"/>
      </w:pPr>
      <w:r>
        <w:rPr>
          <w:rStyle w:val="Strong"/>
        </w:rPr>
        <w:t>TDS Deduction Irrelevance:</w:t>
      </w:r>
      <w:r>
        <w:t xml:space="preserve"> The mere deduction of TDS by the employer does not determine the taxability of the income in India. The nature and source of the income are the determining factors.</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t>The ITAT concluded that the salary income earned by the assessee for services rendered in Korea is not taxable in India, given his non-resident status during the relevant assessment year.</w:t>
      </w:r>
    </w:p>
    <w:p w:rsidR="00A056B6" w:rsidRDefault="00A056B6" w:rsidP="00743A5F">
      <w:pPr>
        <w:pStyle w:val="NormalWeb"/>
        <w:tabs>
          <w:tab w:val="num" w:pos="720"/>
        </w:tabs>
        <w:spacing w:before="0" w:beforeAutospacing="0"/>
        <w:ind w:left="720" w:hanging="360"/>
      </w:pPr>
      <w:r>
        <w:t>Consequently, the addition of ₹17,09,702 made by the Assessing Officer to the assessee's income was deleted.</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ruling reinforces the principle that salary income earned by a non-resident individual for services rendered outside India is not taxable in India, irrespective of whether TDS has been deducted by the employer. The residential status of the individual and the place where the income accrues or is received are crucial determinants in ascertaining tax liability under the Income Tax Act, 1961.</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Avdesh Kumar v. DCIT, ITA No. 747/Del/2018, ITAT Delhi Bench.</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88" w:tgtFrame="_new" w:history="1">
        <w:r>
          <w:rPr>
            <w:rStyle w:val="Hyperlink"/>
          </w:rPr>
          <w:t>Indian Kanoon</w:t>
        </w:r>
      </w:hyperlink>
    </w:p>
    <w:p w:rsidR="00A056B6" w:rsidRDefault="00A056B6" w:rsidP="00743A5F">
      <w:pPr>
        <w:pStyle w:val="NormalWeb"/>
        <w:spacing w:before="0" w:beforeAutospacing="0"/>
      </w:pPr>
      <w:r>
        <w:t>This decision underscores the importance of correctly determining an individual's residential status and understanding the provisions related to the scope of total income for non-residents to ensure accurate tax assessments.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DIT(IT) v. Oman International Bank S.A.O.G. [2017] 80 taxmann.com 139 (Bombay) ITA Nos. 1775 &amp; 1789 of 2013 dated July 1, 2015</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051D301D" wp14:editId="4BCB84ED">
            <wp:extent cx="763905" cy="763905"/>
            <wp:effectExtent l="0" t="0" r="0" b="0"/>
            <wp:docPr id="397" name="Picture 39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6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Director of Income Tax (International Taxation) v. Oman International Bank S.A.O.G.</w:t>
      </w:r>
      <w:r>
        <w:t xml:space="preserve"> ([2017] 80 taxmann.com 139), the </w:t>
      </w:r>
      <w:r>
        <w:rPr>
          <w:rStyle w:val="Strong"/>
        </w:rPr>
        <w:t>Bombay High Court</w:t>
      </w:r>
      <w:r>
        <w:t xml:space="preserve"> addressed the tax </w:t>
      </w:r>
      <w:r>
        <w:lastRenderedPageBreak/>
        <w:t>implications of interest payments between a foreign bank's Indian branch and its head office, focusing on whether such payments are subject to withholding tax under Section 195 of the Income Tax Act, 1961.</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Oman International Bank S.A.O.G., operating in India through a branch.</w:t>
      </w:r>
    </w:p>
    <w:p w:rsidR="00A056B6" w:rsidRDefault="00A056B6" w:rsidP="00743A5F">
      <w:pPr>
        <w:pStyle w:val="NormalWeb"/>
        <w:tabs>
          <w:tab w:val="num" w:pos="720"/>
        </w:tabs>
        <w:spacing w:before="0" w:beforeAutospacing="0"/>
        <w:ind w:left="720" w:hanging="360"/>
      </w:pPr>
      <w:r>
        <w:rPr>
          <w:rStyle w:val="Strong"/>
        </w:rPr>
        <w:t>Transaction:</w:t>
      </w:r>
      <w:r>
        <w:t xml:space="preserve"> The Indian branch paid interest to its head office and other overseas branches.</w:t>
      </w:r>
    </w:p>
    <w:p w:rsidR="00A056B6" w:rsidRDefault="00A056B6" w:rsidP="00743A5F">
      <w:pPr>
        <w:pStyle w:val="NormalWeb"/>
        <w:tabs>
          <w:tab w:val="num" w:pos="720"/>
        </w:tabs>
        <w:spacing w:before="0" w:beforeAutospacing="0"/>
        <w:ind w:left="720" w:hanging="360"/>
      </w:pPr>
      <w:r>
        <w:rPr>
          <w:rStyle w:val="Strong"/>
        </w:rPr>
        <w:t>Assessment Years:</w:t>
      </w:r>
      <w:r>
        <w:t xml:space="preserve"> 1998-99 and 1999-2000.</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Taxability of Interest Payments:</w:t>
      </w:r>
      <w:r>
        <w:t xml:space="preserve"> Whether the interest paid by the Indian branch to its head office constitutes taxable income under the Income Tax Act.</w:t>
      </w:r>
    </w:p>
    <w:p w:rsidR="00A056B6" w:rsidRDefault="00A056B6" w:rsidP="00743A5F">
      <w:pPr>
        <w:pStyle w:val="NormalWeb"/>
        <w:tabs>
          <w:tab w:val="num" w:pos="720"/>
        </w:tabs>
        <w:spacing w:before="0" w:beforeAutospacing="0"/>
        <w:ind w:left="720" w:hanging="360"/>
      </w:pPr>
      <w:r>
        <w:rPr>
          <w:rStyle w:val="Strong"/>
        </w:rPr>
        <w:t>Applicability of Section 195:</w:t>
      </w:r>
      <w:r>
        <w:t xml:space="preserve"> Whether the Indian branch is required to deduct tax at source on these interest payments under Section 195.</w:t>
      </w:r>
    </w:p>
    <w:p w:rsidR="00A056B6" w:rsidRDefault="00A056B6" w:rsidP="00743A5F">
      <w:pPr>
        <w:pStyle w:val="NormalWeb"/>
        <w:spacing w:before="0" w:beforeAutospacing="0"/>
      </w:pPr>
      <w:r>
        <w:rPr>
          <w:rStyle w:val="Strong"/>
        </w:rPr>
        <w:t>High Court's Analysis:</w:t>
      </w:r>
    </w:p>
    <w:p w:rsidR="00A056B6" w:rsidRDefault="00A056B6" w:rsidP="00743A5F">
      <w:pPr>
        <w:pStyle w:val="NormalWeb"/>
        <w:tabs>
          <w:tab w:val="num" w:pos="720"/>
        </w:tabs>
        <w:spacing w:before="0" w:beforeAutospacing="0"/>
        <w:ind w:left="720" w:hanging="360"/>
      </w:pPr>
      <w:r>
        <w:rPr>
          <w:rStyle w:val="Strong"/>
        </w:rPr>
        <w:t>Interest Payments as Income:</w:t>
      </w:r>
      <w:r>
        <w:t xml:space="preserve"> The court observed that, under the Income Tax Act, a branch and its head office are considered the same legal entity. Therefore, payments between them are internal transactions and do not constitute income.</w:t>
      </w:r>
    </w:p>
    <w:p w:rsidR="00A056B6" w:rsidRDefault="00A056B6" w:rsidP="00743A5F">
      <w:pPr>
        <w:pStyle w:val="NormalWeb"/>
        <w:tabs>
          <w:tab w:val="num" w:pos="720"/>
        </w:tabs>
        <w:spacing w:before="0" w:beforeAutospacing="0"/>
        <w:ind w:left="720" w:hanging="360"/>
      </w:pPr>
      <w:r>
        <w:rPr>
          <w:rStyle w:val="Strong"/>
        </w:rPr>
        <w:t>Section 195 Requirements:</w:t>
      </w:r>
      <w:r>
        <w:t xml:space="preserve"> Section 195 mandates tax deduction at source on payments to non-residents only if the payment is chargeable to tax in India. Since the interest payments in question are internal and not considered income, they are not chargeable to tax.</w:t>
      </w:r>
    </w:p>
    <w:p w:rsidR="00A056B6" w:rsidRDefault="00A056B6" w:rsidP="00743A5F">
      <w:pPr>
        <w:pStyle w:val="NormalWeb"/>
        <w:tabs>
          <w:tab w:val="num" w:pos="720"/>
        </w:tabs>
        <w:spacing w:before="0" w:beforeAutospacing="0"/>
        <w:ind w:left="720" w:hanging="360"/>
      </w:pPr>
      <w:r>
        <w:rPr>
          <w:rStyle w:val="Strong"/>
        </w:rPr>
        <w:t>Reference to Special Bench Decision:</w:t>
      </w:r>
      <w:r>
        <w:t xml:space="preserve"> The court referred to the Special Bench decision in </w:t>
      </w:r>
      <w:r>
        <w:rPr>
          <w:rStyle w:val="Strong"/>
        </w:rPr>
        <w:t>Sumitomo Mitsui Banking Corporation</w:t>
      </w:r>
      <w:r>
        <w:t xml:space="preserve"> (136 ITD 66), which held that interest paid by an Indian branch to its head office is not taxable in India and, consequently, not subject to withholding tax under Section 195.</w:t>
      </w:r>
    </w:p>
    <w:p w:rsidR="00A056B6" w:rsidRDefault="00A056B6" w:rsidP="00743A5F">
      <w:pPr>
        <w:pStyle w:val="NormalWeb"/>
        <w:spacing w:before="0" w:beforeAutospacing="0"/>
      </w:pPr>
      <w:r>
        <w:rPr>
          <w:rStyle w:val="Strong"/>
        </w:rPr>
        <w:t>Ruling:</w:t>
      </w:r>
    </w:p>
    <w:p w:rsidR="00A056B6" w:rsidRDefault="00A056B6" w:rsidP="00743A5F">
      <w:pPr>
        <w:tabs>
          <w:tab w:val="num" w:pos="720"/>
        </w:tabs>
        <w:spacing w:before="100" w:after="100" w:afterAutospacing="1" w:line="240" w:lineRule="auto"/>
        <w:ind w:left="720" w:hanging="360"/>
      </w:pPr>
      <w:r>
        <w:rPr>
          <w:rStyle w:val="Strong"/>
        </w:rPr>
        <w:t>No Withholding Tax Obligation:</w:t>
      </w:r>
      <w:r>
        <w:t xml:space="preserve"> The Bombay High Court upheld the Tribunal's decision, concluding that the interest payments made by the Indian branch to its head office are not subject to withholding tax under Section 195, as they do not constitute taxable income in India.</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clarifies that interest payments between an Indian branch and its foreign head office are internal transactions and do not attract withholding tax obligations under Section 195 of the Income Tax Act, 1961.</w:t>
      </w:r>
    </w:p>
    <w:p w:rsidR="00A056B6" w:rsidRDefault="00A056B6" w:rsidP="00743A5F">
      <w:pPr>
        <w:pStyle w:val="NormalWeb"/>
        <w:spacing w:before="0" w:beforeAutospacing="0"/>
      </w:pPr>
      <w:r>
        <w:rPr>
          <w:rStyle w:val="Strong"/>
        </w:rPr>
        <w:lastRenderedPageBreak/>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Director of Income Tax (International Taxation) v. Oman International Bank S.A.O.G., [2017] 80 taxmann.com 139 (Bombay).</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89" w:tgtFrame="_new" w:history="1">
        <w:r>
          <w:rPr>
            <w:rStyle w:val="Hyperlink"/>
          </w:rPr>
          <w:t>ITAT Online</w:t>
        </w:r>
      </w:hyperlink>
    </w:p>
    <w:p w:rsidR="00A056B6" w:rsidRDefault="00A056B6" w:rsidP="00743A5F">
      <w:pPr>
        <w:pStyle w:val="NormalWeb"/>
        <w:spacing w:before="0" w:beforeAutospacing="0"/>
      </w:pPr>
      <w:r>
        <w:t>This decision provides clarity on the tax treatment of internal financial transactions between an Indian branch and its foreign head office, emphasizing that such transactions are not subject to withholding tax in India.</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Societe De Promotion Et De Participation Pour La Cooperation Economique In Re – [2018] 102 CCH 0011 (AAR) – AAR No 1105 of 2011 dated May 21, 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59B7615F" wp14:editId="6B1F5B37">
            <wp:extent cx="763905" cy="763905"/>
            <wp:effectExtent l="0" t="0" r="0" b="0"/>
            <wp:docPr id="396" name="Picture 39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6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Societe De Promotion Et De Participation Pour La Cooperation Economique (PROPARCO), In Re</w:t>
      </w:r>
      <w:r>
        <w:t xml:space="preserve"> (AAR No. 1105 of 2011, dated May 21, 2018), the </w:t>
      </w:r>
      <w:r>
        <w:rPr>
          <w:rStyle w:val="Strong"/>
        </w:rPr>
        <w:t>Authority for Advance Rulings (AAR)</w:t>
      </w:r>
      <w:r>
        <w:t xml:space="preserve"> examined the taxability of various fees received by PROPARCO, a French financial institution, from Indian customers under the </w:t>
      </w:r>
      <w:r>
        <w:rPr>
          <w:rStyle w:val="Strong"/>
        </w:rPr>
        <w:t>India-France Double Taxation Avoidance Agreement (DTAA)</w:t>
      </w:r>
      <w:r>
        <w:t>.</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Applicant:</w:t>
      </w:r>
      <w:r>
        <w:t xml:space="preserve"> PROPARCO, a French company engaged in financing private sector projects in developing countries.</w:t>
      </w:r>
    </w:p>
    <w:p w:rsidR="00A056B6" w:rsidRDefault="00A056B6" w:rsidP="00743A5F">
      <w:pPr>
        <w:pStyle w:val="NormalWeb"/>
        <w:tabs>
          <w:tab w:val="num" w:pos="720"/>
        </w:tabs>
        <w:spacing w:before="0" w:beforeAutospacing="0"/>
        <w:ind w:left="720" w:hanging="360"/>
      </w:pPr>
      <w:r>
        <w:rPr>
          <w:rStyle w:val="Strong"/>
        </w:rPr>
        <w:t>Transactions:</w:t>
      </w:r>
      <w:r>
        <w:t xml:space="preserve"> PROPARCO provided loans to Indian customers and charged various fees, including front-end fees, appraisal fees, commitment fees, and agency fees.</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Classification of Fees:</w:t>
      </w:r>
      <w:r>
        <w:t xml:space="preserve"> Whether the fees charged by PROPARCO qualify as "interest" under Article 12 or "fees for technical services" (FTS) under Article 13 of the India-France DTAA.</w:t>
      </w:r>
    </w:p>
    <w:p w:rsidR="00A056B6" w:rsidRDefault="00A056B6" w:rsidP="00743A5F">
      <w:pPr>
        <w:pStyle w:val="NormalWeb"/>
        <w:tabs>
          <w:tab w:val="num" w:pos="720"/>
        </w:tabs>
        <w:spacing w:before="0" w:beforeAutospacing="0"/>
        <w:ind w:left="720" w:hanging="360"/>
      </w:pPr>
      <w:r>
        <w:rPr>
          <w:rStyle w:val="Strong"/>
        </w:rPr>
        <w:t>Taxability in India:</w:t>
      </w:r>
      <w:r>
        <w:t xml:space="preserve"> If the fees are not classified as interest or FTS, whether they constitute business income and, in the absence of a Permanent Establishment (PE) in India, are exempt from Indian taxation.</w:t>
      </w:r>
    </w:p>
    <w:p w:rsidR="00A056B6" w:rsidRDefault="00A056B6" w:rsidP="00743A5F">
      <w:pPr>
        <w:pStyle w:val="NormalWeb"/>
        <w:spacing w:before="0" w:beforeAutospacing="0"/>
      </w:pPr>
      <w:r>
        <w:rPr>
          <w:rStyle w:val="Strong"/>
        </w:rPr>
        <w:t>AAR's Analysis:</w:t>
      </w:r>
    </w:p>
    <w:p w:rsidR="00A056B6" w:rsidRDefault="00A056B6" w:rsidP="00743A5F">
      <w:pPr>
        <w:pStyle w:val="NormalWeb"/>
        <w:tabs>
          <w:tab w:val="num" w:pos="720"/>
        </w:tabs>
        <w:spacing w:before="0" w:beforeAutospacing="0"/>
        <w:ind w:left="720" w:hanging="360"/>
      </w:pPr>
      <w:r>
        <w:rPr>
          <w:rStyle w:val="Strong"/>
        </w:rPr>
        <w:lastRenderedPageBreak/>
        <w:t>Definition of Interest (Article 12):</w:t>
      </w:r>
    </w:p>
    <w:p w:rsidR="00A056B6" w:rsidRDefault="00A056B6" w:rsidP="00743A5F">
      <w:pPr>
        <w:pStyle w:val="NormalWeb"/>
        <w:numPr>
          <w:ilvl w:val="1"/>
          <w:numId w:val="0"/>
        </w:numPr>
        <w:tabs>
          <w:tab w:val="num" w:pos="1440"/>
        </w:tabs>
        <w:spacing w:before="0" w:beforeAutospacing="0"/>
        <w:ind w:left="1440" w:hanging="360"/>
      </w:pPr>
      <w:r>
        <w:t>The DTAA defines "interest" as income from debt-claims, including premiums and fees related to loan agreements.</w:t>
      </w:r>
    </w:p>
    <w:p w:rsidR="00A056B6" w:rsidRDefault="00A056B6" w:rsidP="00743A5F">
      <w:pPr>
        <w:pStyle w:val="NormalWeb"/>
        <w:numPr>
          <w:ilvl w:val="1"/>
          <w:numId w:val="0"/>
        </w:numPr>
        <w:tabs>
          <w:tab w:val="num" w:pos="1440"/>
        </w:tabs>
        <w:spacing w:before="0" w:beforeAutospacing="0"/>
        <w:ind w:left="1440" w:hanging="360"/>
      </w:pPr>
      <w:r>
        <w:t>The AAR concluded that front-end fees, commitment fees, and agency fees are integrally connected to the loan and qualify as interest under Article 12.</w:t>
      </w:r>
    </w:p>
    <w:p w:rsidR="00A056B6" w:rsidRDefault="00A056B6" w:rsidP="00743A5F">
      <w:pPr>
        <w:pStyle w:val="NormalWeb"/>
        <w:tabs>
          <w:tab w:val="num" w:pos="720"/>
        </w:tabs>
        <w:spacing w:before="0" w:beforeAutospacing="0"/>
        <w:ind w:left="720" w:hanging="360"/>
      </w:pPr>
      <w:r>
        <w:rPr>
          <w:rStyle w:val="Strong"/>
        </w:rPr>
        <w:t>Definition of Fees for Technical Services (FTS) (Article 13):</w:t>
      </w:r>
    </w:p>
    <w:p w:rsidR="00A056B6" w:rsidRDefault="00A056B6" w:rsidP="00743A5F">
      <w:pPr>
        <w:pStyle w:val="NormalWeb"/>
        <w:numPr>
          <w:ilvl w:val="1"/>
          <w:numId w:val="0"/>
        </w:numPr>
        <w:tabs>
          <w:tab w:val="num" w:pos="1440"/>
        </w:tabs>
        <w:spacing w:before="0" w:beforeAutospacing="0"/>
        <w:ind w:left="1440" w:hanging="360"/>
      </w:pPr>
      <w:r>
        <w:t>FTS refers to payments for managerial, technical, or consultancy services.</w:t>
      </w:r>
    </w:p>
    <w:p w:rsidR="00A056B6" w:rsidRDefault="00A056B6" w:rsidP="00743A5F">
      <w:pPr>
        <w:pStyle w:val="NormalWeb"/>
        <w:numPr>
          <w:ilvl w:val="1"/>
          <w:numId w:val="0"/>
        </w:numPr>
        <w:tabs>
          <w:tab w:val="num" w:pos="1440"/>
        </w:tabs>
        <w:spacing w:before="0" w:beforeAutospacing="0"/>
        <w:ind w:left="1440" w:hanging="360"/>
      </w:pPr>
      <w:r>
        <w:t>The AAR determined that appraisal fees, charged for evaluating loan applications, involve technical expertise and thus qualify as FTS under Article 13.</w:t>
      </w:r>
    </w:p>
    <w:p w:rsidR="00A056B6" w:rsidRDefault="00A056B6" w:rsidP="00743A5F">
      <w:pPr>
        <w:pStyle w:val="NormalWeb"/>
        <w:tabs>
          <w:tab w:val="num" w:pos="720"/>
        </w:tabs>
        <w:spacing w:before="0" w:beforeAutospacing="0"/>
        <w:ind w:left="720" w:hanging="360"/>
      </w:pPr>
      <w:r>
        <w:rPr>
          <w:rStyle w:val="Strong"/>
        </w:rPr>
        <w:t>Business Income and Permanent Establishment (PE):</w:t>
      </w:r>
    </w:p>
    <w:p w:rsidR="00A056B6" w:rsidRDefault="00A056B6" w:rsidP="00743A5F">
      <w:pPr>
        <w:pStyle w:val="NormalWeb"/>
        <w:numPr>
          <w:ilvl w:val="1"/>
          <w:numId w:val="0"/>
        </w:numPr>
        <w:tabs>
          <w:tab w:val="num" w:pos="1440"/>
        </w:tabs>
        <w:spacing w:before="0" w:beforeAutospacing="0"/>
        <w:ind w:left="1440" w:hanging="360"/>
      </w:pPr>
      <w:r>
        <w:t>In the absence of a PE in India, business income of a foreign enterprise is not taxable in India under the DTAA.</w:t>
      </w:r>
    </w:p>
    <w:p w:rsidR="00A056B6" w:rsidRDefault="00A056B6" w:rsidP="00743A5F">
      <w:pPr>
        <w:pStyle w:val="NormalWeb"/>
        <w:numPr>
          <w:ilvl w:val="1"/>
          <w:numId w:val="0"/>
        </w:numPr>
        <w:tabs>
          <w:tab w:val="num" w:pos="1440"/>
        </w:tabs>
        <w:spacing w:before="0" w:beforeAutospacing="0"/>
        <w:ind w:left="1440" w:hanging="360"/>
      </w:pPr>
      <w:r>
        <w:t>The AAR noted that PROPARCO did not have a PE in India; therefore, any income not classified as interest or FTS would be considered business income and exempt from Indian taxation.</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rPr>
          <w:rStyle w:val="Strong"/>
        </w:rPr>
        <w:t>Front-End Fees, Commitment Fees, and Agency Fees:</w:t>
      </w:r>
      <w:r>
        <w:t xml:space="preserve"> These are classified as interest under Article 12 and are taxable in India.</w:t>
      </w:r>
    </w:p>
    <w:p w:rsidR="00A056B6" w:rsidRDefault="00A056B6" w:rsidP="00743A5F">
      <w:pPr>
        <w:pStyle w:val="NormalWeb"/>
        <w:tabs>
          <w:tab w:val="num" w:pos="720"/>
        </w:tabs>
        <w:spacing w:before="0" w:beforeAutospacing="0"/>
        <w:ind w:left="720" w:hanging="360"/>
      </w:pPr>
      <w:r>
        <w:rPr>
          <w:rStyle w:val="Strong"/>
        </w:rPr>
        <w:t>Appraisal Fees:</w:t>
      </w:r>
      <w:r>
        <w:t xml:space="preserve"> Classified as FTS under Article 13 and are taxable in India.</w:t>
      </w:r>
    </w:p>
    <w:p w:rsidR="00A056B6" w:rsidRDefault="00A056B6" w:rsidP="00743A5F">
      <w:pPr>
        <w:pStyle w:val="NormalWeb"/>
        <w:tabs>
          <w:tab w:val="num" w:pos="720"/>
        </w:tabs>
        <w:spacing w:before="0" w:beforeAutospacing="0"/>
        <w:ind w:left="720" w:hanging="360"/>
      </w:pPr>
      <w:r>
        <w:rPr>
          <w:rStyle w:val="Strong"/>
        </w:rPr>
        <w:t>Reimbursement of Expenses:</w:t>
      </w:r>
      <w:r>
        <w:t xml:space="preserve"> Reimbursements for legal and advisory services are not taxable, provided they are actual reimbursements without any profit element.</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ruling clarifies the tax treatment of various fees charged by foreign financial institutions under the India-France DTAA, emphasizing the importance of accurately classifying income to determine tax liability in cross-border financial transactions.</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Societe De Promotion Et De Participation Pour La Cooperation Economique (PROPARCO), In Re, AAR No. 1105 of 2011, dated May 21, 2018.</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90" w:tgtFrame="_new" w:history="1">
        <w:r>
          <w:rPr>
            <w:rStyle w:val="Hyperlink"/>
          </w:rPr>
          <w:t>CaseMine</w:t>
        </w:r>
      </w:hyperlink>
    </w:p>
    <w:p w:rsidR="00A056B6" w:rsidRDefault="00A056B6" w:rsidP="00743A5F">
      <w:pPr>
        <w:pStyle w:val="NormalWeb"/>
        <w:spacing w:before="0" w:beforeAutospacing="0"/>
      </w:pPr>
      <w:r>
        <w:t>This decision underscores the necessity for foreign entities engaging in financial transactions with Indian counterparts to understand the nuances of the DTAA provisions to ensure compliance with Indian tax laws.</w:t>
      </w:r>
    </w:p>
    <w:p w:rsidR="00A056B6" w:rsidRDefault="00A056B6" w:rsidP="00743A5F">
      <w:pPr>
        <w:spacing w:line="240" w:lineRule="auto"/>
      </w:pPr>
      <w:r>
        <w:lastRenderedPageBreak/>
        <w:t>Sources</w:t>
      </w:r>
    </w:p>
    <w:p w:rsidR="00A056B6" w:rsidRDefault="00A056B6" w:rsidP="00743A5F">
      <w:pPr>
        <w:pStyle w:val="Heading5"/>
        <w:spacing w:before="0" w:beforeAutospacing="0"/>
      </w:pPr>
      <w:r>
        <w:t>You said:</w:t>
      </w:r>
    </w:p>
    <w:p w:rsidR="00A056B6" w:rsidRDefault="00A056B6" w:rsidP="00743A5F">
      <w:pPr>
        <w:spacing w:line="240" w:lineRule="auto"/>
      </w:pPr>
      <w:r>
        <w:t>Discuss Ansaldo Energia SPA v. Dy.DIT (International Taxation) [2015] 63 taxamann.com 280/155 ITD(Chennai)</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2CFB47CA" wp14:editId="3EFDDF22">
            <wp:extent cx="763905" cy="763905"/>
            <wp:effectExtent l="0" t="0" r="0" b="0"/>
            <wp:docPr id="395" name="Picture 39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6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Ansaldo Energia S.p.A. v. Deputy Director of Income Tax (International Taxation)</w:t>
      </w:r>
      <w:r>
        <w:t xml:space="preserve"> ([2015] 63 taxmann.com 280), the </w:t>
      </w:r>
      <w:r>
        <w:rPr>
          <w:rStyle w:val="Strong"/>
        </w:rPr>
        <w:t>Income Tax Appellate Tribunal (ITAT) Chennai Bench</w:t>
      </w:r>
      <w:r>
        <w:t xml:space="preserve"> examined the tax implications of payments made under a composite contract involving offshore supply, onshore services, and construction activities in India.</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Ansaldo Energia S.p.A., an Italian company engaged in the business of designing, building, and supplying power generation plants.</w:t>
      </w:r>
    </w:p>
    <w:p w:rsidR="00A056B6" w:rsidRDefault="00A056B6" w:rsidP="00743A5F">
      <w:pPr>
        <w:pStyle w:val="NormalWeb"/>
        <w:tabs>
          <w:tab w:val="num" w:pos="720"/>
        </w:tabs>
        <w:spacing w:before="0" w:beforeAutospacing="0"/>
        <w:ind w:left="720" w:hanging="360"/>
      </w:pPr>
      <w:r>
        <w:rPr>
          <w:rStyle w:val="Strong"/>
        </w:rPr>
        <w:t>Contracts with Neyveli Lignite Corporation (NLC):</w:t>
      </w:r>
      <w:r>
        <w:t xml:space="preserve"> The assessee entered into multiple contracts with NLC, including:</w:t>
      </w:r>
    </w:p>
    <w:p w:rsidR="00A056B6" w:rsidRDefault="00A056B6" w:rsidP="00743A5F">
      <w:pPr>
        <w:pStyle w:val="NormalWeb"/>
        <w:numPr>
          <w:ilvl w:val="1"/>
          <w:numId w:val="0"/>
        </w:numPr>
        <w:tabs>
          <w:tab w:val="num" w:pos="1440"/>
        </w:tabs>
        <w:spacing w:before="0" w:beforeAutospacing="0"/>
        <w:ind w:left="1440" w:hanging="360"/>
      </w:pPr>
      <w:r>
        <w:rPr>
          <w:rStyle w:val="Strong"/>
        </w:rPr>
        <w:t>Contract I:</w:t>
      </w:r>
      <w:r>
        <w:t xml:space="preserve"> Offshore supply of equipment.</w:t>
      </w:r>
    </w:p>
    <w:p w:rsidR="00A056B6" w:rsidRDefault="00A056B6" w:rsidP="00743A5F">
      <w:pPr>
        <w:pStyle w:val="NormalWeb"/>
        <w:numPr>
          <w:ilvl w:val="1"/>
          <w:numId w:val="0"/>
        </w:numPr>
        <w:tabs>
          <w:tab w:val="num" w:pos="1440"/>
        </w:tabs>
        <w:spacing w:before="0" w:beforeAutospacing="0"/>
        <w:ind w:left="1440" w:hanging="360"/>
      </w:pPr>
      <w:r>
        <w:rPr>
          <w:rStyle w:val="Strong"/>
        </w:rPr>
        <w:t>Contract II:</w:t>
      </w:r>
      <w:r>
        <w:t xml:space="preserve"> Onshore supply of equipment.</w:t>
      </w:r>
    </w:p>
    <w:p w:rsidR="00A056B6" w:rsidRDefault="00A056B6" w:rsidP="00743A5F">
      <w:pPr>
        <w:pStyle w:val="NormalWeb"/>
        <w:numPr>
          <w:ilvl w:val="1"/>
          <w:numId w:val="0"/>
        </w:numPr>
        <w:tabs>
          <w:tab w:val="num" w:pos="1440"/>
        </w:tabs>
        <w:spacing w:before="0" w:beforeAutospacing="0"/>
        <w:ind w:left="1440" w:hanging="360"/>
      </w:pPr>
      <w:r>
        <w:rPr>
          <w:rStyle w:val="Strong"/>
        </w:rPr>
        <w:t>Contract III:</w:t>
      </w:r>
      <w:r>
        <w:t xml:space="preserve"> Onshore services, including supervision of erection and commissioning.</w:t>
      </w:r>
    </w:p>
    <w:p w:rsidR="00A056B6" w:rsidRDefault="00A056B6" w:rsidP="00743A5F">
      <w:pPr>
        <w:pStyle w:val="NormalWeb"/>
        <w:numPr>
          <w:ilvl w:val="1"/>
          <w:numId w:val="0"/>
        </w:numPr>
        <w:tabs>
          <w:tab w:val="num" w:pos="1440"/>
        </w:tabs>
        <w:spacing w:before="0" w:beforeAutospacing="0"/>
        <w:ind w:left="1440" w:hanging="360"/>
      </w:pPr>
      <w:r>
        <w:rPr>
          <w:rStyle w:val="Strong"/>
        </w:rPr>
        <w:t>Contract IV:</w:t>
      </w:r>
      <w:r>
        <w:t xml:space="preserve"> Civil construction and erection.</w:t>
      </w:r>
    </w:p>
    <w:p w:rsidR="00A056B6" w:rsidRDefault="00A056B6" w:rsidP="00743A5F">
      <w:pPr>
        <w:pStyle w:val="NormalWeb"/>
        <w:spacing w:before="0" w:beforeAutospacing="0"/>
      </w:pPr>
      <w:r>
        <w:rPr>
          <w:rStyle w:val="Strong"/>
        </w:rPr>
        <w:t>Key Issues:</w:t>
      </w:r>
    </w:p>
    <w:p w:rsidR="00A056B6" w:rsidRDefault="00A056B6" w:rsidP="00743A5F">
      <w:pPr>
        <w:pStyle w:val="NormalWeb"/>
        <w:tabs>
          <w:tab w:val="num" w:pos="720"/>
        </w:tabs>
        <w:spacing w:before="0" w:beforeAutospacing="0"/>
        <w:ind w:left="720" w:hanging="360"/>
      </w:pPr>
      <w:r>
        <w:rPr>
          <w:rStyle w:val="Strong"/>
        </w:rPr>
        <w:t>Permanent Establishment (PE):</w:t>
      </w:r>
      <w:r>
        <w:t xml:space="preserve"> Whether the assessee had a PE in India during the execution of the contracts.</w:t>
      </w:r>
    </w:p>
    <w:p w:rsidR="00A056B6" w:rsidRDefault="00A056B6" w:rsidP="00743A5F">
      <w:pPr>
        <w:pStyle w:val="NormalWeb"/>
        <w:tabs>
          <w:tab w:val="num" w:pos="720"/>
        </w:tabs>
        <w:spacing w:before="0" w:beforeAutospacing="0"/>
        <w:ind w:left="720" w:hanging="360"/>
      </w:pPr>
      <w:r>
        <w:rPr>
          <w:rStyle w:val="Strong"/>
        </w:rPr>
        <w:t>Taxability of Offshore Supplies:</w:t>
      </w:r>
      <w:r>
        <w:t xml:space="preserve"> Whether income from offshore supply of equipment under Contract I was taxable in India.</w:t>
      </w:r>
    </w:p>
    <w:p w:rsidR="00A056B6" w:rsidRDefault="00A056B6" w:rsidP="00743A5F">
      <w:pPr>
        <w:pStyle w:val="NormalWeb"/>
        <w:tabs>
          <w:tab w:val="num" w:pos="720"/>
        </w:tabs>
        <w:spacing w:before="0" w:beforeAutospacing="0"/>
        <w:ind w:left="720" w:hanging="360"/>
      </w:pPr>
      <w:r>
        <w:rPr>
          <w:rStyle w:val="Strong"/>
        </w:rPr>
        <w:t>Attribution of Profits:</w:t>
      </w:r>
      <w:r>
        <w:t xml:space="preserve"> If a PE existed, the extent to which profits from the contracts could be attributed to the PE and taxed in India.</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Existence of PE:</w:t>
      </w:r>
    </w:p>
    <w:p w:rsidR="00A056B6" w:rsidRDefault="00A056B6" w:rsidP="00743A5F">
      <w:pPr>
        <w:pStyle w:val="NormalWeb"/>
        <w:numPr>
          <w:ilvl w:val="1"/>
          <w:numId w:val="0"/>
        </w:numPr>
        <w:tabs>
          <w:tab w:val="num" w:pos="1440"/>
        </w:tabs>
        <w:spacing w:before="0" w:beforeAutospacing="0"/>
        <w:ind w:left="1440" w:hanging="360"/>
      </w:pPr>
      <w:r>
        <w:lastRenderedPageBreak/>
        <w:t>The Tribunal noted that the assessee's activities in India, including supervision and installation services, extended over a significant period.</w:t>
      </w:r>
    </w:p>
    <w:p w:rsidR="00A056B6" w:rsidRDefault="00A056B6" w:rsidP="00743A5F">
      <w:pPr>
        <w:pStyle w:val="NormalWeb"/>
        <w:numPr>
          <w:ilvl w:val="1"/>
          <w:numId w:val="0"/>
        </w:numPr>
        <w:tabs>
          <w:tab w:val="num" w:pos="1440"/>
        </w:tabs>
        <w:spacing w:before="0" w:beforeAutospacing="0"/>
        <w:ind w:left="1440" w:hanging="360"/>
      </w:pPr>
      <w:r>
        <w:t>It was determined that the assessee had a fixed place of business in India, constituting a PE under Article 5 of the India-Italy Double Taxation Avoidance Agreement (DTAA).</w:t>
      </w:r>
    </w:p>
    <w:p w:rsidR="00A056B6" w:rsidRDefault="00A056B6" w:rsidP="00743A5F">
      <w:pPr>
        <w:pStyle w:val="NormalWeb"/>
        <w:tabs>
          <w:tab w:val="num" w:pos="720"/>
        </w:tabs>
        <w:spacing w:before="0" w:beforeAutospacing="0"/>
        <w:ind w:left="720" w:hanging="360"/>
      </w:pPr>
      <w:r>
        <w:rPr>
          <w:rStyle w:val="Strong"/>
        </w:rPr>
        <w:t>Taxability of Offshore Supplies:</w:t>
      </w:r>
    </w:p>
    <w:p w:rsidR="00A056B6" w:rsidRDefault="00A056B6" w:rsidP="00743A5F">
      <w:pPr>
        <w:pStyle w:val="NormalWeb"/>
        <w:numPr>
          <w:ilvl w:val="1"/>
          <w:numId w:val="0"/>
        </w:numPr>
        <w:tabs>
          <w:tab w:val="num" w:pos="1440"/>
        </w:tabs>
        <w:spacing w:before="0" w:beforeAutospacing="0"/>
        <w:ind w:left="1440" w:hanging="360"/>
      </w:pPr>
      <w:r>
        <w:t>The Tribunal observed that the contracts were interdependent and formed part of a composite arrangement.</w:t>
      </w:r>
    </w:p>
    <w:p w:rsidR="00A056B6" w:rsidRDefault="00A056B6" w:rsidP="00743A5F">
      <w:pPr>
        <w:pStyle w:val="NormalWeb"/>
        <w:numPr>
          <w:ilvl w:val="1"/>
          <w:numId w:val="0"/>
        </w:numPr>
        <w:tabs>
          <w:tab w:val="num" w:pos="1440"/>
        </w:tabs>
        <w:spacing w:before="0" w:beforeAutospacing="0"/>
        <w:ind w:left="1440" w:hanging="360"/>
      </w:pPr>
      <w:r>
        <w:t>Given the existence of a PE in India, the profits from offshore supplies were considered attributable to the PE and thus taxable in India.</w:t>
      </w:r>
    </w:p>
    <w:p w:rsidR="00A056B6" w:rsidRDefault="00A056B6" w:rsidP="00743A5F">
      <w:pPr>
        <w:pStyle w:val="NormalWeb"/>
        <w:tabs>
          <w:tab w:val="num" w:pos="720"/>
        </w:tabs>
        <w:spacing w:before="0" w:beforeAutospacing="0"/>
        <w:ind w:left="720" w:hanging="360"/>
      </w:pPr>
      <w:r>
        <w:rPr>
          <w:rStyle w:val="Strong"/>
        </w:rPr>
        <w:t>Attribution of Profits:</w:t>
      </w:r>
    </w:p>
    <w:p w:rsidR="00A056B6" w:rsidRDefault="00A056B6" w:rsidP="00743A5F">
      <w:pPr>
        <w:pStyle w:val="NormalWeb"/>
        <w:numPr>
          <w:ilvl w:val="1"/>
          <w:numId w:val="0"/>
        </w:numPr>
        <w:tabs>
          <w:tab w:val="num" w:pos="1440"/>
        </w:tabs>
        <w:spacing w:before="0" w:beforeAutospacing="0"/>
        <w:ind w:left="1440" w:hanging="360"/>
      </w:pPr>
      <w:r>
        <w:t>The Tribunal emphasized the need for a fair and rational attribution of profits to the PE.</w:t>
      </w:r>
    </w:p>
    <w:p w:rsidR="00A056B6" w:rsidRDefault="00A056B6" w:rsidP="00743A5F">
      <w:pPr>
        <w:pStyle w:val="NormalWeb"/>
        <w:numPr>
          <w:ilvl w:val="1"/>
          <w:numId w:val="0"/>
        </w:numPr>
        <w:tabs>
          <w:tab w:val="num" w:pos="1440"/>
        </w:tabs>
        <w:spacing w:before="0" w:beforeAutospacing="0"/>
        <w:ind w:left="1440" w:hanging="360"/>
      </w:pPr>
      <w:r>
        <w:t>It directed the Assessing Officer to determine the appropriate profit attributable to the PE, considering the functions performed, assets used, and risks assumed by the PE in India.</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t>The ITAT concluded that Ansaldo Energia S.p.A. had a PE in India during the execution of the contracts with NLC.</w:t>
      </w:r>
    </w:p>
    <w:p w:rsidR="00A056B6" w:rsidRDefault="00A056B6" w:rsidP="00743A5F">
      <w:pPr>
        <w:pStyle w:val="NormalWeb"/>
        <w:tabs>
          <w:tab w:val="num" w:pos="720"/>
        </w:tabs>
        <w:spacing w:before="0" w:beforeAutospacing="0"/>
        <w:ind w:left="720" w:hanging="360"/>
      </w:pPr>
      <w:r>
        <w:t>Income from offshore supplies under Contract I was deemed attributable to the PE and, therefore, taxable in India.</w:t>
      </w:r>
    </w:p>
    <w:p w:rsidR="00A056B6" w:rsidRDefault="00A056B6" w:rsidP="00743A5F">
      <w:pPr>
        <w:pStyle w:val="NormalWeb"/>
        <w:tabs>
          <w:tab w:val="num" w:pos="720"/>
        </w:tabs>
        <w:spacing w:before="0" w:beforeAutospacing="0"/>
        <w:ind w:left="720" w:hanging="360"/>
      </w:pPr>
      <w:r>
        <w:t>The matter was remanded to the Assessing Officer for the determination of the exact quantum of profits attributable to the PE.</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decision underscores the importance of analyzing the interdependence of contracts and the presence of a PE in India when determining the taxability of offshore supplies. Even if supplies are made from outside India, profits may be taxable in India if they are attributable to a PE in the country.</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Ansaldo Energia S.p.A. v. Deputy Director of Income Tax (International Taxation), [2015] 63 taxmann.com 280 (Chennai - Trib.).</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91" w:tgtFrame="_new" w:history="1">
        <w:r>
          <w:rPr>
            <w:rStyle w:val="Hyperlink"/>
          </w:rPr>
          <w:t>CaseMine</w:t>
        </w:r>
      </w:hyperlink>
    </w:p>
    <w:p w:rsidR="00A056B6" w:rsidRDefault="00A056B6" w:rsidP="00743A5F">
      <w:pPr>
        <w:pStyle w:val="NormalWeb"/>
        <w:spacing w:before="0" w:beforeAutospacing="0"/>
      </w:pPr>
      <w:r>
        <w:lastRenderedPageBreak/>
        <w:t>This ruling highlights the complexities involved in international taxation, particularly concerning composite contracts and the determination of a Permanent Establishment, necessitating careful consideration of contractual arrangements and business operations within India.</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Pr.CIT v Krishak Bharti Cooperative Ltd.-10 – (2018) 253 Taxman 242 (SC) – SLP (Civil) Diary No. 41708 of 2017 dated 19.01.2018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2C65F185" wp14:editId="5DEF50CF">
            <wp:extent cx="763905" cy="763905"/>
            <wp:effectExtent l="0" t="0" r="0" b="0"/>
            <wp:docPr id="394" name="Picture 39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6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Principal Commissioner of Income Tax v. Krishak Bharti Cooperative Ltd.</w:t>
      </w:r>
      <w:r>
        <w:t xml:space="preserve"> (SLP (Civil) Diary No. 41708 of 2017, dated January 19, 2018), the </w:t>
      </w:r>
      <w:r>
        <w:rPr>
          <w:rStyle w:val="Strong"/>
        </w:rPr>
        <w:t>Supreme Court of India</w:t>
      </w:r>
      <w:r>
        <w:t xml:space="preserve"> addressed the issue of tax credit entitlement under the </w:t>
      </w:r>
      <w:r>
        <w:rPr>
          <w:rStyle w:val="Strong"/>
        </w:rPr>
        <w:t>India-Oman Double Taxation Avoidance Agreement (DTAA)</w:t>
      </w:r>
      <w:r>
        <w:t xml:space="preserve"> concerning dividend income received by an Indian cooperative from its joint venture in Oman.</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Krishak Bharti Cooperative Ltd. (KRIBHCO), an Indian multi-state cooperative society engaged in manufacturing fertilizers.</w:t>
      </w:r>
    </w:p>
    <w:p w:rsidR="00A056B6" w:rsidRDefault="00A056B6" w:rsidP="00743A5F">
      <w:pPr>
        <w:pStyle w:val="NormalWeb"/>
        <w:tabs>
          <w:tab w:val="num" w:pos="720"/>
        </w:tabs>
        <w:spacing w:before="0" w:beforeAutospacing="0"/>
        <w:ind w:left="720" w:hanging="360"/>
      </w:pPr>
      <w:r>
        <w:rPr>
          <w:rStyle w:val="Strong"/>
        </w:rPr>
        <w:t>Joint Venture:</w:t>
      </w:r>
      <w:r>
        <w:t xml:space="preserve"> KRIBHCO held a 25% stake in Oman India Fertilizer Company SAOC (OMIFCO), a joint venture in Oman.</w:t>
      </w:r>
    </w:p>
    <w:p w:rsidR="00A056B6" w:rsidRDefault="00A056B6" w:rsidP="00743A5F">
      <w:pPr>
        <w:pStyle w:val="NormalWeb"/>
        <w:tabs>
          <w:tab w:val="num" w:pos="720"/>
        </w:tabs>
        <w:spacing w:before="0" w:beforeAutospacing="0"/>
        <w:ind w:left="720" w:hanging="360"/>
      </w:pPr>
      <w:r>
        <w:rPr>
          <w:rStyle w:val="Strong"/>
        </w:rPr>
        <w:t>Dividend Income:</w:t>
      </w:r>
      <w:r>
        <w:t xml:space="preserve"> KRIBHCO received dividend income from OMIFCO, which was exempt from tax under Omani tax laws due to specific exemptions aimed at promoting economic development.</w:t>
      </w:r>
    </w:p>
    <w:p w:rsidR="00A056B6" w:rsidRDefault="00A056B6" w:rsidP="00743A5F">
      <w:pPr>
        <w:pStyle w:val="NormalWeb"/>
        <w:spacing w:before="0" w:beforeAutospacing="0"/>
      </w:pPr>
      <w:r>
        <w:rPr>
          <w:rStyle w:val="Strong"/>
        </w:rPr>
        <w:t>Key Issue:</w:t>
      </w:r>
    </w:p>
    <w:p w:rsidR="00A056B6" w:rsidRDefault="00A056B6" w:rsidP="00743A5F">
      <w:pPr>
        <w:pStyle w:val="NormalWeb"/>
        <w:spacing w:before="0" w:beforeAutospacing="0"/>
      </w:pPr>
      <w:r>
        <w:t>Whether KRIBHCO was entitled to a tax credit in India for the dividend income received from OMIFCO, considering that the income was exempt from tax in Oman under Omani tax laws.</w:t>
      </w:r>
    </w:p>
    <w:p w:rsidR="00A056B6" w:rsidRDefault="00A056B6" w:rsidP="00743A5F">
      <w:pPr>
        <w:pStyle w:val="NormalWeb"/>
        <w:spacing w:before="0" w:beforeAutospacing="0"/>
      </w:pPr>
      <w:r>
        <w:rPr>
          <w:rStyle w:val="Strong"/>
        </w:rPr>
        <w:t>Legal Provisions:</w:t>
      </w:r>
    </w:p>
    <w:p w:rsidR="00A056B6" w:rsidRDefault="00A056B6" w:rsidP="00743A5F">
      <w:pPr>
        <w:tabs>
          <w:tab w:val="num" w:pos="720"/>
        </w:tabs>
        <w:spacing w:before="100" w:after="100" w:afterAutospacing="1" w:line="240" w:lineRule="auto"/>
        <w:ind w:left="720" w:hanging="360"/>
      </w:pPr>
      <w:r>
        <w:rPr>
          <w:rStyle w:val="Strong"/>
        </w:rPr>
        <w:t>Article 25(4) of the India-Oman DTAA:</w:t>
      </w:r>
      <w:r>
        <w:t xml:space="preserve"> This provision allows for the avoidance of double taxation by permitting tax credits in India for taxes that would have been payable in Oman but were exempted or reduced to promote economic development.</w:t>
      </w:r>
    </w:p>
    <w:p w:rsidR="00A056B6" w:rsidRDefault="00A056B6" w:rsidP="00743A5F">
      <w:pPr>
        <w:pStyle w:val="NormalWeb"/>
        <w:spacing w:before="0" w:beforeAutospacing="0"/>
      </w:pPr>
      <w:r>
        <w:rPr>
          <w:rStyle w:val="Strong"/>
        </w:rPr>
        <w:t>Supreme Court's Analysis:</w:t>
      </w:r>
    </w:p>
    <w:p w:rsidR="00A056B6" w:rsidRDefault="00A056B6" w:rsidP="00743A5F">
      <w:pPr>
        <w:pStyle w:val="NormalWeb"/>
        <w:tabs>
          <w:tab w:val="num" w:pos="720"/>
        </w:tabs>
        <w:spacing w:before="0" w:beforeAutospacing="0"/>
        <w:ind w:left="720" w:hanging="360"/>
      </w:pPr>
      <w:r>
        <w:rPr>
          <w:rStyle w:val="Strong"/>
        </w:rPr>
        <w:lastRenderedPageBreak/>
        <w:t>DTAA Interpretation:</w:t>
      </w:r>
      <w:r>
        <w:t xml:space="preserve"> The Court emphasized that the purpose of Article 25(4) is to promote economic development by allowing tax credits in India for taxes forgone by Oman as an incentive.</w:t>
      </w:r>
    </w:p>
    <w:p w:rsidR="00A056B6" w:rsidRDefault="00A056B6" w:rsidP="00743A5F">
      <w:pPr>
        <w:pStyle w:val="NormalWeb"/>
        <w:tabs>
          <w:tab w:val="num" w:pos="720"/>
        </w:tabs>
        <w:spacing w:before="0" w:beforeAutospacing="0"/>
        <w:ind w:left="720" w:hanging="360"/>
      </w:pPr>
      <w:r>
        <w:rPr>
          <w:rStyle w:val="Strong"/>
        </w:rPr>
        <w:t>Entitlement to Tax Credit:</w:t>
      </w:r>
      <w:r>
        <w:t xml:space="preserve"> The Court held that KRIBHCO was entitled to claim a tax credit in India for the dividend income received from OMIFCO, even though the income was exempt from tax in Oman. This interpretation aligns with the intent of the DTAA to prevent double taxation and encourage cross-border investments.</w:t>
      </w:r>
    </w:p>
    <w:p w:rsidR="00A056B6" w:rsidRDefault="00A056B6" w:rsidP="00743A5F">
      <w:pPr>
        <w:pStyle w:val="NormalWeb"/>
        <w:spacing w:before="0" w:beforeAutospacing="0"/>
      </w:pPr>
      <w:r>
        <w:rPr>
          <w:rStyle w:val="Strong"/>
        </w:rPr>
        <w:t>Ruling:</w:t>
      </w:r>
    </w:p>
    <w:p w:rsidR="00A056B6" w:rsidRDefault="00A056B6" w:rsidP="00743A5F">
      <w:pPr>
        <w:pStyle w:val="NormalWeb"/>
        <w:spacing w:before="0" w:beforeAutospacing="0"/>
      </w:pPr>
      <w:r>
        <w:t>The Supreme Court dismissed the Special Leave Petition filed by the Principal Commissioner of Income Tax, thereby upholding the decisions of the lower authorities that allowed KRIBHCO to claim the tax credit in India for the dividend income received from its Omani joint venture.</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reinforces the principle that under specific provisions of a DTAA, such as Article 25(4) of the India-Oman agreement, taxpayers can claim tax credits in their resident country for income that is exempt from tax in the source country due to economic development incentives.</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Principal Commissioner of Income Tax v. Krishak Bharti Cooperative Ltd., SLP (Civil) Diary No. 41708 of 2017, Supreme Court of India.</w:t>
      </w:r>
    </w:p>
    <w:p w:rsidR="00A056B6" w:rsidRDefault="00A056B6" w:rsidP="00743A5F">
      <w:pPr>
        <w:pStyle w:val="NormalWeb"/>
        <w:tabs>
          <w:tab w:val="num" w:pos="720"/>
        </w:tabs>
        <w:spacing w:before="0" w:beforeAutospacing="0"/>
        <w:ind w:left="720" w:hanging="360"/>
      </w:pPr>
      <w:r>
        <w:rPr>
          <w:rStyle w:val="Strong"/>
        </w:rPr>
        <w:t>Source:</w:t>
      </w:r>
      <w:r>
        <w:t xml:space="preserve"> Supreme Court Cases</w:t>
      </w:r>
    </w:p>
    <w:p w:rsidR="00A056B6" w:rsidRDefault="00A056B6" w:rsidP="00743A5F">
      <w:pPr>
        <w:pStyle w:val="NormalWeb"/>
        <w:spacing w:before="0" w:beforeAutospacing="0"/>
      </w:pPr>
      <w:r>
        <w:t>This decision underscores the importance of interpreting DTAA provisions in a manner that facilitates economic cooperation and prevents double taxation, thereby promoting international investments.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Reliance Infrastructure Ltd. v. CIT, Mumbai [2016] 76 taxmann.com 257 (Bombay)</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40FBF8B4" wp14:editId="1D80F3A0">
            <wp:extent cx="763905" cy="763905"/>
            <wp:effectExtent l="0" t="0" r="0" b="0"/>
            <wp:docPr id="393" name="Picture 39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6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Reliance Infrastructure Ltd. v. Commissioner of Income Tax, Mumbai</w:t>
      </w:r>
      <w:r>
        <w:t xml:space="preserve"> ([2016] 76 taxmann.com 257), the </w:t>
      </w:r>
      <w:r>
        <w:rPr>
          <w:rStyle w:val="Strong"/>
        </w:rPr>
        <w:t>Bombay High Court</w:t>
      </w:r>
      <w:r>
        <w:t xml:space="preserve"> addressed the issue of whether foreign taxes paid by an assessee are deductible as business expenditure under Section 37(1) of the Income Tax Act, 1961, or disallowed under Section 40(a)(ii) of the Act.</w:t>
      </w:r>
    </w:p>
    <w:p w:rsidR="00A056B6" w:rsidRDefault="00A056B6" w:rsidP="00743A5F">
      <w:pPr>
        <w:pStyle w:val="NormalWeb"/>
        <w:spacing w:before="0" w:beforeAutospacing="0"/>
      </w:pPr>
      <w:r>
        <w:rPr>
          <w:rStyle w:val="Strong"/>
        </w:rPr>
        <w:lastRenderedPageBreak/>
        <w:t>Background:</w:t>
      </w:r>
    </w:p>
    <w:p w:rsidR="00A056B6" w:rsidRDefault="00A056B6" w:rsidP="00743A5F">
      <w:pPr>
        <w:pStyle w:val="NormalWeb"/>
        <w:tabs>
          <w:tab w:val="num" w:pos="720"/>
        </w:tabs>
        <w:spacing w:before="0" w:beforeAutospacing="0"/>
        <w:ind w:left="720" w:hanging="360"/>
      </w:pPr>
      <w:r>
        <w:rPr>
          <w:rStyle w:val="Strong"/>
        </w:rPr>
        <w:t>Assessee:</w:t>
      </w:r>
      <w:r>
        <w:t xml:space="preserve"> Reliance Infrastructure Ltd., engaged in various business activities, including power generation and distribution.</w:t>
      </w:r>
    </w:p>
    <w:p w:rsidR="00A056B6" w:rsidRDefault="00A056B6" w:rsidP="00743A5F">
      <w:pPr>
        <w:pStyle w:val="NormalWeb"/>
        <w:tabs>
          <w:tab w:val="num" w:pos="720"/>
        </w:tabs>
        <w:spacing w:before="0" w:beforeAutospacing="0"/>
        <w:ind w:left="720" w:hanging="360"/>
      </w:pPr>
      <w:r>
        <w:rPr>
          <w:rStyle w:val="Strong"/>
        </w:rPr>
        <w:t>Foreign Operations:</w:t>
      </w:r>
      <w:r>
        <w:t xml:space="preserve"> The company had operations in foreign jurisdictions and, consequently, paid taxes in those countries on income earned abroad.</w:t>
      </w:r>
    </w:p>
    <w:p w:rsidR="00A056B6" w:rsidRDefault="00A056B6" w:rsidP="00743A5F">
      <w:pPr>
        <w:pStyle w:val="NormalWeb"/>
        <w:tabs>
          <w:tab w:val="num" w:pos="720"/>
        </w:tabs>
        <w:spacing w:before="0" w:beforeAutospacing="0"/>
        <w:ind w:left="720" w:hanging="360"/>
      </w:pPr>
      <w:r>
        <w:rPr>
          <w:rStyle w:val="Strong"/>
        </w:rPr>
        <w:t>Tax Treatment:</w:t>
      </w:r>
      <w:r>
        <w:t xml:space="preserve"> The assessee claimed a deduction for these foreign taxes as business expenditure under Section 37(1) of the Income Tax Act.</w:t>
      </w:r>
    </w:p>
    <w:p w:rsidR="00A056B6" w:rsidRDefault="00A056B6" w:rsidP="00743A5F">
      <w:pPr>
        <w:pStyle w:val="NormalWeb"/>
        <w:spacing w:before="0" w:beforeAutospacing="0"/>
      </w:pPr>
      <w:r>
        <w:rPr>
          <w:rStyle w:val="Strong"/>
        </w:rPr>
        <w:t>Key Issue:</w:t>
      </w:r>
    </w:p>
    <w:p w:rsidR="00A056B6" w:rsidRDefault="00A056B6" w:rsidP="00743A5F">
      <w:pPr>
        <w:pStyle w:val="NormalWeb"/>
        <w:spacing w:before="0" w:beforeAutospacing="0"/>
      </w:pPr>
      <w:r>
        <w:t>Whether the foreign taxes paid by the assessee are allowable as a deduction under Section 37(1), or are they disallowed under Section 40(a)(ii) of the Income Tax Act, which prohibits the deduction of "any sum paid on account of any rate or tax levied on the profits or gains of any business or profession."</w:t>
      </w:r>
    </w:p>
    <w:p w:rsidR="00A056B6" w:rsidRDefault="00A056B6" w:rsidP="00743A5F">
      <w:pPr>
        <w:pStyle w:val="NormalWeb"/>
        <w:spacing w:before="0" w:beforeAutospacing="0"/>
      </w:pPr>
      <w:r>
        <w:rPr>
          <w:rStyle w:val="Strong"/>
        </w:rPr>
        <w:t>High Court's Analysis:</w:t>
      </w:r>
    </w:p>
    <w:p w:rsidR="00A056B6" w:rsidRDefault="00A056B6" w:rsidP="00743A5F">
      <w:pPr>
        <w:pStyle w:val="NormalWeb"/>
        <w:tabs>
          <w:tab w:val="num" w:pos="720"/>
        </w:tabs>
        <w:spacing w:before="0" w:beforeAutospacing="0"/>
        <w:ind w:left="720" w:hanging="360"/>
      </w:pPr>
      <w:r>
        <w:rPr>
          <w:rStyle w:val="Strong"/>
        </w:rPr>
        <w:t>Definition of 'Tax':</w:t>
      </w:r>
      <w:r>
        <w:t xml:space="preserve"> The court examined the definition of 'tax' under Section 2(43) of the Income Tax Act, which refers specifically to taxes payable under the Act itself.</w:t>
      </w:r>
    </w:p>
    <w:p w:rsidR="00A056B6" w:rsidRDefault="00A056B6" w:rsidP="00743A5F">
      <w:pPr>
        <w:pStyle w:val="NormalWeb"/>
        <w:tabs>
          <w:tab w:val="num" w:pos="720"/>
        </w:tabs>
        <w:spacing w:before="0" w:beforeAutospacing="0"/>
        <w:ind w:left="720" w:hanging="360"/>
      </w:pPr>
      <w:r>
        <w:rPr>
          <w:rStyle w:val="Strong"/>
        </w:rPr>
        <w:t>Section 40(a)(ii):</w:t>
      </w:r>
      <w:r>
        <w:t xml:space="preserve"> This provision disallows deductions for taxes levied on profits or gains of business or profession. The court noted that the term 'tax' here pertains to taxes under the Indian Income Tax Act, not foreign taxes.</w:t>
      </w:r>
    </w:p>
    <w:p w:rsidR="00A056B6" w:rsidRDefault="00A056B6" w:rsidP="00743A5F">
      <w:pPr>
        <w:pStyle w:val="NormalWeb"/>
        <w:tabs>
          <w:tab w:val="num" w:pos="720"/>
        </w:tabs>
        <w:spacing w:before="0" w:beforeAutospacing="0"/>
        <w:ind w:left="720" w:hanging="360"/>
      </w:pPr>
      <w:r>
        <w:rPr>
          <w:rStyle w:val="Strong"/>
        </w:rPr>
        <w:t>Allowability under Section 37(1):</w:t>
      </w:r>
      <w:r>
        <w:t xml:space="preserve"> Since foreign taxes are not covered by the definition in Section 2(43) and are not disallowed by Section 40(a)(ii), the court held that such taxes could be considered as business expenditure and allowed as a deduction under Section 37(1), provided no relief or credit is claimed under Sections 90 or 91 of the Act.</w:t>
      </w:r>
    </w:p>
    <w:p w:rsidR="00A056B6" w:rsidRDefault="00A056B6" w:rsidP="00743A5F">
      <w:pPr>
        <w:pStyle w:val="NormalWeb"/>
        <w:spacing w:before="0" w:beforeAutospacing="0"/>
      </w:pPr>
      <w:r>
        <w:rPr>
          <w:rStyle w:val="Strong"/>
        </w:rPr>
        <w:t>Ruling:</w:t>
      </w:r>
    </w:p>
    <w:p w:rsidR="00A056B6" w:rsidRDefault="00A056B6" w:rsidP="00743A5F">
      <w:pPr>
        <w:pStyle w:val="NormalWeb"/>
        <w:spacing w:before="0" w:beforeAutospacing="0"/>
      </w:pPr>
      <w:r>
        <w:t>The Bombay High Court concluded that foreign taxes paid by the assessee are deductible as business expenditure under Section 37(1) of the Income Tax Act, 1961, and are not disallowed under Section 40(a)(ii), provided the assessee has not claimed any relief under Sections 90 or 91.</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This judgment clarifies that foreign taxes, not being 'tax' as defined under Section 2(43) and not covered by the disallowance under Section 40(a)(ii), can be claimed as a deduction under Section 37(1) if no double taxation relief is sought.</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Reliance Infrastructure Ltd. v. Commissioner of Income Tax, Mumbai, [2016] 76 taxmann.com 257 (Bombay).</w:t>
      </w:r>
    </w:p>
    <w:p w:rsidR="00A056B6" w:rsidRDefault="00A056B6" w:rsidP="00743A5F">
      <w:pPr>
        <w:pStyle w:val="NormalWeb"/>
        <w:tabs>
          <w:tab w:val="num" w:pos="720"/>
        </w:tabs>
        <w:spacing w:before="0" w:beforeAutospacing="0"/>
        <w:ind w:left="720" w:hanging="360"/>
      </w:pPr>
      <w:r>
        <w:rPr>
          <w:rStyle w:val="Strong"/>
        </w:rPr>
        <w:lastRenderedPageBreak/>
        <w:t>Source:</w:t>
      </w:r>
      <w:r>
        <w:t xml:space="preserve"> </w:t>
      </w:r>
      <w:hyperlink r:id="rId92" w:tgtFrame="_new" w:history="1">
        <w:r>
          <w:rPr>
            <w:rStyle w:val="Hyperlink"/>
          </w:rPr>
          <w:t>ITAT Online</w:t>
        </w:r>
      </w:hyperlink>
    </w:p>
    <w:p w:rsidR="00A056B6" w:rsidRDefault="00A056B6" w:rsidP="00743A5F">
      <w:pPr>
        <w:pStyle w:val="NormalWeb"/>
        <w:spacing w:before="0" w:beforeAutospacing="0"/>
      </w:pPr>
      <w:r>
        <w:t>This decision provides significant insight into the tax treatment of foreign taxes paid by Indian entities, emphasizing the importance of understanding the interplay between various sections of the Income Tax Act when determining allowable deductions.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IBM India Private Limited v DCIT – ITA Nos. 47 &amp; 48/Bang/ 2017 dated 19.01.2018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770EF99E" wp14:editId="148B20F5">
            <wp:extent cx="763905" cy="763905"/>
            <wp:effectExtent l="0" t="0" r="0" b="0"/>
            <wp:docPr id="392" name="Picture 39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6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IBM India Private Limited v. Deputy Commissioner of Income Tax</w:t>
      </w:r>
      <w:r>
        <w:t xml:space="preserve"> (ITA Nos. 47 &amp; 48/Bang/2017, dated January 19, 2018), the </w:t>
      </w:r>
      <w:r>
        <w:rPr>
          <w:rStyle w:val="Strong"/>
        </w:rPr>
        <w:t>Income Tax Appellate Tribunal (ITAT) Bangalore Bench</w:t>
      </w:r>
      <w:r>
        <w:t xml:space="preserve"> addressed the issue of whether payments made by IBM India for the purchase of software from foreign vendors constituted "royalty" under the Income Tax Act, 1961, and the relevant Double Taxation Avoidance Agreements (DTAAs), thereby necessitating tax deduction at source under Section 195.</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IBM India Private Limited, engaged in the business of software development and information technology services.</w:t>
      </w:r>
    </w:p>
    <w:p w:rsidR="00A056B6" w:rsidRDefault="00A056B6" w:rsidP="00743A5F">
      <w:pPr>
        <w:pStyle w:val="NormalWeb"/>
        <w:tabs>
          <w:tab w:val="num" w:pos="720"/>
        </w:tabs>
        <w:spacing w:before="0" w:beforeAutospacing="0"/>
        <w:ind w:left="720" w:hanging="360"/>
      </w:pPr>
      <w:r>
        <w:rPr>
          <w:rStyle w:val="Strong"/>
        </w:rPr>
        <w:t>Transaction:</w:t>
      </w:r>
      <w:r>
        <w:t xml:space="preserve"> IBM India purchased software from foreign vendors and made payments without deducting tax at source, contending that such payments did not constitute "royalty" and were not taxable in India.</w:t>
      </w:r>
    </w:p>
    <w:p w:rsidR="00A056B6" w:rsidRDefault="00A056B6" w:rsidP="00743A5F">
      <w:pPr>
        <w:pStyle w:val="NormalWeb"/>
        <w:tabs>
          <w:tab w:val="num" w:pos="720"/>
        </w:tabs>
        <w:spacing w:before="0" w:beforeAutospacing="0"/>
        <w:ind w:left="720" w:hanging="360"/>
      </w:pPr>
      <w:r>
        <w:rPr>
          <w:rStyle w:val="Strong"/>
        </w:rPr>
        <w:t>Assessment Year:</w:t>
      </w:r>
      <w:r>
        <w:t xml:space="preserve"> 2015-16.</w:t>
      </w:r>
    </w:p>
    <w:p w:rsidR="00A056B6" w:rsidRDefault="00A056B6" w:rsidP="00743A5F">
      <w:pPr>
        <w:pStyle w:val="NormalWeb"/>
        <w:spacing w:before="0" w:beforeAutospacing="0"/>
      </w:pPr>
      <w:r>
        <w:rPr>
          <w:rStyle w:val="Strong"/>
        </w:rPr>
        <w:t>Key Issue:</w:t>
      </w:r>
    </w:p>
    <w:p w:rsidR="00A056B6" w:rsidRDefault="00A056B6" w:rsidP="00743A5F">
      <w:pPr>
        <w:pStyle w:val="NormalWeb"/>
        <w:spacing w:before="0" w:beforeAutospacing="0"/>
      </w:pPr>
      <w:r>
        <w:t>Whether payments made by IBM India to foreign vendors for the purchase of software are liable to tax deduction at source under Section 195, considering such payments as "royalty" under Section 9(1)(vi) of the Income Tax Act and the applicable DTAAs.</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Definition of Royalty:</w:t>
      </w:r>
      <w:r>
        <w:t xml:space="preserve"> The Tribunal referred to the definition of "royalty" under Section 9(1)(vi) of the Income Tax Act and the corresponding provisions in the DTAAs, noting that the term includes payments for the use of, or the right to use, any copyright of a literary, artistic, or scientific work.</w:t>
      </w:r>
    </w:p>
    <w:p w:rsidR="00A056B6" w:rsidRDefault="00A056B6" w:rsidP="00743A5F">
      <w:pPr>
        <w:pStyle w:val="NormalWeb"/>
        <w:tabs>
          <w:tab w:val="num" w:pos="720"/>
        </w:tabs>
        <w:spacing w:before="0" w:beforeAutospacing="0"/>
        <w:ind w:left="720" w:hanging="360"/>
      </w:pPr>
      <w:r>
        <w:rPr>
          <w:rStyle w:val="Strong"/>
        </w:rPr>
        <w:lastRenderedPageBreak/>
        <w:t>Previous Rulings:</w:t>
      </w:r>
      <w:r>
        <w:t xml:space="preserve"> The ITAT acknowledged that in earlier assessments, similar payments made by IBM India were treated as "royalty," and the assessee was held liable for non-deduction of tax at source under Section 195.</w:t>
      </w:r>
    </w:p>
    <w:p w:rsidR="00A056B6" w:rsidRDefault="00A056B6" w:rsidP="00743A5F">
      <w:pPr>
        <w:pStyle w:val="NormalWeb"/>
        <w:tabs>
          <w:tab w:val="num" w:pos="720"/>
        </w:tabs>
        <w:spacing w:before="0" w:beforeAutospacing="0"/>
        <w:ind w:left="720" w:hanging="360"/>
      </w:pPr>
      <w:r>
        <w:rPr>
          <w:rStyle w:val="Strong"/>
        </w:rPr>
        <w:t>Jurisdictional High Court Decision:</w:t>
      </w:r>
      <w:r>
        <w:t xml:space="preserve"> The Tribunal noted that the Karnataka High Court, in the assessee's own case, had previously held that payments for the purchase of software amounted to "royalty" and were subject to withholding tax under Section 195.</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t>The ITAT, following the precedent set by the jurisdictional High Court, held that the payments made by IBM India for the purchase of software from foreign vendors constituted "royalty" under Section 9(1)(vi) of the Income Tax Act and the relevant DTAAs.</w:t>
      </w:r>
    </w:p>
    <w:p w:rsidR="00A056B6" w:rsidRDefault="00A056B6" w:rsidP="00743A5F">
      <w:pPr>
        <w:pStyle w:val="NormalWeb"/>
        <w:tabs>
          <w:tab w:val="num" w:pos="720"/>
        </w:tabs>
        <w:spacing w:before="0" w:beforeAutospacing="0"/>
        <w:ind w:left="720" w:hanging="360"/>
      </w:pPr>
      <w:r>
        <w:t>Consequently, the assessee was deemed to be in default for not deducting tax at source under Section 195 on such payments.</w:t>
      </w:r>
    </w:p>
    <w:p w:rsidR="00A056B6" w:rsidRDefault="00A056B6" w:rsidP="00743A5F">
      <w:pPr>
        <w:pStyle w:val="NormalWeb"/>
        <w:spacing w:before="0" w:beforeAutospacing="0"/>
      </w:pPr>
      <w:r>
        <w:rPr>
          <w:rStyle w:val="Strong"/>
        </w:rPr>
        <w:t>Subsequent Developments:</w:t>
      </w:r>
    </w:p>
    <w:p w:rsidR="00A056B6" w:rsidRDefault="00A056B6" w:rsidP="00743A5F">
      <w:pPr>
        <w:pStyle w:val="NormalWeb"/>
        <w:tabs>
          <w:tab w:val="num" w:pos="720"/>
        </w:tabs>
        <w:spacing w:before="0" w:beforeAutospacing="0"/>
        <w:ind w:left="720" w:hanging="360"/>
      </w:pPr>
      <w:r>
        <w:t xml:space="preserve">It is pertinent to note that the Supreme Court of India, in the case of </w:t>
      </w:r>
      <w:r>
        <w:rPr>
          <w:rStyle w:val="Strong"/>
        </w:rPr>
        <w:t>Engineering Analysis Centre of Excellence Private Limited v. CIT</w:t>
      </w:r>
      <w:r>
        <w:t xml:space="preserve"> ([2021] 432 ITR 471), overruled the earlier position by holding that payments made for the purchase of software do not constitute "royalty" and are not subject to tax deduction at source under Section 195.</w:t>
      </w:r>
    </w:p>
    <w:p w:rsidR="00A056B6" w:rsidRDefault="00A056B6" w:rsidP="00743A5F">
      <w:pPr>
        <w:pStyle w:val="NormalWeb"/>
        <w:tabs>
          <w:tab w:val="num" w:pos="720"/>
        </w:tabs>
        <w:spacing w:before="0" w:beforeAutospacing="0"/>
        <w:ind w:left="720" w:hanging="360"/>
      </w:pPr>
      <w:r>
        <w:t xml:space="preserve">Following this landmark judgment, the ITAT Bangalore, in subsequent proceedings involving IBM India, amended its earlier orders to align with the Supreme Court's decision, thereby holding that payments for software purchases are not "royalty" and do not attract withholding tax obligations. </w:t>
      </w:r>
    </w:p>
    <w:p w:rsidR="00A056B6" w:rsidRDefault="00A056B6" w:rsidP="00743A5F">
      <w:pPr>
        <w:spacing w:afterAutospacing="1" w:line="240" w:lineRule="auto"/>
        <w:ind w:left="720"/>
      </w:pPr>
      <w:hyperlink r:id="rId93" w:tgtFrame="_blank" w:history="1">
        <w:r>
          <w:rPr>
            <w:rStyle w:val="truncate"/>
            <w:color w:val="0000FF"/>
            <w:u w:val="single"/>
          </w:rPr>
          <w:t>Indian Kanoon</w:t>
        </w:r>
      </w:hyperlink>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 xml:space="preserve">While the ITAT's decision in </w:t>
      </w:r>
      <w:r>
        <w:rPr>
          <w:rStyle w:val="Strong"/>
        </w:rPr>
        <w:t>IBM India Private Limited v. DCIT</w:t>
      </w:r>
      <w:r>
        <w:t xml:space="preserve"> (January 19, 2018) held that payments for software purchases constituted "royalty" subject to tax deduction at source, this position has been overturned by the Supreme Court's ruling in </w:t>
      </w:r>
      <w:r>
        <w:rPr>
          <w:rStyle w:val="Strong"/>
        </w:rPr>
        <w:t>Engineering Analysis Centre of Excellence Private Limited</w:t>
      </w:r>
      <w:r>
        <w:t>. As a result, payments for the purchase of software are no longer considered "royalty" and are not liable for withholding tax under Section 195.</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IBM India Private Limited v. Deputy Commissioner of Income Tax, ITA Nos. 47 &amp; 48/Bang/2017, ITAT Bangalore Bench.</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94" w:tgtFrame="_new" w:history="1">
        <w:r>
          <w:rPr>
            <w:rStyle w:val="Hyperlink"/>
          </w:rPr>
          <w:t>Indian Kanoon</w:t>
        </w:r>
      </w:hyperlink>
    </w:p>
    <w:p w:rsidR="00A056B6" w:rsidRDefault="00A056B6" w:rsidP="00743A5F">
      <w:pPr>
        <w:pStyle w:val="NormalWeb"/>
        <w:spacing w:before="0" w:beforeAutospacing="0"/>
      </w:pPr>
      <w:r>
        <w:lastRenderedPageBreak/>
        <w:t>This development underscores the dynamic nature of tax jurisprudence and the importance of staying abreast of the latest judicial pronouncements to ensure compliance with current legal standards.</w:t>
      </w:r>
    </w:p>
    <w:p w:rsidR="00A056B6" w:rsidRDefault="00A056B6" w:rsidP="00743A5F">
      <w:pPr>
        <w:spacing w:line="240" w:lineRule="auto"/>
      </w:pPr>
      <w:r>
        <w:t>Sources</w:t>
      </w:r>
    </w:p>
    <w:p w:rsidR="00A056B6" w:rsidRDefault="00A056B6" w:rsidP="00743A5F">
      <w:pPr>
        <w:pStyle w:val="Heading5"/>
        <w:spacing w:before="0" w:beforeAutospacing="0"/>
      </w:pPr>
      <w:r>
        <w:t>You said:</w:t>
      </w:r>
    </w:p>
    <w:p w:rsidR="00A056B6" w:rsidRDefault="00A056B6" w:rsidP="00743A5F">
      <w:pPr>
        <w:spacing w:line="240" w:lineRule="auto"/>
      </w:pPr>
      <w:r>
        <w:t>Discuss Avesthagen Ltd v ITO [TS-486-ITAT-2018(Bang)] - ITA No.173/Bang/2016 dated 03.08.2018</w:t>
      </w:r>
    </w:p>
    <w:p w:rsidR="00A056B6" w:rsidRDefault="00A056B6" w:rsidP="00743A5F">
      <w:pPr>
        <w:pStyle w:val="Heading6"/>
        <w:spacing w:before="0" w:beforeAutospacing="0"/>
      </w:pPr>
      <w:r>
        <w:t>ChatGPT said:</w:t>
      </w:r>
    </w:p>
    <w:p w:rsidR="00A056B6" w:rsidRDefault="00A056B6" w:rsidP="00743A5F">
      <w:pPr>
        <w:spacing w:line="240" w:lineRule="auto"/>
      </w:pPr>
      <w:r>
        <w:rPr>
          <w:noProof/>
          <w:lang w:eastAsia="en-IN" w:bidi="ta-IN"/>
        </w:rPr>
        <w:drawing>
          <wp:inline distT="0" distB="0" distL="0" distR="0" wp14:anchorId="387C028A" wp14:editId="087A3011">
            <wp:extent cx="763905" cy="763905"/>
            <wp:effectExtent l="0" t="0" r="0" b="0"/>
            <wp:docPr id="391" name="Picture 39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6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Default="00A056B6" w:rsidP="00743A5F">
      <w:pPr>
        <w:pStyle w:val="NormalWeb"/>
        <w:spacing w:before="0" w:beforeAutospacing="0"/>
      </w:pPr>
      <w:r>
        <w:t xml:space="preserve">In the case of </w:t>
      </w:r>
      <w:r>
        <w:rPr>
          <w:rStyle w:val="Strong"/>
        </w:rPr>
        <w:t>Avesthagen Ltd. v. Income Tax Officer</w:t>
      </w:r>
      <w:r>
        <w:t xml:space="preserve"> (ITA No. 173/Bang/2016, dated August 3, 2018), the </w:t>
      </w:r>
      <w:r>
        <w:rPr>
          <w:rStyle w:val="Strong"/>
        </w:rPr>
        <w:t>Income Tax Appellate Tribunal (ITAT) Bangalore Bench</w:t>
      </w:r>
      <w:r>
        <w:t xml:space="preserve"> addressed the tax implications of payments made by an Indian company to a U.S.-based entity for the purchase of software licenses, focusing on whether such payments constituted "royalty" under the </w:t>
      </w:r>
      <w:r>
        <w:rPr>
          <w:rStyle w:val="Strong"/>
        </w:rPr>
        <w:t>Income Tax Act, 1961</w:t>
      </w:r>
      <w:r>
        <w:t xml:space="preserve">, and the </w:t>
      </w:r>
      <w:r>
        <w:rPr>
          <w:rStyle w:val="Strong"/>
        </w:rPr>
        <w:t>India-USA Double Taxation Avoidance Agreement (DTAA)</w:t>
      </w:r>
      <w:r>
        <w:t>.</w:t>
      </w:r>
    </w:p>
    <w:p w:rsidR="00A056B6" w:rsidRDefault="00A056B6" w:rsidP="00743A5F">
      <w:pPr>
        <w:pStyle w:val="NormalWeb"/>
        <w:spacing w:before="0" w:beforeAutospacing="0"/>
      </w:pPr>
      <w:r>
        <w:rPr>
          <w:rStyle w:val="Strong"/>
        </w:rPr>
        <w:t>Background:</w:t>
      </w:r>
    </w:p>
    <w:p w:rsidR="00A056B6" w:rsidRDefault="00A056B6" w:rsidP="00743A5F">
      <w:pPr>
        <w:pStyle w:val="NormalWeb"/>
        <w:tabs>
          <w:tab w:val="num" w:pos="720"/>
        </w:tabs>
        <w:spacing w:before="0" w:beforeAutospacing="0"/>
        <w:ind w:left="720" w:hanging="360"/>
      </w:pPr>
      <w:r>
        <w:rPr>
          <w:rStyle w:val="Strong"/>
        </w:rPr>
        <w:t>Assessee:</w:t>
      </w:r>
      <w:r>
        <w:t xml:space="preserve"> Avesthagen Ltd., an Indian biotechnology company.</w:t>
      </w:r>
    </w:p>
    <w:p w:rsidR="00A056B6" w:rsidRDefault="00A056B6" w:rsidP="00743A5F">
      <w:pPr>
        <w:pStyle w:val="NormalWeb"/>
        <w:tabs>
          <w:tab w:val="num" w:pos="720"/>
        </w:tabs>
        <w:spacing w:before="0" w:beforeAutospacing="0"/>
        <w:ind w:left="720" w:hanging="360"/>
      </w:pPr>
      <w:r>
        <w:rPr>
          <w:rStyle w:val="Strong"/>
        </w:rPr>
        <w:t>Transaction:</w:t>
      </w:r>
      <w:r>
        <w:t xml:space="preserve"> The company purchased software licenses from a U.S.-based entity and made payments without deducting tax at source under Section 195 of the Income Tax Act, 1961.</w:t>
      </w:r>
    </w:p>
    <w:p w:rsidR="00A056B6" w:rsidRDefault="00A056B6" w:rsidP="00743A5F">
      <w:pPr>
        <w:pStyle w:val="NormalWeb"/>
        <w:tabs>
          <w:tab w:val="num" w:pos="720"/>
        </w:tabs>
        <w:spacing w:before="0" w:beforeAutospacing="0"/>
        <w:ind w:left="720" w:hanging="360"/>
      </w:pPr>
      <w:r>
        <w:rPr>
          <w:rStyle w:val="Strong"/>
        </w:rPr>
        <w:t>Assessment Year:</w:t>
      </w:r>
      <w:r>
        <w:t xml:space="preserve"> 2010-11.</w:t>
      </w:r>
    </w:p>
    <w:p w:rsidR="00A056B6" w:rsidRDefault="00A056B6" w:rsidP="00743A5F">
      <w:pPr>
        <w:pStyle w:val="NormalWeb"/>
        <w:spacing w:before="0" w:beforeAutospacing="0"/>
      </w:pPr>
      <w:r>
        <w:rPr>
          <w:rStyle w:val="Strong"/>
        </w:rPr>
        <w:t>Key Issue:</w:t>
      </w:r>
    </w:p>
    <w:p w:rsidR="00A056B6" w:rsidRDefault="00A056B6" w:rsidP="00743A5F">
      <w:pPr>
        <w:pStyle w:val="NormalWeb"/>
        <w:spacing w:before="0" w:beforeAutospacing="0"/>
      </w:pPr>
      <w:r>
        <w:t>Whether payments made by Avesthagen Ltd. for the purchase of software licenses from a U.S. entity are liable to tax deduction at source under Section 195, considering such payments as "royalty" under Section 9(1)(vi) of the Income Tax Act and the applicable DTAA.</w:t>
      </w:r>
    </w:p>
    <w:p w:rsidR="00A056B6" w:rsidRDefault="00A056B6" w:rsidP="00743A5F">
      <w:pPr>
        <w:pStyle w:val="NormalWeb"/>
        <w:spacing w:before="0" w:beforeAutospacing="0"/>
      </w:pPr>
      <w:r>
        <w:rPr>
          <w:rStyle w:val="Strong"/>
        </w:rPr>
        <w:t>ITAT's Analysis:</w:t>
      </w:r>
    </w:p>
    <w:p w:rsidR="00A056B6" w:rsidRDefault="00A056B6" w:rsidP="00743A5F">
      <w:pPr>
        <w:pStyle w:val="NormalWeb"/>
        <w:tabs>
          <w:tab w:val="num" w:pos="720"/>
        </w:tabs>
        <w:spacing w:before="0" w:beforeAutospacing="0"/>
        <w:ind w:left="720" w:hanging="360"/>
      </w:pPr>
      <w:r>
        <w:rPr>
          <w:rStyle w:val="Strong"/>
        </w:rPr>
        <w:t>Definition of Royalty:</w:t>
      </w:r>
      <w:r>
        <w:t xml:space="preserve"> The Tribunal referred to the definition of "royalty" under Section 9(1)(vi) of the Income Tax Act and Article 12 of the India-USA DTAA, noting that the term includes payments for the use of, or the right to use, any copyright of a literary, artistic, or scientific work.</w:t>
      </w:r>
    </w:p>
    <w:p w:rsidR="00A056B6" w:rsidRDefault="00A056B6" w:rsidP="00743A5F">
      <w:pPr>
        <w:pStyle w:val="NormalWeb"/>
        <w:tabs>
          <w:tab w:val="num" w:pos="720"/>
        </w:tabs>
        <w:spacing w:before="0" w:beforeAutospacing="0"/>
        <w:ind w:left="720" w:hanging="360"/>
      </w:pPr>
      <w:r>
        <w:rPr>
          <w:rStyle w:val="Strong"/>
        </w:rPr>
        <w:t>Nature of Software Payments:</w:t>
      </w:r>
      <w:r>
        <w:t xml:space="preserve"> The ITAT observed that the payments were made for the purchase of software licenses, granting the assessee the right to use the software.</w:t>
      </w:r>
    </w:p>
    <w:p w:rsidR="00A056B6" w:rsidRDefault="00A056B6" w:rsidP="00743A5F">
      <w:pPr>
        <w:pStyle w:val="NormalWeb"/>
        <w:tabs>
          <w:tab w:val="num" w:pos="720"/>
        </w:tabs>
        <w:spacing w:before="0" w:beforeAutospacing="0"/>
        <w:ind w:left="720" w:hanging="360"/>
      </w:pPr>
      <w:r>
        <w:rPr>
          <w:rStyle w:val="Strong"/>
        </w:rPr>
        <w:lastRenderedPageBreak/>
        <w:t>Judicial Precedents:</w:t>
      </w:r>
      <w:r>
        <w:t xml:space="preserve"> The Tribunal considered various judicial decisions, including the Karnataka High Court's ruling in </w:t>
      </w:r>
      <w:r>
        <w:rPr>
          <w:rStyle w:val="Strong"/>
        </w:rPr>
        <w:t>CIT v. Samsung Electronics Co. Ltd.</w:t>
      </w:r>
      <w:r>
        <w:t xml:space="preserve"> ([2011] 16 taxmann.com 141), which held that payments for software amounted to "royalty" and were subject to withholding tax under Section 195.</w:t>
      </w:r>
    </w:p>
    <w:p w:rsidR="00A056B6" w:rsidRDefault="00A056B6" w:rsidP="00743A5F">
      <w:pPr>
        <w:pStyle w:val="NormalWeb"/>
        <w:spacing w:before="0" w:beforeAutospacing="0"/>
      </w:pPr>
      <w:r>
        <w:rPr>
          <w:rStyle w:val="Strong"/>
        </w:rPr>
        <w:t>Ruling:</w:t>
      </w:r>
    </w:p>
    <w:p w:rsidR="00A056B6" w:rsidRDefault="00A056B6" w:rsidP="00743A5F">
      <w:pPr>
        <w:pStyle w:val="NormalWeb"/>
        <w:tabs>
          <w:tab w:val="num" w:pos="720"/>
        </w:tabs>
        <w:spacing w:before="0" w:beforeAutospacing="0"/>
        <w:ind w:left="720" w:hanging="360"/>
      </w:pPr>
      <w:r>
        <w:t>The ITAT concluded that the payments made by Avesthagen Ltd. for the purchase of software licenses constituted "royalty" under Section 9(1)(vi) of the Income Tax Act and Article 12 of the India-USA DTAA.</w:t>
      </w:r>
    </w:p>
    <w:p w:rsidR="00A056B6" w:rsidRDefault="00A056B6" w:rsidP="00743A5F">
      <w:pPr>
        <w:pStyle w:val="NormalWeb"/>
        <w:tabs>
          <w:tab w:val="num" w:pos="720"/>
        </w:tabs>
        <w:spacing w:before="0" w:beforeAutospacing="0"/>
        <w:ind w:left="720" w:hanging="360"/>
      </w:pPr>
      <w:r>
        <w:t>Consequently, the assessee was obligated to deduct tax at source under Section 195 on such payments.</w:t>
      </w:r>
    </w:p>
    <w:p w:rsidR="00A056B6" w:rsidRDefault="00A056B6" w:rsidP="00743A5F">
      <w:pPr>
        <w:pStyle w:val="NormalWeb"/>
        <w:spacing w:before="0" w:beforeAutospacing="0"/>
      </w:pPr>
      <w:r>
        <w:rPr>
          <w:rStyle w:val="Strong"/>
        </w:rPr>
        <w:t>Subsequent Developments:</w:t>
      </w:r>
    </w:p>
    <w:p w:rsidR="00A056B6" w:rsidRDefault="00A056B6" w:rsidP="00743A5F">
      <w:pPr>
        <w:tabs>
          <w:tab w:val="num" w:pos="720"/>
        </w:tabs>
        <w:spacing w:before="100" w:after="100" w:afterAutospacing="1" w:line="240" w:lineRule="auto"/>
        <w:ind w:left="720" w:hanging="360"/>
      </w:pPr>
      <w:r>
        <w:t xml:space="preserve">It is pertinent to note that the Supreme Court of India, in the case of </w:t>
      </w:r>
      <w:r>
        <w:rPr>
          <w:rStyle w:val="Strong"/>
        </w:rPr>
        <w:t>Engineering Analysis Centre of Excellence Private Limited v. CIT</w:t>
      </w:r>
      <w:r>
        <w:t xml:space="preserve"> ([2021] 432 ITR 471), overruled the earlier position by holding that payments made for the purchase of software do not constitute "royalty" and are not subject to tax deduction at source under Section 195.</w:t>
      </w:r>
    </w:p>
    <w:p w:rsidR="00A056B6" w:rsidRDefault="00A056B6" w:rsidP="00743A5F">
      <w:pPr>
        <w:pStyle w:val="NormalWeb"/>
        <w:spacing w:before="0" w:beforeAutospacing="0"/>
      </w:pPr>
      <w:r>
        <w:rPr>
          <w:rStyle w:val="Strong"/>
        </w:rPr>
        <w:t>Conclusion:</w:t>
      </w:r>
    </w:p>
    <w:p w:rsidR="00A056B6" w:rsidRDefault="00A056B6" w:rsidP="00743A5F">
      <w:pPr>
        <w:pStyle w:val="NormalWeb"/>
        <w:spacing w:before="0" w:beforeAutospacing="0"/>
      </w:pPr>
      <w:r>
        <w:t xml:space="preserve">While the ITAT's decision in </w:t>
      </w:r>
      <w:r>
        <w:rPr>
          <w:rStyle w:val="Strong"/>
        </w:rPr>
        <w:t>Avesthagen Ltd. v. ITO</w:t>
      </w:r>
      <w:r>
        <w:t xml:space="preserve"> (August 3, 2018) held that payments for software licenses constituted "royalty" subject to tax deduction at source, this position has been overturned by the Supreme Court's ruling in </w:t>
      </w:r>
      <w:r>
        <w:rPr>
          <w:rStyle w:val="Strong"/>
        </w:rPr>
        <w:t>Engineering Analysis Centre of Excellence Private Limited</w:t>
      </w:r>
      <w:r>
        <w:t>. As a result, payments for the purchase of software are no longer considered "royalty" and are not liable for withholding tax under Section 195.</w:t>
      </w:r>
    </w:p>
    <w:p w:rsidR="00A056B6" w:rsidRDefault="00A056B6" w:rsidP="00743A5F">
      <w:pPr>
        <w:pStyle w:val="NormalWeb"/>
        <w:spacing w:before="0" w:beforeAutospacing="0"/>
      </w:pPr>
      <w:r>
        <w:rPr>
          <w:rStyle w:val="Strong"/>
        </w:rPr>
        <w:t>Reference:</w:t>
      </w:r>
    </w:p>
    <w:p w:rsidR="00A056B6" w:rsidRDefault="00A056B6" w:rsidP="00743A5F">
      <w:pPr>
        <w:pStyle w:val="NormalWeb"/>
        <w:tabs>
          <w:tab w:val="num" w:pos="720"/>
        </w:tabs>
        <w:spacing w:before="0" w:beforeAutospacing="0"/>
        <w:ind w:left="720" w:hanging="360"/>
      </w:pPr>
      <w:r>
        <w:rPr>
          <w:rStyle w:val="Strong"/>
        </w:rPr>
        <w:t>Case Citation:</w:t>
      </w:r>
      <w:r>
        <w:t xml:space="preserve"> Avesthagen Ltd. v. Income Tax Officer, ITA No. 173/Bang/2016, ITAT Bangalore Bench.</w:t>
      </w:r>
    </w:p>
    <w:p w:rsidR="00A056B6" w:rsidRDefault="00A056B6" w:rsidP="00743A5F">
      <w:pPr>
        <w:pStyle w:val="NormalWeb"/>
        <w:tabs>
          <w:tab w:val="num" w:pos="720"/>
        </w:tabs>
        <w:spacing w:before="0" w:beforeAutospacing="0"/>
        <w:ind w:left="720" w:hanging="360"/>
      </w:pPr>
      <w:r>
        <w:rPr>
          <w:rStyle w:val="Strong"/>
        </w:rPr>
        <w:t>Source:</w:t>
      </w:r>
      <w:r>
        <w:t xml:space="preserve"> </w:t>
      </w:r>
      <w:hyperlink r:id="rId95" w:tgtFrame="_new" w:history="1">
        <w:r>
          <w:rPr>
            <w:rStyle w:val="Hyperlink"/>
          </w:rPr>
          <w:t>ITAT Order</w:t>
        </w:r>
      </w:hyperlink>
    </w:p>
    <w:p w:rsidR="00A056B6" w:rsidRDefault="00A056B6" w:rsidP="00743A5F">
      <w:pPr>
        <w:pStyle w:val="NormalWeb"/>
        <w:spacing w:before="0" w:beforeAutospacing="0"/>
      </w:pPr>
      <w:r>
        <w:t>This development underscores the dynamic nature of tax jurisprudence and the importance of staying abreast of the latest judicial pronouncements to ensure compliance with current legal standards.</w:t>
      </w:r>
    </w:p>
    <w:p w:rsidR="00A056B6" w:rsidRDefault="00A056B6" w:rsidP="00743A5F">
      <w:pPr>
        <w:spacing w:line="240" w:lineRule="auto"/>
      </w:pPr>
      <w:r>
        <w:t>Sources</w:t>
      </w:r>
    </w:p>
    <w:p w:rsidR="00A056B6" w:rsidRPr="009C5151" w:rsidRDefault="00A056B6" w:rsidP="00743A5F">
      <w:pPr>
        <w:pStyle w:val="Heading3"/>
        <w:spacing w:before="0" w:beforeAutospacing="0"/>
        <w:rPr>
          <w:sz w:val="24"/>
          <w:szCs w:val="24"/>
        </w:rPr>
      </w:pPr>
      <w:r w:rsidRPr="009C5151">
        <w:rPr>
          <w:rStyle w:val="Strong"/>
          <w:b/>
          <w:bCs/>
          <w:sz w:val="24"/>
          <w:szCs w:val="24"/>
        </w:rPr>
        <w:t xml:space="preserve"> </w:t>
      </w:r>
      <w:bookmarkStart w:id="1349" w:name="_Toc187624225"/>
      <w:bookmarkStart w:id="1350" w:name="_Toc187630945"/>
      <w:bookmarkStart w:id="1351" w:name="_Toc187661124"/>
      <w:bookmarkStart w:id="1352" w:name="_Toc187662203"/>
      <w:r w:rsidRPr="009C5151">
        <w:rPr>
          <w:rStyle w:val="Strong"/>
          <w:b/>
          <w:bCs/>
          <w:sz w:val="24"/>
          <w:szCs w:val="24"/>
        </w:rPr>
        <w:t>Reference:</w:t>
      </w:r>
      <w:bookmarkEnd w:id="1349"/>
      <w:bookmarkEnd w:id="1350"/>
      <w:bookmarkEnd w:id="1351"/>
      <w:bookmarkEnd w:id="1352"/>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br/>
        <w:t>Saudi Arabian Oil Company, In re, [2018] 94 taxmann.com 194 (AAR – New Delhi) / [2018] 405 ITR 83 (AAR – New Delhi) / [2018] 303 CTR 225 (AAR – New Delhi).</w:t>
      </w:r>
    </w:p>
    <w:p w:rsidR="00A056B6" w:rsidRPr="009C5151" w:rsidRDefault="00A056B6" w:rsidP="00743A5F">
      <w:pPr>
        <w:pStyle w:val="NormalWeb"/>
        <w:tabs>
          <w:tab w:val="num" w:pos="720"/>
        </w:tabs>
        <w:spacing w:before="0" w:beforeAutospacing="0"/>
        <w:ind w:left="720" w:hanging="360"/>
      </w:pPr>
      <w:r w:rsidRPr="009C5151">
        <w:rPr>
          <w:rStyle w:val="Strong"/>
        </w:rPr>
        <w:t>AAR Number:</w:t>
      </w:r>
      <w:r w:rsidRPr="009C5151">
        <w:t xml:space="preserve"> AAR No. 25 of 2016, dated May 31, 2018.</w:t>
      </w:r>
    </w:p>
    <w:p w:rsidR="00A056B6" w:rsidRPr="009C5151" w:rsidRDefault="00A056B6" w:rsidP="00743A5F">
      <w:pPr>
        <w:pStyle w:val="Heading5"/>
        <w:spacing w:before="0" w:beforeAutospacing="0"/>
        <w:rPr>
          <w:sz w:val="24"/>
          <w:szCs w:val="24"/>
        </w:rPr>
      </w:pPr>
      <w:r w:rsidRPr="009C5151">
        <w:rPr>
          <w:sz w:val="24"/>
          <w:szCs w:val="24"/>
        </w:rPr>
        <w:lastRenderedPageBreak/>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Electrical material Center Co. Ltd. [TS-451-ITAT-2017(Bang)] - IT (TP) A No. 1104 (Bang) 2013 dated 28-09-2017</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5292BE09" wp14:editId="62915282">
            <wp:extent cx="763905" cy="763905"/>
            <wp:effectExtent l="0" t="0" r="0" b="0"/>
            <wp:docPr id="382" name="Picture 38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3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Electrical Material Center Co. Ltd. v. Deputy Director of Income Tax</w:t>
      </w:r>
      <w:r w:rsidRPr="009C5151">
        <w:t xml:space="preserve">, the </w:t>
      </w:r>
      <w:r w:rsidRPr="009C5151">
        <w:rPr>
          <w:rStyle w:val="Strong"/>
        </w:rPr>
        <w:t>Income Tax Appellate Tribunal (ITAT) Bangalore Bench</w:t>
      </w:r>
      <w:r w:rsidRPr="009C5151">
        <w:t xml:space="preserve"> addressed the tax implications for Electrical Material Center Co. Ltd. (EMC), a Saudi Arabian company, concerning its operations in India for the Assessment Year (AY) 2010-11.</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Electrical Material Center Co. Ltd. (EMC), a company incorporated in Saudi Arabia, engaged in providing engineering services.</w:t>
      </w:r>
    </w:p>
    <w:p w:rsidR="00A056B6" w:rsidRPr="009C5151" w:rsidRDefault="00A056B6" w:rsidP="00743A5F">
      <w:pPr>
        <w:pStyle w:val="NormalWeb"/>
        <w:tabs>
          <w:tab w:val="num" w:pos="720"/>
        </w:tabs>
        <w:spacing w:before="0" w:beforeAutospacing="0"/>
        <w:ind w:left="720" w:hanging="360"/>
      </w:pPr>
      <w:r w:rsidRPr="009C5151">
        <w:rPr>
          <w:rStyle w:val="Strong"/>
        </w:rPr>
        <w:t>Indian Operations:</w:t>
      </w:r>
      <w:r w:rsidRPr="009C5151">
        <w:t xml:space="preserve"> EMC deployed four service engineers to India to render services to an Indian entity. Each engineer was present in India for 90 days, totaling 360 man-days.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Service Permanent Establishment (PE):</w:t>
      </w:r>
      <w:r w:rsidRPr="009C5151">
        <w:t xml:space="preserve"> Whether EMC constituted a Service PE in India under Article 5(3)(b) of the India-Saudi Arabia Double Taxation Avoidance Agreement (DTAA) by considering the duration of services rendered.</w:t>
      </w:r>
    </w:p>
    <w:p w:rsidR="00A056B6" w:rsidRPr="009C5151" w:rsidRDefault="00A056B6" w:rsidP="00743A5F">
      <w:pPr>
        <w:pStyle w:val="NormalWeb"/>
        <w:tabs>
          <w:tab w:val="num" w:pos="720"/>
        </w:tabs>
        <w:spacing w:before="0" w:beforeAutospacing="0"/>
        <w:ind w:left="720" w:hanging="360"/>
      </w:pPr>
      <w:r w:rsidRPr="009C5151">
        <w:rPr>
          <w:rStyle w:val="Strong"/>
        </w:rPr>
        <w:t>Taxability of Fees for Technical Services (FTS):</w:t>
      </w:r>
      <w:r w:rsidRPr="009C5151">
        <w:t xml:space="preserve"> Whether the fees received by EMC for the services rendered in India were taxable as FTS under the Income Tax Act, 1961, and the DTAA, especially in the absence of a specific FTS clause in the DTAA.</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No Service PE in India:</w:t>
      </w:r>
      <w:r w:rsidRPr="009C5151">
        <w:t xml:space="preserve"> EMC contended that the duration of services should be calculated based on "solar days" (actual days) rather than "man-days." Since each engineer was present for 90 days, the total duration was 90 days, not 360 days. Under Article 5(3)(b) of the DTAA, a Service PE is constituted if services are rendered for a period exceeding 182 days in any twelve-month period. Therefore, EMC argued that it did not have a Service PE in India.</w:t>
      </w:r>
    </w:p>
    <w:p w:rsidR="00A056B6" w:rsidRPr="009C5151" w:rsidRDefault="00A056B6" w:rsidP="00743A5F">
      <w:pPr>
        <w:pStyle w:val="NormalWeb"/>
        <w:tabs>
          <w:tab w:val="num" w:pos="720"/>
        </w:tabs>
        <w:spacing w:before="0" w:beforeAutospacing="0"/>
        <w:ind w:left="720" w:hanging="360"/>
      </w:pPr>
      <w:r w:rsidRPr="009C5151">
        <w:rPr>
          <w:rStyle w:val="Strong"/>
        </w:rPr>
        <w:t>FTS Not Taxable in India:</w:t>
      </w:r>
      <w:r w:rsidRPr="009C5151">
        <w:t xml:space="preserve"> EMC asserted that the India-Saudi Arabia DTAA does not contain a specific provision for the taxation of FTS. In the absence of such a provision, FTS should not be taxed in India and should only be taxable in the state of residence, i.e., Saudi Arabia.</w:t>
      </w:r>
    </w:p>
    <w:p w:rsidR="00A056B6" w:rsidRPr="009C5151" w:rsidRDefault="00A056B6" w:rsidP="00743A5F">
      <w:pPr>
        <w:pStyle w:val="NormalWeb"/>
        <w:spacing w:before="0" w:beforeAutospacing="0"/>
      </w:pPr>
      <w:r w:rsidRPr="009C5151">
        <w:rPr>
          <w:rStyle w:val="Strong"/>
        </w:rPr>
        <w:lastRenderedPageBreak/>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Existence of Service PE:</w:t>
      </w:r>
      <w:r w:rsidRPr="009C5151">
        <w:t xml:space="preserve"> The Revenue argued that the presence of four engineers for 90 days each amounted to 360 man-days, thereby constituting a Service PE in India under the DTAA.</w:t>
      </w:r>
    </w:p>
    <w:p w:rsidR="00A056B6" w:rsidRPr="009C5151" w:rsidRDefault="00A056B6" w:rsidP="00743A5F">
      <w:pPr>
        <w:pStyle w:val="NormalWeb"/>
        <w:tabs>
          <w:tab w:val="num" w:pos="720"/>
        </w:tabs>
        <w:spacing w:before="0" w:beforeAutospacing="0"/>
        <w:ind w:left="720" w:hanging="360"/>
      </w:pPr>
      <w:r w:rsidRPr="009C5151">
        <w:rPr>
          <w:rStyle w:val="Strong"/>
        </w:rPr>
        <w:t>Taxability of FTS:</w:t>
      </w:r>
      <w:r w:rsidRPr="009C5151">
        <w:t xml:space="preserve"> The Revenue contended that in the absence of a specific FTS clause in the DTAA, the fees should be taxed under the provisions of the Income Tax Act, 1961.</w:t>
      </w:r>
    </w:p>
    <w:p w:rsidR="00A056B6" w:rsidRPr="009C5151" w:rsidRDefault="00A056B6" w:rsidP="00743A5F">
      <w:pPr>
        <w:pStyle w:val="NormalWeb"/>
        <w:spacing w:before="0" w:beforeAutospacing="0"/>
      </w:pPr>
      <w:r w:rsidRPr="009C5151">
        <w:rPr>
          <w:rStyle w:val="Strong"/>
        </w:rPr>
        <w:t>Tribunal's Analysis:</w:t>
      </w:r>
    </w:p>
    <w:p w:rsidR="00A056B6" w:rsidRPr="009C5151" w:rsidRDefault="00A056B6" w:rsidP="00743A5F">
      <w:pPr>
        <w:pStyle w:val="NormalWeb"/>
        <w:tabs>
          <w:tab w:val="num" w:pos="720"/>
        </w:tabs>
        <w:spacing w:before="0" w:beforeAutospacing="0"/>
        <w:ind w:left="720" w:hanging="360"/>
      </w:pPr>
      <w:r w:rsidRPr="009C5151">
        <w:rPr>
          <w:rStyle w:val="Strong"/>
        </w:rPr>
        <w:t>Service PE Determination:</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Solar Days vs. Man-Days:</w:t>
      </w:r>
      <w:r w:rsidRPr="009C5151">
        <w:t xml:space="preserve"> The ITAT referred to the decision in </w:t>
      </w:r>
      <w:r w:rsidRPr="009C5151">
        <w:rPr>
          <w:rStyle w:val="Strong"/>
        </w:rPr>
        <w:t>Clifford Chance v. DCIT</w:t>
      </w:r>
      <w:r w:rsidRPr="009C5151">
        <w:t xml:space="preserve"> ([2002] 82 ITD 106), which emphasized that for determining the existence of a Service PE, the duration should be calculated based on "solar days" and not "man-days." Multiple counting of days when more than one individual is present should be avoided to prevent absurd results.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Application to EMC's Case:</w:t>
      </w:r>
      <w:r w:rsidRPr="009C5151">
        <w:t xml:space="preserve"> Applying this principle, the ITAT concluded that the engineers' presence in India amounted to 90 days in total, not 360 days. Since this duration did not exceed the 182-day threshold specified in Article 5(3)(b) of the DTAA, EMC did not have a Service PE in India.</w:t>
      </w:r>
    </w:p>
    <w:p w:rsidR="00A056B6" w:rsidRPr="009C5151" w:rsidRDefault="00A056B6" w:rsidP="00743A5F">
      <w:pPr>
        <w:pStyle w:val="NormalWeb"/>
        <w:tabs>
          <w:tab w:val="num" w:pos="720"/>
        </w:tabs>
        <w:spacing w:before="0" w:beforeAutospacing="0"/>
        <w:ind w:left="720" w:hanging="360"/>
      </w:pPr>
      <w:r w:rsidRPr="009C5151">
        <w:rPr>
          <w:rStyle w:val="Strong"/>
        </w:rPr>
        <w:t>Taxability of FTS: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Absence of FTS Clause in DTAA:</w:t>
      </w:r>
      <w:r w:rsidRPr="009C5151">
        <w:t xml:space="preserve"> The ITAT noted that the India-Saudi Arabia DTAA does not have a specific provision for FTS.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Reference to Judicial Precedents:</w:t>
      </w:r>
      <w:r w:rsidRPr="009C5151">
        <w:t xml:space="preserve"> The Tribunal referred to the </w:t>
      </w:r>
      <w:r w:rsidRPr="009C5151">
        <w:rPr>
          <w:rStyle w:val="Strong"/>
        </w:rPr>
        <w:t>Madras High Court</w:t>
      </w:r>
      <w:r w:rsidRPr="009C5151">
        <w:t xml:space="preserve"> decision in </w:t>
      </w:r>
      <w:r w:rsidRPr="009C5151">
        <w:rPr>
          <w:rStyle w:val="Strong"/>
        </w:rPr>
        <w:t>Bangkok Glass Industry Co. Ltd. v. ACIT</w:t>
      </w:r>
      <w:r w:rsidRPr="009C5151">
        <w:t xml:space="preserve"> ([2015] 4 TMI 503), which held that in the absence of an FTS clause in the DTAA, such fees cannot be taxed in India under the "Other Income" article and should only be taxable in the state of residence.</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Conclusion on FTS Taxability:</w:t>
      </w:r>
      <w:r w:rsidRPr="009C5151">
        <w:t xml:space="preserve"> Following this precedent, the ITAT concluded that the fees received by EMC for services rendered in India were not taxable in India due to the absence of a specific FTS provision in the DTAA.</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No Service PE:</w:t>
      </w:r>
      <w:r w:rsidRPr="009C5151">
        <w:t xml:space="preserve"> The ITAT held that EMC did not have a Service PE in India, as the duration of services rendered did not exceed the threshold specified in the DTAA when calculated based on solar days.</w:t>
      </w:r>
    </w:p>
    <w:p w:rsidR="00A056B6" w:rsidRPr="009C5151" w:rsidRDefault="00A056B6" w:rsidP="00743A5F">
      <w:pPr>
        <w:pStyle w:val="NormalWeb"/>
        <w:tabs>
          <w:tab w:val="num" w:pos="720"/>
        </w:tabs>
        <w:spacing w:before="0" w:beforeAutospacing="0"/>
        <w:ind w:left="720" w:hanging="360"/>
      </w:pPr>
      <w:r w:rsidRPr="009C5151">
        <w:rPr>
          <w:rStyle w:val="Strong"/>
        </w:rPr>
        <w:t>FTS Not Taxable in India:</w:t>
      </w:r>
      <w:r w:rsidRPr="009C5151">
        <w:t xml:space="preserve"> In the absence of a specific FTS clause in the India-Saudi Arabia DTAA, the fees received by EMC were not taxable in India and were only taxable in Saudi Arabia, the state of residence.</w:t>
      </w:r>
    </w:p>
    <w:p w:rsidR="00A056B6" w:rsidRPr="009C5151" w:rsidRDefault="00A056B6" w:rsidP="00743A5F">
      <w:pPr>
        <w:pStyle w:val="NormalWeb"/>
        <w:spacing w:before="0" w:beforeAutospacing="0"/>
      </w:pPr>
      <w:r w:rsidRPr="009C5151">
        <w:rPr>
          <w:rStyle w:val="Strong"/>
        </w:rPr>
        <w:lastRenderedPageBreak/>
        <w:t>Conclusion:</w:t>
      </w:r>
    </w:p>
    <w:p w:rsidR="00A056B6" w:rsidRPr="009C5151" w:rsidRDefault="00A056B6" w:rsidP="00743A5F">
      <w:pPr>
        <w:pStyle w:val="NormalWeb"/>
        <w:spacing w:before="0" w:beforeAutospacing="0"/>
      </w:pPr>
      <w:r w:rsidRPr="009C5151">
        <w:t>This decision underscores the importance of accurately determining the duration of services based on "solar days" rather than "man-days" when assessing the existence of a Service PE under a DTAA. It also highlights that in the absence of a specific FTS provision in a tax treaty, such fees are generally not taxable in the source country.</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Electrical Material Center Co. Ltd. v. DDIT, [2017] 86 taxmann.com 222 (Bangalore - Trib.), IT (TP) A No. 1104 (Bang) 2013, dated September 28, 2017.</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p>
    <w:p w:rsidR="00A056B6" w:rsidRPr="009C5151" w:rsidRDefault="00A056B6" w:rsidP="00743A5F">
      <w:pPr>
        <w:spacing w:afterAutospacing="1" w:line="240" w:lineRule="auto"/>
        <w:ind w:left="720"/>
        <w:rPr>
          <w:rFonts w:ascii="Times New Roman" w:hAnsi="Times New Roman" w:cs="Times New Roman"/>
          <w:sz w:val="24"/>
          <w:szCs w:val="24"/>
        </w:rPr>
      </w:pPr>
      <w:hyperlink r:id="rId96" w:tgtFrame="_blank" w:history="1">
        <w:r w:rsidRPr="009C5151">
          <w:rPr>
            <w:rStyle w:val="truncate"/>
            <w:rFonts w:ascii="Times New Roman" w:hAnsi="Times New Roman" w:cs="Times New Roman"/>
            <w:color w:val="0000FF"/>
            <w:sz w:val="24"/>
            <w:szCs w:val="24"/>
            <w:u w:val="single"/>
          </w:rPr>
          <w:t>Indian Kanoon</w:t>
        </w:r>
      </w:hyperlink>
    </w:p>
    <w:p w:rsidR="00A056B6" w:rsidRPr="009C5151" w:rsidRDefault="00A056B6" w:rsidP="00743A5F">
      <w:pPr>
        <w:pStyle w:val="NormalWeb"/>
        <w:spacing w:before="0" w:beforeAutospacing="0"/>
      </w:pPr>
      <w:r w:rsidRPr="009C5151">
        <w:t>This ruling provides clarity on the interpretation of Service PE provisions and the taxability of FTS in the context of the India-Saudi Arabia DTAA, emphasizing the significance of treaty provisions in determining tax liabilities for cross-border services.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Maersk A/s v ACIT - [2017] 86 taxmann.com 77 (Delhi - Trib.) - IT APPEAL NOS. 3905 (DELHI) OF 2009 dated 08.06.2017</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7C172D00" wp14:editId="202648CC">
            <wp:extent cx="763905" cy="763905"/>
            <wp:effectExtent l="0" t="0" r="0" b="0"/>
            <wp:docPr id="381" name="Picture 38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4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777A75" w:rsidRDefault="00A056B6" w:rsidP="00743A5F">
      <w:pPr>
        <w:pStyle w:val="Heading6"/>
        <w:spacing w:before="0" w:beforeAutospacing="0"/>
        <w:rPr>
          <w:sz w:val="24"/>
          <w:szCs w:val="24"/>
        </w:rPr>
      </w:pPr>
      <w:r w:rsidRPr="00777A75">
        <w:rPr>
          <w:sz w:val="24"/>
          <w:szCs w:val="24"/>
        </w:rPr>
        <w:t xml:space="preserve">In the case of </w:t>
      </w:r>
      <w:r w:rsidRPr="00777A75">
        <w:rPr>
          <w:b w:val="0"/>
          <w:bCs w:val="0"/>
          <w:sz w:val="24"/>
          <w:szCs w:val="24"/>
        </w:rPr>
        <w:t>Maersk A/S v. Assistant Commissioner of Income Tax</w:t>
      </w:r>
      <w:r w:rsidRPr="00777A75">
        <w:rPr>
          <w:sz w:val="24"/>
          <w:szCs w:val="24"/>
        </w:rPr>
        <w:t xml:space="preserve">, the </w:t>
      </w:r>
      <w:r w:rsidRPr="00777A75">
        <w:rPr>
          <w:b w:val="0"/>
          <w:bCs w:val="0"/>
          <w:sz w:val="24"/>
          <w:szCs w:val="24"/>
        </w:rPr>
        <w:t>Income Tax Appellate Tribunal (ITAT) Delhi Bench</w:t>
      </w:r>
      <w:r w:rsidRPr="00777A75">
        <w:rPr>
          <w:sz w:val="24"/>
          <w:szCs w:val="24"/>
        </w:rPr>
        <w:t xml:space="preserve"> addressed the tax implications for Maersk A/S, a Danish shipping company, concerning its operations in India for the Assessment Year (AY) 2005-06.</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Maersk A/S, a company incorporated in Denmark, engaged in shipping and related activities.</w:t>
      </w:r>
    </w:p>
    <w:p w:rsidR="00A056B6" w:rsidRPr="009C5151" w:rsidRDefault="00A056B6" w:rsidP="00743A5F">
      <w:pPr>
        <w:pStyle w:val="NormalWeb"/>
        <w:tabs>
          <w:tab w:val="num" w:pos="720"/>
        </w:tabs>
        <w:spacing w:before="0" w:beforeAutospacing="0"/>
        <w:ind w:left="720" w:hanging="360"/>
      </w:pPr>
      <w:r w:rsidRPr="009C5151">
        <w:rPr>
          <w:rStyle w:val="Strong"/>
        </w:rPr>
        <w:t>Indian Operations:</w:t>
      </w:r>
      <w:r w:rsidRPr="009C5151">
        <w:t xml:space="preserve"> Maersk A/S operated in India through its agents, Maersk India Pvt. Ltd. (MIPL) and Maersk Logistics India Pvt. Ltd. (MLIPL).</w:t>
      </w:r>
    </w:p>
    <w:p w:rsidR="00A056B6" w:rsidRPr="009C5151" w:rsidRDefault="00A056B6" w:rsidP="00743A5F">
      <w:pPr>
        <w:pStyle w:val="NormalWeb"/>
        <w:tabs>
          <w:tab w:val="num" w:pos="720"/>
        </w:tabs>
        <w:spacing w:before="0" w:beforeAutospacing="0"/>
        <w:ind w:left="720" w:hanging="360"/>
      </w:pPr>
      <w:r w:rsidRPr="009C5151">
        <w:rPr>
          <w:rStyle w:val="Strong"/>
        </w:rPr>
        <w:t>Services Provided:</w:t>
      </w:r>
      <w:r w:rsidRPr="009C5151">
        <w:t xml:space="preserve"> The company provided shipping services, including transportation of cargo and containerized goods, to and from Indian ports.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Taxability of Shipping Income:</w:t>
      </w:r>
      <w:r w:rsidRPr="009C5151">
        <w:t xml:space="preserve"> Whether the shipping income earned by Maersk A/S from its operations in India was taxable under the provisions of the Income Tax Act, 1961, and the Double Taxation Avoidance Agreement (DTAA) between India and Denmark.</w:t>
      </w:r>
    </w:p>
    <w:p w:rsidR="00A056B6" w:rsidRPr="009C5151" w:rsidRDefault="00A056B6" w:rsidP="00743A5F">
      <w:pPr>
        <w:pStyle w:val="NormalWeb"/>
        <w:tabs>
          <w:tab w:val="num" w:pos="720"/>
        </w:tabs>
        <w:spacing w:before="0" w:beforeAutospacing="0"/>
        <w:ind w:left="720" w:hanging="360"/>
      </w:pPr>
      <w:r w:rsidRPr="009C5151">
        <w:rPr>
          <w:rStyle w:val="Strong"/>
        </w:rPr>
        <w:t>Applicability of Section 44B:</w:t>
      </w:r>
      <w:r w:rsidRPr="009C5151">
        <w:t xml:space="preserve"> Whether the provisions of Section 44B of the Income Tax Act, which deal with the taxation of profits and gains from shipping business in the case of non-residents, were applicable to Maersk A/S.</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Exemption under DTAA:</w:t>
      </w:r>
      <w:r w:rsidRPr="009C5151">
        <w:t xml:space="preserve"> Maersk A/S contended that its shipping income was exempt from taxation in India under Article 9 of the India-Denmark DTAA, which provides that profits from the operation of ships in international traffic shall be taxable only in the country of residence of the enterprise.</w:t>
      </w:r>
    </w:p>
    <w:p w:rsidR="00A056B6" w:rsidRPr="009C5151" w:rsidRDefault="00A056B6" w:rsidP="00743A5F">
      <w:pPr>
        <w:pStyle w:val="NormalWeb"/>
        <w:tabs>
          <w:tab w:val="num" w:pos="720"/>
        </w:tabs>
        <w:spacing w:before="0" w:beforeAutospacing="0"/>
        <w:ind w:left="720" w:hanging="360"/>
      </w:pPr>
      <w:r w:rsidRPr="009C5151">
        <w:rPr>
          <w:rStyle w:val="Strong"/>
        </w:rPr>
        <w:t>No Applicability of Section 44B:</w:t>
      </w:r>
      <w:r w:rsidRPr="009C5151">
        <w:t xml:space="preserve"> The assessee argued that since its income was exempt under the DTAA, the provisions of Section 44B of the Income Tax Act were not applicable.</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Taxability under Domestic Law:</w:t>
      </w:r>
      <w:r w:rsidRPr="009C5151">
        <w:t xml:space="preserve"> The Revenue contended that the shipping income earned by Maersk A/S was taxable in India under the provisions of the Income Tax Act, specifically Section 44B, which prescribes a presumptive taxation regime for non-resident shipping companies.</w:t>
      </w:r>
    </w:p>
    <w:p w:rsidR="00A056B6" w:rsidRPr="009C5151" w:rsidRDefault="00A056B6" w:rsidP="00743A5F">
      <w:pPr>
        <w:pStyle w:val="NormalWeb"/>
        <w:tabs>
          <w:tab w:val="num" w:pos="720"/>
        </w:tabs>
        <w:spacing w:before="0" w:beforeAutospacing="0"/>
        <w:ind w:left="720" w:hanging="360"/>
      </w:pPr>
      <w:r w:rsidRPr="009C5151">
        <w:rPr>
          <w:rStyle w:val="Strong"/>
        </w:rPr>
        <w:t>DTAA Provisions:</w:t>
      </w:r>
      <w:r w:rsidRPr="009C5151">
        <w:t xml:space="preserve"> The Revenue argued that the exemption under the DTAA was not applicable as the assessee had a Permanent Establishment (PE) in India through its agents, MIPL and MLIPL, and therefore, the income was attributable to the PE and taxable in India.</w:t>
      </w:r>
    </w:p>
    <w:p w:rsidR="00A056B6" w:rsidRPr="009C5151" w:rsidRDefault="00A056B6" w:rsidP="00743A5F">
      <w:pPr>
        <w:pStyle w:val="NormalWeb"/>
        <w:spacing w:before="0" w:beforeAutospacing="0"/>
      </w:pPr>
      <w:r w:rsidRPr="009C5151">
        <w:rPr>
          <w:rStyle w:val="Strong"/>
        </w:rPr>
        <w:t>Tribunal's Analysis:</w:t>
      </w:r>
    </w:p>
    <w:p w:rsidR="00A056B6" w:rsidRPr="009C5151" w:rsidRDefault="00A056B6" w:rsidP="00743A5F">
      <w:pPr>
        <w:pStyle w:val="NormalWeb"/>
        <w:tabs>
          <w:tab w:val="num" w:pos="720"/>
        </w:tabs>
        <w:spacing w:before="0" w:beforeAutospacing="0"/>
        <w:ind w:left="720" w:hanging="360"/>
      </w:pPr>
      <w:r w:rsidRPr="009C5151">
        <w:rPr>
          <w:rStyle w:val="Strong"/>
        </w:rPr>
        <w:t>Interpretation of Article 9 of DTAA:</w:t>
      </w:r>
    </w:p>
    <w:p w:rsidR="00A056B6" w:rsidRPr="009C5151" w:rsidRDefault="00A056B6" w:rsidP="00743A5F">
      <w:pPr>
        <w:pStyle w:val="NormalWeb"/>
        <w:numPr>
          <w:ilvl w:val="1"/>
          <w:numId w:val="0"/>
        </w:numPr>
        <w:tabs>
          <w:tab w:val="num" w:pos="1440"/>
        </w:tabs>
        <w:spacing w:before="0" w:beforeAutospacing="0"/>
        <w:ind w:left="1440" w:hanging="360"/>
      </w:pPr>
      <w:r w:rsidRPr="009C5151">
        <w:t>The ITAT examined Article 9 of the India-Denmark DTAA, which states that profits from the operation of ships in international traffic shall be taxable only in the contracting state in which the place of effective management of the enterprise is situated.</w:t>
      </w:r>
    </w:p>
    <w:p w:rsidR="00A056B6" w:rsidRPr="009C5151" w:rsidRDefault="00A056B6" w:rsidP="00743A5F">
      <w:pPr>
        <w:pStyle w:val="NormalWeb"/>
        <w:numPr>
          <w:ilvl w:val="1"/>
          <w:numId w:val="0"/>
        </w:numPr>
        <w:tabs>
          <w:tab w:val="num" w:pos="1440"/>
        </w:tabs>
        <w:spacing w:before="0" w:beforeAutospacing="0"/>
        <w:ind w:left="1440" w:hanging="360"/>
      </w:pPr>
      <w:r w:rsidRPr="009C5151">
        <w:t>The Tribunal noted that the place of effective management of Maersk A/S was in Denmark, and therefore, as per the DTAA, the profits from its shipping operations should be taxable only in Denmark.</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p>
    <w:p w:rsidR="00A056B6" w:rsidRPr="009C5151" w:rsidRDefault="00A056B6" w:rsidP="00743A5F">
      <w:pPr>
        <w:pStyle w:val="NormalWeb"/>
        <w:numPr>
          <w:ilvl w:val="1"/>
          <w:numId w:val="0"/>
        </w:numPr>
        <w:tabs>
          <w:tab w:val="num" w:pos="1440"/>
        </w:tabs>
        <w:spacing w:before="0" w:beforeAutospacing="0"/>
        <w:ind w:left="1440" w:hanging="360"/>
      </w:pPr>
      <w:r w:rsidRPr="009C5151">
        <w:t>The ITAT analyzed whether the activities of MIPL and MLIPL constituted a PE for Maersk A/S in India.</w:t>
      </w:r>
    </w:p>
    <w:p w:rsidR="00A056B6" w:rsidRPr="009C5151" w:rsidRDefault="00A056B6" w:rsidP="00743A5F">
      <w:pPr>
        <w:pStyle w:val="NormalWeb"/>
        <w:numPr>
          <w:ilvl w:val="1"/>
          <w:numId w:val="0"/>
        </w:numPr>
        <w:tabs>
          <w:tab w:val="num" w:pos="1440"/>
        </w:tabs>
        <w:spacing w:before="0" w:beforeAutospacing="0"/>
        <w:ind w:left="1440" w:hanging="360"/>
      </w:pPr>
      <w:r w:rsidRPr="009C5151">
        <w:lastRenderedPageBreak/>
        <w:t>It was observed that MIPL and MLIPL were acting as independent agents, carrying out activities in the ordinary course of their business, and were not exclusively devoted to Maersk A/S.</w:t>
      </w:r>
    </w:p>
    <w:p w:rsidR="00A056B6" w:rsidRPr="009C5151" w:rsidRDefault="00A056B6" w:rsidP="00743A5F">
      <w:pPr>
        <w:pStyle w:val="NormalWeb"/>
        <w:numPr>
          <w:ilvl w:val="1"/>
          <w:numId w:val="0"/>
        </w:numPr>
        <w:tabs>
          <w:tab w:val="num" w:pos="1440"/>
        </w:tabs>
        <w:spacing w:before="0" w:beforeAutospacing="0"/>
        <w:ind w:left="1440" w:hanging="360"/>
      </w:pPr>
      <w:r w:rsidRPr="009C5151">
        <w:t>The Tribunal concluded that the agents did not constitute a PE for Maersk A/S in India under Article 5 of the DTAA.</w:t>
      </w:r>
    </w:p>
    <w:p w:rsidR="00A056B6" w:rsidRPr="009C5151" w:rsidRDefault="00A056B6" w:rsidP="00743A5F">
      <w:pPr>
        <w:pStyle w:val="NormalWeb"/>
        <w:tabs>
          <w:tab w:val="num" w:pos="720"/>
        </w:tabs>
        <w:spacing w:before="0" w:beforeAutospacing="0"/>
        <w:ind w:left="720" w:hanging="360"/>
      </w:pPr>
      <w:r w:rsidRPr="009C5151">
        <w:rPr>
          <w:rStyle w:val="Strong"/>
        </w:rPr>
        <w:t>Applicability of Section 44B:</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ITAT held that since the DTAA provisions override domestic law where they are more beneficial to the assessee, and given that the DTAA provided for taxation of shipping profits only in Denmark, the provisions of Section 44B of the Income Tax Act were not applicable in this case.</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Shipping Income Not Taxable in India:</w:t>
      </w:r>
      <w:r w:rsidRPr="009C5151">
        <w:t xml:space="preserve"> The ITAT ruled that the shipping income earned by Maersk A/S from its operations in India was not taxable in India under the provisions of the India-Denmark DTAA.</w:t>
      </w:r>
    </w:p>
    <w:p w:rsidR="00A056B6" w:rsidRPr="009C5151" w:rsidRDefault="00A056B6" w:rsidP="00743A5F">
      <w:pPr>
        <w:pStyle w:val="NormalWeb"/>
        <w:tabs>
          <w:tab w:val="num" w:pos="720"/>
        </w:tabs>
        <w:spacing w:before="0" w:beforeAutospacing="0"/>
        <w:ind w:left="720" w:hanging="360"/>
      </w:pPr>
      <w:r w:rsidRPr="009C5151">
        <w:rPr>
          <w:rStyle w:val="Strong"/>
        </w:rPr>
        <w:t>No Applicability of Section 44B:</w:t>
      </w:r>
      <w:r w:rsidRPr="009C5151">
        <w:t xml:space="preserve"> The Tribunal held that the presumptive taxation provisions of Section 44B of the Income Tax Act did not apply, as the DTAA provisions took precedence and provided for exclusive taxation rights to Denmark.</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decision underscores the primacy of DTAA provisions over domestic tax laws when determining the taxability of non-resident entities. It highlights that, in the absence of a Permanent Establishment in the source country, profits from international shipping operations are taxable only in the country of residence, as per the relevant tax treaty provisions.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Maersk A/S v. ACIT, [2017] 86 taxmann.com 77 (Delhi - Trib.), ITA No. 3905/Del/2009, dated June 8, 2017.</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97" w:tgtFrame="_new" w:history="1">
        <w:r w:rsidRPr="009C5151">
          <w:rPr>
            <w:rStyle w:val="Hyperlink"/>
          </w:rPr>
          <w:t>Casemine</w:t>
        </w:r>
      </w:hyperlink>
    </w:p>
    <w:p w:rsidR="00A056B6" w:rsidRPr="009C5151" w:rsidRDefault="00A056B6" w:rsidP="00743A5F">
      <w:pPr>
        <w:pStyle w:val="NormalWeb"/>
        <w:spacing w:before="0" w:beforeAutospacing="0"/>
      </w:pPr>
      <w:r w:rsidRPr="009C5151">
        <w:t>This ruling provides clarity on the interpretation of tax treaties concerning the shipping industry and emphasizes the importance of analyzing the existence of a Permanent Establishment when assessing tax liabilities for non-resident entities operating in India.</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CIT v Sumitomo Corporation [2018] 96 taxmann.com 612 (SC) - SLP (C) APPEAL NO. 18509 of 2016 dated August 6, 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77C36DE2" wp14:editId="1F5B64A6">
            <wp:extent cx="763905" cy="763905"/>
            <wp:effectExtent l="0" t="0" r="0" b="0"/>
            <wp:docPr id="380" name="Picture 38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4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Commissioner of Income Tax v. Sumitomo Corporation</w:t>
      </w:r>
      <w:r w:rsidRPr="009C5151">
        <w:t xml:space="preserve">, the </w:t>
      </w:r>
      <w:r w:rsidRPr="009C5151">
        <w:rPr>
          <w:rStyle w:val="Strong"/>
        </w:rPr>
        <w:t>Supreme Court of India</w:t>
      </w:r>
      <w:r w:rsidRPr="009C5151">
        <w:t xml:space="preserve"> addressed the tax implications of interest income earned by Sumitomo Corporation, a Japanese entity, through its Indian branch operations.</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Sumitomo Corporation, a company incorporated in Japan, engaged in various business activities, including operations in India through a branch office.</w:t>
      </w:r>
    </w:p>
    <w:p w:rsidR="00A056B6" w:rsidRPr="009C5151" w:rsidRDefault="00A056B6" w:rsidP="00743A5F">
      <w:pPr>
        <w:pStyle w:val="NormalWeb"/>
        <w:tabs>
          <w:tab w:val="num" w:pos="720"/>
        </w:tabs>
        <w:spacing w:before="0" w:beforeAutospacing="0"/>
        <w:ind w:left="720" w:hanging="360"/>
      </w:pPr>
      <w:r w:rsidRPr="009C5151">
        <w:rPr>
          <w:rStyle w:val="Strong"/>
        </w:rPr>
        <w:t>Indian Operations:</w:t>
      </w:r>
      <w:r w:rsidRPr="009C5151">
        <w:t xml:space="preserve"> The Indian branch of Sumitomo Corporation conducted business activities and earned income, including interest income from deposits and securities.</w:t>
      </w:r>
    </w:p>
    <w:p w:rsidR="00A056B6" w:rsidRPr="009C5151" w:rsidRDefault="00A056B6" w:rsidP="00743A5F">
      <w:pPr>
        <w:pStyle w:val="NormalWeb"/>
        <w:tabs>
          <w:tab w:val="num" w:pos="720"/>
        </w:tabs>
        <w:spacing w:before="0" w:beforeAutospacing="0"/>
        <w:ind w:left="720" w:hanging="360"/>
      </w:pPr>
      <w:r w:rsidRPr="009C5151">
        <w:rPr>
          <w:rStyle w:val="Strong"/>
        </w:rPr>
        <w:t>Tax Treatment:</w:t>
      </w:r>
      <w:r w:rsidRPr="009C5151">
        <w:t xml:space="preserve"> The interest income earned by the Indian branch was offered to tax in India. However, the Assessing Officer (AO) sought to tax the same interest income in the hands of the head office (HO) in Japan, leading to potential double taxation.</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Double Taxation:</w:t>
      </w:r>
      <w:r w:rsidRPr="009C5151">
        <w:t xml:space="preserve"> Whether the same interest income could be taxed both in the hands of the Indian branch and again in the hands of the head office, leading to double taxation.</w:t>
      </w:r>
    </w:p>
    <w:p w:rsidR="00A056B6" w:rsidRPr="009C5151" w:rsidRDefault="00A056B6" w:rsidP="00743A5F">
      <w:pPr>
        <w:pStyle w:val="NormalWeb"/>
        <w:tabs>
          <w:tab w:val="num" w:pos="720"/>
        </w:tabs>
        <w:spacing w:before="0" w:beforeAutospacing="0"/>
        <w:ind w:left="720" w:hanging="360"/>
      </w:pPr>
      <w:r w:rsidRPr="009C5151">
        <w:rPr>
          <w:rStyle w:val="Strong"/>
        </w:rPr>
        <w:t>Applicability of Double Taxation Avoidance Agreement (DTAA):</w:t>
      </w:r>
      <w:r w:rsidRPr="009C5151">
        <w:t xml:space="preserve"> Whether the provisions of the India-Japan DTAA would apply to prevent such double taxation.</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Prevention of Double Taxation:</w:t>
      </w:r>
      <w:r w:rsidRPr="009C5151">
        <w:t xml:space="preserve"> Sumitomo Corporation contended that taxing the same interest income in both the Indian branch's hands and the head office's hands would result in double taxation, which is contrary to the principles of the DTAA between India and Japan.</w:t>
      </w:r>
    </w:p>
    <w:p w:rsidR="00A056B6" w:rsidRPr="009C5151" w:rsidRDefault="00A056B6" w:rsidP="00743A5F">
      <w:pPr>
        <w:pStyle w:val="NormalWeb"/>
        <w:tabs>
          <w:tab w:val="num" w:pos="720"/>
        </w:tabs>
        <w:spacing w:before="0" w:beforeAutospacing="0"/>
        <w:ind w:left="720" w:hanging="360"/>
      </w:pPr>
      <w:r w:rsidRPr="009C5151">
        <w:rPr>
          <w:rStyle w:val="Strong"/>
        </w:rPr>
        <w:t>DTAA Provisions:</w:t>
      </w:r>
      <w:r w:rsidRPr="009C5151">
        <w:t xml:space="preserve"> The assessee argued that the DTAA provisions should prevail over domestic tax laws to prevent double taxation of the same income.</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Separate Tax Entities:</w:t>
      </w:r>
      <w:r w:rsidRPr="009C5151">
        <w:rPr>
          <w:rFonts w:ascii="Times New Roman" w:hAnsi="Times New Roman" w:cs="Times New Roman"/>
          <w:sz w:val="24"/>
          <w:szCs w:val="24"/>
        </w:rPr>
        <w:t xml:space="preserve"> The Revenue contended that the Indian branch and the Japanese head office are separate taxable entities for income tax purposes. Therefore, the same income could be taxed in the hands of both entities under domestic tax laws.</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Interpretation of DTAA:</w:t>
      </w:r>
      <w:r w:rsidRPr="009C5151">
        <w:t xml:space="preserve"> The Supreme Court examined the provisions of the India-Japan DTAA, emphasizing that the agreement aims to eliminate double taxation and promote international trade and investment.</w:t>
      </w:r>
    </w:p>
    <w:p w:rsidR="00A056B6" w:rsidRPr="009C5151" w:rsidRDefault="00A056B6" w:rsidP="00743A5F">
      <w:pPr>
        <w:pStyle w:val="NormalWeb"/>
        <w:tabs>
          <w:tab w:val="num" w:pos="720"/>
        </w:tabs>
        <w:spacing w:before="0" w:beforeAutospacing="0"/>
        <w:ind w:left="720" w:hanging="360"/>
      </w:pPr>
      <w:r w:rsidRPr="009C5151">
        <w:rPr>
          <w:rStyle w:val="Strong"/>
        </w:rPr>
        <w:t>Single Taxable Entity:</w:t>
      </w:r>
      <w:r w:rsidRPr="009C5151">
        <w:t xml:space="preserve"> The Court observed that, under the DTAA, the Indian branch and the Japanese head office are considered a single taxable entity. Therefore, taxing the same income in both jurisdictions would contravene the DTAA's intent.</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No Double Taxation:</w:t>
      </w:r>
      <w:r w:rsidRPr="009C5151">
        <w:t xml:space="preserve"> The Supreme Court held that the interest income earned by Sumitomo Corporation's Indian branch, already taxed in India, should not be taxed again in the hands of the head office in Japan. This approach aligns with the DTAA's objective to prevent double taxation.</w:t>
      </w:r>
    </w:p>
    <w:p w:rsidR="00A056B6" w:rsidRPr="009C5151" w:rsidRDefault="00A056B6" w:rsidP="00743A5F">
      <w:pPr>
        <w:pStyle w:val="NormalWeb"/>
        <w:tabs>
          <w:tab w:val="num" w:pos="720"/>
        </w:tabs>
        <w:spacing w:before="0" w:beforeAutospacing="0"/>
        <w:ind w:left="720" w:hanging="360"/>
      </w:pPr>
      <w:r w:rsidRPr="009C5151">
        <w:rPr>
          <w:rStyle w:val="Strong"/>
        </w:rPr>
        <w:t>DTAA Prevails Over Domestic Law:</w:t>
      </w:r>
      <w:r w:rsidRPr="009C5151">
        <w:t xml:space="preserve"> The Court reaffirmed that, in cases of conflict between domestic tax laws and DTAA provisions, the latter would prevail to the extent they are more beneficial to the assessee.</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underscores the importance of DTAAs in preventing double taxation and clarifies that income taxed in one jurisdiction should not be subjected to tax again in another, provided the DTAA provisions apply. It reinforces the principle that DTAAs take precedence over domestic tax laws when determining tax liabilities for cross-border transactions.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CIT v. Sumitomo Corporation, [2018] 96 taxmann.com 612 (SC), SLP (C) Appeal No. 18509 of 2016, dated August 6,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98" w:tgtFrame="_new" w:history="1">
        <w:r w:rsidRPr="009C5151">
          <w:rPr>
            <w:rStyle w:val="Hyperlink"/>
          </w:rPr>
          <w:t>CaseMine</w:t>
        </w:r>
      </w:hyperlink>
    </w:p>
    <w:p w:rsidR="00A056B6" w:rsidRPr="009C5151" w:rsidRDefault="00A056B6" w:rsidP="00743A5F">
      <w:pPr>
        <w:pStyle w:val="NormalWeb"/>
        <w:spacing w:before="0" w:beforeAutospacing="0"/>
      </w:pPr>
      <w:r w:rsidRPr="009C5151">
        <w:t>This ruling provides clarity on the application of DTAA provisions, ensuring that international entities are not subjected to double taxation on the same income, thereby promoting cross-border economic activities.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pStyle w:val="Heading6"/>
        <w:spacing w:before="0" w:beforeAutospacing="0"/>
        <w:rPr>
          <w:sz w:val="24"/>
          <w:szCs w:val="24"/>
        </w:rPr>
      </w:pPr>
      <w:r w:rsidRPr="009C5151">
        <w:rPr>
          <w:sz w:val="24"/>
          <w:szCs w:val="24"/>
        </w:rPr>
        <w:t>Discuss ULO Systems LLC v ADIT (2019) 101 taxmann.com 490 (Del Trib) – ITA No.5968 of 2010 (Del Trib) dated December 21, 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030FD5D" wp14:editId="42749015">
            <wp:extent cx="763905" cy="763905"/>
            <wp:effectExtent l="0" t="0" r="0" b="0"/>
            <wp:docPr id="379" name="Picture 37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4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lastRenderedPageBreak/>
        <w:t xml:space="preserve">In the case of </w:t>
      </w:r>
      <w:r w:rsidRPr="009C5151">
        <w:rPr>
          <w:rStyle w:val="Strong"/>
        </w:rPr>
        <w:t>ULO Systems LLC v. Assistant Director of Income Tax (International Taxation), Dehradun</w:t>
      </w:r>
      <w:r w:rsidRPr="009C5151">
        <w:t xml:space="preserve">, the </w:t>
      </w:r>
      <w:r w:rsidRPr="009C5151">
        <w:rPr>
          <w:rStyle w:val="Strong"/>
        </w:rPr>
        <w:t>Income Tax Appellate Tribunal (ITAT) Delhi Bench</w:t>
      </w:r>
      <w:r w:rsidRPr="009C5151">
        <w:t xml:space="preserve"> addressed the tax implications for ULO Systems LLC, a company incorporated in the United Arab Emirates (UAE), concerning its operations in India for the Assessment Year (AY) 2007-08.</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ULO Systems LLC, a UAE-based company specializing in providing grouting and precast solutions for the subsea offshore construction industry.</w:t>
      </w:r>
    </w:p>
    <w:p w:rsidR="00A056B6" w:rsidRPr="009C5151" w:rsidRDefault="00A056B6" w:rsidP="00743A5F">
      <w:pPr>
        <w:pStyle w:val="NormalWeb"/>
        <w:tabs>
          <w:tab w:val="num" w:pos="720"/>
        </w:tabs>
        <w:spacing w:before="0" w:beforeAutospacing="0"/>
        <w:ind w:left="720" w:hanging="360"/>
      </w:pPr>
      <w:r w:rsidRPr="009C5151">
        <w:rPr>
          <w:rStyle w:val="Strong"/>
        </w:rPr>
        <w:t>Indian Operations:</w:t>
      </w:r>
      <w:r w:rsidRPr="009C5151">
        <w:t xml:space="preserve"> The company provided grouting services to Indian clients, which involved deploying equipment and personnel to India.</w:t>
      </w:r>
    </w:p>
    <w:p w:rsidR="00A056B6" w:rsidRPr="009C5151" w:rsidRDefault="00A056B6" w:rsidP="00743A5F">
      <w:pPr>
        <w:pStyle w:val="NormalWeb"/>
        <w:tabs>
          <w:tab w:val="num" w:pos="720"/>
        </w:tabs>
        <w:spacing w:before="0" w:beforeAutospacing="0"/>
        <w:ind w:left="720" w:hanging="360"/>
      </w:pPr>
      <w:r w:rsidRPr="009C5151">
        <w:rPr>
          <w:rStyle w:val="Strong"/>
        </w:rPr>
        <w:t>Nature of Services:</w:t>
      </w:r>
      <w:r w:rsidRPr="009C5151">
        <w:t xml:space="preserve"> Grouting services are essential for stabilizing and protecting subsea pipelines, cables, and structures. The process involves injecting cement mixtures into fabric formwork underwater to create supportive structures.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ULO Systems LLC had a Permanent Establishment in India under Article 5 of the India-UAE Double Taxation Avoidance Agreement (DTAA) due to its grouting activities.</w:t>
      </w:r>
    </w:p>
    <w:p w:rsidR="00A056B6" w:rsidRPr="009C5151" w:rsidRDefault="00A056B6" w:rsidP="00743A5F">
      <w:pPr>
        <w:pStyle w:val="NormalWeb"/>
        <w:tabs>
          <w:tab w:val="num" w:pos="720"/>
        </w:tabs>
        <w:spacing w:before="0" w:beforeAutospacing="0"/>
        <w:ind w:left="720" w:hanging="360"/>
      </w:pPr>
      <w:r w:rsidRPr="009C5151">
        <w:rPr>
          <w:rStyle w:val="Strong"/>
        </w:rPr>
        <w:t>Taxability of Offshore Supplies:</w:t>
      </w:r>
      <w:r w:rsidRPr="009C5151">
        <w:t xml:space="preserve"> Whether the income from offshore supplies made by ULO Systems LLC to Indian customers was taxable in India.</w:t>
      </w:r>
    </w:p>
    <w:p w:rsidR="00A056B6" w:rsidRPr="009C5151" w:rsidRDefault="00A056B6" w:rsidP="00743A5F">
      <w:pPr>
        <w:pStyle w:val="NormalWeb"/>
        <w:tabs>
          <w:tab w:val="num" w:pos="720"/>
        </w:tabs>
        <w:spacing w:before="0" w:beforeAutospacing="0"/>
        <w:ind w:left="720" w:hanging="360"/>
      </w:pPr>
      <w:r w:rsidRPr="009C5151">
        <w:rPr>
          <w:rStyle w:val="Strong"/>
        </w:rPr>
        <w:t>Applicability of Section 44BB:</w:t>
      </w:r>
      <w:r w:rsidRPr="009C5151">
        <w:t xml:space="preserve"> Whether the income from grouting services should be taxed under the presumptive taxation provisions of Section 44BB of the Income Tax Act, 1961, which deals with the taxation of non-residents providing services or facilities in connection with the extraction or production of mineral oils.</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No Fixed Place PE:</w:t>
      </w:r>
      <w:r w:rsidRPr="009C5151">
        <w:t xml:space="preserve"> ULO Systems LLC contended that it did not have a fixed place of business in India. The equipment and personnel were stationed on vessels owned by the main contractor, and there was no place at its disposal in India that could constitute a PE under Article 5(1) of the DTAA.</w:t>
      </w:r>
    </w:p>
    <w:p w:rsidR="00A056B6" w:rsidRPr="009C5151" w:rsidRDefault="00A056B6" w:rsidP="00743A5F">
      <w:pPr>
        <w:pStyle w:val="NormalWeb"/>
        <w:tabs>
          <w:tab w:val="num" w:pos="720"/>
        </w:tabs>
        <w:spacing w:before="0" w:beforeAutospacing="0"/>
        <w:ind w:left="720" w:hanging="360"/>
      </w:pPr>
      <w:r w:rsidRPr="009C5151">
        <w:rPr>
          <w:rStyle w:val="Strong"/>
        </w:rPr>
        <w:t>No Service PE:</w:t>
      </w:r>
      <w:r w:rsidRPr="009C5151">
        <w:t xml:space="preserve"> The assessee argued that its activities in India did not exceed the threshold period of nine months specified in Article 5(2)(i) of the DTAA for constituting a Service PE.</w:t>
      </w:r>
    </w:p>
    <w:p w:rsidR="00A056B6" w:rsidRPr="009C5151" w:rsidRDefault="00A056B6" w:rsidP="00743A5F">
      <w:pPr>
        <w:pStyle w:val="NormalWeb"/>
        <w:tabs>
          <w:tab w:val="num" w:pos="720"/>
        </w:tabs>
        <w:spacing w:before="0" w:beforeAutospacing="0"/>
        <w:ind w:left="720" w:hanging="360"/>
      </w:pPr>
      <w:r w:rsidRPr="009C5151">
        <w:rPr>
          <w:rStyle w:val="Strong"/>
        </w:rPr>
        <w:t>Offshore Supplies Not Taxable:</w:t>
      </w:r>
      <w:r w:rsidRPr="009C5151">
        <w:t xml:space="preserve"> The assessee maintained that the offshore supplies were concluded outside India, and therefore, the income from such supplies was not taxable in India.</w:t>
      </w:r>
    </w:p>
    <w:p w:rsidR="00A056B6" w:rsidRPr="009C5151" w:rsidRDefault="00A056B6" w:rsidP="00743A5F">
      <w:pPr>
        <w:pStyle w:val="NormalWeb"/>
        <w:tabs>
          <w:tab w:val="num" w:pos="720"/>
        </w:tabs>
        <w:spacing w:before="0" w:beforeAutospacing="0"/>
        <w:ind w:left="720" w:hanging="360"/>
      </w:pPr>
      <w:r w:rsidRPr="009C5151">
        <w:rPr>
          <w:rStyle w:val="Strong"/>
        </w:rPr>
        <w:t>Applicability of Section 44BB:</w:t>
      </w:r>
      <w:r w:rsidRPr="009C5151">
        <w:t xml:space="preserve"> In the alternative, ULO Systems LLC submitted that if any income was deemed taxable in India, it should be assessed under Section 44BB, which provides a concessional tax regime for services related to the exploration or extraction of mineral oils.</w:t>
      </w:r>
    </w:p>
    <w:p w:rsidR="00A056B6" w:rsidRPr="009C5151" w:rsidRDefault="00A056B6" w:rsidP="00743A5F">
      <w:pPr>
        <w:pStyle w:val="NormalWeb"/>
        <w:spacing w:before="0" w:beforeAutospacing="0"/>
      </w:pPr>
      <w:r w:rsidRPr="009C5151">
        <w:rPr>
          <w:rStyle w:val="Strong"/>
        </w:rPr>
        <w:lastRenderedPageBreak/>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Existence of PE:</w:t>
      </w:r>
      <w:r w:rsidRPr="009C5151">
        <w:t xml:space="preserve"> The Revenue contended that ULO Systems LLC had a fixed place PE in India, as its equipment and personnel were present on vessels operating in Indian territorial waters.</w:t>
      </w:r>
    </w:p>
    <w:p w:rsidR="00A056B6" w:rsidRPr="009C5151" w:rsidRDefault="00A056B6" w:rsidP="00743A5F">
      <w:pPr>
        <w:pStyle w:val="NormalWeb"/>
        <w:tabs>
          <w:tab w:val="num" w:pos="720"/>
        </w:tabs>
        <w:spacing w:before="0" w:beforeAutospacing="0"/>
        <w:ind w:left="720" w:hanging="360"/>
      </w:pPr>
      <w:r w:rsidRPr="009C5151">
        <w:rPr>
          <w:rStyle w:val="Strong"/>
        </w:rPr>
        <w:t>Taxability of Offshore Supplies:</w:t>
      </w:r>
      <w:r w:rsidRPr="009C5151">
        <w:t xml:space="preserve"> The Revenue argued that the offshore supplies were integrally connected to the activities in India and should be taxed in India.</w:t>
      </w:r>
    </w:p>
    <w:p w:rsidR="00A056B6" w:rsidRPr="009C5151" w:rsidRDefault="00A056B6" w:rsidP="00743A5F">
      <w:pPr>
        <w:pStyle w:val="NormalWeb"/>
        <w:tabs>
          <w:tab w:val="num" w:pos="720"/>
        </w:tabs>
        <w:spacing w:before="0" w:beforeAutospacing="0"/>
        <w:ind w:left="720" w:hanging="360"/>
      </w:pPr>
      <w:r w:rsidRPr="009C5151">
        <w:rPr>
          <w:rStyle w:val="Strong"/>
        </w:rPr>
        <w:t>Applicability of Section 44BB:</w:t>
      </w:r>
      <w:r w:rsidRPr="009C5151">
        <w:t xml:space="preserve"> The Revenue opposed the applicability of Section 44BB, asserting that the services provided were in the nature of technical services and should be taxed accordingly.</w:t>
      </w:r>
    </w:p>
    <w:p w:rsidR="00A056B6" w:rsidRPr="009C5151" w:rsidRDefault="00A056B6" w:rsidP="00743A5F">
      <w:pPr>
        <w:pStyle w:val="NormalWeb"/>
        <w:spacing w:before="0" w:beforeAutospacing="0"/>
      </w:pPr>
      <w:r w:rsidRPr="009C5151">
        <w:rPr>
          <w:rStyle w:val="Strong"/>
        </w:rPr>
        <w:t>Tribunal's Analysis:</w:t>
      </w:r>
    </w:p>
    <w:p w:rsidR="00A056B6" w:rsidRPr="009C5151" w:rsidRDefault="00A056B6" w:rsidP="00743A5F">
      <w:pPr>
        <w:pStyle w:val="NormalWeb"/>
        <w:tabs>
          <w:tab w:val="num" w:pos="720"/>
        </w:tabs>
        <w:spacing w:before="0" w:beforeAutospacing="0"/>
        <w:ind w:left="720" w:hanging="360"/>
      </w:pPr>
      <w:r w:rsidRPr="009C5151">
        <w:rPr>
          <w:rStyle w:val="Strong"/>
        </w:rPr>
        <w:t>Permanent Establishment (PE):</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Fixed Place PE:</w:t>
      </w:r>
      <w:r w:rsidRPr="009C5151">
        <w:t xml:space="preserve"> The ITAT observed that the equipment and personnel of ULO Systems LLC were placed on vessels owned by the main contractor. Since these vessels were not at the disposal of the assessee, there was no fixed place of business in India constituting a PE under Article 5(1) of the DTAA.</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Service PE:</w:t>
      </w:r>
      <w:r w:rsidRPr="009C5151">
        <w:t xml:space="preserve"> The Tribunal noted that the duration of the assessee's activities in India did not exceed the nine-month threshold specified in Article 5(2)(i) of the DTAA. Therefore, no Service PE was constituted.</w:t>
      </w:r>
    </w:p>
    <w:p w:rsidR="00A056B6" w:rsidRPr="009C5151" w:rsidRDefault="00A056B6" w:rsidP="00743A5F">
      <w:pPr>
        <w:pStyle w:val="NormalWeb"/>
        <w:tabs>
          <w:tab w:val="num" w:pos="720"/>
        </w:tabs>
        <w:spacing w:before="0" w:beforeAutospacing="0"/>
        <w:ind w:left="720" w:hanging="360"/>
      </w:pPr>
      <w:r w:rsidRPr="009C5151">
        <w:rPr>
          <w:rStyle w:val="Strong"/>
        </w:rPr>
        <w:t>Taxability of Offshore Supplies: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ITAT held that since the offshore supplies were concluded outside India, the income from such supplies was not taxable in India.</w:t>
      </w:r>
    </w:p>
    <w:p w:rsidR="00A056B6" w:rsidRPr="009C5151" w:rsidRDefault="00A056B6" w:rsidP="00743A5F">
      <w:pPr>
        <w:pStyle w:val="NormalWeb"/>
        <w:tabs>
          <w:tab w:val="num" w:pos="720"/>
        </w:tabs>
        <w:spacing w:before="0" w:beforeAutospacing="0"/>
        <w:ind w:left="720" w:hanging="360"/>
      </w:pPr>
      <w:r w:rsidRPr="009C5151">
        <w:rPr>
          <w:rStyle w:val="Strong"/>
        </w:rPr>
        <w:t>Applicability of Section 44BB:</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Tribunal referred to judicial precedents and concluded that the grouting services provided by ULO Systems LLC were directly associated with the exploration and extraction of mineral oils. Therefore, the income from such services should be taxed under the presumptive provisions of Section 44BB of the Income Tax Act, 1961.</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No Permanent Establishment:</w:t>
      </w:r>
      <w:r w:rsidRPr="009C5151">
        <w:t xml:space="preserve"> The ITAT ruled that ULO Systems LLC did not have a PE in India under the India-UAE DTAA, as neither a fixed place PE nor a Service PE was constituted.</w:t>
      </w:r>
    </w:p>
    <w:p w:rsidR="00A056B6" w:rsidRPr="009C5151" w:rsidRDefault="00A056B6" w:rsidP="00743A5F">
      <w:pPr>
        <w:pStyle w:val="NormalWeb"/>
        <w:tabs>
          <w:tab w:val="num" w:pos="720"/>
        </w:tabs>
        <w:spacing w:before="0" w:beforeAutospacing="0"/>
        <w:ind w:left="720" w:hanging="360"/>
      </w:pPr>
      <w:r w:rsidRPr="009C5151">
        <w:rPr>
          <w:rStyle w:val="Strong"/>
        </w:rPr>
        <w:t>Offshore Supplies Not Taxable:</w:t>
      </w:r>
      <w:r w:rsidRPr="009C5151">
        <w:t xml:space="preserve"> The income from offshore supplies made by the assessee was not taxable in India, as the transactions were concluded outside the Indian territory.</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Applicability of Section 44BB:</w:t>
      </w:r>
      <w:r w:rsidRPr="009C5151">
        <w:t xml:space="preserve"> The income from grouting services provided by ULO Systems LLC was to be taxed under Section 44BB of the Income Tax Act, which prescribes a presumptive tax regime for services related to the exploration or extraction of mineral oils.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decision clarifies that for a non-resident entity to have a Permanent Establishment in India under the DTAA, there must be a fixed place of business at its disposal or activities exceeding the specified duration. It also emphasizes that income from offshore supplies concluded outside India is not taxable in India. Furthermore, services directly connected to the exploration or extraction of mineral oils are eligible for taxation under the presumptive provisions of Section 44BB, providing clarity on the tax treatment of such services.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ULO Systems LLC v. ADIT, [2019] 101 taxmann.com 490 (Delhi - Trib.), ITA No. 5968/Del/2010, dated December 21,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99" w:tgtFrame="_new" w:history="1">
        <w:r w:rsidRPr="009C5151">
          <w:rPr>
            <w:rStyle w:val="Hyperlink"/>
          </w:rPr>
          <w:t>CaseMine</w:t>
        </w:r>
      </w:hyperlink>
    </w:p>
    <w:p w:rsidR="00A056B6" w:rsidRPr="009C5151" w:rsidRDefault="00A056B6" w:rsidP="00743A5F">
      <w:pPr>
        <w:pStyle w:val="NormalWeb"/>
        <w:spacing w:before="0" w:beforeAutospacing="0"/>
      </w:pPr>
      <w:r w:rsidRPr="009C5151">
        <w:t>This ruling provides guidance on the interpretation of Permanent Establishment provisions under the DTAA and the applicability of Section 44BB for services related to the oil and gas industry, aiding in the determination of tax liabilities for non-resident entities operating in India.</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pStyle w:val="Heading6"/>
        <w:spacing w:before="0" w:beforeAutospacing="0"/>
        <w:rPr>
          <w:sz w:val="24"/>
          <w:szCs w:val="24"/>
        </w:rPr>
      </w:pPr>
      <w:r w:rsidRPr="009C5151">
        <w:rPr>
          <w:sz w:val="24"/>
          <w:szCs w:val="24"/>
        </w:rPr>
        <w:t>Discuss GE Energy Parts Inc. vs CIT (Intl Tax) [2019] 101 taxmann.com 142 (Del HC) – ITA No 621,627,628,629,671,674 &amp; 675 of 2017 (Del HC) dated December 21, 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CC8516B" wp14:editId="7BE83CE6">
            <wp:extent cx="763905" cy="763905"/>
            <wp:effectExtent l="0" t="0" r="0" b="0"/>
            <wp:docPr id="378" name="Picture 37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4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GE Energy Parts Inc. v. Commissioner of Income Tax (International Taxation)</w:t>
      </w:r>
      <w:r w:rsidRPr="009C5151">
        <w:t xml:space="preserve">, the </w:t>
      </w:r>
      <w:r w:rsidRPr="009C5151">
        <w:rPr>
          <w:rStyle w:val="Strong"/>
        </w:rPr>
        <w:t>Delhi High Court</w:t>
      </w:r>
      <w:r w:rsidRPr="009C5151">
        <w:t xml:space="preserve"> examined the tax implications for GE Energy Parts Inc. (GEP), a U.S.-based company, concerning its operations and business activities in India.</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GE Energy Parts Inc. (GEP), incorporated in the USA, engaged in the manufacture and offshore sale of sophisticated equipment, including gas turbine parts and sub-assemblies.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Indian Operations:</w:t>
      </w:r>
      <w:r w:rsidRPr="009C5151">
        <w:t xml:space="preserve"> GEP conducted sales to Indian customers on a principal-to-principal basis, with the title to goods passing outside India. It operated in India through entities such as GE India Industrial Pvt. Ltd. (GEIIPL) and GE International Operations Company Inc. (GEIOC), which had a liaison office (LO) in New Delhi.</w:t>
      </w:r>
    </w:p>
    <w:p w:rsidR="00A056B6" w:rsidRPr="009C5151" w:rsidRDefault="00A056B6" w:rsidP="00743A5F">
      <w:pPr>
        <w:pStyle w:val="NormalWeb"/>
        <w:tabs>
          <w:tab w:val="num" w:pos="720"/>
        </w:tabs>
        <w:spacing w:before="0" w:beforeAutospacing="0"/>
        <w:ind w:left="720" w:hanging="360"/>
      </w:pPr>
      <w:r w:rsidRPr="009C5151">
        <w:rPr>
          <w:rStyle w:val="Strong"/>
        </w:rPr>
        <w:t>Survey and Assessment:</w:t>
      </w:r>
      <w:r w:rsidRPr="009C5151">
        <w:t xml:space="preserve"> A survey under Section 133A of the Income Tax Act was conducted at GEIOC's premises, leading to the assessment that GEP had a Permanent Establishment (PE) in India and was liable to file income tax returns in the country.</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GEP had a PE in India under Articles 5(1) to 5(3) of the India-USA Double Taxation Avoidance Agreement (DTAA) due to its business activities and the role of its Indian affiliates.</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If a PE existed, what portion of GEP's income could be attributed to the Indian PE and thus be taxable in India.</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No Fixed Place PE:</w:t>
      </w:r>
      <w:r w:rsidRPr="009C5151">
        <w:t xml:space="preserve"> GEP contended that it did not have a fixed place of business in India. The liaison office and GEIIPL operated independently, and their activities were preparatory or auxiliary in nature, which, under Article 5(3) of the DTAA, do not constitute a PE.</w:t>
      </w:r>
    </w:p>
    <w:p w:rsidR="00A056B6" w:rsidRPr="009C5151" w:rsidRDefault="00A056B6" w:rsidP="00743A5F">
      <w:pPr>
        <w:pStyle w:val="NormalWeb"/>
        <w:tabs>
          <w:tab w:val="num" w:pos="720"/>
        </w:tabs>
        <w:spacing w:before="0" w:beforeAutospacing="0"/>
        <w:ind w:left="720" w:hanging="360"/>
      </w:pPr>
      <w:r w:rsidRPr="009C5151">
        <w:rPr>
          <w:rStyle w:val="Strong"/>
        </w:rPr>
        <w:t>No Dependent Agent PE:</w:t>
      </w:r>
      <w:r w:rsidRPr="009C5151">
        <w:t xml:space="preserve"> GEP argued that neither GEIIPL nor the liaison office had the authority to conclude contracts on behalf of GEP. Their roles were limited to support services, and they did not secure orders or maintain stock for GEP.</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Existence of PE:</w:t>
      </w:r>
      <w:r w:rsidRPr="009C5151">
        <w:t xml:space="preserve"> The Revenue asserted that GEP had a fixed place PE in India through the premises of GEIIPL and the liaison office. Additionally, it claimed that GEIIPL acted as a dependent agent PE, habitually securing orders for GEP, thereby creating a taxable presence in India.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The Revenue sought to attribute a portion of GEP's global income to the alleged Indian PE, arguing that the activities conducted in India significantly contributed to GEP's overall business.</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Fixed Place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Court examined whether GEP had a fixed place of business at its disposal in India. It found that the liaison office's activities were limited to communication and support, falling under preparatory or auxiliary activities as per Article 5(3) of the DTAA. Therefore, the liaison office did not constitute a fixed place PE.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Dependent Agent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Court analyzed the functions of GEIIPL and concluded that it did not have the authority to conclude contracts on behalf of GEP. GEIIPL's activities were confined to marketing support and liaison services, and it was remunerated on an arm's length basis. There was no evidence to suggest that GEIIPL habitually secured orders for GEP.</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Since the Court determined that GEP did not have a PE in India, the question of attributing income to an Indian PE did not arise.</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No Permanent Establishment:</w:t>
      </w:r>
      <w:r w:rsidRPr="009C5151">
        <w:t xml:space="preserve"> The Delhi High Court held that GEP did not have a PE in India under the India-USA DTAA. The activities of the liaison office and GEIIPL were preparatory or auxiliary, and neither entity had the authority to conclude contracts on behalf of GEP.</w:t>
      </w:r>
    </w:p>
    <w:p w:rsidR="00A056B6" w:rsidRPr="009C5151" w:rsidRDefault="00A056B6" w:rsidP="00743A5F">
      <w:pPr>
        <w:pStyle w:val="NormalWeb"/>
        <w:tabs>
          <w:tab w:val="num" w:pos="720"/>
        </w:tabs>
        <w:spacing w:before="0" w:beforeAutospacing="0"/>
        <w:ind w:left="720" w:hanging="360"/>
      </w:pPr>
      <w:r w:rsidRPr="009C5151">
        <w:rPr>
          <w:rStyle w:val="Strong"/>
        </w:rPr>
        <w:t>No Taxable Presence:</w:t>
      </w:r>
      <w:r w:rsidRPr="009C5151">
        <w:t xml:space="preserve"> In the absence of a PE, GEP's income from offshore sales to Indian customers was not taxable in India.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underscores the importance of analyzing the nature of activities conducted by foreign entities and their affiliates in India to determine the existence of a Permanent Establishment under the DTAA. It highlights that preparatory or auxiliary activities and the absence of authority to conclude contracts are critical factors in assessing tax liability for non-resident entities operating in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GE Energy Parts Inc. v. CIT (International Taxation), [2019] 101 taxmann.com 142 (Delhi HC), ITA Nos. 621, 627, 628, 629, 671, 674 &amp; 675 of 2017, dated December 21,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00" w:tgtFrame="_new" w:history="1">
        <w:r w:rsidRPr="009C5151">
          <w:rPr>
            <w:rStyle w:val="Hyperlink"/>
          </w:rPr>
          <w:t>ITAT Online</w:t>
        </w:r>
      </w:hyperlink>
    </w:p>
    <w:p w:rsidR="00A056B6" w:rsidRPr="009C5151" w:rsidRDefault="00A056B6" w:rsidP="00743A5F">
      <w:pPr>
        <w:pStyle w:val="NormalWeb"/>
        <w:spacing w:before="0" w:beforeAutospacing="0"/>
      </w:pPr>
      <w:r w:rsidRPr="009C5151">
        <w:t>This ruling provides clarity on the interpretation of Permanent Establishment provisions under the India-USA DTAA, aiding multinational enterprises in structuring their operations to comply with international tax laws.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pStyle w:val="Heading6"/>
        <w:spacing w:before="0" w:beforeAutospacing="0"/>
        <w:rPr>
          <w:sz w:val="24"/>
          <w:szCs w:val="24"/>
        </w:rPr>
      </w:pPr>
      <w:r w:rsidRPr="009C5151">
        <w:rPr>
          <w:sz w:val="24"/>
          <w:szCs w:val="24"/>
        </w:rPr>
        <w:t>Discuss Adobe Systems Incorporated v ADIT - (2016) 96 CCH 0012 (Del) [India - US DTAA]</w:t>
      </w:r>
    </w:p>
    <w:p w:rsidR="00A056B6" w:rsidRPr="009C5151" w:rsidRDefault="00A056B6" w:rsidP="00743A5F">
      <w:pPr>
        <w:pStyle w:val="Heading6"/>
        <w:spacing w:before="0" w:beforeAutospacing="0"/>
        <w:rPr>
          <w:sz w:val="24"/>
          <w:szCs w:val="24"/>
        </w:rPr>
      </w:pPr>
      <w:r w:rsidRPr="009C5151">
        <w:rPr>
          <w:sz w:val="24"/>
          <w:szCs w:val="24"/>
        </w:rPr>
        <w:lastRenderedPageBreak/>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7754B41" wp14:editId="09D4AE4B">
            <wp:extent cx="763905" cy="763905"/>
            <wp:effectExtent l="0" t="0" r="0" b="0"/>
            <wp:docPr id="377" name="Picture 37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4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777A75" w:rsidRDefault="00A056B6" w:rsidP="00743A5F">
      <w:pPr>
        <w:pStyle w:val="Heading6"/>
        <w:spacing w:before="0" w:beforeAutospacing="0"/>
        <w:rPr>
          <w:sz w:val="24"/>
          <w:szCs w:val="24"/>
        </w:rPr>
      </w:pPr>
      <w:r w:rsidRPr="00777A75">
        <w:rPr>
          <w:sz w:val="24"/>
          <w:szCs w:val="24"/>
        </w:rPr>
        <w:t xml:space="preserve">In the case of </w:t>
      </w:r>
      <w:r w:rsidRPr="00777A75">
        <w:rPr>
          <w:b w:val="0"/>
          <w:bCs w:val="0"/>
          <w:sz w:val="24"/>
          <w:szCs w:val="24"/>
        </w:rPr>
        <w:t>Adobe Systems Incorporated v. Assistant Director of Income Tax</w:t>
      </w:r>
      <w:r w:rsidRPr="00777A75">
        <w:rPr>
          <w:sz w:val="24"/>
          <w:szCs w:val="24"/>
        </w:rPr>
        <w:t xml:space="preserve">, the </w:t>
      </w:r>
      <w:r w:rsidRPr="00777A75">
        <w:rPr>
          <w:b w:val="0"/>
          <w:bCs w:val="0"/>
          <w:sz w:val="24"/>
          <w:szCs w:val="24"/>
        </w:rPr>
        <w:t>Delhi High Court</w:t>
      </w:r>
      <w:r w:rsidRPr="00777A75">
        <w:rPr>
          <w:sz w:val="24"/>
          <w:szCs w:val="24"/>
        </w:rPr>
        <w:t xml:space="preserve"> addressed the issue of whether Adobe Systems Incorporated (the Assessee), a U.S.-based company, had a Permanent Establishment (PE) in India through its subsidiary, Adobe Systems India Private Limited (Adobe India), under the India-U.S. Double Taxation Avoidance Agreement (DTAA).</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Adobe Systems Incorporated, a company incorporated in the USA, engaged in providing software solutions for network publishing, including web, print, video, wireless, and broadband applications.</w:t>
      </w:r>
    </w:p>
    <w:p w:rsidR="00A056B6" w:rsidRPr="009C5151" w:rsidRDefault="00A056B6" w:rsidP="00743A5F">
      <w:pPr>
        <w:pStyle w:val="NormalWeb"/>
        <w:tabs>
          <w:tab w:val="num" w:pos="720"/>
        </w:tabs>
        <w:spacing w:before="0" w:beforeAutospacing="0"/>
        <w:ind w:left="720" w:hanging="360"/>
      </w:pPr>
      <w:r w:rsidRPr="009C5151">
        <w:rPr>
          <w:rStyle w:val="Strong"/>
        </w:rPr>
        <w:t>Indian Subsidiary:</w:t>
      </w:r>
      <w:r w:rsidRPr="009C5151">
        <w:t xml:space="preserve"> Adobe India, a wholly-owned subsidiary of the Assessee, provided software-related Research and Development (R&amp;D) services to the Assessee on a cost-plus basis.</w:t>
      </w:r>
    </w:p>
    <w:p w:rsidR="00A056B6" w:rsidRPr="009C5151" w:rsidRDefault="00A056B6" w:rsidP="00743A5F">
      <w:pPr>
        <w:pStyle w:val="NormalWeb"/>
        <w:tabs>
          <w:tab w:val="num" w:pos="720"/>
        </w:tabs>
        <w:spacing w:before="0" w:beforeAutospacing="0"/>
        <w:ind w:left="720" w:hanging="360"/>
      </w:pPr>
      <w:r w:rsidRPr="009C5151">
        <w:rPr>
          <w:rStyle w:val="Strong"/>
        </w:rPr>
        <w:t>Assessment Years in Question:</w:t>
      </w:r>
      <w:r w:rsidRPr="009C5151">
        <w:t xml:space="preserve"> 2004-05, 2005-06, and 2006-07.</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Adobe India constituted a PE of the Assessee in India under Article 5 of the India-U.S. DTAA.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If a PE existed, whether any part of the Assessee's income could be attributed to such PE, considering that Adobe India's transactions with the Assessee were conducted at Arm's Length Prices (ALP) and had been subjected to transfer pricing scrutiny.</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No PE in India:</w:t>
      </w:r>
      <w:r w:rsidRPr="009C5151">
        <w:t xml:space="preserve"> The Assessee contended that it did not have a PE in India, as Adobe India operated independently and provided R&amp;D services on a principal-to-principal basis.</w:t>
      </w:r>
    </w:p>
    <w:p w:rsidR="00A056B6" w:rsidRPr="009C5151" w:rsidRDefault="00A056B6" w:rsidP="00743A5F">
      <w:pPr>
        <w:pStyle w:val="NormalWeb"/>
        <w:tabs>
          <w:tab w:val="num" w:pos="720"/>
        </w:tabs>
        <w:spacing w:before="0" w:beforeAutospacing="0"/>
        <w:ind w:left="720" w:hanging="360"/>
      </w:pPr>
      <w:r w:rsidRPr="009C5151">
        <w:rPr>
          <w:rStyle w:val="Strong"/>
        </w:rPr>
        <w:t>Transactions at ALP:</w:t>
      </w:r>
      <w:r w:rsidRPr="009C5151">
        <w:t xml:space="preserve"> Even if Adobe India were considered a PE, the Assessee argued that since Adobe India's income had been assessed at ALP, no further income could be attributed to the Assessee in respect of the activities carried out by Adobe India.</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Existence of PE:</w:t>
      </w:r>
      <w:r w:rsidRPr="009C5151">
        <w:t xml:space="preserve"> The Revenue asserted that Adobe India constituted a PE of the Assessee in India, as it performed core business activities integral to the Assessee's operations.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Attribution of Income Beyond ALP:</w:t>
      </w:r>
      <w:r w:rsidRPr="009C5151">
        <w:t xml:space="preserve"> The Revenue contended that the cost-plus remuneration to Adobe India did not capture the fair share of the Assessee's income attributable to its PE in India. Therefore, a portion of the Assessee's income should be taxed in India, computed using the profit split method.</w:t>
      </w:r>
    </w:p>
    <w:p w:rsidR="00A056B6" w:rsidRPr="009C5151" w:rsidRDefault="00A056B6" w:rsidP="00743A5F">
      <w:pPr>
        <w:pStyle w:val="NormalWeb"/>
        <w:spacing w:before="0" w:beforeAutospacing="0"/>
      </w:pPr>
      <w:r w:rsidRPr="009C5151">
        <w:rPr>
          <w:rStyle w:val="Strong"/>
        </w:rPr>
        <w:t>Court's Analysis:</w:t>
      </w:r>
    </w:p>
    <w:p w:rsidR="00A056B6" w:rsidRPr="009C5151" w:rsidRDefault="00A056B6" w:rsidP="00743A5F">
      <w:pPr>
        <w:pStyle w:val="NormalWeb"/>
        <w:tabs>
          <w:tab w:val="num" w:pos="720"/>
        </w:tabs>
        <w:spacing w:before="0" w:beforeAutospacing="0"/>
        <w:ind w:left="720" w:hanging="360"/>
      </w:pPr>
      <w:r w:rsidRPr="009C5151">
        <w:rPr>
          <w:rStyle w:val="Strong"/>
        </w:rPr>
        <w:t>Fixed Place PE (Article 5(1)):</w:t>
      </w:r>
      <w:r w:rsidRPr="009C5151">
        <w:t xml:space="preserve"> The Court noted that for a fixed place PE to exist, the Assessee must have a place of business in India at its disposal. In this case, Adobe India operated independently, and there was no evidence that the Assessee had a fixed place of business in India.</w:t>
      </w:r>
    </w:p>
    <w:p w:rsidR="00A056B6" w:rsidRPr="009C5151" w:rsidRDefault="00A056B6" w:rsidP="00743A5F">
      <w:pPr>
        <w:pStyle w:val="NormalWeb"/>
        <w:tabs>
          <w:tab w:val="num" w:pos="720"/>
        </w:tabs>
        <w:spacing w:before="0" w:beforeAutospacing="0"/>
        <w:ind w:left="720" w:hanging="360"/>
      </w:pPr>
      <w:r w:rsidRPr="009C5151">
        <w:rPr>
          <w:rStyle w:val="Strong"/>
        </w:rPr>
        <w:t>Service PE (Article 5(2)(l)):</w:t>
      </w:r>
      <w:r w:rsidRPr="009C5151">
        <w:t xml:space="preserve"> The Court observed that there was no material to suggest that the Assessee's employees rendered any services in India. The Assessee's right to audit Adobe India and provide specifications for R&amp;D services did not imply that it was rendering services in India.</w:t>
      </w:r>
    </w:p>
    <w:p w:rsidR="00A056B6" w:rsidRPr="009C5151" w:rsidRDefault="00A056B6" w:rsidP="00743A5F">
      <w:pPr>
        <w:pStyle w:val="NormalWeb"/>
        <w:tabs>
          <w:tab w:val="num" w:pos="720"/>
        </w:tabs>
        <w:spacing w:before="0" w:beforeAutospacing="0"/>
        <w:ind w:left="720" w:hanging="360"/>
      </w:pPr>
      <w:r w:rsidRPr="009C5151">
        <w:rPr>
          <w:rStyle w:val="Strong"/>
        </w:rPr>
        <w:t>Dependent Agent PE (Article 5(5)):</w:t>
      </w:r>
      <w:r w:rsidRPr="009C5151">
        <w:t xml:space="preserve"> The Court found that Adobe India did not habitually secure orders or conclude contracts on behalf of the Assessee. Therefore, it could not be considered a dependent agent PE.</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The Court referred to the Supreme Court's decision in </w:t>
      </w:r>
      <w:r w:rsidRPr="009C5151">
        <w:rPr>
          <w:rStyle w:val="Emphasis"/>
        </w:rPr>
        <w:t>DIT v. Morgan Stanley &amp; Co. Inc.</w:t>
      </w:r>
      <w:r w:rsidRPr="009C5151">
        <w:t xml:space="preserve"> and concluded that if the transactions between the Assessee and Adobe India were at ALP, no further income could be attributed to the Assessee's PE in India.</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No Permanent Establishment:</w:t>
      </w:r>
      <w:r w:rsidRPr="009C5151">
        <w:t xml:space="preserve"> The Delhi High Court held that Adobe India did not constitute a PE of the Assessee in India under Article 5 of the India-U.S. DTAA.</w:t>
      </w:r>
    </w:p>
    <w:p w:rsidR="00A056B6" w:rsidRPr="009C5151" w:rsidRDefault="00A056B6" w:rsidP="00743A5F">
      <w:pPr>
        <w:pStyle w:val="NormalWeb"/>
        <w:tabs>
          <w:tab w:val="num" w:pos="720"/>
        </w:tabs>
        <w:spacing w:before="0" w:beforeAutospacing="0"/>
        <w:ind w:left="720" w:hanging="360"/>
      </w:pPr>
      <w:r w:rsidRPr="009C5151">
        <w:rPr>
          <w:rStyle w:val="Strong"/>
        </w:rPr>
        <w:t>No Additional Attribution of Income:</w:t>
      </w:r>
      <w:r w:rsidRPr="009C5151">
        <w:t xml:space="preserve"> The Court ruled that since Adobe India's transactions with the Assessee were conducted at ALP and had been subjected to transfer pricing scrutiny, no further income could be attributed to the Assessee in respect of the activities carried out by Adobe India.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a subsidiary providing services to its parent company on an arm's length basis does not automatically constitute a Permanent Establishment under the India-U.S. DTAA. It emphasizes the importance of transfer pricing regulations in determining the attribution of income and reinforces that transactions conducted at ALP should not lead to additional tax liabilities for the foreign enterprise in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Adobe Systems Incorporated v. ADIT, (2016) 96 CCH 0012 (Delhi High Court).</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01" w:tgtFrame="_new" w:history="1">
        <w:r w:rsidRPr="009C5151">
          <w:rPr>
            <w:rStyle w:val="Hyperlink"/>
          </w:rPr>
          <w:t>Indian Kanoon</w:t>
        </w:r>
      </w:hyperlink>
    </w:p>
    <w:p w:rsidR="00A056B6" w:rsidRPr="009C5151" w:rsidRDefault="00A056B6" w:rsidP="00743A5F">
      <w:pPr>
        <w:pStyle w:val="NormalWeb"/>
        <w:spacing w:before="0" w:beforeAutospacing="0"/>
      </w:pPr>
      <w:r w:rsidRPr="009C5151">
        <w:lastRenderedPageBreak/>
        <w:t>This ruling provides significant insights into the interpretation of Permanent Establishment provisions under the India-U.S. DTAA and the role of transfer pricing in cross-border transactions.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pStyle w:val="Heading6"/>
        <w:spacing w:before="0" w:beforeAutospacing="0"/>
        <w:rPr>
          <w:sz w:val="24"/>
          <w:szCs w:val="24"/>
        </w:rPr>
      </w:pPr>
      <w:r w:rsidRPr="009C5151">
        <w:rPr>
          <w:sz w:val="24"/>
          <w:szCs w:val="24"/>
        </w:rPr>
        <w:t>Discuss MERO Asia Pacific Pte Ltd - TS-489-AAR-2016 - A.A.R. No 981 of 2010 [India - Singapore DTAA]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3F2F3722" wp14:editId="1162DC8F">
            <wp:extent cx="763905" cy="763905"/>
            <wp:effectExtent l="0" t="0" r="0" b="0"/>
            <wp:docPr id="376" name="Picture 37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4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MERO Asia Pacific Pte Ltd</w:t>
      </w:r>
      <w:r w:rsidRPr="009C5151">
        <w:t xml:space="preserve">, the </w:t>
      </w:r>
      <w:r w:rsidRPr="009C5151">
        <w:rPr>
          <w:rStyle w:val="Strong"/>
        </w:rPr>
        <w:t>Authority for Advance Rulings (AAR)</w:t>
      </w:r>
      <w:r w:rsidRPr="009C5151">
        <w:t xml:space="preserve"> addressed the tax implications of payments received by a Singapore-based company under a composite contract involving design, engineering, supply, fabrication, assembly, erection, and installation of goods and materials in India.</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MERO Asia Pacific Pte Ltd (MAPL), a company incorporated in Singapore, engaged in executing contracts related to structural glazing and wall cladding works.</w:t>
      </w:r>
    </w:p>
    <w:p w:rsidR="00A056B6" w:rsidRPr="009C5151" w:rsidRDefault="00A056B6" w:rsidP="00743A5F">
      <w:pPr>
        <w:pStyle w:val="NormalWeb"/>
        <w:tabs>
          <w:tab w:val="num" w:pos="720"/>
        </w:tabs>
        <w:spacing w:before="0" w:beforeAutospacing="0"/>
        <w:ind w:left="720" w:hanging="360"/>
      </w:pPr>
      <w:r w:rsidRPr="009C5151">
        <w:rPr>
          <w:rStyle w:val="Strong"/>
        </w:rPr>
        <w:t>Contractual Arrangement:</w:t>
      </w:r>
      <w:r w:rsidRPr="009C5151">
        <w:t xml:space="preserve"> Delhi International Airport Private Limited (DIAL) awarded a contract to Larsen &amp; Toubro (L&amp;T) for the design and construction of Terminal 3 at Delhi Airport. L&amp;T subcontracted the façade work, including design, supply, and installation, to MAPL through a composite contract.</w:t>
      </w:r>
    </w:p>
    <w:p w:rsidR="00A056B6" w:rsidRPr="009C5151" w:rsidRDefault="00A056B6" w:rsidP="00743A5F">
      <w:pPr>
        <w:pStyle w:val="NormalWeb"/>
        <w:tabs>
          <w:tab w:val="num" w:pos="720"/>
        </w:tabs>
        <w:spacing w:before="0" w:beforeAutospacing="0"/>
        <w:ind w:left="720" w:hanging="360"/>
      </w:pPr>
      <w:r w:rsidRPr="009C5151">
        <w:rPr>
          <w:rStyle w:val="Strong"/>
        </w:rPr>
        <w:t>Scope of Work:</w:t>
      </w:r>
      <w:r w:rsidRPr="009C5151">
        <w:t xml:space="preserve"> The contract encompassed offshore supply of materials and onshore services, including installation and commissioning.</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Taxability of Offshore Supplies:</w:t>
      </w:r>
      <w:r w:rsidRPr="009C5151">
        <w:t xml:space="preserve"> Whether the amounts received by MAPL from L&amp;T for offshore supply of goods and materials were liable to tax in India under the Income Tax Act, 1961, read with the India-Singapore Double Taxation Avoidance Agreement (DTAA).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If taxable, to what extent the amounts were attributable to operations carried out in India and thus taxable by virtue of Explanation (a) to Section 9(1)(i) of the Act and/or Article 7(1) of the India-Singapore DTAA.</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Offshore Supply Not Taxable:</w:t>
      </w:r>
      <w:r w:rsidRPr="009C5151">
        <w:t xml:space="preserve"> MAPL contended that the offshore supply of goods was a separate component of the contract, with title and risk transferring outside India. Payments were received in Singapore, and the project office in India was not involved in these supplies.</w:t>
      </w:r>
    </w:p>
    <w:p w:rsidR="00A056B6" w:rsidRPr="009C5151" w:rsidRDefault="00A056B6" w:rsidP="00743A5F">
      <w:pPr>
        <w:pStyle w:val="NormalWeb"/>
        <w:tabs>
          <w:tab w:val="num" w:pos="720"/>
        </w:tabs>
        <w:spacing w:before="0" w:beforeAutospacing="0"/>
        <w:ind w:left="720" w:hanging="360"/>
      </w:pPr>
      <w:r w:rsidRPr="009C5151">
        <w:rPr>
          <w:rStyle w:val="Strong"/>
        </w:rPr>
        <w:t>Reliance on Precedents:</w:t>
      </w:r>
      <w:r w:rsidRPr="009C5151">
        <w:t xml:space="preserve"> MAPL cited the Supreme Court's decision in </w:t>
      </w:r>
      <w:r w:rsidRPr="009C5151">
        <w:rPr>
          <w:rStyle w:val="Emphasis"/>
        </w:rPr>
        <w:t>Ishikawajima-Harima Heavy Industries Ltd. v. DIT</w:t>
      </w:r>
      <w:r w:rsidRPr="009C5151">
        <w:t xml:space="preserve"> (288 ITR 408), asserting that offshore supplies, where title and risk pass outside India, are not taxable in India.</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Composite Contract:</w:t>
      </w:r>
      <w:r w:rsidRPr="009C5151">
        <w:t xml:space="preserve"> The Revenue argued that the contract was composite, with no clear demarcation between offshore supply and onshore services. The project office in India was involved in customs clearance and installation, indicating an intimate connection between offshore and onshore activities.</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Given the composite nature of the contract and the involvement of the Indian project office, the entire contract amount was taxable in India.</w:t>
      </w:r>
    </w:p>
    <w:p w:rsidR="00A056B6" w:rsidRPr="009C5151" w:rsidRDefault="00A056B6" w:rsidP="00743A5F">
      <w:pPr>
        <w:pStyle w:val="NormalWeb"/>
        <w:spacing w:before="0" w:beforeAutospacing="0"/>
      </w:pPr>
      <w:r w:rsidRPr="009C5151">
        <w:rPr>
          <w:rStyle w:val="Strong"/>
        </w:rPr>
        <w:t>AAR's Analysis:</w:t>
      </w:r>
    </w:p>
    <w:p w:rsidR="00A056B6" w:rsidRPr="009C5151" w:rsidRDefault="00A056B6" w:rsidP="00743A5F">
      <w:pPr>
        <w:pStyle w:val="NormalWeb"/>
        <w:tabs>
          <w:tab w:val="num" w:pos="720"/>
        </w:tabs>
        <w:spacing w:before="0" w:beforeAutospacing="0"/>
        <w:ind w:left="720" w:hanging="360"/>
      </w:pPr>
      <w:r w:rsidRPr="009C5151">
        <w:rPr>
          <w:rStyle w:val="Strong"/>
        </w:rPr>
        <w:t>Composite Nature of Contract:</w:t>
      </w:r>
      <w:r w:rsidRPr="009C5151">
        <w:t xml:space="preserve"> The AAR observed that the contract lacked a clear bifurcation between offshore supply and onshore services. The project office in India handled customs clearance and installation, indicating that the offshore supplies were not independent of the onshore activities.</w:t>
      </w:r>
    </w:p>
    <w:p w:rsidR="00A056B6" w:rsidRPr="009C5151" w:rsidRDefault="00A056B6" w:rsidP="00743A5F">
      <w:pPr>
        <w:pStyle w:val="NormalWeb"/>
        <w:tabs>
          <w:tab w:val="num" w:pos="720"/>
        </w:tabs>
        <w:spacing w:before="0" w:beforeAutospacing="0"/>
        <w:ind w:left="720" w:hanging="360"/>
      </w:pPr>
      <w:r w:rsidRPr="009C5151">
        <w:rPr>
          <w:rStyle w:val="Strong"/>
        </w:rPr>
        <w:t>Transfer of Title and Risk:</w:t>
      </w:r>
      <w:r w:rsidRPr="009C5151">
        <w:t xml:space="preserve"> Despite invoicing on a CIF (Cost, Insurance, and Freight) basis, the AAR noted that MAPL retained risk and insurance until installation was complete, suggesting that the sale was not concluded offshore.</w:t>
      </w:r>
    </w:p>
    <w:p w:rsidR="00A056B6" w:rsidRPr="009C5151" w:rsidRDefault="00A056B6" w:rsidP="00743A5F">
      <w:pPr>
        <w:pStyle w:val="NormalWeb"/>
        <w:tabs>
          <w:tab w:val="num" w:pos="720"/>
        </w:tabs>
        <w:spacing w:before="0" w:beforeAutospacing="0"/>
        <w:ind w:left="720" w:hanging="360"/>
      </w:pPr>
      <w:r w:rsidRPr="009C5151">
        <w:rPr>
          <w:rStyle w:val="Strong"/>
        </w:rPr>
        <w:t xml:space="preserve">Distinction from </w:t>
      </w:r>
      <w:r w:rsidRPr="009C5151">
        <w:rPr>
          <w:rStyle w:val="Emphasis"/>
          <w:b/>
          <w:bCs/>
        </w:rPr>
        <w:t>Ishikawajima-Harima</w:t>
      </w:r>
      <w:r w:rsidRPr="009C5151">
        <w:rPr>
          <w:rStyle w:val="Strong"/>
        </w:rPr>
        <w:t xml:space="preserve"> Case:</w:t>
      </w:r>
      <w:r w:rsidRPr="009C5151">
        <w:t xml:space="preserve"> The AAR distinguished this case from the </w:t>
      </w:r>
      <w:r w:rsidRPr="009C5151">
        <w:rPr>
          <w:rStyle w:val="Emphasis"/>
        </w:rPr>
        <w:t>Ishikawajima-Harima</w:t>
      </w:r>
      <w:r w:rsidRPr="009C5151">
        <w:t xml:space="preserve"> ruling, emphasizing that in the latter, there was a clear demarcation between offshore and onshore activities, whereas, in MAPL's case, the contract was composite without such separation.</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The AAR held that due to the composite nature of the contract and the involvement of the Indian project office in both supply and installation, the entire contract amount received by MAPL was taxable in India.</w:t>
      </w:r>
    </w:p>
    <w:p w:rsidR="00A056B6" w:rsidRPr="009C5151" w:rsidRDefault="00A056B6" w:rsidP="00743A5F">
      <w:pPr>
        <w:pStyle w:val="NormalWeb"/>
        <w:tabs>
          <w:tab w:val="num" w:pos="720"/>
        </w:tabs>
        <w:spacing w:before="0" w:beforeAutospacing="0"/>
        <w:ind w:left="720" w:hanging="360"/>
      </w:pPr>
      <w:r w:rsidRPr="009C5151">
        <w:rPr>
          <w:rStyle w:val="Strong"/>
        </w:rPr>
        <w:t>Attribution of Income:</w:t>
      </w:r>
      <w:r w:rsidRPr="009C5151">
        <w:t xml:space="preserve"> Since the contract was indivisible, the AAR did not find it necessary to apportion income between offshore and onshore activities; the entire income was attributable to operations in India.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 xml:space="preserve">This ruling underscores the importance of clear contractual demarcation between offshore and onshore activities in cross-border contracts. In the absence of such separation, especially </w:t>
      </w:r>
      <w:r w:rsidRPr="009C5151">
        <w:lastRenderedPageBreak/>
        <w:t>when the foreign entity's Indian presence is involved in executing significant parts of the contract, Indian tax authorities may treat the entire contract value as taxable in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MERO Asia Pacific Pte Ltd, AAR No. 981 of 2010, [2016] 96 taxmann.com 12 (AAR - New Delhi).</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02" w:tgtFrame="_new" w:history="1">
        <w:r w:rsidRPr="009C5151">
          <w:rPr>
            <w:rStyle w:val="Hyperlink"/>
          </w:rPr>
          <w:t>CaseMine</w:t>
        </w:r>
      </w:hyperlink>
    </w:p>
    <w:p w:rsidR="00A056B6" w:rsidRPr="009C5151" w:rsidRDefault="00A056B6" w:rsidP="00743A5F">
      <w:pPr>
        <w:pStyle w:val="NormalWeb"/>
        <w:spacing w:before="0" w:beforeAutospacing="0"/>
      </w:pPr>
      <w:r w:rsidRPr="009C5151">
        <w:t>This decision highlights the need for foreign contractors to structure their contracts with Indian counterparts carefully, ensuring clear separation between offshore supply and onshore services to mitigate potential tax liabilities in India.</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pStyle w:val="Heading6"/>
        <w:spacing w:before="0" w:beforeAutospacing="0"/>
        <w:rPr>
          <w:sz w:val="24"/>
          <w:szCs w:val="24"/>
        </w:rPr>
      </w:pPr>
      <w:r w:rsidRPr="009C5151">
        <w:rPr>
          <w:sz w:val="24"/>
          <w:szCs w:val="24"/>
        </w:rPr>
        <w:t>Discuss DDIT v Unocol Bharat Ltd [2018] 99 taxmann.com 158 (Delhi - Trib.) – ITA No. 1388 (DELHI) OF 2012 dated October 5, 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8B41F30" wp14:editId="511D219E">
            <wp:extent cx="763905" cy="763905"/>
            <wp:effectExtent l="0" t="0" r="0" b="0"/>
            <wp:docPr id="375" name="Picture 37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4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Deputy Director of Income Tax (DDIT) v. Unocal Bharat Ltd.</w:t>
      </w:r>
      <w:r w:rsidRPr="009C5151">
        <w:t xml:space="preserve">, the </w:t>
      </w:r>
      <w:r w:rsidRPr="009C5151">
        <w:rPr>
          <w:rStyle w:val="Strong"/>
        </w:rPr>
        <w:t>Income Tax Appellate Tribunal (ITAT) Delhi Bench</w:t>
      </w:r>
      <w:r w:rsidRPr="009C5151">
        <w:t xml:space="preserve"> addressed the tax implications concerning the disallowance of expenses under Section 40(a)(i) of the Income Tax Act, 1961, in the context of the India-Mauritius Double Taxation Avoidance Agreement (DTAA).</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Unocal Bharat Ltd., a company incorporated in Mauritius, engaged in oil and gas exploration activities in India.</w:t>
      </w:r>
    </w:p>
    <w:p w:rsidR="00A056B6" w:rsidRPr="009C5151" w:rsidRDefault="00A056B6" w:rsidP="00743A5F">
      <w:pPr>
        <w:pStyle w:val="NormalWeb"/>
        <w:tabs>
          <w:tab w:val="num" w:pos="720"/>
        </w:tabs>
        <w:spacing w:before="0" w:beforeAutospacing="0"/>
        <w:ind w:left="720" w:hanging="360"/>
      </w:pPr>
      <w:r w:rsidRPr="009C5151">
        <w:rPr>
          <w:rStyle w:val="Strong"/>
        </w:rPr>
        <w:t>Assessment Year:</w:t>
      </w:r>
      <w:r w:rsidRPr="009C5151">
        <w:t xml:space="preserve"> 1998-99.</w:t>
      </w:r>
    </w:p>
    <w:p w:rsidR="00A056B6" w:rsidRPr="009C5151" w:rsidRDefault="00A056B6" w:rsidP="00743A5F">
      <w:pPr>
        <w:pStyle w:val="NormalWeb"/>
        <w:tabs>
          <w:tab w:val="num" w:pos="720"/>
        </w:tabs>
        <w:spacing w:before="0" w:beforeAutospacing="0"/>
        <w:ind w:left="720" w:hanging="360"/>
      </w:pPr>
      <w:r w:rsidRPr="009C5151">
        <w:rPr>
          <w:rStyle w:val="Strong"/>
        </w:rPr>
        <w:t>Nature of Expenses:</w:t>
      </w:r>
      <w:r w:rsidRPr="009C5151">
        <w:t xml:space="preserve"> The assessee incurred expenses related to payments made to non-residents for services utilized in its Indian operations.</w:t>
      </w:r>
    </w:p>
    <w:p w:rsidR="00A056B6" w:rsidRPr="009C5151" w:rsidRDefault="00A056B6" w:rsidP="00743A5F">
      <w:pPr>
        <w:pStyle w:val="NormalWeb"/>
        <w:tabs>
          <w:tab w:val="num" w:pos="720"/>
        </w:tabs>
        <w:spacing w:before="0" w:beforeAutospacing="0"/>
        <w:ind w:left="720" w:hanging="360"/>
      </w:pPr>
      <w:r w:rsidRPr="009C5151">
        <w:rPr>
          <w:rStyle w:val="Strong"/>
        </w:rPr>
        <w:t>Disallowance by Assessing Officer (AO):</w:t>
      </w:r>
      <w:r w:rsidRPr="009C5151">
        <w:t xml:space="preserve"> The AO disallowed these expenses under Section 40(a)(i) of the Income Tax Act on the grounds that the assessee failed to deduct tax at source (TDS) on payments made to non-residents.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Applicability of Section 40(a)(i):</w:t>
      </w:r>
      <w:r w:rsidRPr="009C5151">
        <w:t xml:space="preserve"> Whether the disallowance under Section 40(a)(i) for non-deduction of TDS on payments to non-residents was justified, considering the provisions of the India-Mauritius DTAA.</w:t>
      </w:r>
    </w:p>
    <w:p w:rsidR="00A056B6" w:rsidRPr="009C5151" w:rsidRDefault="00A056B6" w:rsidP="00743A5F">
      <w:pPr>
        <w:pStyle w:val="NormalWeb"/>
        <w:tabs>
          <w:tab w:val="num" w:pos="720"/>
        </w:tabs>
        <w:spacing w:before="0" w:beforeAutospacing="0"/>
        <w:ind w:left="720" w:hanging="360"/>
      </w:pPr>
      <w:r w:rsidRPr="009C5151">
        <w:rPr>
          <w:rStyle w:val="Strong"/>
        </w:rPr>
        <w:t>Interaction Between Domestic Law and DTAA:</w:t>
      </w:r>
      <w:r w:rsidRPr="009C5151">
        <w:t xml:space="preserve"> Whether the provisions of the DTAA override domestic tax laws, specifically concerning the disallowance of expenses for non-deduction of TDS.</w:t>
      </w:r>
    </w:p>
    <w:p w:rsidR="00A056B6" w:rsidRPr="009C5151" w:rsidRDefault="00A056B6" w:rsidP="00743A5F">
      <w:pPr>
        <w:pStyle w:val="NormalWeb"/>
        <w:spacing w:before="0" w:beforeAutospacing="0"/>
      </w:pPr>
      <w:r w:rsidRPr="009C5151">
        <w:rPr>
          <w:rStyle w:val="Strong"/>
        </w:rPr>
        <w:t>Assessee's Arguments:</w:t>
      </w:r>
    </w:p>
    <w:p w:rsidR="00A056B6" w:rsidRPr="009C5151" w:rsidRDefault="00A056B6" w:rsidP="00743A5F">
      <w:pPr>
        <w:pStyle w:val="NormalWeb"/>
        <w:tabs>
          <w:tab w:val="num" w:pos="720"/>
        </w:tabs>
        <w:spacing w:before="0" w:beforeAutospacing="0"/>
        <w:ind w:left="720" w:hanging="360"/>
      </w:pPr>
      <w:r w:rsidRPr="009C5151">
        <w:rPr>
          <w:rStyle w:val="Strong"/>
        </w:rPr>
        <w:t>DTAA Provisions Prevail:</w:t>
      </w:r>
      <w:r w:rsidRPr="009C5151">
        <w:t xml:space="preserve"> The assessee contended that the provisions of the India-Mauritius DTAA should prevail over domestic tax laws. Since the DTAA did not impose a requirement to deduct tax at source for the payments in question, the disallowance under Section 40(a)(i) was unwarranted.</w:t>
      </w:r>
    </w:p>
    <w:p w:rsidR="00A056B6" w:rsidRPr="009C5151" w:rsidRDefault="00A056B6" w:rsidP="00743A5F">
      <w:pPr>
        <w:pStyle w:val="NormalWeb"/>
        <w:tabs>
          <w:tab w:val="num" w:pos="720"/>
        </w:tabs>
        <w:spacing w:before="0" w:beforeAutospacing="0"/>
        <w:ind w:left="720" w:hanging="360"/>
      </w:pPr>
      <w:r w:rsidRPr="009C5151">
        <w:rPr>
          <w:rStyle w:val="Strong"/>
        </w:rPr>
        <w:t>No Tax Liability on Payments:</w:t>
      </w:r>
      <w:r w:rsidRPr="009C5151">
        <w:t xml:space="preserve"> The assessee argued that the payments made to non-residents were not chargeable to tax in India under the DTAA; therefore, the obligation to deduct TDS did not arise.</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pStyle w:val="NormalWeb"/>
        <w:tabs>
          <w:tab w:val="num" w:pos="720"/>
        </w:tabs>
        <w:spacing w:before="0" w:beforeAutospacing="0"/>
        <w:ind w:left="720" w:hanging="360"/>
      </w:pPr>
      <w:r w:rsidRPr="009C5151">
        <w:rPr>
          <w:rStyle w:val="Strong"/>
        </w:rPr>
        <w:t>Mandatory TDS Deduction:</w:t>
      </w:r>
      <w:r w:rsidRPr="009C5151">
        <w:t xml:space="preserve"> The Revenue asserted that under Section 40(a)(i) of the Income Tax Act, any payment to a non-resident without TDS deduction warrants disallowance of the corresponding expense, irrespective of DTAA provisions.</w:t>
      </w:r>
    </w:p>
    <w:p w:rsidR="00A056B6" w:rsidRPr="009C5151" w:rsidRDefault="00A056B6" w:rsidP="00743A5F">
      <w:pPr>
        <w:pStyle w:val="NormalWeb"/>
        <w:tabs>
          <w:tab w:val="num" w:pos="720"/>
        </w:tabs>
        <w:spacing w:before="0" w:beforeAutospacing="0"/>
        <w:ind w:left="720" w:hanging="360"/>
      </w:pPr>
      <w:r w:rsidRPr="009C5151">
        <w:rPr>
          <w:rStyle w:val="Strong"/>
        </w:rPr>
        <w:t>Domestic Law Supremacy:</w:t>
      </w:r>
      <w:r w:rsidRPr="009C5151">
        <w:t xml:space="preserve"> The Revenue contended that domestic tax laws mandating TDS deduction should take precedence, and failure to comply justifies the disallowance.</w:t>
      </w:r>
    </w:p>
    <w:p w:rsidR="00A056B6" w:rsidRPr="009C5151" w:rsidRDefault="00A056B6" w:rsidP="00743A5F">
      <w:pPr>
        <w:pStyle w:val="NormalWeb"/>
        <w:spacing w:before="0" w:beforeAutospacing="0"/>
      </w:pPr>
      <w:r w:rsidRPr="009C5151">
        <w:rPr>
          <w:rStyle w:val="Strong"/>
        </w:rPr>
        <w:t>Tribunal's Analysis:</w:t>
      </w:r>
    </w:p>
    <w:p w:rsidR="00A056B6" w:rsidRPr="009C5151" w:rsidRDefault="00A056B6" w:rsidP="00743A5F">
      <w:pPr>
        <w:pStyle w:val="NormalWeb"/>
        <w:tabs>
          <w:tab w:val="num" w:pos="720"/>
        </w:tabs>
        <w:spacing w:before="0" w:beforeAutospacing="0"/>
        <w:ind w:left="720" w:hanging="360"/>
      </w:pPr>
      <w:r w:rsidRPr="009C5151">
        <w:rPr>
          <w:rStyle w:val="Strong"/>
        </w:rPr>
        <w:t>DTAA vs. Domestic Law:</w:t>
      </w:r>
      <w:r w:rsidRPr="009C5151">
        <w:t xml:space="preserve"> The ITAT examined the interplay between the DTAA and domestic tax provisions, emphasizing that when a DTAA is in place, its provisions override domestic laws to the extent they are more beneficial to the assessee.</w:t>
      </w:r>
    </w:p>
    <w:p w:rsidR="00A056B6" w:rsidRPr="009C5151" w:rsidRDefault="00A056B6" w:rsidP="00743A5F">
      <w:pPr>
        <w:pStyle w:val="NormalWeb"/>
        <w:tabs>
          <w:tab w:val="num" w:pos="720"/>
        </w:tabs>
        <w:spacing w:before="0" w:beforeAutospacing="0"/>
        <w:ind w:left="720" w:hanging="360"/>
      </w:pPr>
      <w:r w:rsidRPr="009C5151">
        <w:rPr>
          <w:rStyle w:val="Strong"/>
        </w:rPr>
        <w:t>Taxability of Payments:</w:t>
      </w:r>
      <w:r w:rsidRPr="009C5151">
        <w:t xml:space="preserve"> The Tribunal noted that if the payments to non-residents are not taxable in India under the DTAA, the obligation to deduct TDS under Section 195 does not arise. Consequently, disallowance under Section 40(a)(i) for non-deduction of TDS is not warranted.</w:t>
      </w:r>
    </w:p>
    <w:p w:rsidR="00A056B6" w:rsidRPr="009C5151" w:rsidRDefault="00A056B6" w:rsidP="00743A5F">
      <w:pPr>
        <w:pStyle w:val="NormalWeb"/>
        <w:spacing w:before="0" w:beforeAutospacing="0"/>
      </w:pPr>
      <w:r w:rsidRPr="009C5151">
        <w:rPr>
          <w:rStyle w:val="Strong"/>
        </w:rPr>
        <w:t>Ruling and Reasoning:</w:t>
      </w:r>
    </w:p>
    <w:p w:rsidR="00A056B6" w:rsidRPr="009C5151" w:rsidRDefault="00A056B6" w:rsidP="00743A5F">
      <w:pPr>
        <w:pStyle w:val="NormalWeb"/>
        <w:tabs>
          <w:tab w:val="num" w:pos="720"/>
        </w:tabs>
        <w:spacing w:before="0" w:beforeAutospacing="0"/>
        <w:ind w:left="720" w:hanging="360"/>
      </w:pPr>
      <w:r w:rsidRPr="009C5151">
        <w:rPr>
          <w:rStyle w:val="Strong"/>
        </w:rPr>
        <w:t>Disallowance Not Justified:</w:t>
      </w:r>
      <w:r w:rsidRPr="009C5151">
        <w:t xml:space="preserve"> The ITAT held that since the payments made by the assessee to non-residents were not chargeable to tax in India under the India-Mauritius DTAA, there was no requirement to deduct TDS. Therefore, the disallowance of expenses under Section 40(a)(i) was not justified.</w:t>
      </w:r>
    </w:p>
    <w:p w:rsidR="00A056B6" w:rsidRPr="009C5151" w:rsidRDefault="00A056B6" w:rsidP="00743A5F">
      <w:pPr>
        <w:pStyle w:val="NormalWeb"/>
        <w:tabs>
          <w:tab w:val="num" w:pos="720"/>
        </w:tabs>
        <w:spacing w:before="0" w:beforeAutospacing="0"/>
        <w:ind w:left="720" w:hanging="360"/>
      </w:pPr>
      <w:r w:rsidRPr="009C5151">
        <w:rPr>
          <w:rStyle w:val="Strong"/>
        </w:rPr>
        <w:t>DTAA Provisions Prevail:</w:t>
      </w:r>
      <w:r w:rsidRPr="009C5151">
        <w:t xml:space="preserve"> The Tribunal reaffirmed that the provisions of the DTAA override domestic tax laws where applicable, and in this case, the DTAA did not mandate TDS deduction for the payments in question.</w:t>
      </w:r>
    </w:p>
    <w:p w:rsidR="00A056B6" w:rsidRPr="009C5151" w:rsidRDefault="00A056B6" w:rsidP="00743A5F">
      <w:pPr>
        <w:pStyle w:val="NormalWeb"/>
        <w:spacing w:before="0" w:beforeAutospacing="0"/>
      </w:pPr>
      <w:r w:rsidRPr="009C5151">
        <w:rPr>
          <w:rStyle w:val="Strong"/>
        </w:rPr>
        <w:lastRenderedPageBreak/>
        <w:t>Conclusion:</w:t>
      </w:r>
    </w:p>
    <w:p w:rsidR="00A056B6" w:rsidRPr="009C5151" w:rsidRDefault="00A056B6" w:rsidP="00743A5F">
      <w:pPr>
        <w:pStyle w:val="NormalWeb"/>
        <w:spacing w:before="0" w:beforeAutospacing="0"/>
      </w:pPr>
      <w:r w:rsidRPr="009C5151">
        <w:t>This judgment underscores the principle that the provisions of a Double Taxation Avoidance Agreement take precedence over domestic tax laws when determining tax liabilities and obligations, such as TDS deduction. It clarifies that if payments to non-residents are not taxable under the DTAA, the requirement to deduct TDS under domestic law does not apply, and consequently, disallowance under Section 40(a)(i) is unwarranted.</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DDIT v. Unocal Bharat Ltd., [2018] 99 taxmann.com 158 (Delhi - Trib.), ITA No. 1388/Del/2012, dated October 5,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03"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ruling provides clarity on the interaction between DTAA provisions and domestic tax laws, particularly concerning the disallowance of expenses for non-deduction of TDS on payments to non-residents.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HONDA MOTOR CO.LTD, JAPAN vs. ASSTT. DIRECTOR OF INCOME-TAX, NOIDA &amp; ORS. - (2018) 101 CCH 0169 ISCC - Special Leave to Appeal (C) No(s). 25363/2014 dated Mar 14, 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59F988B" wp14:editId="36ABE6C9">
            <wp:extent cx="763905" cy="763905"/>
            <wp:effectExtent l="0" t="0" r="0" b="0"/>
            <wp:docPr id="374" name="Picture 37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4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Honda Motor Co. Ltd., Japan v. Assistant Director of Income Tax, Noida &amp; Ors.</w:t>
      </w:r>
      <w:r w:rsidRPr="009C5151">
        <w:t xml:space="preserve">, the </w:t>
      </w:r>
      <w:r w:rsidRPr="009C5151">
        <w:rPr>
          <w:rStyle w:val="Strong"/>
        </w:rPr>
        <w:t>Supreme Court of India</w:t>
      </w:r>
      <w:r w:rsidRPr="009C5151">
        <w:t xml:space="preserve"> addressed the issue of reopening assessments under Section 147 of the Income Tax Act, 1961, concerning the existence of a Permanent Establishment (PE) in India and the applicability of the arm's length principle in transfer pricing.</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Honda Motor Co. Ltd., a Japanese corporation, engaged in transactions with its Indian subsidiary, Honda Siel Cars India Ltd.</w:t>
      </w:r>
    </w:p>
    <w:p w:rsidR="00A056B6" w:rsidRPr="009C5151" w:rsidRDefault="00A056B6" w:rsidP="00743A5F">
      <w:pPr>
        <w:pStyle w:val="NormalWeb"/>
        <w:tabs>
          <w:tab w:val="num" w:pos="720"/>
        </w:tabs>
        <w:spacing w:before="0" w:beforeAutospacing="0"/>
        <w:ind w:left="720" w:hanging="360"/>
      </w:pPr>
      <w:r w:rsidRPr="009C5151">
        <w:rPr>
          <w:rStyle w:val="Strong"/>
        </w:rPr>
        <w:t>Assessment Years:</w:t>
      </w:r>
      <w:r w:rsidRPr="009C5151">
        <w:t xml:space="preserve"> 2004-05 and subsequent years.</w:t>
      </w:r>
    </w:p>
    <w:p w:rsidR="00A056B6" w:rsidRPr="009C5151" w:rsidRDefault="00A056B6" w:rsidP="00743A5F">
      <w:pPr>
        <w:pStyle w:val="NormalWeb"/>
        <w:tabs>
          <w:tab w:val="num" w:pos="720"/>
        </w:tabs>
        <w:spacing w:before="0" w:beforeAutospacing="0"/>
        <w:ind w:left="720" w:hanging="360"/>
      </w:pPr>
      <w:r w:rsidRPr="009C5151">
        <w:rPr>
          <w:rStyle w:val="Strong"/>
        </w:rPr>
        <w:t>Proceedings Initiated:</w:t>
      </w:r>
      <w:r w:rsidRPr="009C5151">
        <w:t xml:space="preserve"> The Assessing Officer (AO) issued notices under Section 148 of the Income Tax Act, initiating reassessment proceedings based on the belief that Honda Motor Co. Ltd. had a PE in India through its subsidiary, and that income attributable to this PE had escaped assessment.</w:t>
      </w:r>
    </w:p>
    <w:p w:rsidR="00A056B6" w:rsidRPr="009C5151" w:rsidRDefault="00A056B6" w:rsidP="00743A5F">
      <w:pPr>
        <w:pStyle w:val="NormalWeb"/>
        <w:spacing w:before="0" w:beforeAutospacing="0"/>
      </w:pPr>
      <w:r w:rsidRPr="009C5151">
        <w:rPr>
          <w:rStyle w:val="Strong"/>
        </w:rPr>
        <w:lastRenderedPageBreak/>
        <w:t>Key 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Honda Motor Co. Ltd. had a PE in India through its subsidiary, thereby attracting tax liability on income attributable to the PE.</w:t>
      </w:r>
    </w:p>
    <w:p w:rsidR="00A056B6" w:rsidRPr="009C5151" w:rsidRDefault="00A056B6" w:rsidP="00743A5F">
      <w:pPr>
        <w:pStyle w:val="NormalWeb"/>
        <w:tabs>
          <w:tab w:val="num" w:pos="720"/>
        </w:tabs>
        <w:spacing w:before="0" w:beforeAutospacing="0"/>
        <w:ind w:left="720" w:hanging="360"/>
      </w:pPr>
      <w:r w:rsidRPr="009C5151">
        <w:rPr>
          <w:rStyle w:val="Strong"/>
        </w:rPr>
        <w:t>Arm's Length Principle Compliance:</w:t>
      </w:r>
      <w:r w:rsidRPr="009C5151">
        <w:t xml:space="preserve"> Whether transactions between Honda Motor Co. Ltd. and its Indian subsidiary were conducted at arm's length, and if so, whether any further profit could be attributed to the alleged PE.</w:t>
      </w:r>
    </w:p>
    <w:p w:rsidR="00A056B6" w:rsidRPr="009C5151" w:rsidRDefault="00A056B6" w:rsidP="00743A5F">
      <w:pPr>
        <w:pStyle w:val="NormalWeb"/>
        <w:spacing w:before="0" w:beforeAutospacing="0"/>
      </w:pPr>
      <w:r w:rsidRPr="009C5151">
        <w:rPr>
          <w:rStyle w:val="Strong"/>
        </w:rPr>
        <w:t>Supreme Court's Analysis:</w:t>
      </w:r>
    </w:p>
    <w:p w:rsidR="00A056B6" w:rsidRPr="009C5151" w:rsidRDefault="00A056B6" w:rsidP="00743A5F">
      <w:pPr>
        <w:pStyle w:val="NormalWeb"/>
        <w:tabs>
          <w:tab w:val="num" w:pos="720"/>
        </w:tabs>
        <w:spacing w:before="0" w:beforeAutospacing="0"/>
        <w:ind w:left="720" w:hanging="360"/>
      </w:pPr>
      <w:r w:rsidRPr="009C5151">
        <w:rPr>
          <w:rStyle w:val="Strong"/>
        </w:rPr>
        <w:t>Arm's Length Transactions:</w:t>
      </w:r>
      <w:r w:rsidRPr="009C5151">
        <w:t xml:space="preserve"> The Court referred to its earlier decision in </w:t>
      </w:r>
      <w:r w:rsidRPr="009C5151">
        <w:rPr>
          <w:rStyle w:val="Emphasis"/>
        </w:rPr>
        <w:t>Assistant Director of Income Tax-I, New Delhi v. M/s. E-Funds IT Solution Inc.</w:t>
      </w:r>
      <w:r w:rsidRPr="009C5151">
        <w:t xml:space="preserve"> (Civil Appeal No. 6082 of 2015), which held that once the arm's length principle is satisfied in related party transactions, no further profit attribution to a PE is warranted.</w:t>
      </w:r>
    </w:p>
    <w:p w:rsidR="00A056B6" w:rsidRPr="009C5151" w:rsidRDefault="00A056B6" w:rsidP="00743A5F">
      <w:pPr>
        <w:pStyle w:val="NormalWeb"/>
        <w:tabs>
          <w:tab w:val="num" w:pos="720"/>
        </w:tabs>
        <w:spacing w:before="0" w:beforeAutospacing="0"/>
        <w:ind w:left="720" w:hanging="360"/>
      </w:pPr>
      <w:r w:rsidRPr="009C5151">
        <w:rPr>
          <w:rStyle w:val="Strong"/>
        </w:rPr>
        <w:t>Reassessment Proceedings:</w:t>
      </w:r>
      <w:r w:rsidRPr="009C5151">
        <w:t xml:space="preserve"> The Court observed that the reassessment notices were based solely on the allegation of the existence of a PE in India. Since the Transfer Pricing Officer (TPO) had already examined the transactions and determined them to be at arm's length, there was no basis for attributing additional income to the alleged PE.</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Quashing of Reassessment Notices:</w:t>
      </w:r>
      <w:r w:rsidRPr="009C5151">
        <w:rPr>
          <w:rFonts w:ascii="Times New Roman" w:hAnsi="Times New Roman" w:cs="Times New Roman"/>
          <w:sz w:val="24"/>
          <w:szCs w:val="24"/>
        </w:rPr>
        <w:t xml:space="preserve"> The Supreme Court set aside the reassessment proceedings initiated under Section 147, emphasizing that adherence to the arm's length principle negates the need for further profit attribution, even if a PE exists.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reinforces the principle that in international transactions between related parties, compliance with the arm's length standard suffices to determine taxable income. The existence of a PE does not necessitate additional profit attribution if transfer pricing assessments confirm that transactions are conducted at arm's length.</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Honda Motor Co. Ltd., Japan v. Assistant Director of Income Tax, Noida &amp; Ors., Civil Appeal No. 2833 of 2018, Supreme Court of India, dated March 14,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04"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ruling provides clarity on the interplay between transfer pricing regulations and the concept of Permanent Establishment, offering guidance for multinational enterprises operating in India.</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lastRenderedPageBreak/>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HM Publishers Holdings Ltd., In re - [2018] 94 taxmann.com 193 (AAR - New Delhi) - A.A.R. NO. 1238 OF 2012 dated Jun 6, 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7BC18222" wp14:editId="49AA5FBE">
            <wp:extent cx="763905" cy="763905"/>
            <wp:effectExtent l="0" t="0" r="0" b="0"/>
            <wp:docPr id="373" name="Picture 37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4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HM Publishers Holdings Ltd., In re</w:t>
      </w:r>
      <w:r w:rsidRPr="009C5151">
        <w:t xml:space="preserve">, the </w:t>
      </w:r>
      <w:r w:rsidRPr="009C5151">
        <w:rPr>
          <w:rStyle w:val="Strong"/>
        </w:rPr>
        <w:t>Authority for Advance Rulings (AAR) New Delhi</w:t>
      </w:r>
      <w:r w:rsidRPr="009C5151">
        <w:t xml:space="preserve"> examined the tax implications of a non-compete fee received by a UK-based company under the India-UK Double Taxation Avoidance Agreement (DTAA).</w:t>
      </w:r>
    </w:p>
    <w:p w:rsidR="00A056B6" w:rsidRPr="009C5151" w:rsidRDefault="00A056B6" w:rsidP="00743A5F">
      <w:pPr>
        <w:pStyle w:val="NormalWeb"/>
        <w:spacing w:before="0" w:beforeAutospacing="0"/>
      </w:pPr>
      <w:r w:rsidRPr="009C5151">
        <w:rPr>
          <w:rStyle w:val="Strong"/>
        </w:rPr>
        <w:t>Facts:</w:t>
      </w:r>
    </w:p>
    <w:p w:rsidR="00A056B6" w:rsidRPr="009C5151" w:rsidRDefault="00A056B6" w:rsidP="00743A5F">
      <w:pPr>
        <w:pStyle w:val="NormalWeb"/>
        <w:tabs>
          <w:tab w:val="num" w:pos="720"/>
        </w:tabs>
        <w:spacing w:before="0" w:beforeAutospacing="0"/>
        <w:ind w:left="720" w:hanging="360"/>
      </w:pPr>
      <w:r w:rsidRPr="009C5151">
        <w:rPr>
          <w:rStyle w:val="Strong"/>
        </w:rPr>
        <w:t>Applicant:</w:t>
      </w:r>
      <w:r w:rsidRPr="009C5151">
        <w:t xml:space="preserve"> HM Publishers Holdings Ltd., a company incorporated in the United Kingdom, held a majority stake in MPS Limited, an Indian company.</w:t>
      </w:r>
    </w:p>
    <w:p w:rsidR="00A056B6" w:rsidRPr="009C5151" w:rsidRDefault="00A056B6" w:rsidP="00743A5F">
      <w:pPr>
        <w:pStyle w:val="NormalWeb"/>
        <w:tabs>
          <w:tab w:val="num" w:pos="720"/>
        </w:tabs>
        <w:spacing w:before="0" w:beforeAutospacing="0"/>
        <w:ind w:left="720" w:hanging="360"/>
      </w:pPr>
      <w:r w:rsidRPr="009C5151">
        <w:rPr>
          <w:rStyle w:val="Strong"/>
        </w:rPr>
        <w:t>Transaction:</w:t>
      </w:r>
      <w:r w:rsidRPr="009C5151">
        <w:t xml:space="preserve"> The applicant entered into a Share Purchase Agreement (SPA) with ADI BPO Services Private Limited (ADI), an Indian company, to sell its shares in MPS Limited. As part of the SPA, the applicant received a non-compete fee for agreeing not to compete with MPS's business for three years.</w:t>
      </w:r>
    </w:p>
    <w:p w:rsidR="00A056B6" w:rsidRPr="009C5151" w:rsidRDefault="00A056B6" w:rsidP="00743A5F">
      <w:pPr>
        <w:pStyle w:val="NormalWeb"/>
        <w:spacing w:before="0" w:beforeAutospacing="0"/>
      </w:pPr>
      <w:r w:rsidRPr="009C5151">
        <w:rPr>
          <w:rStyle w:val="Strong"/>
        </w:rPr>
        <w:t>Issues:</w:t>
      </w:r>
    </w:p>
    <w:p w:rsidR="00A056B6" w:rsidRPr="009C5151" w:rsidRDefault="00A056B6" w:rsidP="00743A5F">
      <w:pPr>
        <w:pStyle w:val="NormalWeb"/>
        <w:tabs>
          <w:tab w:val="num" w:pos="720"/>
        </w:tabs>
        <w:spacing w:before="0" w:beforeAutospacing="0"/>
        <w:ind w:left="720" w:hanging="360"/>
      </w:pPr>
      <w:r w:rsidRPr="009C5151">
        <w:rPr>
          <w:rStyle w:val="Strong"/>
        </w:rPr>
        <w:t>Nature of Non-Compete Fee:</w:t>
      </w:r>
      <w:r w:rsidRPr="009C5151">
        <w:t xml:space="preserve"> Whether the non-compete fee received by the applicant is taxable as business income under Section 28(va) of the Income Tax Act, 1961.</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If considered business income, whether the non-compete fee is taxable in India under the India-UK DTAA, given the absence of a Permanent Establishment (PE) of the applicant in India.</w:t>
      </w:r>
    </w:p>
    <w:p w:rsidR="00A056B6" w:rsidRPr="009C5151" w:rsidRDefault="00A056B6" w:rsidP="00743A5F">
      <w:pPr>
        <w:pStyle w:val="NormalWeb"/>
        <w:spacing w:before="0" w:beforeAutospacing="0"/>
      </w:pPr>
      <w:r w:rsidRPr="009C5151">
        <w:rPr>
          <w:rStyle w:val="Strong"/>
        </w:rPr>
        <w:t>Applicant's Arguments:</w:t>
      </w:r>
    </w:p>
    <w:p w:rsidR="00A056B6" w:rsidRPr="009C5151" w:rsidRDefault="00A056B6" w:rsidP="00743A5F">
      <w:pPr>
        <w:pStyle w:val="NormalWeb"/>
        <w:tabs>
          <w:tab w:val="num" w:pos="720"/>
        </w:tabs>
        <w:spacing w:before="0" w:beforeAutospacing="0"/>
        <w:ind w:left="720" w:hanging="360"/>
      </w:pPr>
      <w:r w:rsidRPr="009C5151">
        <w:rPr>
          <w:rStyle w:val="Strong"/>
        </w:rPr>
        <w:t>Business Income:</w:t>
      </w:r>
      <w:r w:rsidRPr="009C5151">
        <w:t xml:space="preserve"> The applicant contended that the non-compete fee qualifies as business income under Section 28(va) of the Income Tax Act.</w:t>
      </w:r>
    </w:p>
    <w:p w:rsidR="00A056B6" w:rsidRPr="009C5151" w:rsidRDefault="00A056B6" w:rsidP="00743A5F">
      <w:pPr>
        <w:pStyle w:val="NormalWeb"/>
        <w:tabs>
          <w:tab w:val="num" w:pos="720"/>
        </w:tabs>
        <w:spacing w:before="0" w:beforeAutospacing="0"/>
        <w:ind w:left="720" w:hanging="360"/>
      </w:pPr>
      <w:r w:rsidRPr="009C5151">
        <w:rPr>
          <w:rStyle w:val="Strong"/>
        </w:rPr>
        <w:t>No PE in India:</w:t>
      </w:r>
      <w:r w:rsidRPr="009C5151">
        <w:t xml:space="preserve"> The applicant asserted that it does not have a PE in India. Therefore, under Article 7 of the India-UK DTAA, its business income should not be taxable in India.</w:t>
      </w:r>
    </w:p>
    <w:p w:rsidR="00A056B6" w:rsidRPr="009C5151" w:rsidRDefault="00A056B6" w:rsidP="00743A5F">
      <w:pPr>
        <w:pStyle w:val="NormalWeb"/>
        <w:spacing w:before="0" w:beforeAutospacing="0"/>
      </w:pPr>
      <w:r w:rsidRPr="009C5151">
        <w:rPr>
          <w:rStyle w:val="Strong"/>
        </w:rPr>
        <w:t>Revenue's Arguments: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Capital Gains:</w:t>
      </w:r>
      <w:r w:rsidRPr="009C5151">
        <w:rPr>
          <w:rFonts w:ascii="Times New Roman" w:hAnsi="Times New Roman" w:cs="Times New Roman"/>
          <w:sz w:val="24"/>
          <w:szCs w:val="24"/>
        </w:rPr>
        <w:t xml:space="preserve"> The Revenue argued that the non-compete fee represents consideration for the transfer of a right to carry on business, constituting a capital asset. Thus, it should be taxable as capital gains under Section 45 of the Income Tax Act.</w:t>
      </w:r>
    </w:p>
    <w:p w:rsidR="00A056B6" w:rsidRPr="009C5151" w:rsidRDefault="00A056B6" w:rsidP="00743A5F">
      <w:pPr>
        <w:pStyle w:val="NormalWeb"/>
        <w:spacing w:before="0" w:beforeAutospacing="0"/>
      </w:pPr>
      <w:r w:rsidRPr="009C5151">
        <w:rPr>
          <w:rStyle w:val="Strong"/>
        </w:rPr>
        <w:lastRenderedPageBreak/>
        <w:t>AAR's Analysis:</w:t>
      </w:r>
    </w:p>
    <w:p w:rsidR="00A056B6" w:rsidRPr="009C5151" w:rsidRDefault="00A056B6" w:rsidP="00743A5F">
      <w:pPr>
        <w:pStyle w:val="NormalWeb"/>
        <w:tabs>
          <w:tab w:val="num" w:pos="720"/>
        </w:tabs>
        <w:spacing w:before="0" w:beforeAutospacing="0"/>
        <w:ind w:left="720" w:hanging="360"/>
      </w:pPr>
      <w:r w:rsidRPr="009C5151">
        <w:rPr>
          <w:rStyle w:val="Strong"/>
        </w:rPr>
        <w:t>Nature of the Non-Compete Fee:</w:t>
      </w:r>
      <w:r w:rsidRPr="009C5151">
        <w:t xml:space="preserve"> The AAR determined that the non-compete fee pertains to a negative covenant, where the applicant agreed not to engage in competing activities for three years. This restriction is temporary and does not amount to the transfer of a capital asset. Therefore, the fee is taxable as business income under Section 28(va) of the Income Tax Act.</w:t>
      </w:r>
    </w:p>
    <w:p w:rsidR="00A056B6" w:rsidRPr="009C5151" w:rsidRDefault="00A056B6" w:rsidP="00743A5F">
      <w:pPr>
        <w:pStyle w:val="NormalWeb"/>
        <w:tabs>
          <w:tab w:val="num" w:pos="720"/>
        </w:tabs>
        <w:spacing w:before="0" w:beforeAutospacing="0"/>
        <w:ind w:left="720" w:hanging="360"/>
      </w:pPr>
      <w:r w:rsidRPr="009C5151">
        <w:rPr>
          <w:rStyle w:val="Strong"/>
        </w:rPr>
        <w:t>Taxability under the DTAA:</w:t>
      </w:r>
      <w:r w:rsidRPr="009C5151">
        <w:t xml:space="preserve"> The AAR noted that, in the absence of a PE in India, Article 7 of the India-UK DTAA stipulates that business income of a UK resident is not taxable in India. Since the applicant does not have a PE in India, the non-compete fee, though classified as business income, is not taxable in India.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Business Income:</w:t>
      </w:r>
      <w:r w:rsidRPr="009C5151">
        <w:t xml:space="preserve"> The non-compete fee received by the applicant is taxable as business income under Section 28(va) of the Income Tax Act.</w:t>
      </w:r>
    </w:p>
    <w:p w:rsidR="00A056B6" w:rsidRPr="009C5151" w:rsidRDefault="00A056B6" w:rsidP="00743A5F">
      <w:pPr>
        <w:pStyle w:val="NormalWeb"/>
        <w:tabs>
          <w:tab w:val="num" w:pos="720"/>
        </w:tabs>
        <w:spacing w:before="0" w:beforeAutospacing="0"/>
        <w:ind w:left="720" w:hanging="360"/>
      </w:pPr>
      <w:r w:rsidRPr="009C5151">
        <w:rPr>
          <w:rStyle w:val="Strong"/>
        </w:rPr>
        <w:t>Not Taxable in India:</w:t>
      </w:r>
      <w:r w:rsidRPr="009C5151">
        <w:t xml:space="preserve"> In the absence of a PE in India, such business income is not taxable in India by virtue of Article 7 of the India-UK DTAA.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ruling clarifies that non-compete fees received by non-resident entities are considered business income under Indian tax law. However, under the provisions of the India-UK DTAA, such income is not taxable in India if the recipient does not have a Permanent Establishment in the country.</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HM Publishers Holdings Ltd., In re, [2018] 94 taxmann.com 193 (AAR - New Delhi), A.A.R. No. 1238 of 2012, dated June 6,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05" w:tgtFrame="_new" w:history="1">
        <w:r w:rsidRPr="009C5151">
          <w:rPr>
            <w:rStyle w:val="Hyperlink"/>
          </w:rPr>
          <w:t>Taxscan</w:t>
        </w:r>
      </w:hyperlink>
    </w:p>
    <w:p w:rsidR="00A056B6" w:rsidRPr="009C5151" w:rsidRDefault="00A056B6" w:rsidP="00743A5F">
      <w:pPr>
        <w:pStyle w:val="NormalWeb"/>
        <w:spacing w:before="0" w:beforeAutospacing="0"/>
      </w:pPr>
      <w:r w:rsidRPr="009C5151">
        <w:t>This decision provides guidance on the tax treatment of non-compete fees under Indian law and the applicability of tax treaties in determining tax liabilities for non-resident entities.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ZTE Corporation [TS-33-HC-2017(Del)]</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827CC93" wp14:editId="19DFE0FF">
            <wp:extent cx="763905" cy="763905"/>
            <wp:effectExtent l="0" t="0" r="0" b="0"/>
            <wp:docPr id="372" name="Picture 37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4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lastRenderedPageBreak/>
        <w:t xml:space="preserve">In the case of </w:t>
      </w:r>
      <w:r w:rsidRPr="009C5151">
        <w:rPr>
          <w:rStyle w:val="Strong"/>
        </w:rPr>
        <w:t>Commissioner of Income Tax (International Taxation) v. ZTE Corporation</w:t>
      </w:r>
      <w:r w:rsidRPr="009C5151">
        <w:t xml:space="preserve">, the </w:t>
      </w:r>
      <w:r w:rsidRPr="009C5151">
        <w:rPr>
          <w:rStyle w:val="Strong"/>
        </w:rPr>
        <w:t>Delhi High Court</w:t>
      </w:r>
      <w:r w:rsidRPr="009C5151">
        <w:t xml:space="preserve"> addressed the tax implications for ZTE Corporation, a Chinese company, concerning its operations in India.</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ZTE Corporation, a company incorporated in China, engaged in supplying telecommunications equipment and software to Indian customers.</w:t>
      </w:r>
    </w:p>
    <w:p w:rsidR="00A056B6" w:rsidRPr="009C5151" w:rsidRDefault="00A056B6" w:rsidP="00743A5F">
      <w:pPr>
        <w:pStyle w:val="NormalWeb"/>
        <w:tabs>
          <w:tab w:val="num" w:pos="720"/>
        </w:tabs>
        <w:spacing w:before="0" w:beforeAutospacing="0"/>
        <w:ind w:left="720" w:hanging="360"/>
      </w:pPr>
      <w:r w:rsidRPr="009C5151">
        <w:rPr>
          <w:rStyle w:val="Strong"/>
        </w:rPr>
        <w:t>Indian Operations:</w:t>
      </w:r>
      <w:r w:rsidRPr="009C5151">
        <w:t xml:space="preserve"> The company conducted installation, commissioning, and testing services in India through its subsidiary, ZTE Telecom India Pvt. Ltd.</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ZTE Corporation had a Permanent Establishment in India under the India-China Double Taxation Avoidance Agreement (DTAA).</w:t>
      </w:r>
    </w:p>
    <w:p w:rsidR="00A056B6" w:rsidRPr="009C5151" w:rsidRDefault="00A056B6" w:rsidP="00743A5F">
      <w:pPr>
        <w:pStyle w:val="NormalWeb"/>
        <w:tabs>
          <w:tab w:val="num" w:pos="720"/>
        </w:tabs>
        <w:spacing w:before="0" w:beforeAutospacing="0"/>
        <w:ind w:left="720" w:hanging="360"/>
      </w:pPr>
      <w:r w:rsidRPr="009C5151">
        <w:rPr>
          <w:rStyle w:val="Strong"/>
        </w:rPr>
        <w:t>Attribution of Profits:</w:t>
      </w:r>
      <w:r w:rsidRPr="009C5151">
        <w:t xml:space="preserve"> If a PE existed, the extent of profits attributable to such PE and the applicability of transfer pricing principles.</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t>Permanent Establishment:</w:t>
      </w:r>
      <w:r w:rsidRPr="009C5151">
        <w:t xml:space="preserve"> The court affirmed the findings of the Income Tax Appellate Tribunal (ITAT) that ZTE Corporation had a PE in India through its subsidiary, which conducted activities such as installation and commissioning of equipment.</w:t>
      </w:r>
    </w:p>
    <w:p w:rsidR="00A056B6" w:rsidRPr="009C5151" w:rsidRDefault="00A056B6" w:rsidP="00743A5F">
      <w:pPr>
        <w:pStyle w:val="NormalWeb"/>
        <w:tabs>
          <w:tab w:val="num" w:pos="720"/>
        </w:tabs>
        <w:spacing w:before="0" w:beforeAutospacing="0"/>
        <w:ind w:left="720" w:hanging="360"/>
      </w:pPr>
      <w:r w:rsidRPr="009C5151">
        <w:rPr>
          <w:rStyle w:val="Strong"/>
        </w:rPr>
        <w:t>Attribution of Profits:</w:t>
      </w:r>
      <w:r w:rsidRPr="009C5151">
        <w:t xml:space="preserve"> The court upheld the ITAT's approach of attributing profits to the Indian PE based on a certain percentage of the sales made by the foreign enterprise in India.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Existence of PE:</w:t>
      </w:r>
      <w:r w:rsidRPr="009C5151">
        <w:t xml:space="preserve"> The Delhi High Court confirmed that ZTE Corporation had a Permanent Establishment in India.</w:t>
      </w:r>
    </w:p>
    <w:p w:rsidR="00A056B6" w:rsidRPr="009C5151" w:rsidRDefault="00A056B6" w:rsidP="00743A5F">
      <w:pPr>
        <w:pStyle w:val="NormalWeb"/>
        <w:tabs>
          <w:tab w:val="num" w:pos="720"/>
        </w:tabs>
        <w:spacing w:before="0" w:beforeAutospacing="0"/>
        <w:ind w:left="720" w:hanging="360"/>
      </w:pPr>
      <w:r w:rsidRPr="009C5151">
        <w:rPr>
          <w:rStyle w:val="Strong"/>
        </w:rPr>
        <w:t>Profit Attribution:</w:t>
      </w:r>
      <w:r w:rsidRPr="009C5151">
        <w:t xml:space="preserve"> The court upheld the method of attributing profits to the PE, emphasizing the need for a fair and reasonable approach in line with international tax principles.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underscores the importance of identifying the presence of a Permanent Establishment for foreign enterprises operating in India and provides guidance on the appropriate attribution of profits to such PEs, considering the functions performed, assets used, and risks assumed in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Case Citation:</w:t>
      </w:r>
      <w:r w:rsidRPr="009C5151">
        <w:t xml:space="preserve"> Commissioner of Income Tax (International Taxation) v. ZTE Corporation, [2017] 392 ITR 80 (Delhi).</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06" w:tgtFrame="_new" w:history="1">
        <w:r w:rsidRPr="009C5151">
          <w:rPr>
            <w:rStyle w:val="Hyperlink"/>
          </w:rPr>
          <w:t>Latest Laws</w:t>
        </w:r>
      </w:hyperlink>
    </w:p>
    <w:p w:rsidR="00A056B6" w:rsidRPr="009C5151" w:rsidRDefault="00A056B6" w:rsidP="00743A5F">
      <w:pPr>
        <w:pStyle w:val="NormalWeb"/>
        <w:spacing w:before="0" w:beforeAutospacing="0"/>
      </w:pPr>
      <w:r w:rsidRPr="009C5151">
        <w:t>This decision provides clarity on the tax obligations of foreign corporations with business operations in India, particularly concerning the determination of a Permanent Establishment and the attribution of profits thereto.</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CIT &amp; ANR vs. Halliburtion Export Inc. &amp; ANR - (2016) 96 CCH 0060 (Del HC) - ITA 363/2016, 365/2016 [India - US DTAA]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3CC755F4" wp14:editId="463937C6">
            <wp:extent cx="763905" cy="763905"/>
            <wp:effectExtent l="0" t="0" r="0" b="0"/>
            <wp:docPr id="371" name="Picture 37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5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Commissioner of Income Tax &amp; Anr. v. Halliburton Export Inc. &amp; Anr.</w:t>
      </w:r>
      <w:r w:rsidRPr="009C5151">
        <w:t xml:space="preserve">, the </w:t>
      </w:r>
      <w:r w:rsidRPr="009C5151">
        <w:rPr>
          <w:rStyle w:val="Strong"/>
        </w:rPr>
        <w:t>Delhi High Court</w:t>
      </w:r>
      <w:r w:rsidRPr="009C5151">
        <w:t xml:space="preserve"> addressed the tax treatment of payments received by Halliburton Export Inc., a U.S.-based company, for the sale of pre-packaged software to Indian customers under the India-U.S. Double Taxation Avoidance Agreement (DTAA).</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Halliburton Export Inc., a corporation incorporated in the United States, engaged in the sale of pre-packaged software to customers in India.</w:t>
      </w:r>
    </w:p>
    <w:p w:rsidR="00A056B6" w:rsidRPr="009C5151" w:rsidRDefault="00A056B6" w:rsidP="00743A5F">
      <w:pPr>
        <w:pStyle w:val="NormalWeb"/>
        <w:tabs>
          <w:tab w:val="num" w:pos="720"/>
        </w:tabs>
        <w:spacing w:before="0" w:beforeAutospacing="0"/>
        <w:ind w:left="720" w:hanging="360"/>
      </w:pPr>
      <w:r w:rsidRPr="009C5151">
        <w:rPr>
          <w:rStyle w:val="Strong"/>
        </w:rPr>
        <w:t>Assessment Years:</w:t>
      </w:r>
      <w:r w:rsidRPr="009C5151">
        <w:t xml:space="preserve"> 2009-10 and 2010-11.</w:t>
      </w:r>
    </w:p>
    <w:p w:rsidR="00A056B6" w:rsidRPr="009C5151" w:rsidRDefault="00A056B6" w:rsidP="00743A5F">
      <w:pPr>
        <w:pStyle w:val="NormalWeb"/>
        <w:tabs>
          <w:tab w:val="num" w:pos="720"/>
        </w:tabs>
        <w:spacing w:before="0" w:beforeAutospacing="0"/>
        <w:ind w:left="720" w:hanging="360"/>
      </w:pPr>
      <w:r w:rsidRPr="009C5151">
        <w:rPr>
          <w:rStyle w:val="Strong"/>
        </w:rPr>
        <w:t>Nature of Receipts:</w:t>
      </w:r>
      <w:r w:rsidRPr="009C5151">
        <w:t xml:space="preserve"> The company received payments from Indian customers for the sale of pre-packaged, shrink-wrapped software products.</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Income:</w:t>
      </w:r>
      <w:r w:rsidRPr="009C5151">
        <w:t xml:space="preserve"> Whether the payments received by Halliburton Export Inc. for the sale of pre-packaged software constituted "royalty" or "fees for technical services" under Section 9(1)(vi) of the Income Tax Act, 1961, and Article 12(3) of the India-U.S. DTAA.</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Based on the characterization, whether such payments were taxable in India.</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Reference to Infrasoft Ltd. Case:</w:t>
      </w:r>
      <w:r w:rsidRPr="009C5151">
        <w:t xml:space="preserve"> The court referred to its earlier decision in </w:t>
      </w:r>
      <w:r w:rsidRPr="009C5151">
        <w:rPr>
          <w:rStyle w:val="Emphasis"/>
        </w:rPr>
        <w:t>Director of Income Tax v. Infrasoft Ltd.</w:t>
      </w:r>
      <w:r w:rsidRPr="009C5151">
        <w:t xml:space="preserve"> [(2014) 220 Taxman 273 (Delhi)], which dealt with a similar issue concerning the sale of pre-packaged software. In that case, the court held that payments for the sale of such software did not constitute "royalty" under Article 12(3) of the India-U.S. DTAA.</w:t>
      </w:r>
    </w:p>
    <w:p w:rsidR="00A056B6" w:rsidRPr="009C5151" w:rsidRDefault="00A056B6" w:rsidP="00743A5F">
      <w:pPr>
        <w:pStyle w:val="NormalWeb"/>
        <w:tabs>
          <w:tab w:val="num" w:pos="720"/>
        </w:tabs>
        <w:spacing w:before="0" w:beforeAutospacing="0"/>
        <w:ind w:left="720" w:hanging="360"/>
      </w:pPr>
      <w:r w:rsidRPr="009C5151">
        <w:rPr>
          <w:rStyle w:val="Strong"/>
        </w:rPr>
        <w:t>Impact of Amendment to Section 9(1)(vi):</w:t>
      </w:r>
      <w:r w:rsidRPr="009C5151">
        <w:t xml:space="preserve"> The court noted that while there was an amendment to Section 9(1)(vi) of the Income Tax Act, which expanded the definition of "royalty," this did not affect the interpretation of "royalty" under the DTAA. Section 90(3) of the Act stipulates that the provisions of the Act apply only if they are more beneficial to the assessee compared to the DTAA.</w:t>
      </w:r>
    </w:p>
    <w:p w:rsidR="00A056B6" w:rsidRPr="009C5151" w:rsidRDefault="00A056B6" w:rsidP="00743A5F">
      <w:pPr>
        <w:pStyle w:val="NormalWeb"/>
        <w:tabs>
          <w:tab w:val="num" w:pos="720"/>
        </w:tabs>
        <w:spacing w:before="0" w:beforeAutospacing="0"/>
        <w:ind w:left="720" w:hanging="360"/>
      </w:pPr>
      <w:r w:rsidRPr="009C5151">
        <w:rPr>
          <w:rStyle w:val="Strong"/>
        </w:rPr>
        <w:t>DTAA Provisions Prevail:</w:t>
      </w:r>
      <w:r w:rsidRPr="009C5151">
        <w:t xml:space="preserve"> Since the DTAA provisions were more beneficial to the assessee, they took precedence over the amended domestic law. Therefore, the payments received by Halliburton Export Inc. for the sale of pre-packaged software were not considered "royalty" under the DTAA and, consequently, were not taxable in India.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Not Taxable as Royalty:</w:t>
      </w:r>
      <w:r w:rsidRPr="009C5151">
        <w:t xml:space="preserve"> The Delhi High Court held that the payments received by Halliburton Export Inc. for the sale of pre-packaged software to Indian customers did not constitute "royalty" under Article 12(3) of the India-U.S. DTAA.</w:t>
      </w:r>
    </w:p>
    <w:p w:rsidR="00A056B6" w:rsidRPr="009C5151" w:rsidRDefault="00A056B6" w:rsidP="00743A5F">
      <w:pPr>
        <w:pStyle w:val="NormalWeb"/>
        <w:tabs>
          <w:tab w:val="num" w:pos="720"/>
        </w:tabs>
        <w:spacing w:before="0" w:beforeAutospacing="0"/>
        <w:ind w:left="720" w:hanging="360"/>
      </w:pPr>
      <w:r w:rsidRPr="009C5151">
        <w:rPr>
          <w:rStyle w:val="Strong"/>
        </w:rPr>
        <w:t>No Tax Liability in India:</w:t>
      </w:r>
      <w:r w:rsidRPr="009C5151">
        <w:t xml:space="preserve"> As a result, such payments were not taxable in India under the provisions of the DTAA.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reinforces the principle that in cases where a Double Taxation Avoidance Agreement exists, its provisions will prevail over domestic tax laws if they are more beneficial to the assessee. Specifically, payments for the sale of pre-packaged software by a U.S. company to Indian customers do not constitute "royalty" under the India-U.S. DTAA and are not subject to tax in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Commissioner of Income Tax &amp; Anr. v. Halliburton Export Inc. &amp; Anr., ITA Nos. 363 and 365 of 2016, Delhi High Court, dated July 11, 2016.</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07" w:tgtFrame="_new" w:history="1">
        <w:r w:rsidRPr="009C5151">
          <w:rPr>
            <w:rStyle w:val="Hyperlink"/>
          </w:rPr>
          <w:t>CaseMine</w:t>
        </w:r>
      </w:hyperlink>
    </w:p>
    <w:p w:rsidR="00A056B6" w:rsidRPr="009C5151" w:rsidRDefault="00A056B6" w:rsidP="00743A5F">
      <w:pPr>
        <w:pStyle w:val="NormalWeb"/>
        <w:spacing w:before="0" w:beforeAutospacing="0"/>
      </w:pPr>
      <w:r w:rsidRPr="009C5151">
        <w:t>This decision provides clarity on the tax treatment of payments for pre-packaged software under the India-U.S. DTAA, offering guidance for similar transactions involving cross-border software sales.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Dicuss CIT (IT) v WNS Global Services (Uk) Ltd &amp; ANR.– ITA No. 890 &amp; 891 of 2015 (Bom) dated 07.02.2018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C1D815F" wp14:editId="32F8D634">
            <wp:extent cx="763905" cy="763905"/>
            <wp:effectExtent l="0" t="0" r="0" b="0"/>
            <wp:docPr id="370" name="Picture 37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5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Commissioner of Income Tax (International Taxation) v. WNS Global Services (UK) Ltd.</w:t>
      </w:r>
      <w:r w:rsidRPr="009C5151">
        <w:t xml:space="preserve">, the </w:t>
      </w:r>
      <w:r w:rsidRPr="009C5151">
        <w:rPr>
          <w:rStyle w:val="Strong"/>
        </w:rPr>
        <w:t>Bombay High Court</w:t>
      </w:r>
      <w:r w:rsidRPr="009C5151">
        <w:t xml:space="preserve"> addressed the taxability of payments received by WNS Global Services (UK) Ltd. from its Indian subsidiary, WNS Global Services Pvt. Ltd., under the India-UK Double Taxation Avoidance Agreement (DTAA).</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WNS Global Services (UK) Ltd., a company incorporated in the United Kingdom, engaged in providing marketing, management, and sales support services.</w:t>
      </w:r>
    </w:p>
    <w:p w:rsidR="00A056B6" w:rsidRPr="009C5151" w:rsidRDefault="00A056B6" w:rsidP="00743A5F">
      <w:pPr>
        <w:pStyle w:val="NormalWeb"/>
        <w:tabs>
          <w:tab w:val="num" w:pos="720"/>
        </w:tabs>
        <w:spacing w:before="0" w:beforeAutospacing="0"/>
        <w:ind w:left="720" w:hanging="360"/>
      </w:pPr>
      <w:r w:rsidRPr="009C5151">
        <w:rPr>
          <w:rStyle w:val="Strong"/>
        </w:rPr>
        <w:t>Indian Subsidiary:</w:t>
      </w:r>
      <w:r w:rsidRPr="009C5151">
        <w:t xml:space="preserve"> WNS Global Services Pvt. Ltd., an Indian company, engaged in providing information technology-enabled BPO services.</w:t>
      </w:r>
    </w:p>
    <w:p w:rsidR="00A056B6" w:rsidRPr="009C5151" w:rsidRDefault="00A056B6" w:rsidP="00743A5F">
      <w:pPr>
        <w:pStyle w:val="NormalWeb"/>
        <w:tabs>
          <w:tab w:val="num" w:pos="720"/>
        </w:tabs>
        <w:spacing w:before="0" w:beforeAutospacing="0"/>
        <w:ind w:left="720" w:hanging="360"/>
      </w:pPr>
      <w:r w:rsidRPr="009C5151">
        <w:rPr>
          <w:rStyle w:val="Strong"/>
        </w:rPr>
        <w:t>Agreement:</w:t>
      </w:r>
      <w:r w:rsidRPr="009C5151">
        <w:t xml:space="preserve"> The UK company entered into an agreement with its Indian subsidiary to provide marketing and management services.</w:t>
      </w:r>
    </w:p>
    <w:p w:rsidR="00A056B6" w:rsidRPr="009C5151" w:rsidRDefault="00A056B6" w:rsidP="00743A5F">
      <w:pPr>
        <w:pStyle w:val="NormalWeb"/>
        <w:tabs>
          <w:tab w:val="num" w:pos="720"/>
        </w:tabs>
        <w:spacing w:before="0" w:beforeAutospacing="0"/>
        <w:ind w:left="720" w:hanging="360"/>
      </w:pPr>
      <w:r w:rsidRPr="009C5151">
        <w:rPr>
          <w:rStyle w:val="Strong"/>
        </w:rPr>
        <w:t>Payments Received:</w:t>
      </w:r>
      <w:r w:rsidRPr="009C5151">
        <w:t xml:space="preserve"> The UK company received fees from the Indian subsidiary for the services rendered.</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Income:</w:t>
      </w:r>
      <w:r w:rsidRPr="009C5151">
        <w:t xml:space="preserve"> Whether the fees received by WNS Global Services (UK) Ltd. from its Indian subsidiary qualify as "Fees for Technical Services" (FTS) under Article 13(4)(c) of the India-UK DTAA.</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Based on the characterization, whether such fees are taxable in India.</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t>Definition of FTS under DTAA:</w:t>
      </w:r>
      <w:r w:rsidRPr="009C5151">
        <w:t xml:space="preserve"> Article 13(4)(c) of the India-UK DTAA defines "Fees for Technical Services" as payments for managerial, technical, or consultancy services.</w:t>
      </w:r>
    </w:p>
    <w:p w:rsidR="00A056B6" w:rsidRPr="009C5151" w:rsidRDefault="00A056B6" w:rsidP="00743A5F">
      <w:pPr>
        <w:pStyle w:val="NormalWeb"/>
        <w:tabs>
          <w:tab w:val="num" w:pos="720"/>
        </w:tabs>
        <w:spacing w:before="0" w:beforeAutospacing="0"/>
        <w:ind w:left="720" w:hanging="360"/>
      </w:pPr>
      <w:r w:rsidRPr="009C5151">
        <w:rPr>
          <w:rStyle w:val="Strong"/>
        </w:rPr>
        <w:t>Nature of Services Provided:</w:t>
      </w:r>
      <w:r w:rsidRPr="009C5151">
        <w:t xml:space="preserve"> The court examined the nature of services provided by the UK company to its Indian subsidiary, which included marketing, management, and sales support services.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Make Available Clause:</w:t>
      </w:r>
      <w:r w:rsidRPr="009C5151">
        <w:t xml:space="preserve"> The court considered whether the services rendered "made available" technical knowledge, experience, skill, know-how, or processes to the Indian subsidiary, enabling it to apply the technology independently.</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Not FTS under DTAA:</w:t>
      </w:r>
      <w:r w:rsidRPr="009C5151">
        <w:t xml:space="preserve"> The Bombay High Court held that the services provided by WNS Global Services (UK) Ltd. did not "make available" technical knowledge or skills to the Indian subsidiary. Therefore, the fees received did not qualify as "Fees for Technical Services" under Article 13(4)(c) of the India-UK DTAA.</w:t>
      </w:r>
    </w:p>
    <w:p w:rsidR="00A056B6" w:rsidRPr="009C5151" w:rsidRDefault="00A056B6" w:rsidP="00743A5F">
      <w:pPr>
        <w:pStyle w:val="NormalWeb"/>
        <w:tabs>
          <w:tab w:val="num" w:pos="720"/>
        </w:tabs>
        <w:spacing w:before="0" w:beforeAutospacing="0"/>
        <w:ind w:left="720" w:hanging="360"/>
      </w:pPr>
      <w:r w:rsidRPr="009C5151">
        <w:rPr>
          <w:rStyle w:val="Strong"/>
        </w:rPr>
        <w:t>Business Profits:</w:t>
      </w:r>
      <w:r w:rsidRPr="009C5151">
        <w:t xml:space="preserve"> The court further noted that in the absence of a Permanent Establishment (PE) of the UK company in India, the fees received would be considered business profits. Under Article 7 of the DTAA, such business profits are not taxable in India without a PE.</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for fees to be classified as "Fees for Technical Services" under the India-UK DTAA, the services must "make available" technical knowledge or skills to the recipient, enabling them to apply the technology independently. In the absence of such a transfer of knowledge and without a Permanent Establishment in India, the fees received by a UK company from its Indian subsidiary are not taxable in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Commissioner of Income Tax (International Taxation) v. WNS Global Services (UK) Ltd., ITA Nos. 890 &amp; 891 of 2015, Bombay High Court, dated February 7,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08" w:tgtFrame="_new" w:history="1">
        <w:r w:rsidRPr="009C5151">
          <w:rPr>
            <w:rStyle w:val="Hyperlink"/>
          </w:rPr>
          <w:t>CaseMine</w:t>
        </w:r>
      </w:hyperlink>
    </w:p>
    <w:p w:rsidR="00A056B6" w:rsidRPr="009C5151" w:rsidRDefault="00A056B6" w:rsidP="00743A5F">
      <w:pPr>
        <w:pStyle w:val="NormalWeb"/>
        <w:spacing w:before="0" w:beforeAutospacing="0"/>
      </w:pPr>
      <w:r w:rsidRPr="009C5151">
        <w:t>This decision provides guidance on the interpretation of "Fees for Technical Services" under the India-UK DTAA and the taxability of cross-border service fees in the absence of a Permanent Establishment.</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CIT vs. Hero Motocorp Limited - TS-180-HC-2017(DEL) - ITA 923/2015 dated 08.05.2017</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F3E67AE" wp14:editId="681C2911">
            <wp:extent cx="763905" cy="763905"/>
            <wp:effectExtent l="0" t="0" r="0" b="0"/>
            <wp:docPr id="369" name="Picture 36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5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lastRenderedPageBreak/>
        <w:t xml:space="preserve">In the case of </w:t>
      </w:r>
      <w:r w:rsidRPr="009C5151">
        <w:rPr>
          <w:rStyle w:val="Strong"/>
        </w:rPr>
        <w:t>Commissioner of Income Tax v. Hero Motocorp Limited</w:t>
      </w:r>
      <w:r w:rsidRPr="009C5151">
        <w:t xml:space="preserve">, the </w:t>
      </w:r>
      <w:r w:rsidRPr="009C5151">
        <w:rPr>
          <w:rStyle w:val="Strong"/>
        </w:rPr>
        <w:t>Delhi High Court</w:t>
      </w:r>
      <w:r w:rsidRPr="009C5151">
        <w:t xml:space="preserve"> addressed the tax treatment of payments made by Hero Motocorp Limited to foreign entities for services rendered, specifically focusing on the applicability of tax deduction at source (TDS) under Section 195 of the Income Tax Act, 1961.</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Hero Motocorp Limited, an Indian company engaged in the manufacturing and sale of motorcycles and scooters.</w:t>
      </w:r>
    </w:p>
    <w:p w:rsidR="00A056B6" w:rsidRPr="009C5151" w:rsidRDefault="00A056B6" w:rsidP="00743A5F">
      <w:pPr>
        <w:pStyle w:val="NormalWeb"/>
        <w:tabs>
          <w:tab w:val="num" w:pos="720"/>
        </w:tabs>
        <w:spacing w:before="0" w:beforeAutospacing="0"/>
        <w:ind w:left="720" w:hanging="360"/>
      </w:pPr>
      <w:r w:rsidRPr="009C5151">
        <w:rPr>
          <w:rStyle w:val="Strong"/>
        </w:rPr>
        <w:t>Transactions:</w:t>
      </w:r>
      <w:r w:rsidRPr="009C5151">
        <w:t xml:space="preserve"> The company made payments to foreign entities for various services, including export commission, without deducting tax at source under Section 195 of the Income Tax Act.</w:t>
      </w:r>
    </w:p>
    <w:p w:rsidR="00A056B6" w:rsidRPr="009C5151" w:rsidRDefault="00A056B6" w:rsidP="00743A5F">
      <w:pPr>
        <w:pStyle w:val="NormalWeb"/>
        <w:tabs>
          <w:tab w:val="num" w:pos="720"/>
        </w:tabs>
        <w:spacing w:before="0" w:beforeAutospacing="0"/>
        <w:ind w:left="720" w:hanging="360"/>
      </w:pPr>
      <w:r w:rsidRPr="009C5151">
        <w:rPr>
          <w:rStyle w:val="Strong"/>
        </w:rPr>
        <w:t>Assessment Year:</w:t>
      </w:r>
      <w:r w:rsidRPr="009C5151">
        <w:t xml:space="preserve"> 2006-07.</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Payments:</w:t>
      </w:r>
      <w:r w:rsidRPr="009C5151">
        <w:t xml:space="preserve"> Whether the payments made by Hero Motocorp Limited to foreign entities constituted "fees for technical services" or "royalty" under Section 9(1)(vii) of the Income Tax Act, thereby necessitating tax deduction at source under Section 195.</w:t>
      </w:r>
    </w:p>
    <w:p w:rsidR="00A056B6" w:rsidRPr="009C5151" w:rsidRDefault="00A056B6" w:rsidP="00743A5F">
      <w:pPr>
        <w:pStyle w:val="NormalWeb"/>
        <w:tabs>
          <w:tab w:val="num" w:pos="720"/>
        </w:tabs>
        <w:spacing w:before="0" w:beforeAutospacing="0"/>
        <w:ind w:left="720" w:hanging="360"/>
      </w:pPr>
      <w:r w:rsidRPr="009C5151">
        <w:rPr>
          <w:rStyle w:val="Strong"/>
        </w:rPr>
        <w:t>Taxability under DTAA:</w:t>
      </w:r>
      <w:r w:rsidRPr="009C5151">
        <w:t xml:space="preserve"> Whether, under the relevant Double Taxation Avoidance Agreements (DTAAs), the payments were taxable in India, considering the nature of services rendered and the absence of a Permanent Establishment (PE) of the foreign entities in India.</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t>Nature of Services:</w:t>
      </w:r>
      <w:r w:rsidRPr="009C5151">
        <w:t xml:space="preserve"> The court examined the nature of services provided by the foreign entities, noting that the services were rendered outside India, and the foreign entities did not have a PE in India.</w:t>
      </w:r>
    </w:p>
    <w:p w:rsidR="00A056B6" w:rsidRPr="009C5151" w:rsidRDefault="00A056B6" w:rsidP="00743A5F">
      <w:pPr>
        <w:pStyle w:val="NormalWeb"/>
        <w:tabs>
          <w:tab w:val="num" w:pos="720"/>
        </w:tabs>
        <w:spacing w:before="0" w:beforeAutospacing="0"/>
        <w:ind w:left="720" w:hanging="360"/>
      </w:pPr>
      <w:r w:rsidRPr="009C5151">
        <w:rPr>
          <w:rStyle w:val="Strong"/>
        </w:rPr>
        <w:t>Application of DTAA:</w:t>
      </w:r>
      <w:r w:rsidRPr="009C5151">
        <w:t xml:space="preserve"> The court referred to the provisions of the applicable DTAAs, which stipulated that business profits earned by a foreign enterprise are taxable in India only if the enterprise has a PE in India.</w:t>
      </w:r>
    </w:p>
    <w:p w:rsidR="00A056B6" w:rsidRPr="009C5151" w:rsidRDefault="00A056B6" w:rsidP="00743A5F">
      <w:pPr>
        <w:pStyle w:val="NormalWeb"/>
        <w:tabs>
          <w:tab w:val="num" w:pos="720"/>
        </w:tabs>
        <w:spacing w:before="0" w:beforeAutospacing="0"/>
        <w:ind w:left="720" w:hanging="360"/>
      </w:pPr>
      <w:r w:rsidRPr="009C5151">
        <w:rPr>
          <w:rStyle w:val="Strong"/>
        </w:rPr>
        <w:t>Tax Deduction at Source (TDS):</w:t>
      </w:r>
      <w:r w:rsidRPr="009C5151">
        <w:t xml:space="preserve"> The court observed that since the payments were not chargeable to tax in India under the DTAAs, there was no obligation on Hero Motocorp Limited to deduct tax at source under Section 195 of the Income Tax Act.</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No TDS Requirement:</w:t>
      </w:r>
      <w:r w:rsidRPr="009C5151">
        <w:t xml:space="preserve"> The Delhi High Court held that the payments made by Hero Motocorp Limited to foreign entities for services rendered outside India did not constitute "fees for technical services" or "royalty" under Section 9(1)(vii) of the Income Tax Act. Consequently, there was no requirement to deduct tax at source under Section 195.</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Non-Taxability in India:</w:t>
      </w:r>
      <w:r w:rsidRPr="009C5151">
        <w:t xml:space="preserve"> The court further held that, in the absence of a PE in India, the payments were not taxable in India under the relevant DTAAs.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payments made by an Indian company to foreign entities for services rendered entirely outside India are not subject to tax deduction at source under Section 195 of the Income Tax Act, provided the foreign entities do not have a Permanent Establishment in India and the payments do not qualify as "fees for technical services" or "royalty" under the Act.</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Commissioner of Income Tax v. Hero Motocorp Limited, ITA No. 923/2015, Delhi High Court, dated May 8, 2017.</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09"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provides guidance on the applicability of tax deduction at source for payments made to non-resident entities, emphasizing the importance of analyzing the nature of services and the provisions of relevant DTAAs.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Technip Singapore Pte Ltd v DIT - TS-301-HC-2016 (Del) [India - Singapore DTAA]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B606D7C" wp14:editId="5D54EEA2">
            <wp:extent cx="763905" cy="763905"/>
            <wp:effectExtent l="0" t="0" r="0" b="0"/>
            <wp:docPr id="368" name="Picture 36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5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w:t>
      </w:r>
      <w:r w:rsidRPr="009C5151">
        <w:rPr>
          <w:rStyle w:val="Strong"/>
        </w:rPr>
        <w:t>Technip Singapore Pte Ltd. v. Director of Income Tax &amp; Anr.</w:t>
      </w:r>
      <w:r w:rsidRPr="009C5151">
        <w:t xml:space="preserve">, the </w:t>
      </w:r>
      <w:r w:rsidRPr="009C5151">
        <w:rPr>
          <w:rStyle w:val="Strong"/>
        </w:rPr>
        <w:t>Delhi High Court</w:t>
      </w:r>
      <w:r w:rsidRPr="009C5151">
        <w:t xml:space="preserve"> examined the tax implications under the India-Singapore Double Taxation Avoidance Agreement (DTAA) concerning a contract executed by Technip Singapore Pte Ltd. (the Petitioner) with Indian Oil Corporation Ltd. (IOCL).</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Technip Singapore Pte Ltd., a company incorporated in Singapore, engaged in offshore construction and engineering services.</w:t>
      </w:r>
    </w:p>
    <w:p w:rsidR="00A056B6" w:rsidRPr="009C5151" w:rsidRDefault="00A056B6" w:rsidP="00743A5F">
      <w:pPr>
        <w:pStyle w:val="NormalWeb"/>
        <w:tabs>
          <w:tab w:val="num" w:pos="720"/>
        </w:tabs>
        <w:spacing w:before="0" w:beforeAutospacing="0"/>
        <w:ind w:left="720" w:hanging="360"/>
      </w:pPr>
      <w:r w:rsidRPr="009C5151">
        <w:rPr>
          <w:rStyle w:val="Strong"/>
        </w:rPr>
        <w:t>Contract with IOCL:</w:t>
      </w:r>
      <w:r w:rsidRPr="009C5151">
        <w:t xml:space="preserve"> The Petitioner entered into a contract with IOCL for the installation of a Single Point Mooring (SPM) system at Paradip Port in India.</w:t>
      </w:r>
    </w:p>
    <w:p w:rsidR="00A056B6" w:rsidRPr="009C5151" w:rsidRDefault="00A056B6" w:rsidP="00743A5F">
      <w:pPr>
        <w:pStyle w:val="NormalWeb"/>
        <w:tabs>
          <w:tab w:val="num" w:pos="720"/>
        </w:tabs>
        <w:spacing w:before="0" w:beforeAutospacing="0"/>
        <w:ind w:left="720" w:hanging="360"/>
      </w:pPr>
      <w:r w:rsidRPr="009C5151">
        <w:rPr>
          <w:rStyle w:val="Strong"/>
        </w:rPr>
        <w:t>Duration of Work in India:</w:t>
      </w:r>
      <w:r w:rsidRPr="009C5151">
        <w:t xml:space="preserve"> The Petitioner was present in India for 41 days during the fiscal year 2008-09 to execute the contract.</w:t>
      </w:r>
    </w:p>
    <w:p w:rsidR="00A056B6" w:rsidRPr="009C5151" w:rsidRDefault="00A056B6" w:rsidP="00743A5F">
      <w:pPr>
        <w:pStyle w:val="NormalWeb"/>
        <w:spacing w:before="0" w:beforeAutospacing="0"/>
      </w:pPr>
      <w:r w:rsidRPr="009C5151">
        <w:rPr>
          <w:rStyle w:val="Strong"/>
        </w:rPr>
        <w:lastRenderedPageBreak/>
        <w:t>Key 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the Petitioner's activities in India constituted a PE under Article 5 of the India-Singapore DTAA.</w:t>
      </w:r>
    </w:p>
    <w:p w:rsidR="00A056B6" w:rsidRPr="009C5151" w:rsidRDefault="00A056B6" w:rsidP="00743A5F">
      <w:pPr>
        <w:pStyle w:val="NormalWeb"/>
        <w:tabs>
          <w:tab w:val="num" w:pos="720"/>
        </w:tabs>
        <w:spacing w:before="0" w:beforeAutospacing="0"/>
        <w:ind w:left="720" w:hanging="360"/>
      </w:pPr>
      <w:r w:rsidRPr="009C5151">
        <w:rPr>
          <w:rStyle w:val="Strong"/>
        </w:rPr>
        <w:t>Taxability of Mobilization/Demobilization Charges:</w:t>
      </w:r>
      <w:r w:rsidRPr="009C5151">
        <w:t xml:space="preserve"> Whether the payments received for mobilization and demobilization should be treated as "royalty" under Section 9(1)(vi) of the Income Tax Act, 1961, and Article 12(3)(b) of the DTAA.</w:t>
      </w:r>
    </w:p>
    <w:p w:rsidR="00A056B6" w:rsidRPr="009C5151" w:rsidRDefault="00A056B6" w:rsidP="00743A5F">
      <w:pPr>
        <w:pStyle w:val="NormalWeb"/>
        <w:tabs>
          <w:tab w:val="num" w:pos="720"/>
        </w:tabs>
        <w:spacing w:before="0" w:beforeAutospacing="0"/>
        <w:ind w:left="720" w:hanging="360"/>
      </w:pPr>
      <w:r w:rsidRPr="009C5151">
        <w:rPr>
          <w:rStyle w:val="Strong"/>
        </w:rPr>
        <w:t>Taxability of Installation Charges:</w:t>
      </w:r>
      <w:r w:rsidRPr="009C5151">
        <w:t xml:space="preserve"> Whether the payments for installation services could be classified as "Fees for Technical Services" (FTS) under Explanation 2 to Section 9(1)(vii) of the Act and Article 12(4)(a) of the DTAA.</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t>Permanent Establishment (PE):</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Duration Threshold:</w:t>
      </w:r>
      <w:r w:rsidRPr="009C5151">
        <w:t xml:space="preserve"> Under Article 5(3) of the DTAA, a building site or construction/installation project constitutes a PE only if it lasts more than 183 days in any fiscal year.</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Petitioner's Presence:</w:t>
      </w:r>
      <w:r w:rsidRPr="009C5151">
        <w:t xml:space="preserve"> The Petitioner was present in India for only 41 days during the relevant fiscal year, which is below the 183-day threshold.</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Conclusion:</w:t>
      </w:r>
      <w:r w:rsidRPr="009C5151">
        <w:t xml:space="preserve"> The Court concluded that the Petitioner did not have a PE in India concerning the contract with IOCL.</w:t>
      </w:r>
    </w:p>
    <w:p w:rsidR="00A056B6" w:rsidRPr="009C5151" w:rsidRDefault="00A056B6" w:rsidP="00743A5F">
      <w:pPr>
        <w:pStyle w:val="NormalWeb"/>
        <w:tabs>
          <w:tab w:val="num" w:pos="720"/>
        </w:tabs>
        <w:spacing w:before="0" w:beforeAutospacing="0"/>
        <w:ind w:left="720" w:hanging="360"/>
      </w:pPr>
      <w:r w:rsidRPr="009C5151">
        <w:rPr>
          <w:rStyle w:val="Strong"/>
        </w:rPr>
        <w:t>Mobilization/Demobilization Charges: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Definition of Royalty:</w:t>
      </w:r>
      <w:r w:rsidRPr="009C5151">
        <w:t xml:space="preserve"> For a payment to be classified as "royalty," it must be for the use of or the right to use any equipment.</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Use of Equipment:</w:t>
      </w:r>
      <w:r w:rsidRPr="009C5151">
        <w:t xml:space="preserve"> The equipment was used by the Petitioner to render services to IOCL; there was no transfer of the right to use the equipment to IOCL.</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Conclusion:</w:t>
      </w:r>
      <w:r w:rsidRPr="009C5151">
        <w:t xml:space="preserve"> The mobilization/demobilization charges could not be treated as "royalty" under Section 9(1)(vi) of the Act or Article 12(3)(b) of the DTAA.</w:t>
      </w:r>
    </w:p>
    <w:p w:rsidR="00A056B6" w:rsidRPr="009C5151" w:rsidRDefault="00A056B6" w:rsidP="00743A5F">
      <w:pPr>
        <w:pStyle w:val="NormalWeb"/>
        <w:tabs>
          <w:tab w:val="num" w:pos="720"/>
        </w:tabs>
        <w:spacing w:before="0" w:beforeAutospacing="0"/>
        <w:ind w:left="720" w:hanging="360"/>
      </w:pPr>
      <w:r w:rsidRPr="009C5151">
        <w:rPr>
          <w:rStyle w:val="Strong"/>
        </w:rPr>
        <w:t>Installation Charges: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Definition of FTS:</w:t>
      </w:r>
      <w:r w:rsidRPr="009C5151">
        <w:t xml:space="preserve"> FTS refers to payments for services of a managerial, technical, or consultancy nature.</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Exclusion Clause:</w:t>
      </w:r>
      <w:r w:rsidRPr="009C5151">
        <w:t xml:space="preserve"> Services that are ancillary and subsidiary to the application or enjoyment of the right, property, or information for which a payment described in Article 12(3) is made are excluded from the definition of FTS.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Nature of Services:</w:t>
      </w:r>
      <w:r w:rsidRPr="009C5151">
        <w:t xml:space="preserve"> The installation services were integral to the execution of the contract and did not involve the transfer of technical knowledge or skill to IOCL.</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lastRenderedPageBreak/>
        <w:t>Conclusion:</w:t>
      </w:r>
      <w:r w:rsidRPr="009C5151">
        <w:t xml:space="preserve"> The installation charges did not qualify as FTS under Explanation 2 to Section 9(1)(vii) of the Act or Article 12(4)(a) of the DTAA.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No Tax Liability in India:</w:t>
      </w:r>
      <w:r w:rsidRPr="009C5151">
        <w:t xml:space="preserve"> The Delhi High Court held that, in the absence of a PE in India, the business profits earned by the Petitioner from the contract with IOCL were not taxable in India under Article 7 of the India-Singapore DTAA.</w:t>
      </w:r>
    </w:p>
    <w:p w:rsidR="00A056B6" w:rsidRPr="009C5151" w:rsidRDefault="00A056B6" w:rsidP="00743A5F">
      <w:pPr>
        <w:pStyle w:val="NormalWeb"/>
        <w:tabs>
          <w:tab w:val="num" w:pos="720"/>
        </w:tabs>
        <w:spacing w:before="0" w:beforeAutospacing="0"/>
        <w:ind w:left="720" w:hanging="360"/>
      </w:pPr>
      <w:r w:rsidRPr="009C5151">
        <w:rPr>
          <w:rStyle w:val="Strong"/>
        </w:rPr>
        <w:t>Mobilization/Demobilization and Installation Charges:</w:t>
      </w:r>
      <w:r w:rsidRPr="009C5151">
        <w:t xml:space="preserve"> These charges could not be classified as "royalty" or "fees for technical services" and, therefore, were not taxable under the provisions of the Income Tax Act or the DTAA.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for a foreign enterprise to have a tax liability in India under the India-Singapore DTAA, there must be a Permanent Establishment in India, and the income must be attributable to such PE. Additionally, payments for services rendered by the foreign enterprise cannot be classified as "royalty" or "fees for technical services" unless they meet the specific definitions provided in the Act and the DTAA.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Technip Singapore Pte Ltd. v. Director of Income Tax &amp; Anr., W.P.(C) No. 7416/2012, Delhi High Court, dated June 2, 2016.</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10"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provides guidance on the interpretation of Permanent Establishment and the classification of various charges under the India-Singapore DTAA, offering clarity for foreign enterprises engaged in contracts within India.</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CIT vs. Andaman Sea Food (P) Ltd - [TS-30-SC-2016] [India - Singapore DTAA]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E53ACB9" wp14:editId="0B15EFF4">
            <wp:extent cx="763905" cy="763905"/>
            <wp:effectExtent l="0" t="0" r="0" b="0"/>
            <wp:docPr id="367" name="Picture 36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5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Commissioner of Income Tax v. Andaman Sea Food Pvt. Ltd.</w:t>
      </w:r>
      <w:r w:rsidRPr="009C5151">
        <w:t xml:space="preserve">, the </w:t>
      </w:r>
      <w:r w:rsidRPr="009C5151">
        <w:rPr>
          <w:rStyle w:val="Strong"/>
        </w:rPr>
        <w:t>Supreme Court of India</w:t>
      </w:r>
      <w:r w:rsidRPr="009C5151">
        <w:t xml:space="preserve"> addressed the tax implications of consultancy fees paid by an Indian company to a Singapore-based entity under the India-Singapore Double Taxation Avoidance Agreement (DTAA).</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Assessee:</w:t>
      </w:r>
      <w:r w:rsidRPr="009C5151">
        <w:t xml:space="preserve"> Andaman Sea Food Pvt. Ltd., an Indian company engaged in trading and exporting seafood.</w:t>
      </w:r>
    </w:p>
    <w:p w:rsidR="00A056B6" w:rsidRPr="009C5151" w:rsidRDefault="00A056B6" w:rsidP="00743A5F">
      <w:pPr>
        <w:pStyle w:val="NormalWeb"/>
        <w:tabs>
          <w:tab w:val="num" w:pos="720"/>
        </w:tabs>
        <w:spacing w:before="0" w:beforeAutospacing="0"/>
        <w:ind w:left="720" w:hanging="360"/>
      </w:pPr>
      <w:r w:rsidRPr="009C5151">
        <w:rPr>
          <w:rStyle w:val="Strong"/>
        </w:rPr>
        <w:t>Transaction:</w:t>
      </w:r>
      <w:r w:rsidRPr="009C5151">
        <w:t xml:space="preserve"> The company paid consultancy fees to Global Maharaja Pte Ltd. (GMPL), a Singapore-based company, for services related to foreign exchange derivative transactions.</w:t>
      </w:r>
    </w:p>
    <w:p w:rsidR="00A056B6" w:rsidRPr="009C5151" w:rsidRDefault="00A056B6" w:rsidP="00743A5F">
      <w:pPr>
        <w:pStyle w:val="NormalWeb"/>
        <w:tabs>
          <w:tab w:val="num" w:pos="720"/>
        </w:tabs>
        <w:spacing w:before="0" w:beforeAutospacing="0"/>
        <w:ind w:left="720" w:hanging="360"/>
      </w:pPr>
      <w:r w:rsidRPr="009C5151">
        <w:rPr>
          <w:rStyle w:val="Strong"/>
        </w:rPr>
        <w:t>Tax Deduction at Source (TDS):</w:t>
      </w:r>
      <w:r w:rsidRPr="009C5151">
        <w:t xml:space="preserve"> The assessee did not deduct tax at source on these payments, contending that the income was not taxable in India under the India-Singapore DTAA.</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Taxability of Consultancy Fees:</w:t>
      </w:r>
      <w:r w:rsidRPr="009C5151">
        <w:t xml:space="preserve"> Whether the consultancy fees paid to the Singapore-based company were taxable in India as "Fees for Technical Services" (FTS) under the Income Tax Act, 1961, and the India-Singapore DTAA.</w:t>
      </w:r>
    </w:p>
    <w:p w:rsidR="00A056B6" w:rsidRPr="009C5151" w:rsidRDefault="00A056B6" w:rsidP="00743A5F">
      <w:pPr>
        <w:pStyle w:val="NormalWeb"/>
        <w:tabs>
          <w:tab w:val="num" w:pos="720"/>
        </w:tabs>
        <w:spacing w:before="0" w:beforeAutospacing="0"/>
        <w:ind w:left="720" w:hanging="360"/>
      </w:pPr>
      <w:r w:rsidRPr="009C5151">
        <w:rPr>
          <w:rStyle w:val="Strong"/>
        </w:rPr>
        <w:t>Applicability of Section 40(a)(i):</w:t>
      </w:r>
      <w:r w:rsidRPr="009C5151">
        <w:t xml:space="preserve"> Whether the failure to deduct tax at source on these payments would attract disallowance under Section 40(a)(i) of the Income Tax Act.</w:t>
      </w:r>
    </w:p>
    <w:p w:rsidR="00A056B6" w:rsidRPr="009C5151" w:rsidRDefault="00A056B6" w:rsidP="00743A5F">
      <w:pPr>
        <w:pStyle w:val="NormalWeb"/>
        <w:spacing w:before="0" w:beforeAutospacing="0"/>
      </w:pPr>
      <w:r w:rsidRPr="009C5151">
        <w:rPr>
          <w:rStyle w:val="Strong"/>
        </w:rPr>
        <w:t>Supreme Court's Analysis:</w:t>
      </w:r>
    </w:p>
    <w:p w:rsidR="00A056B6" w:rsidRPr="009C5151" w:rsidRDefault="00A056B6" w:rsidP="00743A5F">
      <w:pPr>
        <w:pStyle w:val="NormalWeb"/>
        <w:tabs>
          <w:tab w:val="num" w:pos="720"/>
        </w:tabs>
        <w:spacing w:before="0" w:beforeAutospacing="0"/>
        <w:ind w:left="720" w:hanging="360"/>
      </w:pPr>
      <w:r w:rsidRPr="009C5151">
        <w:rPr>
          <w:rStyle w:val="Strong"/>
        </w:rPr>
        <w:t>Definition of FTS under DTAA:</w:t>
      </w:r>
      <w:r w:rsidRPr="009C5151">
        <w:t xml:space="preserve"> Article 12(4)(b) of the India-Singapore DTAA defines FTS as payments for services that "make available" technical knowledge, experience, skill, know-how, or processes, enabling the recipient to apply the technology independently.</w:t>
      </w:r>
    </w:p>
    <w:p w:rsidR="00A056B6" w:rsidRPr="009C5151" w:rsidRDefault="00A056B6" w:rsidP="00743A5F">
      <w:pPr>
        <w:pStyle w:val="NormalWeb"/>
        <w:tabs>
          <w:tab w:val="num" w:pos="720"/>
        </w:tabs>
        <w:spacing w:before="0" w:beforeAutospacing="0"/>
        <w:ind w:left="720" w:hanging="360"/>
      </w:pPr>
      <w:r w:rsidRPr="009C5151">
        <w:rPr>
          <w:rStyle w:val="Strong"/>
        </w:rPr>
        <w:t>Nature of Services Provided:</w:t>
      </w:r>
      <w:r w:rsidRPr="009C5151">
        <w:t xml:space="preserve"> The consultancy services rendered by GMPL did not involve the transfer of technical knowledge or skills that would enable the assessee to apply the technology independently.</w:t>
      </w:r>
    </w:p>
    <w:p w:rsidR="00A056B6" w:rsidRPr="009C5151" w:rsidRDefault="00A056B6" w:rsidP="00743A5F">
      <w:pPr>
        <w:pStyle w:val="NormalWeb"/>
        <w:tabs>
          <w:tab w:val="num" w:pos="720"/>
        </w:tabs>
        <w:spacing w:before="0" w:beforeAutospacing="0"/>
        <w:ind w:left="720" w:hanging="360"/>
      </w:pPr>
      <w:r w:rsidRPr="009C5151">
        <w:rPr>
          <w:rStyle w:val="Strong"/>
        </w:rPr>
        <w:t>Taxability under DTAA:</w:t>
      </w:r>
      <w:r w:rsidRPr="009C5151">
        <w:t xml:space="preserve"> Since the services did not "make available" technical knowledge, the payments did not qualify as FTS under the DTAA. Additionally, GMPL did not have a Permanent Establishment (PE) in India. Therefore, the income was not taxable in India under the DTAA.</w:t>
      </w:r>
    </w:p>
    <w:p w:rsidR="00A056B6" w:rsidRPr="009C5151" w:rsidRDefault="00A056B6" w:rsidP="00743A5F">
      <w:pPr>
        <w:pStyle w:val="NormalWeb"/>
        <w:tabs>
          <w:tab w:val="num" w:pos="720"/>
        </w:tabs>
        <w:spacing w:before="0" w:beforeAutospacing="0"/>
        <w:ind w:left="720" w:hanging="360"/>
      </w:pPr>
      <w:r w:rsidRPr="009C5151">
        <w:rPr>
          <w:rStyle w:val="Strong"/>
        </w:rPr>
        <w:t>Implications for TDS and Disallowance:</w:t>
      </w:r>
      <w:r w:rsidRPr="009C5151">
        <w:t xml:space="preserve"> As the income was not taxable in India, the assessee was not obligated to deduct tax at source under Section 195. Consequently, disallowance under Section 40(a)(i) was not applicable.</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No Tax Liability in India:</w:t>
      </w:r>
      <w:r w:rsidRPr="009C5151">
        <w:t xml:space="preserve"> The Supreme Court upheld the view that the consultancy fees paid to the Singapore-based company were not taxable in India under the India-Singapore DTAA.</w:t>
      </w:r>
    </w:p>
    <w:p w:rsidR="00A056B6" w:rsidRPr="009C5151" w:rsidRDefault="00A056B6" w:rsidP="00743A5F">
      <w:pPr>
        <w:pStyle w:val="NormalWeb"/>
        <w:tabs>
          <w:tab w:val="num" w:pos="720"/>
        </w:tabs>
        <w:spacing w:before="0" w:beforeAutospacing="0"/>
        <w:ind w:left="720" w:hanging="360"/>
      </w:pPr>
      <w:r w:rsidRPr="009C5151">
        <w:rPr>
          <w:rStyle w:val="Strong"/>
        </w:rPr>
        <w:t>No Disallowance under Section 40(a)(i):</w:t>
      </w:r>
      <w:r w:rsidRPr="009C5151">
        <w:t xml:space="preserve"> The Court affirmed that the assessee was not required to deduct tax at source, and therefore, no disallowance under Section 40(a)(i) was warranted.</w:t>
      </w:r>
    </w:p>
    <w:p w:rsidR="00A056B6" w:rsidRPr="009C5151" w:rsidRDefault="00A056B6" w:rsidP="00743A5F">
      <w:pPr>
        <w:pStyle w:val="NormalWeb"/>
        <w:spacing w:before="0" w:beforeAutospacing="0"/>
      </w:pPr>
      <w:r w:rsidRPr="009C5151">
        <w:rPr>
          <w:rStyle w:val="Strong"/>
        </w:rPr>
        <w:lastRenderedPageBreak/>
        <w:t>Conclusion:</w:t>
      </w:r>
    </w:p>
    <w:p w:rsidR="00A056B6" w:rsidRPr="009C5151" w:rsidRDefault="00A056B6" w:rsidP="00743A5F">
      <w:pPr>
        <w:pStyle w:val="NormalWeb"/>
        <w:spacing w:before="0" w:beforeAutospacing="0"/>
      </w:pPr>
      <w:r w:rsidRPr="009C5151">
        <w:t>This judgment clarifies that consultancy fees paid to a non-resident entity are not taxable in India under the India-Singapore DTAA if the services do not "make available" technical knowledge or skills to the recipient, and the non-resident does not have a Permanent Establishment in India. Consequently, there is no obligation to deduct tax at source on such payments, and disallowance under Section 40(a)(i) is not applicable.</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Commissioner of Income Tax v. Andaman Sea Food Pvt. Ltd., Special Leave Petition (C) No. 36385/2014, Supreme Court of India, dated January 8, 2015.</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11"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provides clarity on the interpretation of "Fees for Technical Services" under the India-Singapore DTAA and the associated obligations for tax deduction at source.</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DIT (International Taxation) vs. Marks &amp; Spencer Reliance India Pvt. Ltd - TS-178-HC- 2017(BOM) - INCOME TAX APPEAL NO. 893 OF 2014 dated 03.05.2017</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3A326B3" wp14:editId="051090AD">
            <wp:extent cx="763905" cy="763905"/>
            <wp:effectExtent l="0" t="0" r="0" b="0"/>
            <wp:docPr id="366" name="Picture 36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5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Director of Income Tax (International Taxation) v. Marks &amp; Spencer Reliance India Pvt. Ltd.</w:t>
      </w:r>
      <w:r w:rsidRPr="009C5151">
        <w:t xml:space="preserve">, the </w:t>
      </w:r>
      <w:r w:rsidRPr="009C5151">
        <w:rPr>
          <w:rStyle w:val="Strong"/>
        </w:rPr>
        <w:t>Bombay High Court</w:t>
      </w:r>
      <w:r w:rsidRPr="009C5151">
        <w:t xml:space="preserve"> addressed the tax implications of payments made by an Indian company to its UK-based parent company under a secondment agreement.</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Marks &amp; Spencer Reliance India Pvt. Ltd., an Indian joint venture between Marks &amp; Spencer Plc (UK) and Reliance Retail Ltd.</w:t>
      </w:r>
    </w:p>
    <w:p w:rsidR="00A056B6" w:rsidRPr="009C5151" w:rsidRDefault="00A056B6" w:rsidP="00743A5F">
      <w:pPr>
        <w:pStyle w:val="NormalWeb"/>
        <w:tabs>
          <w:tab w:val="num" w:pos="720"/>
        </w:tabs>
        <w:spacing w:before="0" w:beforeAutospacing="0"/>
        <w:ind w:left="720" w:hanging="360"/>
      </w:pPr>
      <w:r w:rsidRPr="009C5151">
        <w:rPr>
          <w:rStyle w:val="Strong"/>
        </w:rPr>
        <w:t>Agreement:</w:t>
      </w:r>
      <w:r w:rsidRPr="009C5151">
        <w:t xml:space="preserve"> The Indian company entered into a secondment agreement with Marks &amp; Spencer Plc, whereby certain employees were deputed to India to assist in various functions, including management, business setup, property selection, retail operations, and merchandising.</w:t>
      </w:r>
    </w:p>
    <w:p w:rsidR="00A056B6" w:rsidRPr="009C5151" w:rsidRDefault="00A056B6" w:rsidP="00743A5F">
      <w:pPr>
        <w:pStyle w:val="NormalWeb"/>
        <w:tabs>
          <w:tab w:val="num" w:pos="720"/>
        </w:tabs>
        <w:spacing w:before="0" w:beforeAutospacing="0"/>
        <w:ind w:left="720" w:hanging="360"/>
      </w:pPr>
      <w:r w:rsidRPr="009C5151">
        <w:rPr>
          <w:rStyle w:val="Strong"/>
        </w:rPr>
        <w:t>Payments:</w:t>
      </w:r>
      <w:r w:rsidRPr="009C5151">
        <w:t xml:space="preserve"> The Indian company reimbursed Marks &amp; Spencer Plc for the salaries of the seconded employees.</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Nature of Payments:</w:t>
      </w:r>
      <w:r w:rsidRPr="009C5151">
        <w:t xml:space="preserve"> Whether the reimbursements made by the Indian company to Marks &amp; Spencer Plc for the salaries of seconded employees constituted "Fees for Technical Services" (FTS) under the Income Tax Act, 1961, and the India-UK Double Taxation Avoidance Agreement (DTAA).</w:t>
      </w:r>
    </w:p>
    <w:p w:rsidR="00A056B6" w:rsidRPr="009C5151" w:rsidRDefault="00A056B6" w:rsidP="00743A5F">
      <w:pPr>
        <w:pStyle w:val="NormalWeb"/>
        <w:tabs>
          <w:tab w:val="num" w:pos="720"/>
        </w:tabs>
        <w:spacing w:before="0" w:beforeAutospacing="0"/>
        <w:ind w:left="720" w:hanging="360"/>
      </w:pPr>
      <w:r w:rsidRPr="009C5151">
        <w:rPr>
          <w:rStyle w:val="Strong"/>
        </w:rPr>
        <w:t>Tax Deduction at Source (TDS):</w:t>
      </w:r>
      <w:r w:rsidRPr="009C5151">
        <w:t xml:space="preserve"> Whether the Indian company was liable to deduct tax at source under Section 195 of the Income Tax Act on these reimbursements.</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t>Employer-Employee Relationship:</w:t>
      </w:r>
      <w:r w:rsidRPr="009C5151">
        <w:t xml:space="preserve"> The court observed that during the secondment period, the seconded employees worked under the control and supervision of the Indian company, indicating an employer-employee relationship between the Indian company and the seconded personnel.</w:t>
      </w:r>
    </w:p>
    <w:p w:rsidR="00A056B6" w:rsidRPr="009C5151" w:rsidRDefault="00A056B6" w:rsidP="00743A5F">
      <w:pPr>
        <w:pStyle w:val="NormalWeb"/>
        <w:tabs>
          <w:tab w:val="num" w:pos="720"/>
        </w:tabs>
        <w:spacing w:before="0" w:beforeAutospacing="0"/>
        <w:ind w:left="720" w:hanging="360"/>
      </w:pPr>
      <w:r w:rsidRPr="009C5151">
        <w:rPr>
          <w:rStyle w:val="Strong"/>
        </w:rPr>
        <w:t>Reimbursement Nature:</w:t>
      </w:r>
      <w:r w:rsidRPr="009C5151">
        <w:t xml:space="preserve"> The payments made by the Indian company were reimbursements of the salaries paid to the seconded employees, without any markup or profit element.</w:t>
      </w:r>
    </w:p>
    <w:p w:rsidR="00A056B6" w:rsidRPr="009C5151" w:rsidRDefault="00A056B6" w:rsidP="00743A5F">
      <w:pPr>
        <w:pStyle w:val="NormalWeb"/>
        <w:tabs>
          <w:tab w:val="num" w:pos="720"/>
        </w:tabs>
        <w:spacing w:before="0" w:beforeAutospacing="0"/>
        <w:ind w:left="720" w:hanging="360"/>
      </w:pPr>
      <w:r w:rsidRPr="009C5151">
        <w:rPr>
          <w:rStyle w:val="Strong"/>
        </w:rPr>
        <w:t>FTS Classification:</w:t>
      </w:r>
      <w:r w:rsidRPr="009C5151">
        <w:t xml:space="preserve"> The court held that since the payments were mere reimbursements for salaries and there was an employer-employee relationship, they did not constitute "Fees for Technical Services" under the Income Tax Act or the India-UK DTAA.</w:t>
      </w:r>
    </w:p>
    <w:p w:rsidR="00A056B6" w:rsidRPr="009C5151" w:rsidRDefault="00A056B6" w:rsidP="00743A5F">
      <w:pPr>
        <w:pStyle w:val="NormalWeb"/>
        <w:tabs>
          <w:tab w:val="num" w:pos="720"/>
        </w:tabs>
        <w:spacing w:before="0" w:beforeAutospacing="0"/>
        <w:ind w:left="720" w:hanging="360"/>
      </w:pPr>
      <w:r w:rsidRPr="009C5151">
        <w:rPr>
          <w:rStyle w:val="Strong"/>
        </w:rPr>
        <w:t>TDS Obligation:</w:t>
      </w:r>
      <w:r w:rsidRPr="009C5151">
        <w:t xml:space="preserve"> As the payments were not in the nature of FTS and were reimbursements of salaries (which are taxable in the hands of the employees), the Indian company was not liable to deduct tax at source under Section 195.</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No TDS Requirement:</w:t>
      </w:r>
      <w:r w:rsidRPr="009C5151">
        <w:rPr>
          <w:rFonts w:ascii="Times New Roman" w:hAnsi="Times New Roman" w:cs="Times New Roman"/>
          <w:sz w:val="24"/>
          <w:szCs w:val="24"/>
        </w:rPr>
        <w:t xml:space="preserve"> The Bombay High Court upheld the decision of the Income Tax Appellate Tribunal (ITAT), ruling that the Indian company was not required to deduct tax at source on the reimbursements made to Marks &amp; Spencer Plc for the salaries of seconded employees.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reimbursements of salaries paid to seconded employees, where an employer-employee relationship exists between the Indian company and the secondees, do not constitute "Fees for Technical Services" under the Income Tax Act or the relevant DTAA. Consequently, such payments are not subject to tax deduction at source under Section 195.</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Director of Income Tax (International Taxation) v. Marks &amp; Spencer Reliance India Pvt. Ltd., Income Tax Appeal No. 893 of 2014, Bombay High Court, dated May 3, 2017.</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12" w:tgtFrame="_new" w:history="1">
        <w:r w:rsidRPr="009C5151">
          <w:rPr>
            <w:rStyle w:val="Hyperlink"/>
          </w:rPr>
          <w:t>Taxscan</w:t>
        </w:r>
      </w:hyperlink>
    </w:p>
    <w:p w:rsidR="00A056B6" w:rsidRPr="009C5151" w:rsidRDefault="00A056B6" w:rsidP="00743A5F">
      <w:pPr>
        <w:pStyle w:val="NormalWeb"/>
        <w:spacing w:before="0" w:beforeAutospacing="0"/>
      </w:pPr>
      <w:r w:rsidRPr="009C5151">
        <w:lastRenderedPageBreak/>
        <w:t>This decision provides clarity on the tax treatment of reimbursements under secondment agreements, emphasizing the importance of the nature of payments and the underlying relationships in determining tax liabilities.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Steria India Ltd - TS-416-HC-2016 (Del) - W.P.(C) 4793/2014 &amp; CM APPL. 9551/2014 [India - France DTAA]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78AE2AF" wp14:editId="5627495C">
            <wp:extent cx="763905" cy="763905"/>
            <wp:effectExtent l="0" t="0" r="0" b="0"/>
            <wp:docPr id="365" name="Picture 36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5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w:t>
      </w:r>
      <w:r w:rsidRPr="009C5151">
        <w:rPr>
          <w:rStyle w:val="Strong"/>
        </w:rPr>
        <w:t>Steria (India) Ltd. v. Commissioner of Income Tax-VI &amp; Anr.</w:t>
      </w:r>
      <w:r w:rsidRPr="009C5151">
        <w:t xml:space="preserve">, the </w:t>
      </w:r>
      <w:r w:rsidRPr="009C5151">
        <w:rPr>
          <w:rStyle w:val="Strong"/>
        </w:rPr>
        <w:t>Delhi High Court</w:t>
      </w:r>
      <w:r w:rsidRPr="009C5151">
        <w:t xml:space="preserve"> examined the applicability of the Most Favored Nation (MFN) clause in the Protocol to the India-France Double Taxation Avoidance Agreement (DTAA) concerning payments for management services.</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Steria (India) Ltd., an Indian company, entered into a Management Services Agreement with its French parent company, Groupe Steria SCA (Steria France), under which Steria France provided various management services.</w:t>
      </w:r>
    </w:p>
    <w:p w:rsidR="00A056B6" w:rsidRPr="009C5151" w:rsidRDefault="00A056B6" w:rsidP="00743A5F">
      <w:pPr>
        <w:pStyle w:val="NormalWeb"/>
        <w:tabs>
          <w:tab w:val="num" w:pos="720"/>
        </w:tabs>
        <w:spacing w:before="0" w:beforeAutospacing="0"/>
        <w:ind w:left="720" w:hanging="360"/>
      </w:pPr>
      <w:r w:rsidRPr="009C5151">
        <w:rPr>
          <w:rStyle w:val="Strong"/>
        </w:rPr>
        <w:t>Nature of Services:</w:t>
      </w:r>
      <w:r w:rsidRPr="009C5151">
        <w:t xml:space="preserve"> The services included corporate communication, group marketing, development, information systems, legal, and human resources services.</w:t>
      </w:r>
    </w:p>
    <w:p w:rsidR="00A056B6" w:rsidRPr="009C5151" w:rsidRDefault="00A056B6" w:rsidP="00743A5F">
      <w:pPr>
        <w:pStyle w:val="NormalWeb"/>
        <w:tabs>
          <w:tab w:val="num" w:pos="720"/>
        </w:tabs>
        <w:spacing w:before="0" w:beforeAutospacing="0"/>
        <w:ind w:left="720" w:hanging="360"/>
      </w:pPr>
      <w:r w:rsidRPr="009C5151">
        <w:rPr>
          <w:rStyle w:val="Strong"/>
        </w:rPr>
        <w:t>Tax Deduction at Source (TDS):</w:t>
      </w:r>
      <w:r w:rsidRPr="009C5151">
        <w:t xml:space="preserve"> Steria (India) Ltd. sought a ruling on whether payments to Steria France for these services were taxable in India as "fees for technical services" (FTS) under the India-France DTAA, and consequently, whether tax was required to be withheld under Section 195 of the Income Tax Act, 1961.</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Definition of FTS under India-France DTAA:</w:t>
      </w:r>
      <w:r w:rsidRPr="009C5151">
        <w:t xml:space="preserve"> The India-France DTAA includes payments for services of a managerial, technical, or consultancy nature within the definition of FTS.</w:t>
      </w:r>
    </w:p>
    <w:p w:rsidR="00A056B6" w:rsidRPr="009C5151" w:rsidRDefault="00A056B6" w:rsidP="00743A5F">
      <w:pPr>
        <w:pStyle w:val="NormalWeb"/>
        <w:tabs>
          <w:tab w:val="num" w:pos="720"/>
        </w:tabs>
        <w:spacing w:before="0" w:beforeAutospacing="0"/>
        <w:ind w:left="720" w:hanging="360"/>
      </w:pPr>
      <w:r w:rsidRPr="009C5151">
        <w:rPr>
          <w:rStyle w:val="Strong"/>
        </w:rPr>
        <w:t>MFN Clause in the Protocol:</w:t>
      </w:r>
      <w:r w:rsidRPr="009C5151">
        <w:t xml:space="preserve"> Clause 7 of the Protocol to the India-France DTAA stipulates that if India enters into a DTAA with an OECD member country after September 1, 1989, providing a more restrictive scope or lower rate of taxation on dividends, interest, royalties, or FTS, the same benefits shall apply under the India-France DTAA.</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Comparison with India-UK DTAA:</w:t>
      </w:r>
      <w:r w:rsidRPr="009C5151">
        <w:t xml:space="preserve"> The India-UK DTAA, signed after September 1, 1989, excludes managerial services from the definition of FTS and incorporates a "make available" clause, narrowing the scope of what constitutes taxable FTS.</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t>Integral Part of DTAA:</w:t>
      </w:r>
      <w:r w:rsidRPr="009C5151">
        <w:t xml:space="preserve"> The Court held that the Protocol forms an integral part of the India-France DTAA, and its provisions are automatically applicable without the need for a separate notification.</w:t>
      </w:r>
    </w:p>
    <w:p w:rsidR="00A056B6" w:rsidRPr="009C5151" w:rsidRDefault="00A056B6" w:rsidP="00743A5F">
      <w:pPr>
        <w:pStyle w:val="NormalWeb"/>
        <w:tabs>
          <w:tab w:val="num" w:pos="720"/>
        </w:tabs>
        <w:spacing w:before="0" w:beforeAutospacing="0"/>
        <w:ind w:left="720" w:hanging="360"/>
      </w:pPr>
      <w:r w:rsidRPr="009C5151">
        <w:rPr>
          <w:rStyle w:val="Strong"/>
        </w:rPr>
        <w:t>MFN Clause Applicability:</w:t>
      </w:r>
      <w:r w:rsidRPr="009C5151">
        <w:t xml:space="preserve"> The MFN clause ensures that any more favorable terms agreed upon by India in subsequent treaties with OECD member countries apply to the India-France DTAA.</w:t>
      </w:r>
    </w:p>
    <w:p w:rsidR="00A056B6" w:rsidRPr="009C5151" w:rsidRDefault="00A056B6" w:rsidP="00743A5F">
      <w:pPr>
        <w:pStyle w:val="NormalWeb"/>
        <w:tabs>
          <w:tab w:val="num" w:pos="720"/>
        </w:tabs>
        <w:spacing w:before="0" w:beforeAutospacing="0"/>
        <w:ind w:left="720" w:hanging="360"/>
      </w:pPr>
      <w:r w:rsidRPr="009C5151">
        <w:rPr>
          <w:rStyle w:val="Strong"/>
        </w:rPr>
        <w:t>Adoption of Restrictive Scope:</w:t>
      </w:r>
      <w:r w:rsidRPr="009C5151">
        <w:t xml:space="preserve"> Given that the India-UK DTAA provides a more restrictive definition of FTS by excluding managerial services and requiring the "make available" condition, these provisions should be read into the India-France DTAA.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Payments Not Taxable as FTS:</w:t>
      </w:r>
      <w:r w:rsidRPr="009C5151">
        <w:t xml:space="preserve"> The Delhi High Court concluded that the payments made by Steria (India) Ltd. to Steria France for managerial services do not qualify as FTS under the India-France DTAA, as modified by the MFN clause referencing the India-UK DTAA.</w:t>
      </w:r>
    </w:p>
    <w:p w:rsidR="00A056B6" w:rsidRPr="009C5151" w:rsidRDefault="00A056B6" w:rsidP="00743A5F">
      <w:pPr>
        <w:pStyle w:val="NormalWeb"/>
        <w:tabs>
          <w:tab w:val="num" w:pos="720"/>
        </w:tabs>
        <w:spacing w:before="0" w:beforeAutospacing="0"/>
        <w:ind w:left="720" w:hanging="360"/>
      </w:pPr>
      <w:r w:rsidRPr="009C5151">
        <w:rPr>
          <w:rStyle w:val="Strong"/>
        </w:rPr>
        <w:t>No TDS Obligation:</w:t>
      </w:r>
      <w:r w:rsidRPr="009C5151">
        <w:t xml:space="preserve"> Consequently, Steria (India) Ltd. was not obligated to deduct tax at source under Section 195 of the Income Tax Act on these payments.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underscores the significance of the MFN clause in tax treaties, emphasizing that more favorable provisions in treaties with OECD member countries can modify existing agreements, potentially reducing tax liabilities.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Steria (India) Ltd. v. Commissioner of Income Tax-VI &amp; Anr., W.P.(C) 4793/2014 &amp; CM APPL. 9551/2014, Delhi High Court, dated July 28, 2016.</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13"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provides clarity on the interpretation and application of MFN clauses in DTAAs, particularly concerning the taxation of cross-border service payments.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Discuss Cummins Ltd In re - [2016] 65 taxmann.com 247 (AAR - New Delhi) [India - UK DTAA]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3C363CF1" wp14:editId="07CCC052">
            <wp:extent cx="763905" cy="763905"/>
            <wp:effectExtent l="0" t="0" r="0" b="0"/>
            <wp:docPr id="364" name="Picture 36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5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w:t>
      </w:r>
      <w:r w:rsidRPr="009C5151">
        <w:rPr>
          <w:rStyle w:val="Strong"/>
        </w:rPr>
        <w:t>Cummins Ltd., In re</w:t>
      </w:r>
      <w:r w:rsidRPr="009C5151">
        <w:t xml:space="preserve">, the </w:t>
      </w:r>
      <w:r w:rsidRPr="009C5151">
        <w:rPr>
          <w:rStyle w:val="Strong"/>
        </w:rPr>
        <w:t>Authority for Advance Rulings (AAR) New Delhi</w:t>
      </w:r>
      <w:r w:rsidRPr="009C5151">
        <w:t xml:space="preserve"> examined the tax implications under the India-UK Double Taxation Avoidance Agreement (DTAA) concerning fees received by Cummins Ltd., a UK-based company, from Cummins Technologies India Ltd. (CTIL) for supply management services.</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Applicant:</w:t>
      </w:r>
      <w:r w:rsidRPr="009C5151">
        <w:t xml:space="preserve"> Cummins Ltd., a company incorporated in the United Kingdom.</w:t>
      </w:r>
    </w:p>
    <w:p w:rsidR="00A056B6" w:rsidRPr="009C5151" w:rsidRDefault="00A056B6" w:rsidP="00743A5F">
      <w:pPr>
        <w:pStyle w:val="NormalWeb"/>
        <w:tabs>
          <w:tab w:val="num" w:pos="720"/>
        </w:tabs>
        <w:spacing w:before="0" w:beforeAutospacing="0"/>
        <w:ind w:left="720" w:hanging="360"/>
      </w:pPr>
      <w:r w:rsidRPr="009C5151">
        <w:rPr>
          <w:rStyle w:val="Strong"/>
        </w:rPr>
        <w:t>Indian Entity:</w:t>
      </w:r>
      <w:r w:rsidRPr="009C5151">
        <w:t xml:space="preserve"> Cummins Technologies India Ltd. (CTIL), engaged in manufacturing and selling turbochargers.</w:t>
      </w:r>
    </w:p>
    <w:p w:rsidR="00A056B6" w:rsidRPr="009C5151" w:rsidRDefault="00A056B6" w:rsidP="00743A5F">
      <w:pPr>
        <w:pStyle w:val="NormalWeb"/>
        <w:tabs>
          <w:tab w:val="num" w:pos="720"/>
        </w:tabs>
        <w:spacing w:before="0" w:beforeAutospacing="0"/>
        <w:ind w:left="720" w:hanging="360"/>
      </w:pPr>
      <w:r w:rsidRPr="009C5151">
        <w:rPr>
          <w:rStyle w:val="Strong"/>
        </w:rPr>
        <w:t>Agreement:</w:t>
      </w:r>
      <w:r w:rsidRPr="009C5151">
        <w:t xml:space="preserve"> Cummins Ltd. entered into a Material Suppliers Management Service Agreement with CTIL, under which it provided supply management services, including ensuring competitive pricing from suppliers in the UK and the US.</w:t>
      </w:r>
    </w:p>
    <w:p w:rsidR="00A056B6" w:rsidRPr="009C5151" w:rsidRDefault="00A056B6" w:rsidP="00743A5F">
      <w:pPr>
        <w:pStyle w:val="NormalWeb"/>
        <w:tabs>
          <w:tab w:val="num" w:pos="720"/>
        </w:tabs>
        <w:spacing w:before="0" w:beforeAutospacing="0"/>
        <w:ind w:left="720" w:hanging="360"/>
      </w:pPr>
      <w:r w:rsidRPr="009C5151">
        <w:rPr>
          <w:rStyle w:val="Strong"/>
        </w:rPr>
        <w:t>Fees:</w:t>
      </w:r>
      <w:r w:rsidRPr="009C5151">
        <w:t xml:space="preserve"> CTIL paid Cummins Ltd. a supply management service fee calculated at 5% of the base prices of the suppliers.</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Classification of Fees:</w:t>
      </w:r>
      <w:r w:rsidRPr="009C5151">
        <w:t xml:space="preserve"> Whether the supply management service fees received by Cummins Ltd. from CTIL qualify as "Fees for Technical Services" (FTS) or "royalties" under Article 13 of the India-UK DTAA.</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If the fees are classified as FTS or royalties, whether they are taxable in India, considering Cummins Ltd. does not have a Permanent Establishment (PE) in India as per Article 5 of the India-UK DTAA.</w:t>
      </w:r>
    </w:p>
    <w:p w:rsidR="00A056B6" w:rsidRPr="009C5151" w:rsidRDefault="00A056B6" w:rsidP="00743A5F">
      <w:pPr>
        <w:pStyle w:val="NormalWeb"/>
        <w:tabs>
          <w:tab w:val="num" w:pos="720"/>
        </w:tabs>
        <w:spacing w:before="0" w:beforeAutospacing="0"/>
        <w:ind w:left="720" w:hanging="360"/>
      </w:pPr>
      <w:r w:rsidRPr="009C5151">
        <w:rPr>
          <w:rStyle w:val="Strong"/>
        </w:rPr>
        <w:t>Transfer Pricing Provisions:</w:t>
      </w:r>
      <w:r w:rsidRPr="009C5151">
        <w:t xml:space="preserve"> If the fees are not taxable in India, whether the provisions of Sections 92 to 92F of the Income Tax Act, relating to transfer pricing, apply to Cummins Ltd. concerning the supply management service fees.</w:t>
      </w:r>
    </w:p>
    <w:p w:rsidR="00A056B6" w:rsidRPr="009C5151" w:rsidRDefault="00A056B6" w:rsidP="00743A5F">
      <w:pPr>
        <w:pStyle w:val="NormalWeb"/>
        <w:tabs>
          <w:tab w:val="num" w:pos="720"/>
        </w:tabs>
        <w:spacing w:before="0" w:beforeAutospacing="0"/>
        <w:ind w:left="720" w:hanging="360"/>
      </w:pPr>
      <w:r w:rsidRPr="009C5151">
        <w:rPr>
          <w:rStyle w:val="Strong"/>
        </w:rPr>
        <w:t>Withholding Tax Obligation:</w:t>
      </w:r>
      <w:r w:rsidRPr="009C5151">
        <w:t xml:space="preserve"> Whether CTIL, the payer of the supply management service fees, is required to withhold tax under Section 195 of the Income Tax Act if the fees are not liable to income tax in India.</w:t>
      </w:r>
    </w:p>
    <w:p w:rsidR="00A056B6" w:rsidRPr="009C5151" w:rsidRDefault="00A056B6" w:rsidP="00743A5F">
      <w:pPr>
        <w:pStyle w:val="NormalWeb"/>
        <w:spacing w:before="0" w:beforeAutospacing="0"/>
      </w:pPr>
      <w:r w:rsidRPr="009C5151">
        <w:rPr>
          <w:rStyle w:val="Strong"/>
        </w:rPr>
        <w:t>AAR's Analysis: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Nature of Services:</w:t>
      </w:r>
      <w:r w:rsidRPr="009C5151">
        <w:t xml:space="preserve"> The AAR observed that Cummins Ltd. was engaged to ensure market-competitive pricing from suppliers and maintained contractual agreements with them. The services provided were managerial in nature, focusing on procurement and supply chain management.</w:t>
      </w:r>
    </w:p>
    <w:p w:rsidR="00A056B6" w:rsidRPr="009C5151" w:rsidRDefault="00A056B6" w:rsidP="00743A5F">
      <w:pPr>
        <w:pStyle w:val="NormalWeb"/>
        <w:tabs>
          <w:tab w:val="num" w:pos="720"/>
        </w:tabs>
        <w:spacing w:before="0" w:beforeAutospacing="0"/>
        <w:ind w:left="720" w:hanging="360"/>
      </w:pPr>
      <w:r w:rsidRPr="009C5151">
        <w:rPr>
          <w:rStyle w:val="Strong"/>
        </w:rPr>
        <w:t>"Make Available" Clause:</w:t>
      </w:r>
      <w:r w:rsidRPr="009C5151">
        <w:t xml:space="preserve"> The India-UK DTAA specifies that for services to be considered FTS, they must "make available" technical knowledge, experience, skill, know-how, or processes to the recipient, enabling them to apply the technology independently. In this case, Cummins Ltd. did not impart any technical knowledge or expertise to CTIL that would enable CTIL to perform such services on its own in the future.</w:t>
      </w:r>
    </w:p>
    <w:p w:rsidR="00A056B6" w:rsidRPr="009C5151" w:rsidRDefault="00A056B6" w:rsidP="00743A5F">
      <w:pPr>
        <w:pStyle w:val="NormalWeb"/>
        <w:tabs>
          <w:tab w:val="num" w:pos="720"/>
        </w:tabs>
        <w:spacing w:before="0" w:beforeAutospacing="0"/>
        <w:ind w:left="720" w:hanging="360"/>
      </w:pPr>
      <w:r w:rsidRPr="009C5151">
        <w:rPr>
          <w:rStyle w:val="Strong"/>
        </w:rPr>
        <w:t>Exclusion of Managerial Services:</w:t>
      </w:r>
      <w:r w:rsidRPr="009C5151">
        <w:t xml:space="preserve"> With effect from February 11, 1994, managerial services were excluded from the definition of FTS under the India-UK DTAA. Since the services rendered were managerial and did not involve the transfer of technical knowledge, they did not qualify as FTS.</w:t>
      </w:r>
    </w:p>
    <w:p w:rsidR="00A056B6" w:rsidRPr="009C5151" w:rsidRDefault="00A056B6" w:rsidP="00743A5F">
      <w:pPr>
        <w:pStyle w:val="NormalWeb"/>
        <w:tabs>
          <w:tab w:val="num" w:pos="720"/>
        </w:tabs>
        <w:spacing w:before="0" w:beforeAutospacing="0"/>
        <w:ind w:left="720" w:hanging="360"/>
      </w:pPr>
      <w:r w:rsidRPr="009C5151">
        <w:rPr>
          <w:rStyle w:val="Strong"/>
        </w:rPr>
        <w:t>Absence of PE in India:</w:t>
      </w:r>
      <w:r w:rsidRPr="009C5151">
        <w:t xml:space="preserve"> Cummins Ltd. did not have a PE in India. Therefore, its business profits, including the supply management service fees, are not taxable in India under Article 7 of the DTAA.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Fees Not Classified as FTS or Royalties:</w:t>
      </w:r>
      <w:r w:rsidRPr="009C5151">
        <w:t xml:space="preserve"> The supply management service fees received by Cummins Ltd. from CTIL do not constitute "Fees for Technical Services" or "royalties" under Article 13 of the India-UK DTAA.</w:t>
      </w:r>
    </w:p>
    <w:p w:rsidR="00A056B6" w:rsidRPr="009C5151" w:rsidRDefault="00A056B6" w:rsidP="00743A5F">
      <w:pPr>
        <w:pStyle w:val="NormalWeb"/>
        <w:tabs>
          <w:tab w:val="num" w:pos="720"/>
        </w:tabs>
        <w:spacing w:before="0" w:beforeAutospacing="0"/>
        <w:ind w:left="720" w:hanging="360"/>
      </w:pPr>
      <w:r w:rsidRPr="009C5151">
        <w:rPr>
          <w:rStyle w:val="Strong"/>
        </w:rPr>
        <w:t>No Tax Liability in India:</w:t>
      </w:r>
      <w:r w:rsidRPr="009C5151">
        <w:t xml:space="preserve"> In the absence of a PE in India, the fees are not chargeable to income tax in India.</w:t>
      </w:r>
    </w:p>
    <w:p w:rsidR="00A056B6" w:rsidRPr="009C5151" w:rsidRDefault="00A056B6" w:rsidP="00743A5F">
      <w:pPr>
        <w:pStyle w:val="NormalWeb"/>
        <w:tabs>
          <w:tab w:val="num" w:pos="720"/>
        </w:tabs>
        <w:spacing w:before="0" w:beforeAutospacing="0"/>
        <w:ind w:left="720" w:hanging="360"/>
      </w:pPr>
      <w:r w:rsidRPr="009C5151">
        <w:rPr>
          <w:rStyle w:val="Strong"/>
        </w:rPr>
        <w:t>Transfer Pricing Provisions Not Applicable:</w:t>
      </w:r>
      <w:r w:rsidRPr="009C5151">
        <w:t xml:space="preserve"> Since the fees are not taxable in India, the transfer pricing provisions under Sections 92 to 92F of the Income Tax Act do not apply to Cummins Ltd.</w:t>
      </w:r>
    </w:p>
    <w:p w:rsidR="00A056B6" w:rsidRPr="009C5151" w:rsidRDefault="00A056B6" w:rsidP="00743A5F">
      <w:pPr>
        <w:pStyle w:val="NormalWeb"/>
        <w:tabs>
          <w:tab w:val="num" w:pos="720"/>
        </w:tabs>
        <w:spacing w:before="0" w:beforeAutospacing="0"/>
        <w:ind w:left="720" w:hanging="360"/>
      </w:pPr>
      <w:r w:rsidRPr="009C5151">
        <w:rPr>
          <w:rStyle w:val="Strong"/>
        </w:rPr>
        <w:t>No Withholding Tax Obligation:</w:t>
      </w:r>
      <w:r w:rsidRPr="009C5151">
        <w:t xml:space="preserve"> CTIL is not required to withhold tax under Section 195 of the Income Tax Act on the supply management service fees paid to Cummins Ltd.</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ruling clarifies that managerial services, which do not "make available" technical knowledge or skills to the recipient, are not considered "Fees for Technical Services" under the India-UK DTAA. Consequently, in the absence of a Permanent Establishment in India, such fees are not taxable in India, and there is no obligation for the Indian payer to withhold tax at source.</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Cummins Ltd., In re, [2016] 65 taxmann.com 247 (AAR - New Delhi), dated January 12, 2016.</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Source:</w:t>
      </w:r>
      <w:r w:rsidRPr="009C5151">
        <w:t xml:space="preserve"> </w:t>
      </w:r>
      <w:hyperlink r:id="rId114" w:tgtFrame="_new" w:history="1">
        <w:r w:rsidRPr="009C5151">
          <w:rPr>
            <w:rStyle w:val="Hyperlink"/>
          </w:rPr>
          <w:t>Bombay Chartered Accountant Journal</w:t>
        </w:r>
      </w:hyperlink>
    </w:p>
    <w:p w:rsidR="00A056B6" w:rsidRPr="009C5151" w:rsidRDefault="00A056B6" w:rsidP="00743A5F">
      <w:pPr>
        <w:pStyle w:val="NormalWeb"/>
        <w:spacing w:before="0" w:beforeAutospacing="0"/>
      </w:pPr>
      <w:r w:rsidRPr="009C5151">
        <w:t>This decision provides guidance on the interpretation of "Fees for Technical Services" and the applicability of tax treaties in determining tax liabilities for cross-border service arrangements.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Authority for Advance Rulings- Measurement Technology Ltd. United Kingdom,- (2015) 60 taxmann.com 1- A.A.R. No.966 of 2010 dated July 29, 2015</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54FACA4D" wp14:editId="342FD4E0">
            <wp:extent cx="763905" cy="763905"/>
            <wp:effectExtent l="0" t="0" r="0" b="0"/>
            <wp:docPr id="363" name="Picture 36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5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w:t>
      </w:r>
      <w:r w:rsidRPr="009C5151">
        <w:rPr>
          <w:rStyle w:val="Strong"/>
        </w:rPr>
        <w:t>Measurement Technology Ltd., In re</w:t>
      </w:r>
      <w:r w:rsidRPr="009C5151">
        <w:t xml:space="preserve">, the </w:t>
      </w:r>
      <w:r w:rsidRPr="009C5151">
        <w:rPr>
          <w:rStyle w:val="Strong"/>
        </w:rPr>
        <w:t>Authority for Advance Rulings (AAR) New Delhi</w:t>
      </w:r>
      <w:r w:rsidRPr="009C5151">
        <w:t xml:space="preserve"> examined the tax implications under the India-UK Double Taxation Avoidance Agreement (DTAA) concerning payments received by Measurement Technology Ltd., a UK-based company, from its Indian subsidiary for management and procurement services.</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Applicant:</w:t>
      </w:r>
      <w:r w:rsidRPr="009C5151">
        <w:t xml:space="preserve"> Measurement Technology Ltd. (MTL), a company incorporated in the United Kingdom, engaged in developing and supplying intrinsic safety explosion protection devices, field bus and industrial networks, lightning and surge protection, and gas analysis equipment.</w:t>
      </w:r>
    </w:p>
    <w:p w:rsidR="00A056B6" w:rsidRPr="009C5151" w:rsidRDefault="00A056B6" w:rsidP="00743A5F">
      <w:pPr>
        <w:pStyle w:val="NormalWeb"/>
        <w:tabs>
          <w:tab w:val="num" w:pos="720"/>
        </w:tabs>
        <w:spacing w:before="0" w:beforeAutospacing="0"/>
        <w:ind w:left="720" w:hanging="360"/>
      </w:pPr>
      <w:r w:rsidRPr="009C5151">
        <w:rPr>
          <w:rStyle w:val="Strong"/>
        </w:rPr>
        <w:t>Indian Subsidiary:</w:t>
      </w:r>
      <w:r w:rsidRPr="009C5151">
        <w:t xml:space="preserve"> MTL Instruments Private Limited (MTL India), engaged in manufacturing industrial control equipment used for process control in hazardous environments.</w:t>
      </w:r>
    </w:p>
    <w:p w:rsidR="00A056B6" w:rsidRPr="009C5151" w:rsidRDefault="00A056B6" w:rsidP="00743A5F">
      <w:pPr>
        <w:pStyle w:val="NormalWeb"/>
        <w:tabs>
          <w:tab w:val="num" w:pos="720"/>
        </w:tabs>
        <w:spacing w:before="0" w:beforeAutospacing="0"/>
        <w:ind w:left="720" w:hanging="360"/>
      </w:pPr>
      <w:r w:rsidRPr="009C5151">
        <w:rPr>
          <w:rStyle w:val="Strong"/>
        </w:rPr>
        <w:t>Agreements: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Management Services Agreement:</w:t>
      </w:r>
      <w:r w:rsidRPr="009C5151">
        <w:rPr>
          <w:rFonts w:ascii="Times New Roman" w:hAnsi="Times New Roman" w:cs="Times New Roman"/>
          <w:sz w:val="24"/>
          <w:szCs w:val="24"/>
        </w:rPr>
        <w:t xml:space="preserve"> MTL provided services through its Group Operations Director (GD) based in the UK, including strategic business development, participation in operational meetings, personnel management, and related activities.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Procurement Services Agreement:</w:t>
      </w:r>
      <w:r w:rsidRPr="009C5151">
        <w:rPr>
          <w:rFonts w:ascii="Times New Roman" w:hAnsi="Times New Roman" w:cs="Times New Roman"/>
          <w:sz w:val="24"/>
          <w:szCs w:val="24"/>
        </w:rPr>
        <w:t xml:space="preserve"> MTL's UK-based procurement team offered global sourcing services to MTL India, aiming to reduce costs and avoid duplication of procurement efforts within the MTL Group.</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Classification of Services:</w:t>
      </w:r>
      <w:r w:rsidRPr="009C5151">
        <w:t xml:space="preserve"> Whether the management and procurement services rendered by MTL qualify as "Fees for Technical Services" (FTS) under Article 13 of the India-UK DTAA.</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If classified as FTS, whether the payments for these services are taxable in India, considering the provisions of the DTAA.</w:t>
      </w:r>
    </w:p>
    <w:p w:rsidR="00A056B6" w:rsidRPr="009C5151" w:rsidRDefault="00A056B6" w:rsidP="00743A5F">
      <w:pPr>
        <w:pStyle w:val="NormalWeb"/>
        <w:tabs>
          <w:tab w:val="num" w:pos="720"/>
        </w:tabs>
        <w:spacing w:before="0" w:beforeAutospacing="0"/>
        <w:ind w:left="720" w:hanging="360"/>
      </w:pPr>
      <w:r w:rsidRPr="009C5151">
        <w:rPr>
          <w:rStyle w:val="Strong"/>
        </w:rPr>
        <w:t>Withholding Tax Obligation:</w:t>
      </w:r>
      <w:r w:rsidRPr="009C5151">
        <w:t xml:space="preserve"> Whether MTL India is required to withhold tax under Section 195 of the Income Tax Act, 1961, on payments made to MTL for these services.</w:t>
      </w:r>
    </w:p>
    <w:p w:rsidR="00A056B6" w:rsidRPr="009C5151" w:rsidRDefault="00A056B6" w:rsidP="00743A5F">
      <w:pPr>
        <w:pStyle w:val="NormalWeb"/>
        <w:spacing w:before="0" w:beforeAutospacing="0"/>
      </w:pPr>
      <w:r w:rsidRPr="009C5151">
        <w:rPr>
          <w:rStyle w:val="Strong"/>
        </w:rPr>
        <w:t>AAR's Analysis:</w:t>
      </w:r>
    </w:p>
    <w:p w:rsidR="00A056B6" w:rsidRPr="009C5151" w:rsidRDefault="00A056B6" w:rsidP="00743A5F">
      <w:pPr>
        <w:pStyle w:val="NormalWeb"/>
        <w:tabs>
          <w:tab w:val="num" w:pos="720"/>
        </w:tabs>
        <w:spacing w:before="0" w:beforeAutospacing="0"/>
        <w:ind w:left="720" w:hanging="360"/>
      </w:pPr>
      <w:r w:rsidRPr="009C5151">
        <w:rPr>
          <w:rStyle w:val="Strong"/>
        </w:rPr>
        <w:t>Management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Nature of Services:</w:t>
      </w:r>
      <w:r w:rsidRPr="009C5151">
        <w:rPr>
          <w:rFonts w:ascii="Times New Roman" w:hAnsi="Times New Roman" w:cs="Times New Roman"/>
          <w:sz w:val="24"/>
          <w:szCs w:val="24"/>
        </w:rPr>
        <w:t xml:space="preserve"> The services provided by the GD were managerial, involving oversight and guidance on financial, operational, and human resource matters.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"Make Available" Criterion:</w:t>
      </w:r>
      <w:r w:rsidRPr="009C5151">
        <w:rPr>
          <w:rFonts w:ascii="Times New Roman" w:hAnsi="Times New Roman" w:cs="Times New Roman"/>
          <w:sz w:val="24"/>
          <w:szCs w:val="24"/>
        </w:rPr>
        <w:t xml:space="preserve"> For services to be considered FTS under the India-UK DTAA, they must "make available" technical knowledge, experience, skill, know-how, or processes to the recipient, enabling them to apply the technology independently. The AAR concluded that the managerial services provided did not impart technical knowledge or skills to MTL India that would enable it to perform such services independently in the future.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Exclusion of Managerial Services:</w:t>
      </w:r>
      <w:r w:rsidRPr="009C5151">
        <w:rPr>
          <w:rFonts w:ascii="Times New Roman" w:hAnsi="Times New Roman" w:cs="Times New Roman"/>
          <w:sz w:val="24"/>
          <w:szCs w:val="24"/>
        </w:rPr>
        <w:t xml:space="preserve"> Post the 1994 amendment to the India-UK DTAA, managerial services are excluded from the definition of FTS. Therefore, the payments for managerial services did not qualify as FTS under the DTAA.</w:t>
      </w:r>
    </w:p>
    <w:p w:rsidR="00A056B6" w:rsidRPr="009C5151" w:rsidRDefault="00A056B6" w:rsidP="00743A5F">
      <w:pPr>
        <w:pStyle w:val="NormalWeb"/>
        <w:tabs>
          <w:tab w:val="num" w:pos="720"/>
        </w:tabs>
        <w:spacing w:before="0" w:beforeAutospacing="0"/>
        <w:ind w:left="720" w:hanging="360"/>
      </w:pPr>
      <w:r w:rsidRPr="009C5151">
        <w:rPr>
          <w:rStyle w:val="Strong"/>
        </w:rPr>
        <w:t>Procurement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Nature of Services:</w:t>
      </w:r>
      <w:r w:rsidRPr="009C5151">
        <w:rPr>
          <w:rFonts w:ascii="Times New Roman" w:hAnsi="Times New Roman" w:cs="Times New Roman"/>
          <w:sz w:val="24"/>
          <w:szCs w:val="24"/>
        </w:rPr>
        <w:t xml:space="preserve"> The procurement services involved sourcing materials globally to benefit the MTL Group, including MTL India. These services were routine and did not involve the transfer of technical knowledge or expertise.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FTS Classification:</w:t>
      </w:r>
      <w:r w:rsidRPr="009C5151">
        <w:rPr>
          <w:rFonts w:ascii="Times New Roman" w:hAnsi="Times New Roman" w:cs="Times New Roman"/>
          <w:sz w:val="24"/>
          <w:szCs w:val="24"/>
        </w:rPr>
        <w:t xml:space="preserve"> The AAR determined that procurement services could not be classified as technical or consultancy services and did not "make available" any technical knowledge, experience, or skill to MTL India. Thus, these services did not fall under the definition of FTS in the DTAA.</w:t>
      </w:r>
    </w:p>
    <w:p w:rsidR="00A056B6" w:rsidRPr="009C5151" w:rsidRDefault="00A056B6" w:rsidP="00743A5F">
      <w:pPr>
        <w:pStyle w:val="NormalWeb"/>
        <w:tabs>
          <w:tab w:val="num" w:pos="720"/>
        </w:tabs>
        <w:spacing w:before="0" w:beforeAutospacing="0"/>
        <w:ind w:left="720" w:hanging="360"/>
      </w:pPr>
      <w:r w:rsidRPr="009C5151">
        <w:rPr>
          <w:rStyle w:val="Strong"/>
        </w:rPr>
        <w:t>Royalty Consideration:</w:t>
      </w:r>
      <w:r w:rsidRPr="009C5151">
        <w:t xml:space="preserve"> The AAR also addressed whether the payments could be considered "royalty" under the DTAA and concluded that the services provided did not create any intellectual property or involve the transfer of rights that would classify the payments as royalty.</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No Tax Liability in India:</w:t>
      </w:r>
      <w:r w:rsidRPr="009C5151">
        <w:t xml:space="preserve"> The AAR ruled that the payments received by MTL for management and procurement services are not taxable in India under the provisions of the India-UK DTAA, as they do not qualify as FTS or royalty.</w:t>
      </w:r>
    </w:p>
    <w:p w:rsidR="00A056B6" w:rsidRPr="009C5151" w:rsidRDefault="00A056B6" w:rsidP="00743A5F">
      <w:pPr>
        <w:pStyle w:val="NormalWeb"/>
        <w:tabs>
          <w:tab w:val="num" w:pos="720"/>
        </w:tabs>
        <w:spacing w:before="0" w:beforeAutospacing="0"/>
        <w:ind w:left="720" w:hanging="360"/>
      </w:pPr>
      <w:r w:rsidRPr="009C5151">
        <w:rPr>
          <w:rStyle w:val="Strong"/>
        </w:rPr>
        <w:t>No Withholding Tax Obligation:</w:t>
      </w:r>
      <w:r w:rsidRPr="009C5151">
        <w:t xml:space="preserve"> Consequently, MTL India is not required to withhold tax under Section 195 of the Income Tax Act on payments made to MTL for these services.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ruling clarifies that managerial and procurement services, which do not "make available" technical knowledge or skills to the recipient, are not considered "Fees for Technical Services" under the India-UK DTAA. Therefore, payments for such services are not taxable in India, and there is no obligation for the Indian payer to withhold tax at source.</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Measurement Technology Ltd., In re, A.A.R. No. 966 of 2010, Authority for Advance Rulings (Income Tax), New Delhi, dated July 29, 2015.</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15" w:tgtFrame="_new" w:history="1">
        <w:r w:rsidRPr="009C5151">
          <w:rPr>
            <w:rStyle w:val="Hyperlink"/>
          </w:rPr>
          <w:t>KPMG Flash News</w:t>
        </w:r>
      </w:hyperlink>
    </w:p>
    <w:p w:rsidR="00A056B6" w:rsidRPr="009C5151" w:rsidRDefault="00A056B6" w:rsidP="00743A5F">
      <w:pPr>
        <w:pStyle w:val="NormalWeb"/>
        <w:spacing w:before="0" w:beforeAutospacing="0"/>
      </w:pPr>
      <w:r w:rsidRPr="009C5151">
        <w:t>This decision provides guidance on the interpretation of "Fees for Technical Services" and the applicability of tax treaties in determining tax liabilities for cross-border service arrangements.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i2 Technologies US Inc. [TS-263-ITAT-2017(Banglore)]</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A06543E" wp14:editId="4FDA9135">
            <wp:extent cx="763905" cy="763905"/>
            <wp:effectExtent l="0" t="0" r="0" b="0"/>
            <wp:docPr id="362" name="Picture 36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5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i2 Technologies US Inc.</w:t>
      </w:r>
      <w:r w:rsidRPr="009C5151">
        <w:t xml:space="preserve">, the </w:t>
      </w:r>
      <w:r w:rsidRPr="009C5151">
        <w:rPr>
          <w:rStyle w:val="Strong"/>
        </w:rPr>
        <w:t>Income Tax Appellate Tribunal (ITAT) Bangalore Bench</w:t>
      </w:r>
      <w:r w:rsidRPr="009C5151">
        <w:t xml:space="preserve"> addressed the taxability of various payments received by the taxpayer from Indian customers, particularly focusing on the characterization of income from software licenses and related services under the </w:t>
      </w:r>
      <w:r w:rsidRPr="009C5151">
        <w:rPr>
          <w:rStyle w:val="Strong"/>
        </w:rPr>
        <w:t>India-USA Double Taxation Avoidance Agreement (DTAA)</w:t>
      </w:r>
      <w:r w:rsidRPr="009C5151">
        <w:t>.</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Taxpayer:</w:t>
      </w:r>
      <w:r w:rsidRPr="009C5151">
        <w:t xml:space="preserve"> i2 Technologies US Inc., a non-resident foreign company incorporated in the USA, engaged in supplying software to Indian customers.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Services Provided:</w:t>
      </w:r>
      <w:r w:rsidRPr="009C5151">
        <w:t xml:space="preserve"> In addition to software licenses, the taxpayer provided implementation, consulting, maintenance, and other technical services related to the software.</w:t>
      </w:r>
    </w:p>
    <w:p w:rsidR="00A056B6" w:rsidRPr="009C5151" w:rsidRDefault="00A056B6" w:rsidP="00743A5F">
      <w:pPr>
        <w:pStyle w:val="NormalWeb"/>
        <w:tabs>
          <w:tab w:val="num" w:pos="720"/>
        </w:tabs>
        <w:spacing w:before="0" w:beforeAutospacing="0"/>
        <w:ind w:left="720" w:hanging="360"/>
      </w:pPr>
      <w:r w:rsidRPr="009C5151">
        <w:rPr>
          <w:rStyle w:val="Strong"/>
        </w:rPr>
        <w:t>Income Streams:</w:t>
      </w:r>
      <w:r w:rsidRPr="009C5151">
        <w:t xml:space="preserve"> During the assessment year 2008-09, the taxpayer earned income from:</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Sale of software licenses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Implementation and consulting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Annual maintenance fees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Training fees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Partnership fees</w:t>
      </w:r>
    </w:p>
    <w:p w:rsidR="00A056B6" w:rsidRPr="009C5151" w:rsidRDefault="00A056B6" w:rsidP="00743A5F">
      <w:pPr>
        <w:pStyle w:val="NormalWeb"/>
        <w:tabs>
          <w:tab w:val="num" w:pos="720"/>
        </w:tabs>
        <w:spacing w:before="0" w:beforeAutospacing="0"/>
        <w:ind w:left="720" w:hanging="360"/>
      </w:pPr>
      <w:r w:rsidRPr="009C5151">
        <w:rPr>
          <w:rStyle w:val="Strong"/>
        </w:rPr>
        <w:t>Tax Return Position:</w:t>
      </w:r>
      <w:r w:rsidRPr="009C5151">
        <w:t xml:space="preserve"> The taxpayer filed its return of income, offering only the training fees as taxable income in India.</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Income from Software Licenses:</w:t>
      </w:r>
      <w:r w:rsidRPr="009C5151">
        <w:t xml:space="preserve"> Whether the income from the sale of software licenses should be classified as "royalty" under Article 12(3) of the India-USA DTAA.</w:t>
      </w:r>
    </w:p>
    <w:p w:rsidR="00A056B6" w:rsidRPr="009C5151" w:rsidRDefault="00A056B6" w:rsidP="00743A5F">
      <w:pPr>
        <w:pStyle w:val="NormalWeb"/>
        <w:tabs>
          <w:tab w:val="num" w:pos="720"/>
        </w:tabs>
        <w:spacing w:before="0" w:beforeAutospacing="0"/>
        <w:ind w:left="720" w:hanging="360"/>
      </w:pPr>
      <w:r w:rsidRPr="009C5151">
        <w:rPr>
          <w:rStyle w:val="Strong"/>
        </w:rPr>
        <w:t>Taxability of Implementation, Consulting, and Maintenance Services:</w:t>
      </w:r>
      <w:r w:rsidRPr="009C5151">
        <w:t xml:space="preserve"> Whether the fees received for implementation, consulting, and annual maintenance services qualify as "Fees for Included Services" (FIS) under Article 12(4) of the India-USA DTAA.</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Software License Fees as Royalty: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The ITAT referred to the jurisdictional High Court's decision in </w:t>
      </w:r>
      <w:r w:rsidRPr="009C5151">
        <w:rPr>
          <w:rStyle w:val="Strong"/>
          <w:rFonts w:ascii="Times New Roman" w:hAnsi="Times New Roman" w:cs="Times New Roman"/>
          <w:sz w:val="24"/>
          <w:szCs w:val="24"/>
        </w:rPr>
        <w:t>CIT v. Samsung Electronics Co. Ltd.</w:t>
      </w:r>
      <w:r w:rsidRPr="009C5151">
        <w:rPr>
          <w:rFonts w:ascii="Times New Roman" w:hAnsi="Times New Roman" w:cs="Times New Roman"/>
          <w:sz w:val="24"/>
          <w:szCs w:val="24"/>
        </w:rPr>
        <w:t xml:space="preserve"> </w:t>
      </w:r>
    </w:p>
    <w:p w:rsidR="00A056B6" w:rsidRPr="009C5151" w:rsidRDefault="00A056B6" w:rsidP="00743A5F">
      <w:pPr>
        <w:spacing w:before="100" w:after="100" w:afterAutospacing="1" w:line="240" w:lineRule="auto"/>
        <w:ind w:left="1440"/>
        <w:rPr>
          <w:rFonts w:ascii="Times New Roman" w:hAnsi="Times New Roman" w:cs="Times New Roman"/>
          <w:sz w:val="24"/>
          <w:szCs w:val="24"/>
        </w:rPr>
      </w:pPr>
      <w:hyperlink r:id="rId116" w:tgtFrame="_blank" w:history="1">
        <w:r w:rsidRPr="009C5151">
          <w:rPr>
            <w:rStyle w:val="truncate"/>
            <w:rFonts w:ascii="Times New Roman" w:hAnsi="Times New Roman" w:cs="Times New Roman"/>
            <w:color w:val="0000FF"/>
            <w:sz w:val="24"/>
            <w:szCs w:val="24"/>
            <w:u w:val="single"/>
          </w:rPr>
          <w:t>PwC</w:t>
        </w:r>
      </w:hyperlink>
    </w:p>
    <w:p w:rsidR="00A056B6" w:rsidRPr="009C5151" w:rsidRDefault="00A056B6" w:rsidP="00743A5F">
      <w:pPr>
        <w:spacing w:before="100" w:after="100" w:afterAutospacing="1" w:line="240" w:lineRule="auto"/>
        <w:ind w:left="1440"/>
        <w:rPr>
          <w:rFonts w:ascii="Times New Roman" w:hAnsi="Times New Roman" w:cs="Times New Roman"/>
          <w:sz w:val="24"/>
          <w:szCs w:val="24"/>
        </w:rPr>
      </w:pPr>
      <w:r w:rsidRPr="009C5151">
        <w:rPr>
          <w:rFonts w:ascii="Times New Roman" w:hAnsi="Times New Roman" w:cs="Times New Roman"/>
          <w:sz w:val="24"/>
          <w:szCs w:val="24"/>
        </w:rPr>
        <w:t>, which held that payments for software licenses constitute "royalty" under the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Following this precedent, the ITAT concluded that the payments received by the taxpayer for software licenses are taxable as royalty income in India.</w:t>
      </w:r>
    </w:p>
    <w:p w:rsidR="00A056B6" w:rsidRPr="009C5151" w:rsidRDefault="00A056B6" w:rsidP="00743A5F">
      <w:pPr>
        <w:pStyle w:val="NormalWeb"/>
        <w:tabs>
          <w:tab w:val="num" w:pos="720"/>
        </w:tabs>
        <w:spacing w:before="0" w:beforeAutospacing="0"/>
        <w:ind w:left="720" w:hanging="360"/>
      </w:pPr>
      <w:r w:rsidRPr="009C5151">
        <w:rPr>
          <w:rStyle w:val="Strong"/>
        </w:rPr>
        <w:t>Implementation, Consulting, and Maintenance Services as FIS: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ITAT examined whether these services are ancillary and subsidiary to the sale of software licenses and whether they "make available" technical knowledge, experience, skill, know-how, or processes to the Indian customers.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The Tribunal observed that the implementation and consulting services were essential for the effective use of the licensed software, indicating that they are ancillary and subsidiary to the sale of software.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Regarding the "make available" criterion, the ITAT noted that the services provided did not enable the Indian customers to perform the services independently in the future.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Despite this, the ITAT concluded that the implementation, consulting, and maintenance services are taxable as FIS under Article 12(4)(a) of the DTAA, as they are ancillary and subsidiary to the sale of software, which is considered royalty income.</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Software License Fees:</w:t>
      </w:r>
      <w:r w:rsidRPr="009C5151">
        <w:t xml:space="preserve"> Taxable as royalty income under Article 12(3) of the India-USA DTAA.</w:t>
      </w:r>
    </w:p>
    <w:p w:rsidR="00A056B6" w:rsidRPr="009C5151" w:rsidRDefault="00A056B6" w:rsidP="00743A5F">
      <w:pPr>
        <w:pStyle w:val="NormalWeb"/>
        <w:tabs>
          <w:tab w:val="num" w:pos="720"/>
        </w:tabs>
        <w:spacing w:before="0" w:beforeAutospacing="0"/>
        <w:ind w:left="720" w:hanging="360"/>
      </w:pPr>
      <w:r w:rsidRPr="009C5151">
        <w:rPr>
          <w:rStyle w:val="Strong"/>
        </w:rPr>
        <w:t>Implementation, Consulting, and Maintenance Services:</w:t>
      </w:r>
      <w:r w:rsidRPr="009C5151">
        <w:t xml:space="preserve"> Taxable as Fees for Included Services under Article 12(4)(a) of the DTAA.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The ITAT's decision underscores the importance of the nature of payments and the specific provisions of the DTAA in determining tax liabilities for cross-border transactions. Payments for software licenses were deemed royalty, and related services were considered Fees for Included Services, both taxable in India under the India-USA DTAA.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i2 Technologies US Inc. v. Deputy Commissioner of Income Tax, IT(TP)A No.1207/Bang/2014, ITAT Bangalore Bench, dated April 21, 2017.</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17"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provides clarity on the tax treatment of software-related transactions between India and the USA, highlighting the significance of treaty provisions in cross-border taxation.</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J.C. Bamford Excavators Ltd v DDIT [TS-389-ITAT-2018(DEL)] – ITA No. 1540/DEL/2014 dated July 18, 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0F01916C" wp14:editId="4A3496AE">
            <wp:extent cx="763905" cy="763905"/>
            <wp:effectExtent l="0" t="0" r="0" b="0"/>
            <wp:docPr id="361" name="Picture 36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6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J.C. Bamford Excavators Ltd. v. Deputy Director of Income Tax</w:t>
      </w:r>
      <w:r w:rsidRPr="009C5151">
        <w:t xml:space="preserve">, the </w:t>
      </w:r>
      <w:r w:rsidRPr="009C5151">
        <w:rPr>
          <w:rStyle w:val="Strong"/>
        </w:rPr>
        <w:t>Income Tax Appellate Tribunal (ITAT) Delhi Bench</w:t>
      </w:r>
      <w:r w:rsidRPr="009C5151">
        <w:t xml:space="preserve"> addressed the tax implications for J.C. Bamford Excavators Ltd. (JCBE), a UK-based company, concerning its operations and income in India for the Assessment Year (AY) 2004-05.</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JCBE, a company incorporated in the United Kingdom, engaged in manufacturing and selling construction equipment.</w:t>
      </w:r>
    </w:p>
    <w:p w:rsidR="00A056B6" w:rsidRPr="009C5151" w:rsidRDefault="00A056B6" w:rsidP="00743A5F">
      <w:pPr>
        <w:pStyle w:val="NormalWeb"/>
        <w:tabs>
          <w:tab w:val="num" w:pos="720"/>
        </w:tabs>
        <w:spacing w:before="0" w:beforeAutospacing="0"/>
        <w:ind w:left="720" w:hanging="360"/>
      </w:pPr>
      <w:r w:rsidRPr="009C5151">
        <w:rPr>
          <w:rStyle w:val="Strong"/>
        </w:rPr>
        <w:t>Indian Subsidiary:</w:t>
      </w:r>
      <w:r w:rsidRPr="009C5151">
        <w:t xml:space="preserve"> JCB India Ltd. (JCB India), a wholly-owned subsidiary of JCBE, operating in India.</w:t>
      </w:r>
    </w:p>
    <w:p w:rsidR="00A056B6" w:rsidRPr="009C5151" w:rsidRDefault="00A056B6" w:rsidP="00743A5F">
      <w:pPr>
        <w:pStyle w:val="NormalWeb"/>
        <w:tabs>
          <w:tab w:val="num" w:pos="720"/>
        </w:tabs>
        <w:spacing w:before="0" w:beforeAutospacing="0"/>
        <w:ind w:left="720" w:hanging="360"/>
      </w:pPr>
      <w:r w:rsidRPr="009C5151">
        <w:rPr>
          <w:rStyle w:val="Strong"/>
        </w:rPr>
        <w:t>Agreements: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Technology Transfer Agreement (TTA):</w:t>
      </w:r>
      <w:r w:rsidRPr="009C5151">
        <w:rPr>
          <w:rFonts w:ascii="Times New Roman" w:hAnsi="Times New Roman" w:cs="Times New Roman"/>
          <w:sz w:val="24"/>
          <w:szCs w:val="24"/>
        </w:rPr>
        <w:t xml:space="preserve"> JCBE granted JCB India exclusive rights to manufacture and market certain products in India under the JCB brand.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International Personnel Assignment Agreement (IPAA):</w:t>
      </w:r>
      <w:r w:rsidRPr="009C5151">
        <w:rPr>
          <w:rFonts w:ascii="Times New Roman" w:hAnsi="Times New Roman" w:cs="Times New Roman"/>
          <w:sz w:val="24"/>
          <w:szCs w:val="24"/>
        </w:rPr>
        <w:t xml:space="preserve"> JCBE seconded certain employees to JCB India to provide managerial and technical support.</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a Service Permanent Establishment (PE):</w:t>
      </w:r>
      <w:r w:rsidRPr="009C5151">
        <w:t xml:space="preserve"> Whether the secondment of employees to JCB India constituted a Service PE of JCBE in India under Article 5 of the India-UK Double Taxation Avoidance Agreement (DTAA).</w:t>
      </w:r>
    </w:p>
    <w:p w:rsidR="00A056B6" w:rsidRPr="009C5151" w:rsidRDefault="00A056B6" w:rsidP="00743A5F">
      <w:pPr>
        <w:pStyle w:val="NormalWeb"/>
        <w:tabs>
          <w:tab w:val="num" w:pos="720"/>
        </w:tabs>
        <w:spacing w:before="0" w:beforeAutospacing="0"/>
        <w:ind w:left="720" w:hanging="360"/>
      </w:pPr>
      <w:r w:rsidRPr="009C5151">
        <w:rPr>
          <w:rStyle w:val="Strong"/>
        </w:rPr>
        <w:t>Taxability of Royalty Income:</w:t>
      </w:r>
      <w:r w:rsidRPr="009C5151">
        <w:t xml:space="preserve"> Whether the royalty payments received by JCBE from JCB India were effectively connected to the alleged Service PE, thereby altering their tax treatment under the DTAA.</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Other Receipts:</w:t>
      </w:r>
      <w:r w:rsidRPr="009C5151">
        <w:t xml:space="preserve"> Whether payments received by JCBE for central cost recharges, structural tests, and reimbursements towards salary costs of seconded employees qualified as Fees for Technical Services (FTS) under Article 13 of the India-UK DTAA.</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Service Permanent Establishment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Tribunal noted that JCBE had seconded employees to JCB India, who were involved in managerial roles such as Managing Director, Joint Managing Director, and Vice-President.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These employees were present in India for periods exceeding 90 days within a twelve-month period.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ITAT concluded that the presence and activities of these seconded employees constituted a Service PE of JCBE in India under Article 5(2)(k)(i) of the India-UK DTAA.</w:t>
      </w:r>
    </w:p>
    <w:p w:rsidR="00A056B6" w:rsidRPr="009C5151" w:rsidRDefault="00A056B6" w:rsidP="00743A5F">
      <w:pPr>
        <w:pStyle w:val="NormalWeb"/>
        <w:tabs>
          <w:tab w:val="num" w:pos="720"/>
        </w:tabs>
        <w:spacing w:before="0" w:beforeAutospacing="0"/>
        <w:ind w:left="720" w:hanging="360"/>
      </w:pPr>
      <w:r w:rsidRPr="009C5151">
        <w:rPr>
          <w:rStyle w:val="Strong"/>
        </w:rPr>
        <w:t>Taxability of Royalty Income: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Tribunal examined whether the royalty income received by JCBE was "effectively connected" with the Service PE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It was determined that the Service PE was involved in activities related to the licensed products, ensuring manufacturing as per specifications and maintaining quality.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Therefore, the royalty income was considered effectively connected to the Service PE and was taxable as business profits under Article 7 of the DTAA, rather than as royalties under Article 13.</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Other Receipts: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Central Cost Recharges and Structural Tests: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The ITAT analyzed whether these payments qualified as FTS under Article 13 of the DTAA.</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It was found that the services provided did not "make available" technical knowledge, experience, skill, know-how, or processes to JCB India, a requirement under the DTAA for classification as FTS.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Consequently, these payments were not considered FTS and were not taxable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Reimbursements for Seconded Employees:</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The Tribunal observed that the reimbursements were towards the salary costs of employees who were under the control and supervision of JCB India.</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Fonts w:ascii="Times New Roman" w:hAnsi="Times New Roman" w:cs="Times New Roman"/>
          <w:sz w:val="24"/>
          <w:szCs w:val="24"/>
        </w:rPr>
        <w:t>Since these employees were effectively functioning as employees of JCB India, the reimbursements did not constitute FTS and were not taxable in India.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Existence of Service PE:</w:t>
      </w:r>
      <w:r w:rsidRPr="009C5151">
        <w:t xml:space="preserve"> The ITAT held that JCBE had a Service PE in India due to the secondment of employees to JCB India.</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Taxability of Royalty Income:</w:t>
      </w:r>
      <w:r w:rsidRPr="009C5151">
        <w:t xml:space="preserve"> The royalty payments were effectively connected to the Service PE and were taxable as business profits under Article 7 of the India-UK DTAA.</w:t>
      </w:r>
    </w:p>
    <w:p w:rsidR="00A056B6" w:rsidRPr="009C5151" w:rsidRDefault="00A056B6" w:rsidP="00743A5F">
      <w:pPr>
        <w:pStyle w:val="NormalWeb"/>
        <w:tabs>
          <w:tab w:val="num" w:pos="720"/>
        </w:tabs>
        <w:spacing w:before="0" w:beforeAutospacing="0"/>
        <w:ind w:left="720" w:hanging="360"/>
      </w:pPr>
      <w:r w:rsidRPr="009C5151">
        <w:rPr>
          <w:rStyle w:val="Strong"/>
        </w:rPr>
        <w:t>Other Receipts:</w:t>
      </w:r>
      <w:r w:rsidRPr="009C5151">
        <w:t xml:space="preserve"> Payments for central cost recharges, structural tests, and reimbursements towards salary costs of seconded employees were not taxable in India, as they did not qualify as FTS under the DTAA.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decision underscores the importance of analyzing the nature of cross-border arrangements, the role of seconded employees, and the specific provisions of international tax treaties in determining tax liabilities. The presence of a Service PE can significantly impact the taxation of income streams between associated enterprises operating across jurisdictions.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J.C. Bamford Excavators Ltd. v. Deputy Director of Income Tax, ITA No. 1540/DEL/2014, ITAT Delhi Bench, dated July 18,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18"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ruling provides valuable insights into the interpretation of Service Permanent Establishments and the tax treatment of various income streams under the India-UK DTAA.</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ABB FZ LLC [TS-589-ITAT-2016(Bang)] (I.T.(I.T) A. No.188/Bang/2016) (India-UAE DTAA)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5E855EC3" wp14:editId="3D91389B">
            <wp:extent cx="763905" cy="763905"/>
            <wp:effectExtent l="0" t="0" r="0" b="0"/>
            <wp:docPr id="360" name="Picture 36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6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ABB FZ-LLC v. Deputy Commissioner of Income Tax</w:t>
      </w:r>
      <w:r w:rsidRPr="009C5151">
        <w:t xml:space="preserve">, the </w:t>
      </w:r>
      <w:r w:rsidRPr="009C5151">
        <w:rPr>
          <w:rStyle w:val="Strong"/>
        </w:rPr>
        <w:t>Income Tax Appellate Tribunal (ITAT) Bangalore Bench</w:t>
      </w:r>
      <w:r w:rsidRPr="009C5151">
        <w:t xml:space="preserve"> addressed the taxability of fees received by ABB FZ-LLC, a company incorporated in the United Arab Emirates (UAE), from its Indian counterpart, ABB India Ltd., under the </w:t>
      </w:r>
      <w:r w:rsidRPr="009C5151">
        <w:rPr>
          <w:rStyle w:val="Strong"/>
        </w:rPr>
        <w:t>India-UAE Double Taxation Avoidance Agreement (DTAA)</w:t>
      </w:r>
      <w:r w:rsidRPr="009C5151">
        <w:t>.</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ABB FZ-LLC, a UAE-based company, provided regional services to ABB India Ltd.</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Services Rendered:</w:t>
      </w:r>
      <w:r w:rsidRPr="009C5151">
        <w:t xml:space="preserve"> The services included managerial, technical, and consultancy support.</w:t>
      </w:r>
    </w:p>
    <w:p w:rsidR="00A056B6" w:rsidRPr="009C5151" w:rsidRDefault="00A056B6" w:rsidP="00743A5F">
      <w:pPr>
        <w:pStyle w:val="NormalWeb"/>
        <w:tabs>
          <w:tab w:val="num" w:pos="720"/>
        </w:tabs>
        <w:spacing w:before="0" w:beforeAutospacing="0"/>
        <w:ind w:left="720" w:hanging="360"/>
      </w:pPr>
      <w:r w:rsidRPr="009C5151">
        <w:rPr>
          <w:rStyle w:val="Strong"/>
        </w:rPr>
        <w:t>Fees Received:</w:t>
      </w:r>
      <w:r w:rsidRPr="009C5151">
        <w:t xml:space="preserve"> ABB FZ-LLC received payments from ABB India Ltd. for these services.</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Taxability of Fees for Technical Services (FTS):</w:t>
      </w:r>
      <w:r w:rsidRPr="009C5151">
        <w:t xml:space="preserve"> Whether the fees received by ABB FZ-LLC qualify as FTS and are taxable in India, considering the provisions of the India-UAE DTAA.</w:t>
      </w:r>
    </w:p>
    <w:p w:rsidR="00A056B6" w:rsidRPr="009C5151" w:rsidRDefault="00A056B6" w:rsidP="00743A5F">
      <w:pPr>
        <w:pStyle w:val="NormalWeb"/>
        <w:tabs>
          <w:tab w:val="num" w:pos="720"/>
        </w:tabs>
        <w:spacing w:before="0" w:beforeAutospacing="0"/>
        <w:ind w:left="720" w:hanging="360"/>
      </w:pPr>
      <w:r w:rsidRPr="009C5151">
        <w:rPr>
          <w:rStyle w:val="Strong"/>
        </w:rPr>
        <w:t>Applicability of Domestic Tax Laws:</w:t>
      </w:r>
      <w:r w:rsidRPr="009C5151">
        <w:t xml:space="preserve"> In the absence of a specific FTS clause in the India-UAE DTAA, whether the domestic tax laws of India apply to tax such income.</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Absence of FTS Clause in DTAA:</w:t>
      </w:r>
      <w:r w:rsidRPr="009C5151">
        <w:t xml:space="preserve"> The ITAT noted that the India-UAE DTAA does not contain a specific article dealing with FTS.</w:t>
      </w:r>
    </w:p>
    <w:p w:rsidR="00A056B6" w:rsidRPr="009C5151" w:rsidRDefault="00A056B6" w:rsidP="00743A5F">
      <w:pPr>
        <w:pStyle w:val="NormalWeb"/>
        <w:tabs>
          <w:tab w:val="num" w:pos="720"/>
        </w:tabs>
        <w:spacing w:before="0" w:beforeAutospacing="0"/>
        <w:ind w:left="720" w:hanging="360"/>
      </w:pPr>
      <w:r w:rsidRPr="009C5151">
        <w:rPr>
          <w:rStyle w:val="Strong"/>
        </w:rPr>
        <w:t>Reference to Domestic Law:</w:t>
      </w:r>
      <w:r w:rsidRPr="009C5151">
        <w:t xml:space="preserve"> In the absence of a specific provision in the DTAA, the Tribunal considered the applicability of domestic tax laws.</w:t>
      </w:r>
    </w:p>
    <w:p w:rsidR="00A056B6" w:rsidRPr="009C5151" w:rsidRDefault="00A056B6" w:rsidP="00743A5F">
      <w:pPr>
        <w:pStyle w:val="NormalWeb"/>
        <w:tabs>
          <w:tab w:val="num" w:pos="720"/>
        </w:tabs>
        <w:spacing w:before="0" w:beforeAutospacing="0"/>
        <w:ind w:left="720" w:hanging="360"/>
      </w:pPr>
      <w:r w:rsidRPr="009C5151">
        <w:rPr>
          <w:rStyle w:val="Strong"/>
        </w:rPr>
        <w:t>Definition under Domestic Law:</w:t>
      </w:r>
      <w:r w:rsidRPr="009C5151">
        <w:t xml:space="preserve"> Under Section 9(1)(vii) of the Income Tax Act, 1961, FTS is defined, and such income is deemed to accrue or arise in India if it is payable by a resident, except where the payment is for services utilized in a business or profession carried on outside India or for earning income from sources outside India.</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The ITAT concluded that in the absence of a specific FTS article in the DTAA, the domestic law provisions apply. Therefore, the fees received by ABB FZ-LLC for services rendered to ABB India Ltd. are taxable in India as FTS under Section 9(1)(vii) of the Income Tax Act.</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Fees Taxable as FTS:</w:t>
      </w:r>
      <w:r w:rsidRPr="009C5151">
        <w:rPr>
          <w:rFonts w:ascii="Times New Roman" w:hAnsi="Times New Roman" w:cs="Times New Roman"/>
          <w:sz w:val="24"/>
          <w:szCs w:val="24"/>
        </w:rPr>
        <w:t xml:space="preserve"> The fees received by ABB FZ-LLC from ABB India Ltd. are taxable in India as Fees for Technical Services under Section 9(1)(vii) of the Income Tax Act, 1961.</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ruling clarifies that in the absence of a specific FTS clause in the India-UAE DTAA, the domestic tax laws of India apply, rendering fees for technical, managerial, or consultancy services taxable in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ABB FZ-LLC v. Deputy Commissioner of Income Tax, IT(IT)A No.188/Bang/2016, ITAT Bangalore Bench, dated October 28, 2016.</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19" w:tgtFrame="_new" w:history="1">
        <w:r w:rsidRPr="009C5151">
          <w:rPr>
            <w:rStyle w:val="Hyperlink"/>
          </w:rPr>
          <w:t>Indian Kanoon</w:t>
        </w:r>
      </w:hyperlink>
    </w:p>
    <w:p w:rsidR="00A056B6" w:rsidRPr="009C5151" w:rsidRDefault="00A056B6" w:rsidP="00743A5F">
      <w:pPr>
        <w:pStyle w:val="NormalWeb"/>
        <w:spacing w:before="0" w:beforeAutospacing="0"/>
      </w:pPr>
      <w:r w:rsidRPr="009C5151">
        <w:lastRenderedPageBreak/>
        <w:t>This decision provides clarity on the tax treatment of fees for technical services in the context of the India-UAE DTAA, emphasizing the applicability of domestic tax laws in the absence of specific treaty provisions.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Booz &amp; Company (ME) FZ-LLC v DDIT – (2018] 90 taxmann.com 49 (Mum) – ITA No. 4063 (Mum.) of 2015 dated 19.01.2018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7355D04" wp14:editId="253E199A">
            <wp:extent cx="763905" cy="763905"/>
            <wp:effectExtent l="0" t="0" r="0" b="0"/>
            <wp:docPr id="359" name="Picture 35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6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Booz &amp; Company (ME) FZ-LLC v. Deputy Director of Income Tax</w:t>
      </w:r>
      <w:r w:rsidRPr="009C5151">
        <w:t xml:space="preserve">, the </w:t>
      </w:r>
      <w:r w:rsidRPr="009C5151">
        <w:rPr>
          <w:rStyle w:val="Strong"/>
        </w:rPr>
        <w:t>Income Tax Appellate Tribunal (ITAT) Mumbai Bench</w:t>
      </w:r>
      <w:r w:rsidRPr="009C5151">
        <w:t xml:space="preserve"> examined the taxability of fees received by Booz &amp; Company (ME) FZ-LLC (hereinafter referred to as "the assessee"), a company incorporated in the United Arab Emirates (UAE), from its Indian associated enterprise (AE) under the </w:t>
      </w:r>
      <w:r w:rsidRPr="009C5151">
        <w:rPr>
          <w:rStyle w:val="Strong"/>
        </w:rPr>
        <w:t>India-UAE Double Taxation Avoidance Agreement (DTAA)</w:t>
      </w:r>
      <w:r w:rsidRPr="009C5151">
        <w:t>.</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Booz &amp; Company (ME) FZ-LLC, a UAE-based company engaged in providing management and technical consultancy services.</w:t>
      </w:r>
    </w:p>
    <w:p w:rsidR="00A056B6" w:rsidRPr="009C5151" w:rsidRDefault="00A056B6" w:rsidP="00743A5F">
      <w:pPr>
        <w:pStyle w:val="NormalWeb"/>
        <w:tabs>
          <w:tab w:val="num" w:pos="720"/>
        </w:tabs>
        <w:spacing w:before="0" w:beforeAutospacing="0"/>
        <w:ind w:left="720" w:hanging="360"/>
      </w:pPr>
      <w:r w:rsidRPr="009C5151">
        <w:rPr>
          <w:rStyle w:val="Strong"/>
        </w:rPr>
        <w:t>Indian AE:</w:t>
      </w:r>
      <w:r w:rsidRPr="009C5151">
        <w:t xml:space="preserve"> Booz &amp; Company India Private Limited (Booz India).</w:t>
      </w:r>
    </w:p>
    <w:p w:rsidR="00A056B6" w:rsidRPr="009C5151" w:rsidRDefault="00A056B6" w:rsidP="00743A5F">
      <w:pPr>
        <w:pStyle w:val="NormalWeb"/>
        <w:tabs>
          <w:tab w:val="num" w:pos="720"/>
        </w:tabs>
        <w:spacing w:before="0" w:beforeAutospacing="0"/>
        <w:ind w:left="720" w:hanging="360"/>
      </w:pPr>
      <w:r w:rsidRPr="009C5151">
        <w:rPr>
          <w:rStyle w:val="Strong"/>
        </w:rPr>
        <w:t>Services Rendered:</w:t>
      </w:r>
      <w:r w:rsidRPr="009C5151">
        <w:t xml:space="preserve"> The assessee provided technical and professional personnel to Booz India.</w:t>
      </w:r>
    </w:p>
    <w:p w:rsidR="00A056B6" w:rsidRPr="009C5151" w:rsidRDefault="00A056B6" w:rsidP="00743A5F">
      <w:pPr>
        <w:pStyle w:val="NormalWeb"/>
        <w:tabs>
          <w:tab w:val="num" w:pos="720"/>
        </w:tabs>
        <w:spacing w:before="0" w:beforeAutospacing="0"/>
        <w:ind w:left="720" w:hanging="360"/>
      </w:pPr>
      <w:r w:rsidRPr="009C5151">
        <w:rPr>
          <w:rStyle w:val="Strong"/>
        </w:rPr>
        <w:t>Fees Received:</w:t>
      </w:r>
      <w:r w:rsidRPr="009C5151">
        <w:t xml:space="preserve"> During the Assessment Year (AY) 2011-12, the assessee received fees amounting to ₹112.83 lakhs from Booz India.</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the assessee had a PE in India due to the provision of personnel to Booz India, thereby making its business income taxable in India under Article 7 of the India-UAE DTAA.</w:t>
      </w:r>
    </w:p>
    <w:p w:rsidR="00A056B6" w:rsidRPr="009C5151" w:rsidRDefault="00A056B6" w:rsidP="00743A5F">
      <w:pPr>
        <w:pStyle w:val="NormalWeb"/>
        <w:tabs>
          <w:tab w:val="num" w:pos="720"/>
        </w:tabs>
        <w:spacing w:before="0" w:beforeAutospacing="0"/>
        <w:ind w:left="720" w:hanging="360"/>
      </w:pPr>
      <w:r w:rsidRPr="009C5151">
        <w:rPr>
          <w:rStyle w:val="Strong"/>
        </w:rPr>
        <w:t>Taxability of Fees for Technical Services (FTS):</w:t>
      </w:r>
      <w:r w:rsidRPr="009C5151">
        <w:t xml:space="preserve"> In the absence of a specific FTS clause in the India-UAE DTAA, whether the fees received by the assessee are taxable as business income in India.</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Permanent Establishment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The Assessing Officer (AO) relied on a ruling by the Authority for Advance Rulings (AAR) concerning group companies of the assessee, which indicated the existence of a PE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ITAT noted that the AAR's ruling pertained to different entities and could not be directly applied to the assessee without examining the specific facts of the case.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Tribunal emphasized that the existence of a PE must be determined based on the assessee's activities and presence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It was observed that the personnel provided by the assessee were present in India for an aggregate period of 156 days during the relevant year.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Under Article 5(3)(b) of the India-UAE DTAA, a Service PE is constituted if activities continue for a period exceeding nine months within any twelve-month period.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Since the duration of the assessee's activities in India was less than nine months, the ITAT concluded that the assessee did not have a PE in India.</w:t>
      </w:r>
    </w:p>
    <w:p w:rsidR="00A056B6" w:rsidRPr="009C5151" w:rsidRDefault="00A056B6" w:rsidP="00743A5F">
      <w:pPr>
        <w:pStyle w:val="NormalWeb"/>
        <w:tabs>
          <w:tab w:val="num" w:pos="720"/>
        </w:tabs>
        <w:spacing w:before="0" w:beforeAutospacing="0"/>
        <w:ind w:left="720" w:hanging="360"/>
      </w:pPr>
      <w:r w:rsidRPr="009C5151">
        <w:rPr>
          <w:rStyle w:val="Strong"/>
        </w:rPr>
        <w:t>Taxability of Fees: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ITAT observed that the India-UAE DTAA does not have a specific article dealing with FTS.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 the absence of a specific FTS clause, such fees are treated as business profits under Article 7 of the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Business profits of a non-resident are taxable in India only if the non-resident has a PE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Since the assessee did not have a PE in India, the fees received from Booz India were not taxable in India.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No Permanent Establishment:</w:t>
      </w:r>
      <w:r w:rsidRPr="009C5151">
        <w:t xml:space="preserve"> The ITAT held that the assessee did not have a PE in India during the relevant assessment year.</w:t>
      </w:r>
    </w:p>
    <w:p w:rsidR="00A056B6" w:rsidRPr="009C5151" w:rsidRDefault="00A056B6" w:rsidP="00743A5F">
      <w:pPr>
        <w:pStyle w:val="NormalWeb"/>
        <w:tabs>
          <w:tab w:val="num" w:pos="720"/>
        </w:tabs>
        <w:spacing w:before="0" w:beforeAutospacing="0"/>
        <w:ind w:left="720" w:hanging="360"/>
      </w:pPr>
      <w:r w:rsidRPr="009C5151">
        <w:rPr>
          <w:rStyle w:val="Strong"/>
        </w:rPr>
        <w:t>Non-Taxability of Fees:</w:t>
      </w:r>
      <w:r w:rsidRPr="009C5151">
        <w:t xml:space="preserve"> In the absence of a PE, the fees received by the assessee from Booz India were not taxable in India under the provisions of the India-UAE DTAA.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ruling underscores the importance of assessing the existence of a Permanent Establishment based on the specific facts and duration of activities in India. It also highlights that in the absence of a specific FTS clause in the India-UAE DTAA, fees for technical services are treated as business profits and are taxable in India only if the foreign entity has a PE in India.</w:t>
      </w:r>
    </w:p>
    <w:p w:rsidR="00A056B6" w:rsidRPr="009C5151" w:rsidRDefault="00A056B6" w:rsidP="00743A5F">
      <w:pPr>
        <w:pStyle w:val="NormalWeb"/>
        <w:spacing w:before="0" w:beforeAutospacing="0"/>
      </w:pPr>
      <w:r w:rsidRPr="009C5151">
        <w:rPr>
          <w:rStyle w:val="Strong"/>
        </w:rPr>
        <w:lastRenderedPageBreak/>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Booz &amp; Company (ME) FZ-LLC v. Deputy Director of Income Tax, ITA No. 4063/Mum/2015, ITAT Mumbai Bench, dated January 19,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20"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provides clarity on the interpretation of Permanent Establishment and the tax treatment of fees for technical services under the India-UAE DTAA.</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Cooper Standard Automotive India (P.) Ltd. v ACIT - [2017] 84 taxmann.com 200 (Chennai - Trib.) - I.T. APPEAL NO. 785 (MDS.) OF 2014 dated 12.04.2017</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5A68F6CB" wp14:editId="07D0BF63">
            <wp:extent cx="763905" cy="763905"/>
            <wp:effectExtent l="0" t="0" r="0" b="0"/>
            <wp:docPr id="358" name="Picture 35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6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w:t>
      </w:r>
      <w:r w:rsidRPr="009C5151">
        <w:rPr>
          <w:rStyle w:val="Strong"/>
        </w:rPr>
        <w:t>Cooper Standard Automotive India (P.) Ltd. v. Assistant Commissioner of Income Tax</w:t>
      </w:r>
      <w:r w:rsidRPr="009C5151">
        <w:t xml:space="preserve">, the </w:t>
      </w:r>
      <w:r w:rsidRPr="009C5151">
        <w:rPr>
          <w:rStyle w:val="Strong"/>
        </w:rPr>
        <w:t>Income Tax Appellate Tribunal (ITAT) Chennai Bench</w:t>
      </w:r>
      <w:r w:rsidRPr="009C5151">
        <w:t xml:space="preserve"> addressed the tax implications of payments made by Cooper Standard Automotive India Pvt. Ltd. (the assessee) to its non-resident parent company for certain services rendered.</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Cooper Standard Automotive India Pvt. Ltd., an Indian company engaged in manufacturing automotive components.</w:t>
      </w:r>
    </w:p>
    <w:p w:rsidR="00A056B6" w:rsidRPr="009C5151" w:rsidRDefault="00A056B6" w:rsidP="00743A5F">
      <w:pPr>
        <w:pStyle w:val="NormalWeb"/>
        <w:tabs>
          <w:tab w:val="num" w:pos="720"/>
        </w:tabs>
        <w:spacing w:before="0" w:beforeAutospacing="0"/>
        <w:ind w:left="720" w:hanging="360"/>
      </w:pPr>
      <w:r w:rsidRPr="009C5151">
        <w:rPr>
          <w:rStyle w:val="Strong"/>
        </w:rPr>
        <w:t>Parent Company:</w:t>
      </w:r>
      <w:r w:rsidRPr="009C5151">
        <w:t xml:space="preserve"> Cooper Standard Automotive Inc., a non-resident company based in the USA.</w:t>
      </w:r>
    </w:p>
    <w:p w:rsidR="00A056B6" w:rsidRPr="009C5151" w:rsidRDefault="00A056B6" w:rsidP="00743A5F">
      <w:pPr>
        <w:pStyle w:val="NormalWeb"/>
        <w:tabs>
          <w:tab w:val="num" w:pos="720"/>
        </w:tabs>
        <w:spacing w:before="0" w:beforeAutospacing="0"/>
        <w:ind w:left="720" w:hanging="360"/>
      </w:pPr>
      <w:r w:rsidRPr="009C5151">
        <w:rPr>
          <w:rStyle w:val="Strong"/>
        </w:rPr>
        <w:t>Services Rendered:</w:t>
      </w:r>
      <w:r w:rsidRPr="009C5151">
        <w:t xml:space="preserve"> The parent company provided various services, including management support, technical assistance, and other related services, to the assessee.</w:t>
      </w:r>
    </w:p>
    <w:p w:rsidR="00A056B6" w:rsidRPr="009C5151" w:rsidRDefault="00A056B6" w:rsidP="00743A5F">
      <w:pPr>
        <w:pStyle w:val="NormalWeb"/>
        <w:tabs>
          <w:tab w:val="num" w:pos="720"/>
        </w:tabs>
        <w:spacing w:before="0" w:beforeAutospacing="0"/>
        <w:ind w:left="720" w:hanging="360"/>
      </w:pPr>
      <w:r w:rsidRPr="009C5151">
        <w:rPr>
          <w:rStyle w:val="Strong"/>
        </w:rPr>
        <w:t>Payments Made:</w:t>
      </w:r>
      <w:r w:rsidRPr="009C5151">
        <w:t xml:space="preserve"> The assessee made payments to the parent company for these services without deducting tax at source under Section 195 of the Income Tax Act, 1961.</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Payments:</w:t>
      </w:r>
      <w:r w:rsidRPr="009C5151">
        <w:t xml:space="preserve"> Whether the payments made by the assessee to its non-resident parent company for services rendered qualify as "Fees for Technical Services" (FTS) under Section 9(1)(vii) of the Income Tax Act, 1961, and the India-USA Double Taxation Avoidance Agreement (DTAA).</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Tax Deduction at Source (TDS):</w:t>
      </w:r>
      <w:r w:rsidRPr="009C5151">
        <w:t xml:space="preserve"> Whether the assessee was liable to deduct tax at source under Section 195 on these payments.</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Nature of Services:</w:t>
      </w:r>
      <w:r w:rsidRPr="009C5151">
        <w:t xml:space="preserve"> The Tribunal examined the nature of services provided by the parent company, noting that they included managerial and technical assistance.</w:t>
      </w:r>
    </w:p>
    <w:p w:rsidR="00A056B6" w:rsidRPr="009C5151" w:rsidRDefault="00A056B6" w:rsidP="00743A5F">
      <w:pPr>
        <w:pStyle w:val="NormalWeb"/>
        <w:tabs>
          <w:tab w:val="num" w:pos="720"/>
        </w:tabs>
        <w:spacing w:before="0" w:beforeAutospacing="0"/>
        <w:ind w:left="720" w:hanging="360"/>
      </w:pPr>
      <w:r w:rsidRPr="009C5151">
        <w:rPr>
          <w:rStyle w:val="Strong"/>
        </w:rPr>
        <w:t>Make Available Clause:</w:t>
      </w:r>
      <w:r w:rsidRPr="009C5151">
        <w:t xml:space="preserve"> Under the India-USA DTAA, for services to be classified as FTS, they must "make available" technical knowledge, experience, skill, know-how, or processes to the recipient, enabling them to apply the technology independently.</w:t>
      </w:r>
    </w:p>
    <w:p w:rsidR="00A056B6" w:rsidRPr="009C5151" w:rsidRDefault="00A056B6" w:rsidP="00743A5F">
      <w:pPr>
        <w:pStyle w:val="NormalWeb"/>
        <w:tabs>
          <w:tab w:val="num" w:pos="720"/>
        </w:tabs>
        <w:spacing w:before="0" w:beforeAutospacing="0"/>
        <w:ind w:left="720" w:hanging="360"/>
      </w:pPr>
      <w:r w:rsidRPr="009C5151">
        <w:rPr>
          <w:rStyle w:val="Strong"/>
        </w:rPr>
        <w:t>Findings:</w:t>
      </w:r>
      <w:r w:rsidRPr="009C5151">
        <w:t xml:space="preserve"> The ITAT observed that the services rendered by the parent company did not "make available" any technical knowledge or skill to the assessee that would enable it to perform such services independently in the future.</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Not FTS under DTAA:</w:t>
      </w:r>
      <w:r w:rsidRPr="009C5151">
        <w:t xml:space="preserve"> The ITAT held that the payments made by the assessee to its non-resident parent company did not qualify as "Fees for Technical Services" under the India-USA DTAA, as the services did not "make available" technical knowledge or skills to the assessee.</w:t>
      </w:r>
    </w:p>
    <w:p w:rsidR="00A056B6" w:rsidRPr="009C5151" w:rsidRDefault="00A056B6" w:rsidP="00743A5F">
      <w:pPr>
        <w:pStyle w:val="NormalWeb"/>
        <w:tabs>
          <w:tab w:val="num" w:pos="720"/>
        </w:tabs>
        <w:spacing w:before="0" w:beforeAutospacing="0"/>
        <w:ind w:left="720" w:hanging="360"/>
      </w:pPr>
      <w:r w:rsidRPr="009C5151">
        <w:rPr>
          <w:rStyle w:val="Strong"/>
        </w:rPr>
        <w:t>No TDS Obligation:</w:t>
      </w:r>
      <w:r w:rsidRPr="009C5151">
        <w:t xml:space="preserve"> Consequently, the assessee was not liable to deduct tax at source under Section 195 on these payments.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for payments to be classified as "Fees for Technical Services" under the India-USA DTAA, the services must "make available" technical knowledge or skills to the recipient, enabling them to apply the technology independently. In the absence of such a transfer of knowledge, there is no obligation to deduct tax at source under Section 195 of the Income Tax Act.</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Cooper Standard Automotive India (P.) Ltd. v. Assistant Commissioner of Income Tax, I.T. Appeal No. 785 (Mds.) of 2014, ITAT Chennai Bench, dated April 12, 2017.</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Taxmann</w:t>
      </w:r>
    </w:p>
    <w:p w:rsidR="00A056B6" w:rsidRPr="009C5151" w:rsidRDefault="00A056B6" w:rsidP="00743A5F">
      <w:pPr>
        <w:pStyle w:val="NormalWeb"/>
        <w:spacing w:before="0" w:beforeAutospacing="0"/>
      </w:pPr>
      <w:r w:rsidRPr="009C5151">
        <w:t>This decision provides guidance on the interpretation of "Fees for Technical Services" under the India-USA DTAA and the associated obligations for tax deduction at source.</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Discuss Rhodia Specialty Chemicals India Ltd. v Add CIT - [2017] 81 taxmann.com 423 (Mumbai - Trib.) - IT APPEAL NOS. 622 &amp; 830 (MUM.) OF 2014 dated 24.04.2017</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E4AF32E" wp14:editId="4C603115">
            <wp:extent cx="763905" cy="763905"/>
            <wp:effectExtent l="0" t="0" r="0" b="0"/>
            <wp:docPr id="357" name="Picture 35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6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Rhodia Specialty Chemicals India Ltd. v. Additional Commissioner of Income Tax</w:t>
      </w:r>
      <w:r w:rsidRPr="009C5151">
        <w:t xml:space="preserve">, the </w:t>
      </w:r>
      <w:r w:rsidRPr="009C5151">
        <w:rPr>
          <w:rStyle w:val="Strong"/>
        </w:rPr>
        <w:t>Income Tax Appellate Tribunal (ITAT) Mumbai Bench</w:t>
      </w:r>
      <w:r w:rsidRPr="009C5151">
        <w:t xml:space="preserve"> addressed several issues concerning the assessment for the Assessment Year (AY) 2009-10.</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Rhodia Specialty Chemicals India Ltd., formerly known as Albright &amp; Wilson Chemicals India Ltd., engaged in the business of manufacturing and trading in chemicals.</w:t>
      </w:r>
    </w:p>
    <w:p w:rsidR="00A056B6" w:rsidRPr="009C5151" w:rsidRDefault="00A056B6" w:rsidP="00743A5F">
      <w:pPr>
        <w:pStyle w:val="NormalWeb"/>
        <w:tabs>
          <w:tab w:val="num" w:pos="720"/>
        </w:tabs>
        <w:spacing w:before="0" w:beforeAutospacing="0"/>
        <w:ind w:left="720" w:hanging="360"/>
      </w:pPr>
      <w:r w:rsidRPr="009C5151">
        <w:rPr>
          <w:rStyle w:val="Strong"/>
        </w:rPr>
        <w:t>Assessment Year:</w:t>
      </w:r>
      <w:r w:rsidRPr="009C5151">
        <w:t xml:space="preserve"> 2009-10.</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Addition Due to Mismatch in Credit Card Transactions: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Assessing Officer (AO) noted a discrepancy between the credit card transactions reported in the Annual Information Return (AIR) and the assessee's books of account.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AIR indicated transactions amounting to ₹5,34,631, while the assessee's records showed ₹4,93,466, resulting in a difference of ₹41,165.</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assessee explained that the difference pertained to personal expenses incurred by employees using company-issued credit cards, which were subsequently reimbursed by the employees and not recorded as company expenses.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AO added the difference to the assessee's income, citing failure to reconcile the discrepancy.</w:t>
      </w:r>
    </w:p>
    <w:p w:rsidR="00A056B6" w:rsidRPr="009C5151" w:rsidRDefault="00A056B6" w:rsidP="00743A5F">
      <w:pPr>
        <w:pStyle w:val="NormalWeb"/>
        <w:tabs>
          <w:tab w:val="num" w:pos="720"/>
        </w:tabs>
        <w:spacing w:before="0" w:beforeAutospacing="0"/>
        <w:ind w:left="720" w:hanging="360"/>
      </w:pPr>
      <w:r w:rsidRPr="009C5151">
        <w:rPr>
          <w:rStyle w:val="Strong"/>
        </w:rPr>
        <w:t>Transfer Pricing Adjustment: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Transfer Pricing Officer (TPO) made adjustments to the international transactions between the assessee and its associated enterprises, affecting the taxable income.</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Credit Card Transactions: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The ITAT observed that the addition was made solely based on AIR information without providing specific details to the assessee for reconciliation.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The Tribunal referenced the decision in </w:t>
      </w:r>
      <w:r w:rsidRPr="009C5151">
        <w:rPr>
          <w:rStyle w:val="Strong"/>
          <w:rFonts w:ascii="Times New Roman" w:hAnsi="Times New Roman" w:cs="Times New Roman"/>
          <w:sz w:val="24"/>
          <w:szCs w:val="24"/>
        </w:rPr>
        <w:t>AF Ferguson &amp; Co. v. JCIT</w:t>
      </w:r>
      <w:r w:rsidRPr="009C5151">
        <w:rPr>
          <w:rFonts w:ascii="Times New Roman" w:hAnsi="Times New Roman" w:cs="Times New Roman"/>
          <w:sz w:val="24"/>
          <w:szCs w:val="24"/>
        </w:rPr>
        <w:t xml:space="preserve"> (ITA No. 5037/Mum/2012), where it was held that additions based solely on AIR information, without furnishing complete details to the assessee, are unsustainable.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Consequently, the ITAT deleted the addition of ₹41,165, emphasizing the need for the AO to provide specific details to the assessee for proper reconciliation.</w:t>
      </w:r>
    </w:p>
    <w:p w:rsidR="00A056B6" w:rsidRPr="009C5151" w:rsidRDefault="00A056B6" w:rsidP="00743A5F">
      <w:pPr>
        <w:pStyle w:val="NormalWeb"/>
        <w:tabs>
          <w:tab w:val="num" w:pos="720"/>
        </w:tabs>
        <w:spacing w:before="0" w:beforeAutospacing="0"/>
        <w:ind w:left="720" w:hanging="360"/>
      </w:pPr>
      <w:r w:rsidRPr="009C5151">
        <w:rPr>
          <w:rStyle w:val="Strong"/>
        </w:rPr>
        <w:t>Transfer Pricing Adjustment: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ITAT examined the TPO's methodology and the comparables selected for determining the arm's length price.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Tribunal found merit in the assessee's contentions regarding the selection of comparables and the functional dissimilarities.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Accordingly, the ITAT directed the AO/TPO to reconsider the transfer pricing adjustments after providing the assessee an opportunity to present its case and submit relevant evidence.</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tabs>
          <w:tab w:val="num" w:pos="720"/>
        </w:tabs>
        <w:spacing w:before="0" w:beforeAutospacing="0"/>
        <w:ind w:left="720" w:hanging="360"/>
      </w:pPr>
      <w:r w:rsidRPr="009C5151">
        <w:rPr>
          <w:rStyle w:val="Strong"/>
        </w:rPr>
        <w:t>Credit Card Transactions:</w:t>
      </w:r>
      <w:r w:rsidRPr="009C5151">
        <w:t xml:space="preserve"> Additions based solely on AIR information, without providing specific details to the assessee for reconciliation, are not sustainable.</w:t>
      </w:r>
    </w:p>
    <w:p w:rsidR="00A056B6" w:rsidRPr="009C5151" w:rsidRDefault="00A056B6" w:rsidP="00743A5F">
      <w:pPr>
        <w:pStyle w:val="NormalWeb"/>
        <w:tabs>
          <w:tab w:val="num" w:pos="720"/>
        </w:tabs>
        <w:spacing w:before="0" w:beforeAutospacing="0"/>
        <w:ind w:left="720" w:hanging="360"/>
      </w:pPr>
      <w:r w:rsidRPr="009C5151">
        <w:rPr>
          <w:rStyle w:val="Strong"/>
        </w:rPr>
        <w:t>Transfer Pricing Adjustment:</w:t>
      </w:r>
      <w:r w:rsidRPr="009C5151">
        <w:t xml:space="preserve"> The selection of comparables and determination of the arm's length price must consider functional similarities and provide the assessee an opportunity to present its case.</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Rhodia Specialty Chemicals India Ltd. v. Additional Commissioner of Income Tax, ITA Nos. 622 &amp; 830/Mum/2014, ITAT Mumbai Bench, dated April 24, 2017.</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21"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underscores the importance of providing specific information to taxpayers for reconciliation purposes and ensuring that transfer pricing adjustments are made based on appropriate comparables and methodologies.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A.P. Moller Maersk A/S [TS-70-SC-2017] (Civil Appeal No.8040/2015)</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2147D8C2" wp14:editId="5C53540E">
            <wp:extent cx="763905" cy="763905"/>
            <wp:effectExtent l="0" t="0" r="0" b="0"/>
            <wp:docPr id="356" name="Picture 35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6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Director of Income Tax (International Taxation) v. A.P. Moller Maersk A/S</w:t>
      </w:r>
      <w:r w:rsidRPr="009C5151">
        <w:t xml:space="preserve">, the </w:t>
      </w:r>
      <w:r w:rsidRPr="009C5151">
        <w:rPr>
          <w:rStyle w:val="Strong"/>
        </w:rPr>
        <w:t>Supreme Court of India</w:t>
      </w:r>
      <w:r w:rsidRPr="009C5151">
        <w:t xml:space="preserve"> addressed the taxability of payments received by A.P. Moller Maersk A/S (hereinafter referred to as "the assessee"), a Denmark-based shipping company, from its agents in India.</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A.P. Moller Maersk A/S, a Danish company engaged in international shipping operations.</w:t>
      </w:r>
    </w:p>
    <w:p w:rsidR="00A056B6" w:rsidRPr="009C5151" w:rsidRDefault="00A056B6" w:rsidP="00743A5F">
      <w:pPr>
        <w:pStyle w:val="NormalWeb"/>
        <w:tabs>
          <w:tab w:val="num" w:pos="720"/>
        </w:tabs>
        <w:spacing w:before="0" w:beforeAutospacing="0"/>
        <w:ind w:left="720" w:hanging="360"/>
      </w:pPr>
      <w:r w:rsidRPr="009C5151">
        <w:rPr>
          <w:rStyle w:val="Strong"/>
        </w:rPr>
        <w:t>Indian Agents:</w:t>
      </w:r>
      <w:r w:rsidRPr="009C5151">
        <w:t xml:space="preserve"> The assessee operated in India through agents, including Maersk Logistics India Pvt. Ltd. and Maersk India Pvt. Ltd.</w:t>
      </w:r>
    </w:p>
    <w:p w:rsidR="00A056B6" w:rsidRPr="009C5151" w:rsidRDefault="00A056B6" w:rsidP="00743A5F">
      <w:pPr>
        <w:pStyle w:val="NormalWeb"/>
        <w:tabs>
          <w:tab w:val="num" w:pos="720"/>
        </w:tabs>
        <w:spacing w:before="0" w:beforeAutospacing="0"/>
        <w:ind w:left="720" w:hanging="360"/>
      </w:pPr>
      <w:r w:rsidRPr="009C5151">
        <w:rPr>
          <w:rStyle w:val="Strong"/>
        </w:rPr>
        <w:t>Services Rendered:</w:t>
      </w:r>
      <w:r w:rsidRPr="009C5151">
        <w:t xml:space="preserve"> The assessee provided a global telecommunication facility called "Maersk Net" to its agents, facilitating communication and data transfer essential for shipping operations.</w:t>
      </w:r>
    </w:p>
    <w:p w:rsidR="00A056B6" w:rsidRPr="009C5151" w:rsidRDefault="00A056B6" w:rsidP="00743A5F">
      <w:pPr>
        <w:pStyle w:val="NormalWeb"/>
        <w:tabs>
          <w:tab w:val="num" w:pos="720"/>
        </w:tabs>
        <w:spacing w:before="0" w:beforeAutospacing="0"/>
        <w:ind w:left="720" w:hanging="360"/>
      </w:pPr>
      <w:r w:rsidRPr="009C5151">
        <w:rPr>
          <w:rStyle w:val="Strong"/>
        </w:rPr>
        <w:t>Payments Received:</w:t>
      </w:r>
      <w:r w:rsidRPr="009C5151">
        <w:t xml:space="preserve"> The assessee received payments from its Indian agents for the use of Maersk Net.</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Payments:</w:t>
      </w:r>
      <w:r w:rsidRPr="009C5151">
        <w:t xml:space="preserve"> Whether the payments received by the assessee from its Indian agents for the use of Maersk Net qualify as "Fees for Technical Services" (FTS) or "Royalty" under the </w:t>
      </w:r>
      <w:r w:rsidRPr="009C5151">
        <w:rPr>
          <w:rStyle w:val="Strong"/>
        </w:rPr>
        <w:t>India-Denmark Double Taxation Avoidance Agreement (DTAA)</w:t>
      </w:r>
      <w:r w:rsidRPr="009C5151">
        <w:t xml:space="preserve"> and the </w:t>
      </w:r>
      <w:r w:rsidRPr="009C5151">
        <w:rPr>
          <w:rStyle w:val="Strong"/>
        </w:rPr>
        <w:t>Income Tax Act, 1961</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Whether such payments are taxable in India, considering the provisions of the DTAA and domestic tax laws.</w:t>
      </w:r>
    </w:p>
    <w:p w:rsidR="00A056B6" w:rsidRPr="009C5151" w:rsidRDefault="00A056B6" w:rsidP="00743A5F">
      <w:pPr>
        <w:pStyle w:val="NormalWeb"/>
        <w:spacing w:before="0" w:beforeAutospacing="0"/>
      </w:pPr>
      <w:r w:rsidRPr="009C5151">
        <w:rPr>
          <w:rStyle w:val="Strong"/>
        </w:rPr>
        <w:t>Supreme Court's Analysis:</w:t>
      </w:r>
    </w:p>
    <w:p w:rsidR="00A056B6" w:rsidRPr="009C5151" w:rsidRDefault="00A056B6" w:rsidP="00743A5F">
      <w:pPr>
        <w:pStyle w:val="NormalWeb"/>
        <w:tabs>
          <w:tab w:val="num" w:pos="720"/>
        </w:tabs>
        <w:spacing w:before="0" w:beforeAutospacing="0"/>
        <w:ind w:left="720" w:hanging="360"/>
      </w:pPr>
      <w:r w:rsidRPr="009C5151">
        <w:rPr>
          <w:rStyle w:val="Strong"/>
        </w:rPr>
        <w:t>Nature of Maersk Net:</w:t>
      </w:r>
      <w:r w:rsidRPr="009C5151">
        <w:t xml:space="preserve"> The Court examined the functionality of Maersk Net, noting that it is a proprietary communication system facilitating data and document transmission between the assessee and its agents worldwide.</w:t>
      </w:r>
    </w:p>
    <w:p w:rsidR="00A056B6" w:rsidRPr="009C5151" w:rsidRDefault="00A056B6" w:rsidP="00743A5F">
      <w:pPr>
        <w:pStyle w:val="NormalWeb"/>
        <w:tabs>
          <w:tab w:val="num" w:pos="720"/>
        </w:tabs>
        <w:spacing w:before="0" w:beforeAutospacing="0"/>
        <w:ind w:left="720" w:hanging="360"/>
      </w:pPr>
      <w:r w:rsidRPr="009C5151">
        <w:rPr>
          <w:rStyle w:val="Strong"/>
        </w:rPr>
        <w:t>Characterization as Royalty or FTS: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Royalty:</w:t>
      </w:r>
      <w:r w:rsidRPr="009C5151">
        <w:rPr>
          <w:rFonts w:ascii="Times New Roman" w:hAnsi="Times New Roman" w:cs="Times New Roman"/>
          <w:sz w:val="24"/>
          <w:szCs w:val="24"/>
        </w:rPr>
        <w:t xml:space="preserve"> The Court observed that for a payment to be classified as royalty, it must be for the use of or the right to use any copyright, patent, trademark, design, or similar property.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FTS:</w:t>
      </w:r>
      <w:r w:rsidRPr="009C5151">
        <w:rPr>
          <w:rFonts w:ascii="Times New Roman" w:hAnsi="Times New Roman" w:cs="Times New Roman"/>
          <w:sz w:val="24"/>
          <w:szCs w:val="24"/>
        </w:rPr>
        <w:t xml:space="preserve"> For a payment to be considered FTS, it must be for services that make available technical knowledge, experience, skill, know-how, or processes.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Findings: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Court concluded that Maersk Net is a standard facility provided to the agents to ensure seamless communication and does not involve the transfer of any technical knowledge or intellectual property rights to the agents.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agents do not acquire any rights over the system, nor do they gain any technical knowledge enabling them to operate such a system independently.</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Not Royalty or FTS:</w:t>
      </w:r>
      <w:r w:rsidRPr="009C5151">
        <w:t xml:space="preserve"> The Supreme Court held that the payments made by the Indian agents to the assessee for the use of Maersk Net do not qualify as "Royalty" or "Fees for Technical Services" under the India-Denmark DTAA or the Income Tax Act, 1961.</w:t>
      </w:r>
    </w:p>
    <w:p w:rsidR="00A056B6" w:rsidRPr="009C5151" w:rsidRDefault="00A056B6" w:rsidP="00743A5F">
      <w:pPr>
        <w:pStyle w:val="NormalWeb"/>
        <w:tabs>
          <w:tab w:val="num" w:pos="720"/>
        </w:tabs>
        <w:spacing w:before="0" w:beforeAutospacing="0"/>
        <w:ind w:left="720" w:hanging="360"/>
      </w:pPr>
      <w:r w:rsidRPr="009C5151">
        <w:rPr>
          <w:rStyle w:val="Strong"/>
        </w:rPr>
        <w:t>Not Taxable in India:</w:t>
      </w:r>
      <w:r w:rsidRPr="009C5151">
        <w:t xml:space="preserve"> Consequently, such payments are not taxable in India, and the assessee is not liable to pay tax on these receipts under Indian tax laws.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payments made for the use of standard facilities essential for business operations, without the transfer of technical knowledge or intellectual property rights, do not constitute "Royalty" or "Fees for Technical Services" under the India-Denmark DTAA. Therefore, such payments are not subject to taxation in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Director of Income Tax (International Taxation) v. A.P. Moller Maersk A/S, Civil Appeal No. 8040 of 2015, Supreme Court of India, dated February 17, 2017.</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22"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provides significant guidance on the interpretation of "Royalty" and "Fees for Technical Services" in the context of international taxation agreements, particularly concerning the use of standard business facilities.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Flughafen Zurich AG [TS-96-ITAT-2017(Bang)] (I.T.(I.T) A. No.1525/Bang/ 2010)</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3CC852A" wp14:editId="581D5B32">
            <wp:extent cx="763905" cy="763905"/>
            <wp:effectExtent l="0" t="0" r="0" b="0"/>
            <wp:docPr id="355" name="Picture 35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6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lastRenderedPageBreak/>
        <w:t xml:space="preserve">In the case of </w:t>
      </w:r>
      <w:r w:rsidRPr="009C5151">
        <w:rPr>
          <w:rStyle w:val="Strong"/>
        </w:rPr>
        <w:t>Flughafen Zurich AG v. Deputy Director of Income Tax</w:t>
      </w:r>
      <w:r w:rsidRPr="009C5151">
        <w:t xml:space="preserve">, the </w:t>
      </w:r>
      <w:r w:rsidRPr="009C5151">
        <w:rPr>
          <w:rStyle w:val="Strong"/>
        </w:rPr>
        <w:t>Income Tax Appellate Tribunal (ITAT) Bangalore Bench</w:t>
      </w:r>
      <w:r w:rsidRPr="009C5151">
        <w:t xml:space="preserve"> examined the tax implications of payments received by Flughafen Zurich AG (the assessee), a Swiss company, from Bangalore International Airport Limited (BIAL) for services rendered in connection with the development and operation of Bangalore International Airport.</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Flughafen Zurich AG, a company incorporated in Switzerland, specializing in airport management and operations.</w:t>
      </w:r>
    </w:p>
    <w:p w:rsidR="00A056B6" w:rsidRPr="009C5151" w:rsidRDefault="00A056B6" w:rsidP="00743A5F">
      <w:pPr>
        <w:pStyle w:val="NormalWeb"/>
        <w:tabs>
          <w:tab w:val="num" w:pos="720"/>
        </w:tabs>
        <w:spacing w:before="0" w:beforeAutospacing="0"/>
        <w:ind w:left="720" w:hanging="360"/>
      </w:pPr>
      <w:r w:rsidRPr="009C5151">
        <w:rPr>
          <w:rStyle w:val="Strong"/>
        </w:rPr>
        <w:t>Indian Entity:</w:t>
      </w:r>
      <w:r w:rsidRPr="009C5151">
        <w:t xml:space="preserve"> Bangalore International Airport Limited (BIAL), responsible for the development and operation of Bangalore International Airport.</w:t>
      </w:r>
    </w:p>
    <w:p w:rsidR="00A056B6" w:rsidRPr="009C5151" w:rsidRDefault="00A056B6" w:rsidP="00743A5F">
      <w:pPr>
        <w:pStyle w:val="NormalWeb"/>
        <w:tabs>
          <w:tab w:val="num" w:pos="720"/>
        </w:tabs>
        <w:spacing w:before="0" w:beforeAutospacing="0"/>
        <w:ind w:left="720" w:hanging="360"/>
      </w:pPr>
      <w:r w:rsidRPr="009C5151">
        <w:rPr>
          <w:rStyle w:val="Strong"/>
        </w:rPr>
        <w:t>Agreements: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Shareholders Agreement:</w:t>
      </w:r>
      <w:r w:rsidRPr="009C5151">
        <w:rPr>
          <w:rFonts w:ascii="Times New Roman" w:hAnsi="Times New Roman" w:cs="Times New Roman"/>
          <w:sz w:val="24"/>
          <w:szCs w:val="24"/>
        </w:rPr>
        <w:t xml:space="preserve"> The assessee held a 17% equity stake in BIAL during the construction phase of the airport.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Technical Services Agreement (TSA):</w:t>
      </w:r>
      <w:r w:rsidRPr="009C5151">
        <w:rPr>
          <w:rFonts w:ascii="Times New Roman" w:hAnsi="Times New Roman" w:cs="Times New Roman"/>
          <w:sz w:val="24"/>
          <w:szCs w:val="24"/>
        </w:rPr>
        <w:t xml:space="preserve"> The assessee provided technical and management services to BIAL, including project planning, design, construction, and operational support.</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Payments:</w:t>
      </w:r>
      <w:r w:rsidRPr="009C5151">
        <w:t xml:space="preserve"> Whether the payments received by the assessee from BIAL under the TSA qualify as "Fees for Technical Services" (FTS) under Section 9(1)(vii) of the Income Tax Act, 1961, and the </w:t>
      </w:r>
      <w:r w:rsidRPr="009C5151">
        <w:rPr>
          <w:rStyle w:val="Strong"/>
        </w:rPr>
        <w:t>India-Switzerland Double Taxation Avoidance Agreement (DTAA)</w:t>
      </w:r>
      <w:r w:rsidRPr="009C5151">
        <w:t>.</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Whether such payments are taxable in India, considering the provisions of the DTAA and domestic tax laws.</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Nature of Services:</w:t>
      </w:r>
      <w:r w:rsidRPr="009C5151">
        <w:t xml:space="preserve"> The Tribunal examined the services provided by the assessee, noting that they encompassed technical and managerial assistance essential for the establishment and operation of the airport.</w:t>
      </w:r>
    </w:p>
    <w:p w:rsidR="00A056B6" w:rsidRPr="009C5151" w:rsidRDefault="00A056B6" w:rsidP="00743A5F">
      <w:pPr>
        <w:pStyle w:val="NormalWeb"/>
        <w:tabs>
          <w:tab w:val="num" w:pos="720"/>
        </w:tabs>
        <w:spacing w:before="0" w:beforeAutospacing="0"/>
        <w:ind w:left="720" w:hanging="360"/>
      </w:pPr>
      <w:r w:rsidRPr="009C5151">
        <w:rPr>
          <w:rStyle w:val="Strong"/>
        </w:rPr>
        <w:t>Definition of FTS: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Income Tax Act:</w:t>
      </w:r>
      <w:r w:rsidRPr="009C5151">
        <w:rPr>
          <w:rFonts w:ascii="Times New Roman" w:hAnsi="Times New Roman" w:cs="Times New Roman"/>
          <w:sz w:val="24"/>
          <w:szCs w:val="24"/>
        </w:rPr>
        <w:t xml:space="preserve"> Section 9(1)(vii) defines FTS as payments for managerial, technical, or consultancy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India-Switzerland DTAA:</w:t>
      </w:r>
      <w:r w:rsidRPr="009C5151">
        <w:rPr>
          <w:rFonts w:ascii="Times New Roman" w:hAnsi="Times New Roman" w:cs="Times New Roman"/>
          <w:sz w:val="24"/>
          <w:szCs w:val="24"/>
        </w:rPr>
        <w:t xml:space="preserve"> Article 12 of the DTAA covers payments for services of a managerial, technical, or consultancy nature, including provisions for the "make available" clause.</w:t>
      </w:r>
    </w:p>
    <w:p w:rsidR="00A056B6" w:rsidRPr="009C5151" w:rsidRDefault="00A056B6" w:rsidP="00743A5F">
      <w:pPr>
        <w:pStyle w:val="NormalWeb"/>
        <w:tabs>
          <w:tab w:val="num" w:pos="720"/>
        </w:tabs>
        <w:spacing w:before="0" w:beforeAutospacing="0"/>
        <w:ind w:left="720" w:hanging="360"/>
      </w:pPr>
      <w:r w:rsidRPr="009C5151">
        <w:rPr>
          <w:rStyle w:val="Strong"/>
        </w:rPr>
        <w:t>Findings: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The ITAT observed that the services rendered by the assessee were technical and managerial in nature, falling within the ambit of FTS under both the Income Tax Act and the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Tribunal noted that the services provided by the assessee did not merely involve the deployment of personnel but included the transfer of technical knowledge and expertise to BIAL, thereby satisfying the "make available" requirement under the DTAA.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Taxability as FTS:</w:t>
      </w:r>
      <w:r w:rsidRPr="009C5151">
        <w:t xml:space="preserve"> The ITAT held that the payments received by Flughafen Zurich AG from BIAL under the Technical Services Agreement qualify as "Fees for Technical Services" under Section 9(1)(vii) of the Income Tax Act, 1961, and Article 12 of the India-Switzerland DTAA.</w:t>
      </w:r>
    </w:p>
    <w:p w:rsidR="00A056B6" w:rsidRPr="009C5151" w:rsidRDefault="00A056B6" w:rsidP="00743A5F">
      <w:pPr>
        <w:pStyle w:val="NormalWeb"/>
        <w:tabs>
          <w:tab w:val="num" w:pos="720"/>
        </w:tabs>
        <w:spacing w:before="0" w:beforeAutospacing="0"/>
        <w:ind w:left="720" w:hanging="360"/>
      </w:pPr>
      <w:r w:rsidRPr="009C5151">
        <w:rPr>
          <w:rStyle w:val="Strong"/>
        </w:rPr>
        <w:t>Tax Liability in India:</w:t>
      </w:r>
      <w:r w:rsidRPr="009C5151">
        <w:t xml:space="preserve"> Consequently, such payments are taxable in India, and the assessee is liable to pay tax on these receipts as per the applicable provisions.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payments for technical and managerial services, which involve the transfer of technical knowledge and expertise, are taxable as "Fees for Technical Services" under both domestic tax laws and the India-Switzerland DTAA. The decision emphasizes the importance of the "make available" clause in determining the taxability of such payments in cross-border service arrangements.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Flughafen Zurich AG v. Deputy Director of Income Tax, ITA No. 1525/Bang/2010, ITAT Bangalore Bench.</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23" w:tgtFrame="_new" w:history="1">
        <w:r w:rsidRPr="009C5151">
          <w:rPr>
            <w:rStyle w:val="Hyperlink"/>
          </w:rPr>
          <w:t>ITAT Orders</w:t>
        </w:r>
      </w:hyperlink>
    </w:p>
    <w:p w:rsidR="00A056B6" w:rsidRPr="009C5151" w:rsidRDefault="00A056B6" w:rsidP="00743A5F">
      <w:pPr>
        <w:pStyle w:val="NormalWeb"/>
        <w:spacing w:before="0" w:beforeAutospacing="0"/>
      </w:pPr>
      <w:r w:rsidRPr="009C5151">
        <w:t>This decision provides significant insights into the interpretation of "Fees for Technical Services" in the context of international taxation and the applicability of the "make available" clause under the India-Switzerland DTAA.</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Shivsu Canadian Clear Waters Ltd. v DCIT – (2018) 90 taxmann.com 352 (Chen Trib) - ITA No. 2347 (Mds.) of 2017 dated 25.01.2018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79407D2E" wp14:editId="3A0F3CC1">
            <wp:extent cx="763905" cy="763905"/>
            <wp:effectExtent l="0" t="0" r="0" b="0"/>
            <wp:docPr id="354" name="Picture 35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6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Shivsu Canadian Clear Waters Ltd. v. Deputy Commissioner of Income Tax</w:t>
      </w:r>
      <w:r w:rsidRPr="009C5151">
        <w:t xml:space="preserve">, the </w:t>
      </w:r>
      <w:r w:rsidRPr="009C5151">
        <w:rPr>
          <w:rStyle w:val="Strong"/>
        </w:rPr>
        <w:t>Income Tax Appellate Tribunal (ITAT) Chennai Bench</w:t>
      </w:r>
      <w:r w:rsidRPr="009C5151">
        <w:t xml:space="preserve"> addressed the tax implications of payments made by the assessee to a foreign company without deducting tax at source under Section 195 of the Income Tax Act, 1961.</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Shivsu Canadian Clear Waters Ltd., an Indian company engaged in manufacturing water treatment plants.</w:t>
      </w:r>
    </w:p>
    <w:p w:rsidR="00A056B6" w:rsidRPr="009C5151" w:rsidRDefault="00A056B6" w:rsidP="00743A5F">
      <w:pPr>
        <w:pStyle w:val="NormalWeb"/>
        <w:tabs>
          <w:tab w:val="num" w:pos="720"/>
        </w:tabs>
        <w:spacing w:before="0" w:beforeAutospacing="0"/>
        <w:ind w:left="720" w:hanging="360"/>
      </w:pPr>
      <w:r w:rsidRPr="009C5151">
        <w:rPr>
          <w:rStyle w:val="Strong"/>
        </w:rPr>
        <w:t>Foreign Company:</w:t>
      </w:r>
      <w:r w:rsidRPr="009C5151">
        <w:t xml:space="preserve"> Canadian Crystalline Emirates, UAE.</w:t>
      </w:r>
    </w:p>
    <w:p w:rsidR="00A056B6" w:rsidRPr="009C5151" w:rsidRDefault="00A056B6" w:rsidP="00743A5F">
      <w:pPr>
        <w:pStyle w:val="NormalWeb"/>
        <w:tabs>
          <w:tab w:val="num" w:pos="720"/>
        </w:tabs>
        <w:spacing w:before="0" w:beforeAutospacing="0"/>
        <w:ind w:left="720" w:hanging="360"/>
      </w:pPr>
      <w:r w:rsidRPr="009C5151">
        <w:rPr>
          <w:rStyle w:val="Strong"/>
        </w:rPr>
        <w:t>Transaction:</w:t>
      </w:r>
      <w:r w:rsidRPr="009C5151">
        <w:t xml:space="preserve"> The assessee made a payment of ₹5,25,00,000 to Canadian Crystalline Emirates for erection and commissioning services related to water treatment plants.</w:t>
      </w:r>
    </w:p>
    <w:p w:rsidR="00A056B6" w:rsidRPr="009C5151" w:rsidRDefault="00A056B6" w:rsidP="00743A5F">
      <w:pPr>
        <w:pStyle w:val="NormalWeb"/>
        <w:tabs>
          <w:tab w:val="num" w:pos="720"/>
        </w:tabs>
        <w:spacing w:before="0" w:beforeAutospacing="0"/>
        <w:ind w:left="720" w:hanging="360"/>
      </w:pPr>
      <w:r w:rsidRPr="009C5151">
        <w:rPr>
          <w:rStyle w:val="Strong"/>
        </w:rPr>
        <w:t>Assessment Year:</w:t>
      </w:r>
      <w:r w:rsidRPr="009C5151">
        <w:t xml:space="preserve"> 2009-10.</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Reopening of Assessment under Section 147:</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original assessment was completed under Section 143(3).</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Subsequently, the assessment was reopened under Section 147 on the grounds that the assessee had not deducted tax at source under Section 195 for the payment made to the foreign company.</w:t>
      </w:r>
    </w:p>
    <w:p w:rsidR="00A056B6" w:rsidRPr="009C5151" w:rsidRDefault="00A056B6" w:rsidP="00743A5F">
      <w:pPr>
        <w:pStyle w:val="NormalWeb"/>
        <w:tabs>
          <w:tab w:val="num" w:pos="720"/>
        </w:tabs>
        <w:spacing w:before="0" w:beforeAutospacing="0"/>
        <w:ind w:left="720" w:hanging="360"/>
      </w:pPr>
      <w:r w:rsidRPr="009C5151">
        <w:rPr>
          <w:rStyle w:val="Strong"/>
        </w:rPr>
        <w:t>Disallowance under Section 40(a)(i):</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Assessing Officer (AO) disallowed the payment of ₹5,25,00,000 under Section 40(a)(i) due to the assessee's failure to deduct tax at source.</w:t>
      </w:r>
    </w:p>
    <w:p w:rsidR="00A056B6" w:rsidRPr="009C5151" w:rsidRDefault="00A056B6" w:rsidP="00743A5F">
      <w:pPr>
        <w:pStyle w:val="NormalWeb"/>
        <w:spacing w:before="0" w:beforeAutospacing="0"/>
      </w:pPr>
      <w:r w:rsidRPr="009C5151">
        <w:rPr>
          <w:rStyle w:val="Strong"/>
        </w:rPr>
        <w:t>Assessee's Contentions:</w:t>
      </w:r>
    </w:p>
    <w:p w:rsidR="00A056B6" w:rsidRPr="009C5151" w:rsidRDefault="00A056B6" w:rsidP="00743A5F">
      <w:pPr>
        <w:pStyle w:val="NormalWeb"/>
        <w:tabs>
          <w:tab w:val="num" w:pos="720"/>
        </w:tabs>
        <w:spacing w:before="0" w:beforeAutospacing="0"/>
        <w:ind w:left="720" w:hanging="360"/>
      </w:pPr>
      <w:r w:rsidRPr="009C5151">
        <w:rPr>
          <w:rStyle w:val="Strong"/>
        </w:rPr>
        <w:t>On Reopening of Assessment: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assessee argued that all relevant details were furnished during the original assessment, and no new material had come to the AO's possession to justify the reopening.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reopening was merely based on a change of opinion, which is not permissible.</w:t>
      </w:r>
    </w:p>
    <w:p w:rsidR="00A056B6" w:rsidRPr="009C5151" w:rsidRDefault="00A056B6" w:rsidP="00743A5F">
      <w:pPr>
        <w:pStyle w:val="NormalWeb"/>
        <w:tabs>
          <w:tab w:val="num" w:pos="720"/>
        </w:tabs>
        <w:spacing w:before="0" w:beforeAutospacing="0"/>
        <w:ind w:left="720" w:hanging="360"/>
      </w:pPr>
      <w:r w:rsidRPr="009C5151">
        <w:rPr>
          <w:rStyle w:val="Strong"/>
        </w:rPr>
        <w:t>On Disallowance: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The payment was for erection and commissioning services, not for technical services; hence, it did not attract tax deduction under Section 195.</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services were rendered outside India by a non-resident without any permanent establishment in India, making the income non-taxable in India.</w:t>
      </w:r>
    </w:p>
    <w:p w:rsidR="00A056B6" w:rsidRPr="009C5151" w:rsidRDefault="00A056B6" w:rsidP="00743A5F">
      <w:pPr>
        <w:pStyle w:val="NormalWeb"/>
        <w:spacing w:before="0" w:beforeAutospacing="0"/>
      </w:pPr>
      <w:r w:rsidRPr="009C5151">
        <w:rPr>
          <w:rStyle w:val="Strong"/>
        </w:rPr>
        <w:t>Tribunal's Findings:</w:t>
      </w:r>
    </w:p>
    <w:p w:rsidR="00A056B6" w:rsidRPr="009C5151" w:rsidRDefault="00A056B6" w:rsidP="00743A5F">
      <w:pPr>
        <w:pStyle w:val="NormalWeb"/>
        <w:tabs>
          <w:tab w:val="num" w:pos="720"/>
        </w:tabs>
        <w:spacing w:before="0" w:beforeAutospacing="0"/>
        <w:ind w:left="720" w:hanging="360"/>
      </w:pPr>
      <w:r w:rsidRPr="009C5151">
        <w:rPr>
          <w:rStyle w:val="Strong"/>
        </w:rPr>
        <w:t>Reopening of Assessment: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Tribunal noted that the AO had not brought any new material on record to justify the reopening.</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Since the original assessment was completed after thorough scrutiny, the reopening based on the same set of facts amounted to a change of opinion, which is not permissible.</w:t>
      </w:r>
    </w:p>
    <w:p w:rsidR="00A056B6" w:rsidRPr="009C5151" w:rsidRDefault="00A056B6" w:rsidP="00743A5F">
      <w:pPr>
        <w:pStyle w:val="NormalWeb"/>
        <w:tabs>
          <w:tab w:val="num" w:pos="720"/>
        </w:tabs>
        <w:spacing w:before="0" w:beforeAutospacing="0"/>
        <w:ind w:left="720" w:hanging="360"/>
      </w:pPr>
      <w:r w:rsidRPr="009C5151">
        <w:rPr>
          <w:rStyle w:val="Strong"/>
        </w:rPr>
        <w:t>Disallowance under Section 40(a)(i):</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Tribunal observed that the payment was for erection and commissioning services, which are not covered under the definition of "fees for technical services" as per Explanation 2 to Section 9(1)(vii).</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Since the services were rendered outside India and the foreign company did not have a permanent establishment in India, the income was not taxable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Consequently, there was no obligation on the assessee to deduct tax at source under Section 195.</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tabs>
          <w:tab w:val="num" w:pos="720"/>
        </w:tabs>
        <w:spacing w:before="0" w:beforeAutospacing="0"/>
        <w:ind w:left="720" w:hanging="360"/>
      </w:pPr>
      <w:r w:rsidRPr="009C5151">
        <w:rPr>
          <w:rStyle w:val="Strong"/>
        </w:rPr>
        <w:t>Reopening Invalid:</w:t>
      </w:r>
      <w:r w:rsidRPr="009C5151">
        <w:t xml:space="preserve"> The Tribunal held that the reopening of the assessment under Section 147 was invalid due to the absence of new material and the mere change of opinion by the AO.</w:t>
      </w:r>
    </w:p>
    <w:p w:rsidR="00A056B6" w:rsidRPr="009C5151" w:rsidRDefault="00A056B6" w:rsidP="00743A5F">
      <w:pPr>
        <w:pStyle w:val="NormalWeb"/>
        <w:tabs>
          <w:tab w:val="num" w:pos="720"/>
        </w:tabs>
        <w:spacing w:before="0" w:beforeAutospacing="0"/>
        <w:ind w:left="720" w:hanging="360"/>
      </w:pPr>
      <w:r w:rsidRPr="009C5151">
        <w:rPr>
          <w:rStyle w:val="Strong"/>
        </w:rPr>
        <w:t>Disallowance Deleted:</w:t>
      </w:r>
      <w:r w:rsidRPr="009C5151">
        <w:t xml:space="preserve"> The disallowance under Section 40(a)(i) was deleted, as the payment did not attract tax deduction at source under Section 195.</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Shivsu Canadian Clear Waters Ltd. v. DCIT, ITA No. 2347/Mds/2017, ITAT Chennai Bench, dated January 25,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24"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underscores the importance of distinguishing between different types of services and their tax implications, particularly concerning the obligation to deduct tax at source under Section 195.</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lastRenderedPageBreak/>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Flag Telecom Group Ltd. v. Dy. DIT (International Taxation) [2015] 59 taxmann.com 411/69 SOT 679/174 TTJ 92 (Mum.)</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759A9971" wp14:editId="46FD8261">
            <wp:extent cx="763905" cy="763905"/>
            <wp:effectExtent l="0" t="0" r="0" b="0"/>
            <wp:docPr id="353" name="Picture 35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6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Flag Telecom Group Ltd. v. Deputy Director of Income Tax (International Taxation)</w:t>
      </w:r>
      <w:r w:rsidRPr="009C5151">
        <w:t xml:space="preserve">, the </w:t>
      </w:r>
      <w:r w:rsidRPr="009C5151">
        <w:rPr>
          <w:rStyle w:val="Strong"/>
        </w:rPr>
        <w:t>Income Tax Appellate Tribunal (ITAT) Mumbai Bench</w:t>
      </w:r>
      <w:r w:rsidRPr="009C5151">
        <w:t xml:space="preserve"> addressed the taxability of payments received by Flag Telecom Group Ltd. (the assessee), a Bermuda-based company, from Videsh Sanchar Nigam Limited (VSNL) concerning the sale of capacity in an undersea fiber optic telecommunication cable system and related standby maintenance charges.</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Flag Telecom Group Ltd., incorporated in Bermuda, engaged in establishing and operating a submarine fiber optic telecommunication cable system linking various countries, including India.</w:t>
      </w:r>
    </w:p>
    <w:p w:rsidR="00A056B6" w:rsidRPr="009C5151" w:rsidRDefault="00A056B6" w:rsidP="00743A5F">
      <w:pPr>
        <w:pStyle w:val="NormalWeb"/>
        <w:tabs>
          <w:tab w:val="num" w:pos="720"/>
        </w:tabs>
        <w:spacing w:before="0" w:beforeAutospacing="0"/>
        <w:ind w:left="720" w:hanging="360"/>
      </w:pPr>
      <w:r w:rsidRPr="009C5151">
        <w:rPr>
          <w:rStyle w:val="Strong"/>
        </w:rPr>
        <w:t>Indian Entity:</w:t>
      </w:r>
      <w:r w:rsidRPr="009C5151">
        <w:t xml:space="preserve"> Videsh Sanchar Nigam Limited (VSNL), an Indian telecommunications company.</w:t>
      </w:r>
    </w:p>
    <w:p w:rsidR="00A056B6" w:rsidRPr="009C5151" w:rsidRDefault="00A056B6" w:rsidP="00743A5F">
      <w:pPr>
        <w:pStyle w:val="NormalWeb"/>
        <w:tabs>
          <w:tab w:val="num" w:pos="720"/>
        </w:tabs>
        <w:spacing w:before="0" w:beforeAutospacing="0"/>
        <w:ind w:left="720" w:hanging="360"/>
      </w:pPr>
      <w:r w:rsidRPr="009C5151">
        <w:rPr>
          <w:rStyle w:val="Strong"/>
        </w:rPr>
        <w:t>Agreements: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Capacity Sales Agreement (CSA):</w:t>
      </w:r>
      <w:r w:rsidRPr="009C5151">
        <w:rPr>
          <w:rFonts w:ascii="Times New Roman" w:hAnsi="Times New Roman" w:cs="Times New Roman"/>
          <w:sz w:val="24"/>
          <w:szCs w:val="24"/>
        </w:rPr>
        <w:t xml:space="preserve"> The assessee sold indefeasible rights to use (IRUs) in the cable system to VSNL for a consideration of USD 28.94 million, granting VSNL ownership rights in the system, including the ability to transfer or assign the capacity.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Construction and Maintenance Agreement (C&amp;MA):</w:t>
      </w:r>
      <w:r w:rsidRPr="009C5151">
        <w:rPr>
          <w:rFonts w:ascii="Times New Roman" w:hAnsi="Times New Roman" w:cs="Times New Roman"/>
          <w:sz w:val="24"/>
          <w:szCs w:val="24"/>
        </w:rPr>
        <w:t xml:space="preserve"> This agreement outlined the joint operation and maintenance responsibilities of the cable system among the parties, including provisions for standby maintenance services.</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Payments for Capacity Sales: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Whether the consideration received by the assessee from VSNL for the sale of capacity in the cable system constitutes "Royalty" under Section 9(1)(vi) of the Income Tax Act, 1961.</w:t>
      </w:r>
    </w:p>
    <w:p w:rsidR="00A056B6" w:rsidRPr="009C5151" w:rsidRDefault="00A056B6" w:rsidP="00743A5F">
      <w:pPr>
        <w:pStyle w:val="NormalWeb"/>
        <w:tabs>
          <w:tab w:val="num" w:pos="720"/>
        </w:tabs>
        <w:spacing w:before="0" w:beforeAutospacing="0"/>
        <w:ind w:left="720" w:hanging="360"/>
      </w:pPr>
      <w:r w:rsidRPr="009C5151">
        <w:rPr>
          <w:rStyle w:val="Strong"/>
        </w:rPr>
        <w:t>Taxability of Standby Maintenance Charges: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Whether the payments received for standby maintenance services are taxable as "Fees for Technical Services" (FTS) under Section 9(1)(vii) of the Act.</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Capacity Sales: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Tribunal examined the nature of the transaction under the CSA and concluded that it was an outright sale of ownership rights in the cable system, granting VSNL full control, including rights to transfer or assign the capacity.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It was determined that such a transaction does not fall within the definition of "Royalty," as there was no mere granting of the right to use the asset; instead, there was a complete transfer of ownership.</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ITAT referenced the distinction that in the case of royalty, ownership remains with the grantor, and only usage rights are provided. In contrast, the present transaction involved the transfer of all rights, indicating a sale rather than a licensing arrangement.</w:t>
      </w:r>
    </w:p>
    <w:p w:rsidR="00A056B6" w:rsidRPr="009C5151" w:rsidRDefault="00A056B6" w:rsidP="00743A5F">
      <w:pPr>
        <w:pStyle w:val="NormalWeb"/>
        <w:tabs>
          <w:tab w:val="num" w:pos="720"/>
        </w:tabs>
        <w:spacing w:before="0" w:beforeAutospacing="0"/>
        <w:ind w:left="720" w:hanging="360"/>
      </w:pPr>
      <w:r w:rsidRPr="009C5151">
        <w:rPr>
          <w:rStyle w:val="Strong"/>
        </w:rPr>
        <w:t>Standby Maintenance Charges: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Tribunal noted that standby maintenance charges were fixed annual payments for maintaining a readiness to provide maintenance services if required, rather than payments for actual services rendered.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It was held that such charges do not qualify as FTS, as there was no actual rendering of technical or consultancy services during the standby period.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ITAT emphasized that for a payment to be classified as FTS, there must be a direct rendering of technical services, which was not the case here.</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Capacity Sales:</w:t>
      </w:r>
      <w:r w:rsidRPr="009C5151">
        <w:t xml:space="preserve"> The consideration received by the assessee from VSNL for the sale of capacity in the cable system was not taxable as "Royalty" under Section 9(1)(vi) of the Income Tax Act, 1961, as it constituted an outright sale of ownership rights.</w:t>
      </w:r>
    </w:p>
    <w:p w:rsidR="00A056B6" w:rsidRPr="009C5151" w:rsidRDefault="00A056B6" w:rsidP="00743A5F">
      <w:pPr>
        <w:pStyle w:val="NormalWeb"/>
        <w:tabs>
          <w:tab w:val="num" w:pos="720"/>
        </w:tabs>
        <w:spacing w:before="0" w:beforeAutospacing="0"/>
        <w:ind w:left="720" w:hanging="360"/>
      </w:pPr>
      <w:r w:rsidRPr="009C5151">
        <w:rPr>
          <w:rStyle w:val="Strong"/>
        </w:rPr>
        <w:t>Standby Maintenance Charges:</w:t>
      </w:r>
      <w:r w:rsidRPr="009C5151">
        <w:t xml:space="preserve"> The payments received for standby maintenance services were not taxable as "Fees for Technical Services" under Section 9(1)(vii) of the Act, due to the absence of actual service provision.</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payments received from the outright sale of ownership rights in assets do not constitute "Royalty" under Indian tax law. Additionally, fixed charges for standby maintenance, without actual service provision, do not qualify as "Fees for Technical Services."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Case Citation:</w:t>
      </w:r>
      <w:r w:rsidRPr="009C5151">
        <w:t xml:space="preserve"> Flag Telecom Group Ltd. v. Deputy Director of Income Tax (International Taxation), [2015] 59 taxmann.com 411/69 SOT 679/174 TTJ 92 (Mumbai - Trib.).</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25" w:tgtFrame="_new" w:history="1">
        <w:r w:rsidRPr="009C5151">
          <w:rPr>
            <w:rStyle w:val="Hyperlink"/>
          </w:rPr>
          <w:t>Taxmann</w:t>
        </w:r>
      </w:hyperlink>
    </w:p>
    <w:p w:rsidR="00A056B6" w:rsidRPr="009C5151" w:rsidRDefault="00A056B6" w:rsidP="00743A5F">
      <w:pPr>
        <w:pStyle w:val="NormalWeb"/>
        <w:spacing w:before="0" w:beforeAutospacing="0"/>
      </w:pPr>
      <w:r w:rsidRPr="009C5151">
        <w:t>This decision provides significant insights into the interpretation of "Royalty" and "Fees for Technical Services" concerning international transactions involving the sale of telecommunication infrastructure capacity and related services.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The Regents of University of California - TS- 490-AAR-2016 - A.A.R. No 1656 of 2014 [India - US DTAA]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67FA6AC" wp14:editId="6A29C962">
            <wp:extent cx="763905" cy="763905"/>
            <wp:effectExtent l="0" t="0" r="0" b="0"/>
            <wp:docPr id="352" name="Picture 35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6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The Regents of the University of California UCLA Anderson School of Management Executive Education, USA</w:t>
      </w:r>
      <w:r w:rsidRPr="009C5151">
        <w:t xml:space="preserve">, the </w:t>
      </w:r>
      <w:r w:rsidRPr="009C5151">
        <w:rPr>
          <w:rStyle w:val="Strong"/>
        </w:rPr>
        <w:t>Authority for Advance Rulings (AAR)</w:t>
      </w:r>
      <w:r w:rsidRPr="009C5151">
        <w:t xml:space="preserve"> addressed the tax implications under the </w:t>
      </w:r>
      <w:r w:rsidRPr="009C5151">
        <w:rPr>
          <w:rStyle w:val="Strong"/>
        </w:rPr>
        <w:t>India-USA Double Taxation Avoidance Agreement (DTAA)</w:t>
      </w:r>
      <w:r w:rsidRPr="009C5151">
        <w:t xml:space="preserve"> concerning payments made to the applicant for conducting executive education programs in India.</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Applicant:</w:t>
      </w:r>
      <w:r w:rsidRPr="009C5151">
        <w:t xml:space="preserve"> The Regents of the University of California, a non-profit public benefit corporation incorporated in the USA, operating as UCLA Anderson School of Management Executive Education.</w:t>
      </w:r>
    </w:p>
    <w:p w:rsidR="00A056B6" w:rsidRPr="009C5151" w:rsidRDefault="00A056B6" w:rsidP="00743A5F">
      <w:pPr>
        <w:pStyle w:val="NormalWeb"/>
        <w:tabs>
          <w:tab w:val="num" w:pos="720"/>
        </w:tabs>
        <w:spacing w:before="0" w:beforeAutospacing="0"/>
        <w:ind w:left="720" w:hanging="360"/>
      </w:pPr>
      <w:r w:rsidRPr="009C5151">
        <w:rPr>
          <w:rStyle w:val="Strong"/>
        </w:rPr>
        <w:t>Indian Partner:</w:t>
      </w:r>
      <w:r w:rsidRPr="009C5151">
        <w:t xml:space="preserve"> Northwest Universal Education Private Limited (Northwest), an Indian company that collaborated with the applicant to conduct management training programs in India.</w:t>
      </w:r>
    </w:p>
    <w:p w:rsidR="00A056B6" w:rsidRPr="009C5151" w:rsidRDefault="00A056B6" w:rsidP="00743A5F">
      <w:pPr>
        <w:pStyle w:val="NormalWeb"/>
        <w:tabs>
          <w:tab w:val="num" w:pos="720"/>
        </w:tabs>
        <w:spacing w:before="0" w:beforeAutospacing="0"/>
        <w:ind w:left="720" w:hanging="360"/>
      </w:pPr>
      <w:r w:rsidRPr="009C5151">
        <w:rPr>
          <w:rStyle w:val="Strong"/>
        </w:rPr>
        <w:t>Programs Conducted:</w:t>
      </w:r>
      <w:r w:rsidRPr="009C5151">
        <w:t xml:space="preserve"> Short-duration executive education programs ranging from 4 to 12 days, focusing on management techniques for senior executives with over eight years of experience.</w:t>
      </w:r>
    </w:p>
    <w:p w:rsidR="00A056B6" w:rsidRPr="009C5151" w:rsidRDefault="00A056B6" w:rsidP="00743A5F">
      <w:pPr>
        <w:pStyle w:val="NormalWeb"/>
        <w:tabs>
          <w:tab w:val="num" w:pos="720"/>
        </w:tabs>
        <w:spacing w:before="0" w:beforeAutospacing="0"/>
        <w:ind w:left="720" w:hanging="360"/>
      </w:pPr>
      <w:r w:rsidRPr="009C5151">
        <w:rPr>
          <w:rStyle w:val="Strong"/>
        </w:rPr>
        <w:t>Payment Structure:</w:t>
      </w:r>
      <w:r w:rsidRPr="009C5151">
        <w:t xml:space="preserve"> Northwest paid the applicant for the teaching services provided during these programs. Participants did not make direct payments to the applicant.</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Classification of Income:</w:t>
      </w:r>
      <w:r w:rsidRPr="009C5151">
        <w:t xml:space="preserve"> Whether the payments received by the applicant from Northwest constituted "Fees for Included Services" (FIS) under Article 12 of the India-USA DTAA, thereby attracting tax liability in India.</w:t>
      </w:r>
    </w:p>
    <w:p w:rsidR="00A056B6" w:rsidRPr="009C5151" w:rsidRDefault="00A056B6" w:rsidP="00743A5F">
      <w:pPr>
        <w:pStyle w:val="NormalWeb"/>
        <w:tabs>
          <w:tab w:val="num" w:pos="720"/>
        </w:tabs>
        <w:spacing w:before="0" w:beforeAutospacing="0"/>
        <w:ind w:left="720" w:hanging="360"/>
      </w:pPr>
      <w:r w:rsidRPr="009C5151">
        <w:rPr>
          <w:rStyle w:val="Strong"/>
        </w:rPr>
        <w:t>Existence of Permanent Establishment (PE):</w:t>
      </w:r>
      <w:r w:rsidRPr="009C5151">
        <w:t xml:space="preserve"> Whether the applicant's activities in India resulted in the creation of a Permanent Establishment under Article 5 of the DTAA, leading to business profits being taxable in India under Article 7.</w:t>
      </w:r>
    </w:p>
    <w:p w:rsidR="00A056B6" w:rsidRPr="009C5151" w:rsidRDefault="00A056B6" w:rsidP="00743A5F">
      <w:pPr>
        <w:pStyle w:val="NormalWeb"/>
        <w:spacing w:before="0" w:beforeAutospacing="0"/>
      </w:pPr>
      <w:r w:rsidRPr="009C5151">
        <w:rPr>
          <w:rStyle w:val="Strong"/>
        </w:rPr>
        <w:t>AAR's Analysis:</w:t>
      </w:r>
    </w:p>
    <w:p w:rsidR="00A056B6" w:rsidRPr="009C5151" w:rsidRDefault="00A056B6" w:rsidP="00743A5F">
      <w:pPr>
        <w:pStyle w:val="NormalWeb"/>
        <w:tabs>
          <w:tab w:val="num" w:pos="720"/>
        </w:tabs>
        <w:spacing w:before="0" w:beforeAutospacing="0"/>
        <w:ind w:left="720" w:hanging="360"/>
      </w:pPr>
      <w:r w:rsidRPr="009C5151">
        <w:rPr>
          <w:rStyle w:val="Strong"/>
        </w:rPr>
        <w:t>Fees for Included Services (FIS):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Article 12(5)(c) of the DTAA:</w:t>
      </w:r>
      <w:r w:rsidRPr="009C5151">
        <w:rPr>
          <w:rFonts w:ascii="Times New Roman" w:hAnsi="Times New Roman" w:cs="Times New Roman"/>
          <w:sz w:val="24"/>
          <w:szCs w:val="24"/>
        </w:rPr>
        <w:t xml:space="preserve"> Specifically excludes payments for teaching in or by educational institutions from the definition of FIS.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xml:space="preserve"> The AAR concluded that the payments received by the applicant for conducting educational programs did not qualify as FIS under the DTAA, as they fell within the exclusion for teaching services.</w:t>
      </w:r>
    </w:p>
    <w:p w:rsidR="00A056B6" w:rsidRPr="009C5151" w:rsidRDefault="00A056B6" w:rsidP="00743A5F">
      <w:pPr>
        <w:pStyle w:val="NormalWeb"/>
        <w:tabs>
          <w:tab w:val="num" w:pos="720"/>
        </w:tabs>
        <w:spacing w:before="0" w:beforeAutospacing="0"/>
        <w:ind w:left="720" w:hanging="360"/>
      </w:pPr>
      <w:r w:rsidRPr="009C5151">
        <w:rPr>
          <w:rStyle w:val="Strong"/>
        </w:rPr>
        <w:t>Permanent Establishment (PE):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Fixed Place of Business:</w:t>
      </w:r>
      <w:r w:rsidRPr="009C5151">
        <w:rPr>
          <w:rFonts w:ascii="Times New Roman" w:hAnsi="Times New Roman" w:cs="Times New Roman"/>
          <w:sz w:val="24"/>
          <w:szCs w:val="24"/>
        </w:rPr>
        <w:t xml:space="preserve"> The programs were conducted at venues arranged by Northwest, varying with each program, indicating the absence of a fixed place of business for the applicant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Control Over Premises:</w:t>
      </w:r>
      <w:r w:rsidRPr="009C5151">
        <w:rPr>
          <w:rFonts w:ascii="Times New Roman" w:hAnsi="Times New Roman" w:cs="Times New Roman"/>
          <w:sz w:val="24"/>
          <w:szCs w:val="24"/>
        </w:rPr>
        <w:t xml:space="preserve"> The applicant did not have control over the premises where the programs were conducted.</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Duration of Activities:</w:t>
      </w:r>
      <w:r w:rsidRPr="009C5151">
        <w:rPr>
          <w:rFonts w:ascii="Times New Roman" w:hAnsi="Times New Roman" w:cs="Times New Roman"/>
          <w:sz w:val="24"/>
          <w:szCs w:val="24"/>
        </w:rPr>
        <w:t xml:space="preserve"> The teaching activities spanned only a few days for each program.</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Conclusion:</w:t>
      </w:r>
      <w:r w:rsidRPr="009C5151">
        <w:rPr>
          <w:rFonts w:ascii="Times New Roman" w:hAnsi="Times New Roman" w:cs="Times New Roman"/>
          <w:sz w:val="24"/>
          <w:szCs w:val="24"/>
        </w:rPr>
        <w:t xml:space="preserve"> The AAR determined that the applicant did not have a PE in India as per Article 5 of the DTAA, and therefore, the business profits could not be taxed in India under Article 7.</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Non-Taxability of Payments:</w:t>
      </w:r>
      <w:r w:rsidRPr="009C5151">
        <w:t xml:space="preserve"> The AAR ruled that the payments received by the applicant from Northwest for conducting executive education programs in India were not taxable as FIS under Article 12 of the India-USA DTAA.</w:t>
      </w:r>
    </w:p>
    <w:p w:rsidR="00A056B6" w:rsidRPr="009C5151" w:rsidRDefault="00A056B6" w:rsidP="00743A5F">
      <w:pPr>
        <w:pStyle w:val="NormalWeb"/>
        <w:tabs>
          <w:tab w:val="num" w:pos="720"/>
        </w:tabs>
        <w:spacing w:before="0" w:beforeAutospacing="0"/>
        <w:ind w:left="720" w:hanging="360"/>
      </w:pPr>
      <w:r w:rsidRPr="009C5151">
        <w:rPr>
          <w:rStyle w:val="Strong"/>
        </w:rPr>
        <w:t>Absence of PE:</w:t>
      </w:r>
      <w:r w:rsidRPr="009C5151">
        <w:t xml:space="preserve"> The applicant did not have a Permanent Establishment in India; hence, the business profits were not taxable in India under Article 7 of the DTAA.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 xml:space="preserve">This ruling clarifies that payments made to a non-profit educational institution for conducting short-term educational programs in India are not taxable as "Fees for Included Services" under the India-USA DTAA, provided the services fall within the teaching exclusion. Additionally, the absence of a fixed place of business and control over the premises in India </w:t>
      </w:r>
      <w:r w:rsidRPr="009C5151">
        <w:lastRenderedPageBreak/>
        <w:t>indicates that no Permanent Establishment is constituted, thereby exempting the entity from business tax liability in India under the DTAA.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In Re: The Regents of the University of California UCLA Anderson School of Management Executive Education, USA, A.A.R. No. 1656 of 2014, Authority for Advance Rulings, dated April 12, 2016.</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26" w:tgtFrame="_new" w:history="1">
        <w:r w:rsidRPr="009C5151">
          <w:rPr>
            <w:rStyle w:val="Hyperlink"/>
          </w:rPr>
          <w:t>Nishith Desai Associates</w:t>
        </w:r>
      </w:hyperlink>
    </w:p>
    <w:p w:rsidR="00A056B6" w:rsidRPr="009C5151" w:rsidRDefault="00A056B6" w:rsidP="00743A5F">
      <w:pPr>
        <w:pStyle w:val="NormalWeb"/>
        <w:spacing w:before="0" w:beforeAutospacing="0"/>
      </w:pPr>
      <w:r w:rsidRPr="009C5151">
        <w:t>This decision provides valuable guidance for educational institutions and non-profit organizations engaging in cross-border educational activities, emphasizing the importance of understanding treaty provisions to determine tax liabilities.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Guangzhou Usha International Ltd In re – (2015) 62 taxmann.com 96 (AAR – New Delhi)</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01F9795" wp14:editId="370706F2">
            <wp:extent cx="763905" cy="763905"/>
            <wp:effectExtent l="0" t="0" r="0" b="0"/>
            <wp:docPr id="351" name="Picture 35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7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Guangzhou Usha International Ltd., In re</w:t>
      </w:r>
      <w:r w:rsidRPr="009C5151">
        <w:t xml:space="preserve"> ([2015] 62 taxmann.com 96 (AAR – New Delhi)), the </w:t>
      </w:r>
      <w:r w:rsidRPr="009C5151">
        <w:rPr>
          <w:rStyle w:val="Strong"/>
        </w:rPr>
        <w:t>Authority for Advance Rulings (AAR)</w:t>
      </w:r>
      <w:r w:rsidRPr="009C5151">
        <w:t xml:space="preserve"> examined the tax implications under the </w:t>
      </w:r>
      <w:r w:rsidRPr="009C5151">
        <w:rPr>
          <w:rStyle w:val="Strong"/>
        </w:rPr>
        <w:t>India-China Double Taxation Avoidance Agreement (DTAA)</w:t>
      </w:r>
      <w:r w:rsidRPr="009C5151">
        <w:t xml:space="preserve"> concerning service fees received by Guangzhou Usha International Ltd. (the applicant) from Usha International Limited (UIL), an Indian company.</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Applicant:</w:t>
      </w:r>
      <w:r w:rsidRPr="009C5151">
        <w:t xml:space="preserve"> Guangzhou Usha International Ltd., a company incorporated under Chinese laws, wholly owned by Usha International Limited (UIL), an Indian company.</w:t>
      </w:r>
    </w:p>
    <w:p w:rsidR="00A056B6" w:rsidRPr="009C5151" w:rsidRDefault="00A056B6" w:rsidP="00743A5F">
      <w:pPr>
        <w:pStyle w:val="NormalWeb"/>
        <w:tabs>
          <w:tab w:val="num" w:pos="720"/>
        </w:tabs>
        <w:spacing w:before="0" w:beforeAutospacing="0"/>
        <w:ind w:left="720" w:hanging="360"/>
      </w:pPr>
      <w:r w:rsidRPr="009C5151">
        <w:rPr>
          <w:rStyle w:val="Strong"/>
        </w:rPr>
        <w:t>Services Provided:</w:t>
      </w:r>
      <w:r w:rsidRPr="009C5151">
        <w:t xml:space="preserve"> The applicant entered into a service agreement with UIL to offer various services related to the procurement of goods from Chinese vendors. These services included:</w:t>
      </w:r>
    </w:p>
    <w:p w:rsidR="00A056B6" w:rsidRPr="009C5151" w:rsidRDefault="00A056B6" w:rsidP="00743A5F">
      <w:pPr>
        <w:pStyle w:val="NormalWeb"/>
        <w:numPr>
          <w:ilvl w:val="1"/>
          <w:numId w:val="0"/>
        </w:numPr>
        <w:tabs>
          <w:tab w:val="num" w:pos="1440"/>
        </w:tabs>
        <w:spacing w:before="0" w:beforeAutospacing="0"/>
        <w:ind w:left="1440" w:hanging="360"/>
      </w:pPr>
      <w:r w:rsidRPr="009C5151">
        <w:t>Identifying and evaluating new suppliers and products.</w:t>
      </w:r>
    </w:p>
    <w:p w:rsidR="00A056B6" w:rsidRPr="009C5151" w:rsidRDefault="00A056B6" w:rsidP="00743A5F">
      <w:pPr>
        <w:pStyle w:val="NormalWeb"/>
        <w:numPr>
          <w:ilvl w:val="1"/>
          <w:numId w:val="0"/>
        </w:numPr>
        <w:tabs>
          <w:tab w:val="num" w:pos="1440"/>
        </w:tabs>
        <w:spacing w:before="0" w:beforeAutospacing="0"/>
        <w:ind w:left="1440" w:hanging="360"/>
      </w:pPr>
      <w:r w:rsidRPr="009C5151">
        <w:t>Conducting market research and generating new product ideas.</w:t>
      </w:r>
    </w:p>
    <w:p w:rsidR="00A056B6" w:rsidRPr="009C5151" w:rsidRDefault="00A056B6" w:rsidP="00743A5F">
      <w:pPr>
        <w:pStyle w:val="NormalWeb"/>
        <w:numPr>
          <w:ilvl w:val="1"/>
          <w:numId w:val="0"/>
        </w:numPr>
        <w:tabs>
          <w:tab w:val="num" w:pos="1440"/>
        </w:tabs>
        <w:spacing w:before="0" w:beforeAutospacing="0"/>
        <w:ind w:left="1440" w:hanging="360"/>
      </w:pPr>
      <w:r w:rsidRPr="009C5151">
        <w:t>Negotiating prices and payment terms.</w:t>
      </w:r>
    </w:p>
    <w:p w:rsidR="00A056B6" w:rsidRPr="009C5151" w:rsidRDefault="00A056B6" w:rsidP="00743A5F">
      <w:pPr>
        <w:pStyle w:val="NormalWeb"/>
        <w:numPr>
          <w:ilvl w:val="1"/>
          <w:numId w:val="0"/>
        </w:numPr>
        <w:tabs>
          <w:tab w:val="num" w:pos="1440"/>
        </w:tabs>
        <w:spacing w:before="0" w:beforeAutospacing="0"/>
        <w:ind w:left="1440" w:hanging="360"/>
      </w:pPr>
      <w:r w:rsidRPr="009C5151">
        <w:t>Performing safety, performance, and endurance tests.</w:t>
      </w:r>
    </w:p>
    <w:p w:rsidR="00A056B6" w:rsidRPr="009C5151" w:rsidRDefault="00A056B6" w:rsidP="00743A5F">
      <w:pPr>
        <w:pStyle w:val="NormalWeb"/>
        <w:numPr>
          <w:ilvl w:val="1"/>
          <w:numId w:val="0"/>
        </w:numPr>
        <w:tabs>
          <w:tab w:val="num" w:pos="1440"/>
        </w:tabs>
        <w:spacing w:before="0" w:beforeAutospacing="0"/>
        <w:ind w:left="1440" w:hanging="360"/>
      </w:pPr>
      <w:r w:rsidRPr="009C5151">
        <w:lastRenderedPageBreak/>
        <w:t>Reviewing quality systems and conducting inspections.</w:t>
      </w:r>
    </w:p>
    <w:p w:rsidR="00A056B6" w:rsidRPr="009C5151" w:rsidRDefault="00A056B6" w:rsidP="00743A5F">
      <w:pPr>
        <w:pStyle w:val="NormalWeb"/>
        <w:numPr>
          <w:ilvl w:val="1"/>
          <w:numId w:val="0"/>
        </w:numPr>
        <w:tabs>
          <w:tab w:val="num" w:pos="1440"/>
        </w:tabs>
        <w:spacing w:before="0" w:beforeAutospacing="0"/>
        <w:ind w:left="1440" w:hanging="360"/>
      </w:pPr>
      <w:r w:rsidRPr="009C5151">
        <w:t>Interacting with vendors and sharing relevant information with UIL.</w:t>
      </w:r>
    </w:p>
    <w:p w:rsidR="00A056B6" w:rsidRPr="009C5151" w:rsidRDefault="00A056B6" w:rsidP="00743A5F">
      <w:pPr>
        <w:pStyle w:val="NormalWeb"/>
        <w:tabs>
          <w:tab w:val="num" w:pos="720"/>
        </w:tabs>
        <w:spacing w:before="0" w:beforeAutospacing="0"/>
        <w:ind w:left="720" w:hanging="360"/>
      </w:pPr>
      <w:r w:rsidRPr="009C5151">
        <w:rPr>
          <w:rStyle w:val="Strong"/>
        </w:rPr>
        <w:t>Service Fee:</w:t>
      </w:r>
      <w:r w:rsidRPr="009C5151">
        <w:t xml:space="preserve"> The applicant was compensated on a cost-plus basis, with a 10% markup over actual costs incurred.</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Taxability of Service Fees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Whether the service fees received by the applicant from UIL for services rendered in China are taxable in India under the provisions of the Income Tax Act, 1961, and the India-China DTAA.</w:t>
      </w:r>
    </w:p>
    <w:p w:rsidR="00A056B6" w:rsidRPr="009C5151" w:rsidRDefault="00A056B6" w:rsidP="00743A5F">
      <w:pPr>
        <w:pStyle w:val="NormalWeb"/>
        <w:tabs>
          <w:tab w:val="num" w:pos="720"/>
        </w:tabs>
        <w:spacing w:before="0" w:beforeAutospacing="0"/>
        <w:ind w:left="720" w:hanging="360"/>
      </w:pPr>
      <w:r w:rsidRPr="009C5151">
        <w:rPr>
          <w:rStyle w:val="Strong"/>
        </w:rPr>
        <w:t>Classification as Fees for Technical Services (FTS):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Whether the services provided by the applicant qualify as "Fees for Technical Services" under Article 12 of the India-China DTAA.</w:t>
      </w:r>
    </w:p>
    <w:p w:rsidR="00A056B6" w:rsidRPr="009C5151" w:rsidRDefault="00A056B6" w:rsidP="00743A5F">
      <w:pPr>
        <w:pStyle w:val="NormalWeb"/>
        <w:spacing w:before="0" w:beforeAutospacing="0"/>
      </w:pPr>
      <w:r w:rsidRPr="009C5151">
        <w:rPr>
          <w:rStyle w:val="Strong"/>
        </w:rPr>
        <w:t>AAR's Analysis:</w:t>
      </w:r>
    </w:p>
    <w:p w:rsidR="00A056B6" w:rsidRPr="009C5151" w:rsidRDefault="00A056B6" w:rsidP="00743A5F">
      <w:pPr>
        <w:pStyle w:val="NormalWeb"/>
        <w:tabs>
          <w:tab w:val="num" w:pos="720"/>
        </w:tabs>
        <w:spacing w:before="0" w:beforeAutospacing="0"/>
        <w:ind w:left="720" w:hanging="360"/>
      </w:pPr>
      <w:r w:rsidRPr="009C5151">
        <w:rPr>
          <w:rStyle w:val="Strong"/>
        </w:rPr>
        <w:t>Scope of 'Provision of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AAR noted that the term "provision of services" in Article 12 of the India-China DTAA is broader than the phrase "provision of rendering of services" found in other treaties. This broader interpretation encompasses services utilized in India, even if rendered outside India.</w:t>
      </w:r>
    </w:p>
    <w:p w:rsidR="00A056B6" w:rsidRPr="009C5151" w:rsidRDefault="00A056B6" w:rsidP="00743A5F">
      <w:pPr>
        <w:pStyle w:val="NormalWeb"/>
        <w:tabs>
          <w:tab w:val="num" w:pos="720"/>
        </w:tabs>
        <w:spacing w:before="0" w:beforeAutospacing="0"/>
        <w:ind w:left="720" w:hanging="360"/>
      </w:pPr>
      <w:r w:rsidRPr="009C5151">
        <w:rPr>
          <w:rStyle w:val="Strong"/>
        </w:rPr>
        <w:t>Nature of Services as Consultancy: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AAR observed that the applicant's services required specialized skills, knowledge, and expertise, particularly in evaluating suppliers, conducting market research, and providing technical advice. Such activities fall within the ambit of consultancy services.</w:t>
      </w:r>
    </w:p>
    <w:p w:rsidR="00A056B6" w:rsidRPr="009C5151" w:rsidRDefault="00A056B6" w:rsidP="00743A5F">
      <w:pPr>
        <w:pStyle w:val="NormalWeb"/>
        <w:tabs>
          <w:tab w:val="num" w:pos="720"/>
        </w:tabs>
        <w:spacing w:before="0" w:beforeAutospacing="0"/>
        <w:ind w:left="720" w:hanging="360"/>
      </w:pPr>
      <w:r w:rsidRPr="009C5151">
        <w:rPr>
          <w:rStyle w:val="Strong"/>
        </w:rPr>
        <w:t>Taxability under the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Given that the services were utilized by UIL in India, the AAR concluded that the service fees constitute Fees for Technical Services under Article 12 of the India-China DTAA. Consequently, these fees are taxable in India.</w:t>
      </w:r>
    </w:p>
    <w:p w:rsidR="00A056B6" w:rsidRPr="009C5151" w:rsidRDefault="00A056B6" w:rsidP="00743A5F">
      <w:pPr>
        <w:pStyle w:val="NormalWeb"/>
        <w:tabs>
          <w:tab w:val="num" w:pos="720"/>
        </w:tabs>
        <w:spacing w:before="0" w:beforeAutospacing="0"/>
        <w:ind w:left="720" w:hanging="360"/>
      </w:pPr>
      <w:r w:rsidRPr="009C5151">
        <w:rPr>
          <w:rStyle w:val="Strong"/>
        </w:rPr>
        <w:t>Gross Basis Taxation: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AAR determined that the entire service fee, including the 10% markup, is subject to tax in India on a gross basis, as per the provisions of the DTAA.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Taxability in India:</w:t>
      </w:r>
      <w:r w:rsidRPr="009C5151">
        <w:t xml:space="preserve"> The service fees received by Guangzhou Usha International Ltd. from Usha International Limited are taxable in India as Fees for Technical Services under Article 12 of the India-China DTAA.</w:t>
      </w:r>
    </w:p>
    <w:p w:rsidR="00A056B6" w:rsidRPr="009C5151" w:rsidRDefault="00A056B6" w:rsidP="00743A5F">
      <w:pPr>
        <w:pStyle w:val="NormalWeb"/>
        <w:tabs>
          <w:tab w:val="num" w:pos="720"/>
        </w:tabs>
        <w:spacing w:before="0" w:beforeAutospacing="0"/>
        <w:ind w:left="720" w:hanging="360"/>
      </w:pPr>
      <w:r w:rsidRPr="009C5151">
        <w:rPr>
          <w:rStyle w:val="Strong"/>
        </w:rPr>
        <w:t>Withholding Tax Obligation:</w:t>
      </w:r>
      <w:r w:rsidRPr="009C5151">
        <w:t xml:space="preserve"> Usha International Limited is required to withhold tax at the applicable rate on the entire service fee paid to the applicant.</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ruling underscores that services rendered outside India but utilized within India can be taxed as Fees for Technical Services under the India-China DTAA. The interpretation of treaty terms, such as "provision of services," plays a crucial role in determining tax liabilities in cross-border service arrangements.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Guangzhou Usha International Ltd., In re, [2015] 62 taxmann.com 96 (AAR – New Delhi).</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27" w:tgtFrame="_new" w:history="1">
        <w:r w:rsidRPr="009C5151">
          <w:rPr>
            <w:rStyle w:val="Hyperlink"/>
          </w:rPr>
          <w:t>Taxmann</w:t>
        </w:r>
      </w:hyperlink>
    </w:p>
    <w:p w:rsidR="00A056B6" w:rsidRPr="009C5151" w:rsidRDefault="00A056B6" w:rsidP="00743A5F">
      <w:pPr>
        <w:pStyle w:val="NormalWeb"/>
        <w:spacing w:before="0" w:beforeAutospacing="0"/>
      </w:pPr>
      <w:r w:rsidRPr="009C5151">
        <w:t>This decision highlights the importance of understanding the nuances of international tax treaties and their application to services provided across borders.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DIT (IT) v Modiluft Ltd – (2018) 93 taxmann.com 180 (Del) – ITA Nos. 772 of 2004 &amp; 15 of 2005 and others dated May 8, 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3A24742" wp14:editId="2394848C">
            <wp:extent cx="763905" cy="763905"/>
            <wp:effectExtent l="0" t="0" r="0" b="0"/>
            <wp:docPr id="350" name="Picture 35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7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Director of Income Tax (International Taxation) v. Modiluft Ltd.</w:t>
      </w:r>
      <w:r w:rsidRPr="009C5151">
        <w:t xml:space="preserve">, the </w:t>
      </w:r>
      <w:r w:rsidRPr="009C5151">
        <w:rPr>
          <w:rStyle w:val="Strong"/>
        </w:rPr>
        <w:t>Delhi High Court</w:t>
      </w:r>
      <w:r w:rsidRPr="009C5151">
        <w:t xml:space="preserve"> addressed the tax implications of payments made by Modiluft Ltd. (the assessee) to a German company, Deutsche Lufthansa AG, under technical and crew lease agreements.</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Modiluft Ltd., an Indian company engaged in the aviation sector.</w:t>
      </w:r>
    </w:p>
    <w:p w:rsidR="00A056B6" w:rsidRPr="009C5151" w:rsidRDefault="00A056B6" w:rsidP="00743A5F">
      <w:pPr>
        <w:pStyle w:val="NormalWeb"/>
        <w:tabs>
          <w:tab w:val="num" w:pos="720"/>
        </w:tabs>
        <w:spacing w:before="0" w:beforeAutospacing="0"/>
        <w:ind w:left="720" w:hanging="360"/>
      </w:pPr>
      <w:r w:rsidRPr="009C5151">
        <w:rPr>
          <w:rStyle w:val="Strong"/>
        </w:rPr>
        <w:t>Foreign Entity:</w:t>
      </w:r>
      <w:r w:rsidRPr="009C5151">
        <w:t xml:space="preserve"> Deutsche Lufthansa AG, a German airline company.</w:t>
      </w:r>
    </w:p>
    <w:p w:rsidR="00A056B6" w:rsidRPr="009C5151" w:rsidRDefault="00A056B6" w:rsidP="00743A5F">
      <w:pPr>
        <w:pStyle w:val="NormalWeb"/>
        <w:tabs>
          <w:tab w:val="num" w:pos="720"/>
        </w:tabs>
        <w:spacing w:before="0" w:beforeAutospacing="0"/>
        <w:ind w:left="720" w:hanging="360"/>
      </w:pPr>
      <w:r w:rsidRPr="009C5151">
        <w:rPr>
          <w:rStyle w:val="Strong"/>
        </w:rPr>
        <w:t>Agreements: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Technical Support Agreement:</w:t>
      </w:r>
      <w:r w:rsidRPr="009C5151">
        <w:rPr>
          <w:rFonts w:ascii="Times New Roman" w:hAnsi="Times New Roman" w:cs="Times New Roman"/>
          <w:sz w:val="24"/>
          <w:szCs w:val="24"/>
        </w:rPr>
        <w:t xml:space="preserve"> Modiluft Ltd. entered into an agreement with Deutsche Lufthansa AG for technical support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Style w:val="Strong"/>
          <w:rFonts w:ascii="Times New Roman" w:hAnsi="Times New Roman" w:cs="Times New Roman"/>
          <w:sz w:val="24"/>
          <w:szCs w:val="24"/>
        </w:rPr>
        <w:t>Crew Lease Agreement:</w:t>
      </w:r>
      <w:r w:rsidRPr="009C5151">
        <w:rPr>
          <w:rFonts w:ascii="Times New Roman" w:hAnsi="Times New Roman" w:cs="Times New Roman"/>
          <w:sz w:val="24"/>
          <w:szCs w:val="24"/>
        </w:rPr>
        <w:t xml:space="preserve"> The assessee also entered into an agreement for leasing crew from Deutsche Lufthansa AG.</w:t>
      </w:r>
    </w:p>
    <w:p w:rsidR="00A056B6" w:rsidRPr="009C5151" w:rsidRDefault="00A056B6" w:rsidP="00743A5F">
      <w:pPr>
        <w:pStyle w:val="NormalWeb"/>
        <w:tabs>
          <w:tab w:val="num" w:pos="720"/>
        </w:tabs>
        <w:spacing w:before="0" w:beforeAutospacing="0"/>
        <w:ind w:left="720" w:hanging="360"/>
      </w:pPr>
      <w:r w:rsidRPr="009C5151">
        <w:rPr>
          <w:rStyle w:val="Strong"/>
        </w:rPr>
        <w:t>Payments Made:</w:t>
      </w:r>
      <w:r w:rsidRPr="009C5151">
        <w:t xml:space="preserve"> Modiluft Ltd. made payments to Deutsche Lufthansa AG under both agreements without deducting tax at source.</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Characterization of Payments: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Whether the payments made by Modiluft Ltd. to Deutsche Lufthansa AG under the technical support and crew lease agreements qualify as "Fees for Technical Services" (FTS) or "Royalty" under the </w:t>
      </w:r>
      <w:r w:rsidRPr="009C5151">
        <w:rPr>
          <w:rStyle w:val="Strong"/>
          <w:rFonts w:ascii="Times New Roman" w:hAnsi="Times New Roman" w:cs="Times New Roman"/>
          <w:sz w:val="24"/>
          <w:szCs w:val="24"/>
        </w:rPr>
        <w:t>Income Tax Act, 1961</w:t>
      </w:r>
      <w:r w:rsidRPr="009C5151">
        <w:rPr>
          <w:rFonts w:ascii="Times New Roman" w:hAnsi="Times New Roman" w:cs="Times New Roman"/>
          <w:sz w:val="24"/>
          <w:szCs w:val="24"/>
        </w:rPr>
        <w:t xml:space="preserve">, and the </w:t>
      </w:r>
      <w:r w:rsidRPr="009C5151">
        <w:rPr>
          <w:rStyle w:val="Strong"/>
          <w:rFonts w:ascii="Times New Roman" w:hAnsi="Times New Roman" w:cs="Times New Roman"/>
          <w:sz w:val="24"/>
          <w:szCs w:val="24"/>
        </w:rPr>
        <w:t>India-Germany Double Taxation Avoidance Agreement (DTAA)</w:t>
      </w:r>
      <w:r w:rsidRPr="009C5151">
        <w:rPr>
          <w:rFonts w:ascii="Times New Roman" w:hAnsi="Times New Roman" w:cs="Times New Roman"/>
          <w:sz w:val="24"/>
          <w:szCs w:val="24"/>
        </w:rPr>
        <w:t>.</w:t>
      </w:r>
    </w:p>
    <w:p w:rsidR="00A056B6" w:rsidRPr="009C5151" w:rsidRDefault="00A056B6" w:rsidP="00743A5F">
      <w:pPr>
        <w:pStyle w:val="NormalWeb"/>
        <w:tabs>
          <w:tab w:val="num" w:pos="720"/>
        </w:tabs>
        <w:spacing w:before="0" w:beforeAutospacing="0"/>
        <w:ind w:left="720" w:hanging="360"/>
      </w:pPr>
      <w:r w:rsidRPr="009C5151">
        <w:rPr>
          <w:rStyle w:val="Strong"/>
        </w:rPr>
        <w:t>Tax Deduction at Source (TDS) Obligation: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Whether Modiluft Ltd. was obligated to deduct tax at source under Section 195 of the Income Tax Act on the payments made to Deutsche Lufthansa AG.</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t>Tribunal's Findings: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Income Tax Appellate Tribunal (ITAT) had previously ruled in favor of Modiluft Ltd., holding that the payments did not constitute FTS or Royalty and, therefore, were not subject to tax deduction at source.</w:t>
      </w:r>
    </w:p>
    <w:p w:rsidR="00A056B6" w:rsidRPr="009C5151" w:rsidRDefault="00A056B6" w:rsidP="00743A5F">
      <w:pPr>
        <w:pStyle w:val="NormalWeb"/>
        <w:tabs>
          <w:tab w:val="num" w:pos="720"/>
        </w:tabs>
        <w:spacing w:before="0" w:beforeAutospacing="0"/>
        <w:ind w:left="720" w:hanging="360"/>
      </w:pPr>
      <w:r w:rsidRPr="009C5151">
        <w:rPr>
          <w:rStyle w:val="Strong"/>
        </w:rPr>
        <w:t>High Court's Observations: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Delhi High Court noted that the ITAT had not adequately examined the nature of services provided under the agreements in the context of the definitions of FTS and Royalty in both the Income Tax Act and the India-Germany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Court emphasized the need for a detailed analysis of the agreements to determine the exact nature of services rendered and the applicability of tax provisions.</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Remand to ITAT: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Delhi High Court set aside the ITAT's order and remanded the matter back to the Tribunal for a comprehensive examination.</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The ITAT was directed to analyze the terms of the technical support and crew lease agreements in light of the relevant provisions of the Income Tax Act and the India-Germany DTAA to ascertain the correct tax treatment of the payments.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underscores the importance of thoroughly analyzing the nature of services rendered under international agreements to determine their tax implications accurately. The characterization of payments as FTS or Royalty has significant consequences for tax deduction obligations under Section 195 of the Income Tax Act and the applicability of provisions under the relevant DTAA.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Director of Income Tax (International Taxation) v. Modiluft Ltd., ITA Nos. 772 of 2004 &amp; 15 of 2005, Delhi High Court, dated May 8,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28"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highlights the necessity for detailed scrutiny of contractual agreements in cross-border transactions to ensure compliance with tax laws and treaties.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Vanenburg Facilities BV [TS-246-HC-2017(AP)] I.T.T.A. NOS.55 AND 71 OF 2014 dated 16.06.2017</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3ADB2F9" wp14:editId="09B7B235">
            <wp:extent cx="763905" cy="763905"/>
            <wp:effectExtent l="0" t="0" r="0" b="0"/>
            <wp:docPr id="349" name="Picture 34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7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Director of Income Tax (International Taxation) v. Vanenburg Facilities BV</w:t>
      </w:r>
      <w:r w:rsidRPr="009C5151">
        <w:t xml:space="preserve">, the </w:t>
      </w:r>
      <w:r w:rsidRPr="009C5151">
        <w:rPr>
          <w:rStyle w:val="Strong"/>
        </w:rPr>
        <w:t>Andhra Pradesh and Telangana High Court</w:t>
      </w:r>
      <w:r w:rsidRPr="009C5151">
        <w:t xml:space="preserve"> addressed the tax implications of capital gains arising from the sale of shares in an Indian company by a Dutch entity to a Singaporean company, under the </w:t>
      </w:r>
      <w:r w:rsidRPr="009C5151">
        <w:rPr>
          <w:rStyle w:val="Strong"/>
        </w:rPr>
        <w:t>India-Netherlands Double Taxation Avoidance Agreement (DTAA)</w:t>
      </w:r>
      <w:r w:rsidRPr="009C5151">
        <w:t>.</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Vanenburg Facilities BV, a company incorporated in the Netherlands.</w:t>
      </w:r>
    </w:p>
    <w:p w:rsidR="00A056B6" w:rsidRPr="009C5151" w:rsidRDefault="00A056B6" w:rsidP="00743A5F">
      <w:pPr>
        <w:pStyle w:val="NormalWeb"/>
        <w:tabs>
          <w:tab w:val="num" w:pos="720"/>
        </w:tabs>
        <w:spacing w:before="0" w:beforeAutospacing="0"/>
        <w:ind w:left="720" w:hanging="360"/>
      </w:pPr>
      <w:r w:rsidRPr="009C5151">
        <w:rPr>
          <w:rStyle w:val="Strong"/>
        </w:rPr>
        <w:t>Transaction:</w:t>
      </w:r>
      <w:r w:rsidRPr="009C5151">
        <w:t xml:space="preserve"> The assessee sold its entire shareholding in an Indian company, Vanenburg IT Park Pvt. Ltd. (VITP), to Ascendas Property Fund (India) Pte. Ltd., a Singapore-based company, during the financial year 2004-05.</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Nature of VITP's Assets:</w:t>
      </w:r>
      <w:r w:rsidRPr="009C5151">
        <w:t xml:space="preserve"> VITP was engaged in developing, maintaining, and operating an industrial park in India, with its assets primarily comprising immovable property.</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Taxability of Capital Gains: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Whether the capital gains arising from the sale of shares by the Dutch company (assessee) to the Singaporean company are taxable in India under the provisions of the Income Tax Act, 1961, and the India-Netherlands DTAA.</w:t>
      </w:r>
    </w:p>
    <w:p w:rsidR="00A056B6" w:rsidRPr="009C5151" w:rsidRDefault="00A056B6" w:rsidP="00743A5F">
      <w:pPr>
        <w:pStyle w:val="NormalWeb"/>
        <w:tabs>
          <w:tab w:val="num" w:pos="720"/>
        </w:tabs>
        <w:spacing w:before="0" w:beforeAutospacing="0"/>
        <w:ind w:left="720" w:hanging="360"/>
      </w:pPr>
      <w:r w:rsidRPr="009C5151">
        <w:rPr>
          <w:rStyle w:val="Strong"/>
        </w:rPr>
        <w:t>Applicability of Article 13 of the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Whether the gains fall under Article 13(1) or Article 13(4) of the DTAA, which pertain to the taxation of capital gains.</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t>Article 13(1) vs. Article 13(4):</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Article 13(1) of the India-Netherlands DTAA deals with gains from the alienation of immovable property.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Article 13(4) pertains to gains from the alienation of shares deriving more than 50% of their value directly or indirectly from immovable property.</w:t>
      </w:r>
    </w:p>
    <w:p w:rsidR="00A056B6" w:rsidRPr="009C5151" w:rsidRDefault="00A056B6" w:rsidP="00743A5F">
      <w:pPr>
        <w:pStyle w:val="NormalWeb"/>
        <w:tabs>
          <w:tab w:val="num" w:pos="720"/>
        </w:tabs>
        <w:spacing w:before="0" w:beforeAutospacing="0"/>
        <w:ind w:left="720" w:hanging="360"/>
      </w:pPr>
      <w:r w:rsidRPr="009C5151">
        <w:rPr>
          <w:rStyle w:val="Strong"/>
        </w:rPr>
        <w:t>Tribunal's Findings: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Income Tax Appellate Tribunal (ITAT) had previously held that the gains did not fall under Article 13(1) since the transaction involved the sale of shares, not immovable property.</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ITAT also concluded that Article 13(4) was not applicable, as the Assessing Officer and Commissioner of Income Tax (Appeals) had not invoked this provision during their assessments.</w:t>
      </w:r>
    </w:p>
    <w:p w:rsidR="00A056B6" w:rsidRPr="009C5151" w:rsidRDefault="00A056B6" w:rsidP="00743A5F">
      <w:pPr>
        <w:pStyle w:val="NormalWeb"/>
        <w:tabs>
          <w:tab w:val="num" w:pos="720"/>
        </w:tabs>
        <w:spacing w:before="0" w:beforeAutospacing="0"/>
        <w:ind w:left="720" w:hanging="360"/>
      </w:pPr>
      <w:r w:rsidRPr="009C5151">
        <w:rPr>
          <w:rStyle w:val="Strong"/>
        </w:rPr>
        <w:t>High Court's Observations: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High Court agreed with the ITAT's view that the sale of shares does not equate to the sale of immovable property; thus, Article 13(1) was inapplicable.</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Regarding Article 13(4), the Court noted that the Revenue had not raised this argument at earlier stages, and it was inappropriate to introduce it at the High Court level without prior consideration by lower authorities.</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Non-Taxability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The High Court upheld the ITAT's decision that the capital gains arising from the sale of shares by Vanenburg Facilities BV to Ascendas Property Fund (India) Pte. Ltd. were not taxable in India under the India-Netherlands DTAA.</w:t>
      </w:r>
    </w:p>
    <w:p w:rsidR="00A056B6" w:rsidRPr="009C5151" w:rsidRDefault="00A056B6" w:rsidP="00743A5F">
      <w:pPr>
        <w:pStyle w:val="NormalWeb"/>
        <w:tabs>
          <w:tab w:val="num" w:pos="720"/>
        </w:tabs>
        <w:spacing w:before="0" w:beforeAutospacing="0"/>
        <w:ind w:left="720" w:hanging="360"/>
      </w:pPr>
      <w:r w:rsidRPr="009C5151">
        <w:rPr>
          <w:rStyle w:val="Strong"/>
        </w:rPr>
        <w:t>Rejection of Article 13(4) Argument: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Court dismissed the Revenue's contention regarding the applicability of Article 13(4), emphasizing that it was not open to the Revenue to introduce this argument at the appellate stage without it being considered by the Assessing Officer or CIT(A).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capital gains arising from the sale of shares by a Dutch company, even if the underlying assets of the Indian company are primarily immovable property, are not taxable in India under the India-Netherlands DTAA, provided the specific provisions of the treaty do not attribute taxing rights to India.</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Director of Income Tax (International Taxation) v. Vanenburg Facilities BV, I.T.T.A. Nos. 55 and 71 of 2014, Andhra Pradesh and Telangana High Court, dated June 16, 2017.</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29" w:tgtFrame="_new" w:history="1">
        <w:r w:rsidRPr="009C5151">
          <w:rPr>
            <w:rStyle w:val="Hyperlink"/>
          </w:rPr>
          <w:t>Taxscan</w:t>
        </w:r>
      </w:hyperlink>
    </w:p>
    <w:p w:rsidR="00A056B6" w:rsidRPr="009C5151" w:rsidRDefault="00A056B6" w:rsidP="00743A5F">
      <w:pPr>
        <w:pStyle w:val="NormalWeb"/>
        <w:spacing w:before="0" w:beforeAutospacing="0"/>
      </w:pPr>
      <w:r w:rsidRPr="009C5151">
        <w:t>This decision underscores the importance of analyzing the specific provisions of international tax treaties to determine the taxability of cross-border transactions involving capital gains.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JSH (Mauritius) Ltd. TS-308-HC-2017(BOM) (W.P. No. 3070 of 2016 dated July 28, 2017)</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73C541F" wp14:editId="1074244C">
            <wp:extent cx="763905" cy="763905"/>
            <wp:effectExtent l="0" t="0" r="0" b="0"/>
            <wp:docPr id="348" name="Picture 34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7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Commissioner of Income Tax (International Taxation) v. JSH (Mauritius) Ltd.</w:t>
      </w:r>
      <w:r w:rsidRPr="009C5151">
        <w:t xml:space="preserve">, the </w:t>
      </w:r>
      <w:r w:rsidRPr="009C5151">
        <w:rPr>
          <w:rStyle w:val="Strong"/>
        </w:rPr>
        <w:t>Bombay High Court</w:t>
      </w:r>
      <w:r w:rsidRPr="009C5151">
        <w:t xml:space="preserve"> addressed the applicability of the </w:t>
      </w:r>
      <w:r w:rsidRPr="009C5151">
        <w:rPr>
          <w:rStyle w:val="Strong"/>
        </w:rPr>
        <w:t>India-Mauritius Double Taxation Avoidance Agreement (DTAA)</w:t>
      </w:r>
      <w:r w:rsidRPr="009C5151">
        <w:t xml:space="preserve"> concerning capital gains tax on the sale of shares of an Indian company by a Mauritian entity.</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Assessee:</w:t>
      </w:r>
      <w:r w:rsidRPr="009C5151">
        <w:t xml:space="preserve"> JSH (Mauritius) Ltd., a company incorporated in Mauritius, engaged in investment and financing activities, holding a valid Category 1 Global Business License and a Tax Residency Certificate (TRC) issued by Mauritian authorities.</w:t>
      </w:r>
    </w:p>
    <w:p w:rsidR="00A056B6" w:rsidRPr="009C5151" w:rsidRDefault="00A056B6" w:rsidP="00743A5F">
      <w:pPr>
        <w:pStyle w:val="NormalWeb"/>
        <w:tabs>
          <w:tab w:val="num" w:pos="720"/>
        </w:tabs>
        <w:spacing w:before="0" w:beforeAutospacing="0"/>
        <w:ind w:left="720" w:hanging="360"/>
      </w:pPr>
      <w:r w:rsidRPr="009C5151">
        <w:rPr>
          <w:rStyle w:val="Strong"/>
        </w:rPr>
        <w:t>Transaction:</w:t>
      </w:r>
      <w:r w:rsidRPr="009C5151">
        <w:t xml:space="preserve"> The assessee held shares in Tata Industries Limited (TIL), an Indian company, for approximately 13 years. In June 2009, it sold these shares to Tata Sons Limited, another Indian entity, and reinvested the proceeds into a group company of TIL.</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Taxability of Capital Gains: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Whether the capital gains arising from the sale of shares by the Mauritian company are taxable in India under the provisions of the Income Tax Act, 1961, and the India-Mauritius DTAA.</w:t>
      </w:r>
    </w:p>
    <w:p w:rsidR="00A056B6" w:rsidRPr="009C5151" w:rsidRDefault="00A056B6" w:rsidP="00743A5F">
      <w:pPr>
        <w:pStyle w:val="NormalWeb"/>
        <w:tabs>
          <w:tab w:val="num" w:pos="720"/>
        </w:tabs>
        <w:spacing w:before="0" w:beforeAutospacing="0"/>
        <w:ind w:left="720" w:hanging="360"/>
      </w:pPr>
      <w:r w:rsidRPr="009C5151">
        <w:rPr>
          <w:rStyle w:val="Strong"/>
        </w:rPr>
        <w:t>Eligibility for Treaty Benefits: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Whether the assessee, holding a TRC from Mauritius, is entitled to claim benefits under the India-Mauritius DTAA, thereby exempting the capital gains from taxation in India.</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t>Validity of TRC:</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Court noted that the assessee possessed a valid TRC, which, as per Circular No. 789 dated April 13, 2000, issued by the Central Board of Direct Taxes (CBDT), serves as sufficient evidence of residence and beneficial ownership for applying the DTAA.</w:t>
      </w:r>
    </w:p>
    <w:p w:rsidR="00A056B6" w:rsidRPr="009C5151" w:rsidRDefault="00A056B6" w:rsidP="00743A5F">
      <w:pPr>
        <w:pStyle w:val="NormalWeb"/>
        <w:tabs>
          <w:tab w:val="num" w:pos="720"/>
        </w:tabs>
        <w:spacing w:before="0" w:beforeAutospacing="0"/>
        <w:ind w:left="720" w:hanging="360"/>
      </w:pPr>
      <w:r w:rsidRPr="009C5151">
        <w:rPr>
          <w:rStyle w:val="Strong"/>
        </w:rPr>
        <w:t>Substance Over Form Argument:</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Revenue contended that the assessee was a shell company created solely to take advantage of the DTAA, lacking commercial substance. However, the Court observed that the assessee had held the shares for a substantial period (13 years), indicating a bona fide investment.</w:t>
      </w:r>
    </w:p>
    <w:p w:rsidR="00A056B6" w:rsidRPr="009C5151" w:rsidRDefault="00A056B6" w:rsidP="00743A5F">
      <w:pPr>
        <w:pStyle w:val="NormalWeb"/>
        <w:tabs>
          <w:tab w:val="num" w:pos="720"/>
        </w:tabs>
        <w:spacing w:before="0" w:beforeAutospacing="0"/>
        <w:ind w:left="720" w:hanging="360"/>
      </w:pPr>
      <w:r w:rsidRPr="009C5151">
        <w:rPr>
          <w:rStyle w:val="Strong"/>
        </w:rPr>
        <w:t>Reliance on Precedents: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 xml:space="preserve">The Court referred to the Supreme Court's decision in </w:t>
      </w:r>
      <w:r w:rsidRPr="009C5151">
        <w:rPr>
          <w:rStyle w:val="Strong"/>
          <w:rFonts w:ascii="Times New Roman" w:hAnsi="Times New Roman" w:cs="Times New Roman"/>
          <w:sz w:val="24"/>
          <w:szCs w:val="24"/>
        </w:rPr>
        <w:t>Union of India v. Azadi Bachao Andolan</w:t>
      </w:r>
      <w:r w:rsidRPr="009C5151">
        <w:rPr>
          <w:rFonts w:ascii="Times New Roman" w:hAnsi="Times New Roman" w:cs="Times New Roman"/>
          <w:sz w:val="24"/>
          <w:szCs w:val="24"/>
        </w:rPr>
        <w:t xml:space="preserve"> ([2003] 263 ITR 706), which upheld the validity of TRCs and the entitlement of Mauritian entities to benefits under the DTAA, dismissing concerns over treaty shopping.</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Exemption from Capital Gains Tax:</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The Bombay High Court upheld the decision of the Authority for Advance Rulings (AAR), ruling that the capital gains earned by JSH (Mauritius) Ltd. from the sale of shares in TIL are not taxable in India, in accordance with Article 13(4) of the India-Mauritius DTAA.</w:t>
      </w:r>
    </w:p>
    <w:p w:rsidR="00A056B6" w:rsidRPr="009C5151" w:rsidRDefault="00A056B6" w:rsidP="00743A5F">
      <w:pPr>
        <w:pStyle w:val="NormalWeb"/>
        <w:tabs>
          <w:tab w:val="num" w:pos="720"/>
        </w:tabs>
        <w:spacing w:before="0" w:beforeAutospacing="0"/>
        <w:ind w:left="720" w:hanging="360"/>
      </w:pPr>
      <w:r w:rsidRPr="009C5151">
        <w:rPr>
          <w:rStyle w:val="Strong"/>
        </w:rPr>
        <w:t>Rejection of Revenue's Appeal:</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Court dismissed the Revenue's appeal, affirming that the assessee, being a tax resident of Mauritius with a valid TRC, is entitled to the treaty benefits, and the transaction does not constitute an abuse of the treaty provisions.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 xml:space="preserve">This judgment reinforces the legal position that capital gains derived by a Mauritian tax resident from the sale of shares in an Indian company are exempt from taxation in India under the India-Mauritius DTAA, provided the entity holds a valid TRC. The decision underscores the importance of TRCs in establishing residency and eligibility for treaty benefits, aligning with the principles established in the </w:t>
      </w:r>
      <w:r w:rsidRPr="009C5151">
        <w:rPr>
          <w:rStyle w:val="Strong"/>
        </w:rPr>
        <w:t>Azadi Bachao Andolan</w:t>
      </w:r>
      <w:r w:rsidRPr="009C5151">
        <w:t xml:space="preserve"> case.</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Commissioner of Income Tax (International Taxation) v. JSH (Mauritius) Ltd., W.P. No. 3070 of 2016, Bombay High Court, dated July 28, 2017.</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Indian Kanoon</w:t>
      </w:r>
    </w:p>
    <w:p w:rsidR="00A056B6" w:rsidRPr="009C5151" w:rsidRDefault="00A056B6" w:rsidP="00743A5F">
      <w:pPr>
        <w:pStyle w:val="NormalWeb"/>
        <w:spacing w:before="0" w:beforeAutospacing="0"/>
      </w:pPr>
      <w:r w:rsidRPr="009C5151">
        <w:t>This decision provides clarity on the applicability of the India-Mauritius DTAA concerning capital gains taxation and the significance of holding a valid TRC for claiming treaty benefits.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Finnish Fund for Industrial Cooperation Ltd., In re vs. – (2018) 91 taxmann.com 133 (AAR) – AAR no. 1375 of 2012 dated 28.02.2018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52A134D3" wp14:editId="0D746BDB">
            <wp:extent cx="763905" cy="763905"/>
            <wp:effectExtent l="0" t="0" r="0" b="0"/>
            <wp:docPr id="347" name="Picture 34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7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Finnish Fund for Industrial Cooperation Ltd., In re</w:t>
      </w:r>
      <w:r w:rsidRPr="009C5151">
        <w:t xml:space="preserve"> ([2018] 91 taxmann.com 133 (AAR)), the </w:t>
      </w:r>
      <w:r w:rsidRPr="009C5151">
        <w:rPr>
          <w:rStyle w:val="Strong"/>
        </w:rPr>
        <w:t>Authority for Advance Rulings (AAR)</w:t>
      </w:r>
      <w:r w:rsidRPr="009C5151">
        <w:t xml:space="preserve"> addressed the tax implications under the </w:t>
      </w:r>
      <w:r w:rsidRPr="009C5151">
        <w:rPr>
          <w:rStyle w:val="Strong"/>
        </w:rPr>
        <w:t>Income Tax Act, 1961</w:t>
      </w:r>
      <w:r w:rsidRPr="009C5151">
        <w:t>, concerning long-term capital gains arising from the sale of equity shares in an Indian listed company by a non-resident entity.</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Applicant:</w:t>
      </w:r>
      <w:r w:rsidRPr="009C5151">
        <w:t xml:space="preserve"> Finnish Fund for Industrial Cooperation Ltd. (Finnfund), a Finnish development finance company providing long-term risk capital for private projects in developing countries.</w:t>
      </w:r>
    </w:p>
    <w:p w:rsidR="00A056B6" w:rsidRPr="009C5151" w:rsidRDefault="00A056B6" w:rsidP="00743A5F">
      <w:pPr>
        <w:pStyle w:val="NormalWeb"/>
        <w:tabs>
          <w:tab w:val="num" w:pos="720"/>
        </w:tabs>
        <w:spacing w:before="0" w:beforeAutospacing="0"/>
        <w:ind w:left="720" w:hanging="360"/>
      </w:pPr>
      <w:r w:rsidRPr="009C5151">
        <w:rPr>
          <w:rStyle w:val="Strong"/>
        </w:rPr>
        <w:t>Transaction:</w:t>
      </w:r>
      <w:r w:rsidRPr="009C5151">
        <w:t xml:space="preserve"> Finnfund held equity shares in an Indian listed company, A Ltd., which it sold, resulting in long-term capital gains.</w:t>
      </w:r>
    </w:p>
    <w:p w:rsidR="00A056B6" w:rsidRPr="009C5151" w:rsidRDefault="00A056B6" w:rsidP="00743A5F">
      <w:pPr>
        <w:pStyle w:val="NormalWeb"/>
        <w:spacing w:before="0" w:beforeAutospacing="0"/>
      </w:pPr>
      <w:r w:rsidRPr="009C5151">
        <w:rPr>
          <w:rStyle w:val="Strong"/>
        </w:rPr>
        <w:t>Key Issue: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Applicability of Concessional Tax Rate:</w:t>
      </w:r>
      <w:r w:rsidRPr="009C5151">
        <w:rPr>
          <w:rFonts w:ascii="Times New Roman" w:hAnsi="Times New Roman" w:cs="Times New Roman"/>
          <w:sz w:val="24"/>
          <w:szCs w:val="24"/>
        </w:rPr>
        <w:t xml:space="preserve"> Whether the long-term capital gains arising from the sale of equity shares in an Indian listed company by a non-resident are taxable at the concessional rate of 10% under the proviso to Section 112(1) of the Income Tax Act, 1961.</w:t>
      </w:r>
    </w:p>
    <w:p w:rsidR="00A056B6" w:rsidRPr="009C5151" w:rsidRDefault="00A056B6" w:rsidP="00743A5F">
      <w:pPr>
        <w:pStyle w:val="NormalWeb"/>
        <w:spacing w:before="0" w:beforeAutospacing="0"/>
      </w:pPr>
      <w:r w:rsidRPr="009C5151">
        <w:rPr>
          <w:rStyle w:val="Strong"/>
        </w:rPr>
        <w:t>AAR's Analysis:</w:t>
      </w:r>
    </w:p>
    <w:p w:rsidR="00A056B6" w:rsidRPr="009C5151" w:rsidRDefault="00A056B6" w:rsidP="00743A5F">
      <w:pPr>
        <w:pStyle w:val="NormalWeb"/>
        <w:tabs>
          <w:tab w:val="num" w:pos="720"/>
        </w:tabs>
        <w:spacing w:before="0" w:beforeAutospacing="0"/>
        <w:ind w:left="720" w:hanging="360"/>
      </w:pPr>
      <w:r w:rsidRPr="009C5151">
        <w:rPr>
          <w:rStyle w:val="Strong"/>
        </w:rPr>
        <w:t>Section 112(1) Proviso:</w:t>
      </w:r>
      <w:r w:rsidRPr="009C5151">
        <w:t xml:space="preserve"> The proviso to Section 112(1) stipulates that long-term capital gains arising from the transfer of listed securities, units, or zero-coupon bonds shall be taxed at a rate of 10% without the benefit of indexation.</w:t>
      </w:r>
    </w:p>
    <w:p w:rsidR="00A056B6" w:rsidRPr="009C5151" w:rsidRDefault="00A056B6" w:rsidP="00743A5F">
      <w:pPr>
        <w:pStyle w:val="NormalWeb"/>
        <w:tabs>
          <w:tab w:val="num" w:pos="720"/>
        </w:tabs>
        <w:spacing w:before="0" w:beforeAutospacing="0"/>
        <w:ind w:left="720" w:hanging="360"/>
      </w:pPr>
      <w:r w:rsidRPr="009C5151">
        <w:rPr>
          <w:rStyle w:val="Strong"/>
        </w:rPr>
        <w:t>Non-Resident Taxation:</w:t>
      </w:r>
      <w:r w:rsidRPr="009C5151">
        <w:t xml:space="preserve"> The AAR noted that the Income Tax Act does not differentiate between residents and non-residents concerning the applicability of the concessional tax rate under the proviso to Section 112(1).</w:t>
      </w:r>
    </w:p>
    <w:p w:rsidR="00A056B6" w:rsidRPr="009C5151" w:rsidRDefault="00A056B6" w:rsidP="00743A5F">
      <w:pPr>
        <w:pStyle w:val="NormalWeb"/>
        <w:tabs>
          <w:tab w:val="num" w:pos="720"/>
        </w:tabs>
        <w:spacing w:before="0" w:beforeAutospacing="0"/>
        <w:ind w:left="720" w:hanging="360"/>
      </w:pPr>
      <w:r w:rsidRPr="009C5151">
        <w:rPr>
          <w:rStyle w:val="Strong"/>
        </w:rPr>
        <w:t>Entitlement to Concessional Rate:</w:t>
      </w:r>
      <w:r w:rsidRPr="009C5151">
        <w:t xml:space="preserve"> Given that the applicant is a non-resident and the capital gains arose from the sale of listed equity shares, the AAR concluded that the concessional tax rate of 10% is applicable.</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Tax Rate on Long-Term Capital Gains:</w:t>
      </w:r>
      <w:r w:rsidRPr="009C5151">
        <w:rPr>
          <w:rFonts w:ascii="Times New Roman" w:hAnsi="Times New Roman" w:cs="Times New Roman"/>
          <w:sz w:val="24"/>
          <w:szCs w:val="24"/>
        </w:rPr>
        <w:t xml:space="preserve"> The AAR held that the long-term capital gains arising to Finnfund from the sale of equity shares in A Ltd., an Indian listed company, are taxable at the rate of 10% as per the proviso to Section 112(1) of the Income Tax Act, 1961.</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ruling clarifies that non-resident entities are eligible for the concessional tax rate of 10% on long-term capital gains arising from the sale of listed securities in India, as provided under the proviso to Section 112(1) of the Income Tax Act, 1961.</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Finnish Fund for Industrial Cooperation Ltd., In re, [2018] 91 taxmann.com 133 (AAR).</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30" w:tgtFrame="_new" w:history="1">
        <w:r w:rsidRPr="009C5151">
          <w:rPr>
            <w:rStyle w:val="Hyperlink"/>
          </w:rPr>
          <w:t>ITAT Online Digest</w:t>
        </w:r>
      </w:hyperlink>
    </w:p>
    <w:p w:rsidR="00A056B6" w:rsidRPr="009C5151" w:rsidRDefault="00A056B6" w:rsidP="00743A5F">
      <w:pPr>
        <w:pStyle w:val="NormalWeb"/>
        <w:spacing w:before="0" w:beforeAutospacing="0"/>
      </w:pPr>
      <w:r w:rsidRPr="009C5151">
        <w:t>This decision provides clarity on the tax treatment of long-term capital gains for non-resident investors in Indian listed companies, ensuring equitable application of tax provisions.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DCIT v Tripti Trading &amp; Investment Ltd - [2017] 80 taxmann.com 287 (SC) CIVIL APPEAL NO. 1521 of 2007 dated 09.03.2017</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65A64EF" wp14:editId="14DEFD64">
            <wp:extent cx="763905" cy="763905"/>
            <wp:effectExtent l="0" t="0" r="0" b="0"/>
            <wp:docPr id="346" name="Picture 34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7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Deputy Commissioner of Income Tax v. Tripti Trading &amp; Investment Ltd.</w:t>
      </w:r>
      <w:r w:rsidRPr="009C5151">
        <w:t xml:space="preserve"> (Civil Appeal No. 1521 of 2007), the </w:t>
      </w:r>
      <w:r w:rsidRPr="009C5151">
        <w:rPr>
          <w:rStyle w:val="Strong"/>
        </w:rPr>
        <w:t>Supreme Court of India</w:t>
      </w:r>
      <w:r w:rsidRPr="009C5151">
        <w:t xml:space="preserve"> addressed the taxability of dividend income received by an Indian assessee from a foreign country under the provisions of the </w:t>
      </w:r>
      <w:r w:rsidRPr="009C5151">
        <w:rPr>
          <w:rStyle w:val="Strong"/>
        </w:rPr>
        <w:t>Double Taxation Avoidance Agreement (DTAA)</w:t>
      </w:r>
      <w:r w:rsidRPr="009C5151">
        <w:t xml:space="preserve"> between India and the respective foreign country.</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Tripti Trading &amp; Investment Ltd., an Indian company.</w:t>
      </w:r>
    </w:p>
    <w:p w:rsidR="00A056B6" w:rsidRPr="009C5151" w:rsidRDefault="00A056B6" w:rsidP="00743A5F">
      <w:pPr>
        <w:pStyle w:val="NormalWeb"/>
        <w:tabs>
          <w:tab w:val="num" w:pos="720"/>
        </w:tabs>
        <w:spacing w:before="0" w:beforeAutospacing="0"/>
        <w:ind w:left="720" w:hanging="360"/>
      </w:pPr>
      <w:r w:rsidRPr="009C5151">
        <w:rPr>
          <w:rStyle w:val="Strong"/>
        </w:rPr>
        <w:t>Income in Question:</w:t>
      </w:r>
      <w:r w:rsidRPr="009C5151">
        <w:t xml:space="preserve"> Dividend income received from investments in a foreign country.</w:t>
      </w:r>
    </w:p>
    <w:p w:rsidR="00A056B6" w:rsidRPr="009C5151" w:rsidRDefault="00A056B6" w:rsidP="00743A5F">
      <w:pPr>
        <w:pStyle w:val="NormalWeb"/>
        <w:spacing w:before="0" w:beforeAutospacing="0"/>
      </w:pPr>
      <w:r w:rsidRPr="009C5151">
        <w:rPr>
          <w:rStyle w:val="Strong"/>
        </w:rPr>
        <w:t>Key Issue: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dividend income received by the assessee from a foreign country is exempt from taxation in India under the relevant DTAA.</w:t>
      </w:r>
    </w:p>
    <w:p w:rsidR="00A056B6" w:rsidRPr="009C5151" w:rsidRDefault="00A056B6" w:rsidP="00743A5F">
      <w:pPr>
        <w:pStyle w:val="NormalWeb"/>
        <w:spacing w:before="0" w:beforeAutospacing="0"/>
      </w:pPr>
      <w:r w:rsidRPr="009C5151">
        <w:rPr>
          <w:rStyle w:val="Strong"/>
        </w:rPr>
        <w:t>Supreme Court's Analysis:</w:t>
      </w:r>
    </w:p>
    <w:p w:rsidR="00A056B6" w:rsidRPr="009C5151" w:rsidRDefault="00A056B6" w:rsidP="00743A5F">
      <w:pPr>
        <w:pStyle w:val="NormalWeb"/>
        <w:tabs>
          <w:tab w:val="num" w:pos="720"/>
        </w:tabs>
        <w:spacing w:before="0" w:beforeAutospacing="0"/>
        <w:ind w:left="720" w:hanging="360"/>
      </w:pPr>
      <w:r w:rsidRPr="009C5151">
        <w:t xml:space="preserve">The Supreme Court referred to its earlier decision in </w:t>
      </w:r>
      <w:r w:rsidRPr="009C5151">
        <w:rPr>
          <w:rStyle w:val="Strong"/>
        </w:rPr>
        <w:t>Deputy Commissioner of Income Tax, Ujjain v. M/s. Torqouise Investment &amp; Finance Ltd.</w:t>
      </w:r>
      <w:r w:rsidRPr="009C5151">
        <w:t xml:space="preserve"> ([2008] 300 ITR 1), where it was held that dividend income received by an Indian resident from a foreign country is exempt from taxation in India if the DTAA between India and the foreign country provides for such exemption.</w:t>
      </w:r>
    </w:p>
    <w:p w:rsidR="00A056B6" w:rsidRPr="009C5151" w:rsidRDefault="00A056B6" w:rsidP="00743A5F">
      <w:pPr>
        <w:pStyle w:val="NormalWeb"/>
        <w:tabs>
          <w:tab w:val="num" w:pos="720"/>
        </w:tabs>
        <w:spacing w:before="0" w:beforeAutospacing="0"/>
        <w:ind w:left="720" w:hanging="360"/>
      </w:pPr>
      <w:r w:rsidRPr="009C5151">
        <w:t xml:space="preserve">In the </w:t>
      </w:r>
      <w:r w:rsidRPr="009C5151">
        <w:rPr>
          <w:rStyle w:val="Strong"/>
        </w:rPr>
        <w:t>Torqouise Investment</w:t>
      </w:r>
      <w:r w:rsidRPr="009C5151">
        <w:t xml:space="preserve"> case, the Court had interpreted the provisions of the DTAA to conclude that the taxing rights over such dividend income were allocated to the source country (i.e., the foreign country from which the dividend was paid), thereby exempting the income from taxation in India.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t xml:space="preserve">Applying the precedent set in the </w:t>
      </w:r>
      <w:r w:rsidRPr="009C5151">
        <w:rPr>
          <w:rStyle w:val="Strong"/>
        </w:rPr>
        <w:t>Torqouise Investment</w:t>
      </w:r>
      <w:r w:rsidRPr="009C5151">
        <w:t xml:space="preserve"> case, the Supreme Court upheld the decision of the High Court, confirming that the dividend income received by Tripti Trading &amp; Investment Ltd. from the foreign country is exempt from taxation in India under the relevant DTAA.</w:t>
      </w:r>
    </w:p>
    <w:p w:rsidR="00A056B6" w:rsidRPr="009C5151" w:rsidRDefault="00A056B6" w:rsidP="00743A5F">
      <w:pPr>
        <w:pStyle w:val="NormalWeb"/>
        <w:tabs>
          <w:tab w:val="num" w:pos="720"/>
        </w:tabs>
        <w:spacing w:before="0" w:beforeAutospacing="0"/>
        <w:ind w:left="720" w:hanging="360"/>
      </w:pPr>
      <w:r w:rsidRPr="009C5151">
        <w:lastRenderedPageBreak/>
        <w:t>The appeal filed by the Revenue was dismissed, and the judgment and order of the High Court were upheld.</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reinforces the principle that, under certain DTAAs, dividend income received by an Indian resident from a foreign country may be exempt from taxation in India if the treaty allocates taxing rights to the source country.</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Deputy Commissioner of Income Tax v. Tripti Trading &amp; Investment Ltd., Civil Appeal No. 1521 of 2007, Supreme Court of India, dated March 9, 2017.</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31" w:tgtFrame="_new" w:history="1">
        <w:r w:rsidRPr="009C5151">
          <w:rPr>
            <w:rStyle w:val="Hyperlink"/>
          </w:rPr>
          <w:t>Law Finder Live</w:t>
        </w:r>
      </w:hyperlink>
    </w:p>
    <w:p w:rsidR="00A056B6" w:rsidRPr="009C5151" w:rsidRDefault="00A056B6" w:rsidP="00743A5F">
      <w:pPr>
        <w:pStyle w:val="NormalWeb"/>
        <w:spacing w:before="0" w:beforeAutospacing="0"/>
      </w:pPr>
      <w:r w:rsidRPr="009C5151">
        <w:t>This decision underscores the importance of consulting the specific provisions of applicable DTAAs to determine the tax treatment of cross-border income, such as dividends, and highlights the judiciary's role in interpreting treaty provisions to resolve tax disputes.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Krishak Bharati Cooperative Ltd v ACIT - (2016) 67 taxmann.com 138 (Del - Trib) [India - Oman DTAA]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49ABB3A1" wp14:editId="5B16FA35">
            <wp:extent cx="763905" cy="763905"/>
            <wp:effectExtent l="0" t="0" r="0" b="0"/>
            <wp:docPr id="345" name="Picture 34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7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Krishak Bharati Cooperative Ltd. v. ACIT</w:t>
      </w:r>
      <w:r w:rsidRPr="009C5151">
        <w:t xml:space="preserve"> ([2016] 67 taxmann.com 138 (Delhi - Trib)), the </w:t>
      </w:r>
      <w:r w:rsidRPr="009C5151">
        <w:rPr>
          <w:rStyle w:val="Strong"/>
        </w:rPr>
        <w:t>Income Tax Appellate Tribunal (ITAT) Delhi Bench</w:t>
      </w:r>
      <w:r w:rsidRPr="009C5151">
        <w:t xml:space="preserve"> addressed the issue of tax credit entitlement under the </w:t>
      </w:r>
      <w:r w:rsidRPr="009C5151">
        <w:rPr>
          <w:rStyle w:val="Strong"/>
        </w:rPr>
        <w:t>India-Oman Double Taxation Avoidance Agreement (DTAA)</w:t>
      </w:r>
      <w:r w:rsidRPr="009C5151">
        <w:t xml:space="preserve"> concerning dividend income received by an Indian cooperative society from its investment in an Omani company.</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Krishak Bharati Cooperative Ltd. (KRIBHCO), an Indian multi-state cooperative society engaged in manufacturing fertilizers.</w:t>
      </w:r>
    </w:p>
    <w:p w:rsidR="00A056B6" w:rsidRPr="009C5151" w:rsidRDefault="00A056B6" w:rsidP="00743A5F">
      <w:pPr>
        <w:pStyle w:val="NormalWeb"/>
        <w:tabs>
          <w:tab w:val="num" w:pos="720"/>
        </w:tabs>
        <w:spacing w:before="0" w:beforeAutospacing="0"/>
        <w:ind w:left="720" w:hanging="360"/>
      </w:pPr>
      <w:r w:rsidRPr="009C5151">
        <w:rPr>
          <w:rStyle w:val="Strong"/>
        </w:rPr>
        <w:t>Investment in Oman:</w:t>
      </w:r>
      <w:r w:rsidRPr="009C5151">
        <w:t xml:space="preserve"> KRIBHCO entered into a joint venture with Oman Oil Company, forming Oman India Fertilizer Company SAOC (OMIFCO), a company registered in Oman. KRIBHCO held a 25% share in OMIFCO, which was engaged in manufacturing fertilizers.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Dividend Income:</w:t>
      </w:r>
      <w:r w:rsidRPr="009C5151">
        <w:t xml:space="preserve"> KRIBHCO received dividend income from OMIFCO. Under Omani tax laws, dividends were exempt from taxation to attract foreign investments.</w:t>
      </w:r>
    </w:p>
    <w:p w:rsidR="00A056B6" w:rsidRPr="009C5151" w:rsidRDefault="00A056B6" w:rsidP="00743A5F">
      <w:pPr>
        <w:pStyle w:val="NormalWeb"/>
        <w:spacing w:before="0" w:beforeAutospacing="0"/>
      </w:pPr>
      <w:r w:rsidRPr="009C5151">
        <w:rPr>
          <w:rStyle w:val="Strong"/>
        </w:rPr>
        <w:t>Key Issue: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Entitlement to Tax Credit:</w:t>
      </w:r>
      <w:r w:rsidRPr="009C5151">
        <w:rPr>
          <w:rFonts w:ascii="Times New Roman" w:hAnsi="Times New Roman" w:cs="Times New Roman"/>
          <w:sz w:val="24"/>
          <w:szCs w:val="24"/>
        </w:rPr>
        <w:t xml:space="preserve"> Whether KRIBHCO was entitled to claim foreign tax credit in India under Article 25(4) of the India-Oman DTAA for the dividend income received from OMIFCO, despite the dividend being exempt from tax in Oman.</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Article 25(4) of India-Oman DTAA:</w:t>
      </w:r>
      <w:r w:rsidRPr="009C5151">
        <w:t xml:space="preserve"> This article provides that where income is exempt from tax in Oman due to specific provisions aimed at promoting economic development, the income shall be deemed to have been taxed in Oman for the purposes of availing tax credit in India.</w:t>
      </w:r>
    </w:p>
    <w:p w:rsidR="00A056B6" w:rsidRPr="009C5151" w:rsidRDefault="00A056B6" w:rsidP="00743A5F">
      <w:pPr>
        <w:pStyle w:val="NormalWeb"/>
        <w:tabs>
          <w:tab w:val="num" w:pos="720"/>
        </w:tabs>
        <w:spacing w:before="0" w:beforeAutospacing="0"/>
        <w:ind w:left="720" w:hanging="360"/>
      </w:pPr>
      <w:r w:rsidRPr="009C5151">
        <w:rPr>
          <w:rStyle w:val="Strong"/>
        </w:rPr>
        <w:t>Purpose of Exemption:</w:t>
      </w:r>
      <w:r w:rsidRPr="009C5151">
        <w:t xml:space="preserve"> The exemption of dividend income in Oman was intended to attract foreign investments, qualifying it as a measure for economic development.</w:t>
      </w:r>
    </w:p>
    <w:p w:rsidR="00A056B6" w:rsidRPr="009C5151" w:rsidRDefault="00A056B6" w:rsidP="00743A5F">
      <w:pPr>
        <w:pStyle w:val="NormalWeb"/>
        <w:tabs>
          <w:tab w:val="num" w:pos="720"/>
        </w:tabs>
        <w:spacing w:before="0" w:beforeAutospacing="0"/>
        <w:ind w:left="720" w:hanging="360"/>
      </w:pPr>
      <w:r w:rsidRPr="009C5151">
        <w:rPr>
          <w:rStyle w:val="Strong"/>
        </w:rPr>
        <w:t>Deemed Tax Credit:</w:t>
      </w:r>
      <w:r w:rsidRPr="009C5151">
        <w:t xml:space="preserve"> The ITAT observed that, in line with Article 25(4), the dividend income, though exempt in Oman, should be deemed to have been taxed there, entitling KRIBHCO to claim foreign tax credit in India.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Entitlement to Tax Credit:</w:t>
      </w:r>
      <w:r w:rsidRPr="009C5151">
        <w:rPr>
          <w:rFonts w:ascii="Times New Roman" w:hAnsi="Times New Roman" w:cs="Times New Roman"/>
          <w:sz w:val="24"/>
          <w:szCs w:val="24"/>
        </w:rPr>
        <w:t xml:space="preserve"> The ITAT held that KRIBHCO was entitled to claim foreign tax credit under Article 25(4) of the India-Oman DTAA for the dividend income received from OMIFCO, even though the dividend was exempt from tax in Oman.</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decision underscores the significance of specific provisions in DTAAs that facilitate tax credits to prevent double taxation, even in scenarios where income is exempt in the source country due to economic development incentives.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Krishak Bharati Cooperative Ltd. v. ACIT, [2016] 67 taxmann.com 138 (Delhi - Trib).</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32" w:tgtFrame="_new" w:history="1">
        <w:r w:rsidRPr="009C5151">
          <w:rPr>
            <w:rStyle w:val="Hyperlink"/>
          </w:rPr>
          <w:t>BCAJ</w:t>
        </w:r>
      </w:hyperlink>
    </w:p>
    <w:p w:rsidR="00A056B6" w:rsidRPr="009C5151" w:rsidRDefault="00A056B6" w:rsidP="00743A5F">
      <w:pPr>
        <w:pStyle w:val="NormalWeb"/>
        <w:spacing w:before="0" w:beforeAutospacing="0"/>
      </w:pPr>
      <w:r w:rsidRPr="009C5151">
        <w:t>This ruling highlights the importance of understanding treaty provisions that allow for tax credits, ensuring that taxpayers can effectively mitigate the risk of double taxation on international income.</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Discuss ITO v Besco Engineering &amp; Services Pvt Ltd - (2016) 47 CCH 0028 (Kol) [India - Brazil DTAA]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B89B17A" wp14:editId="0C6A5038">
            <wp:extent cx="763905" cy="763905"/>
            <wp:effectExtent l="0" t="0" r="0" b="0"/>
            <wp:docPr id="344" name="Picture 34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7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ITO v. Besco Engineering &amp; Services Pvt. Ltd.</w:t>
      </w:r>
      <w:r w:rsidRPr="009C5151">
        <w:t xml:space="preserve"> (ITA No. 727/Kol/2012), the </w:t>
      </w:r>
      <w:r w:rsidRPr="009C5151">
        <w:rPr>
          <w:rStyle w:val="Strong"/>
        </w:rPr>
        <w:t>Income Tax Appellate Tribunal (ITAT) Kolkata Bench</w:t>
      </w:r>
      <w:r w:rsidRPr="009C5151">
        <w:t xml:space="preserve"> addressed the taxability of dividend income received by an Indian company from a Brazilian company under the </w:t>
      </w:r>
      <w:r w:rsidRPr="009C5151">
        <w:rPr>
          <w:rStyle w:val="Strong"/>
        </w:rPr>
        <w:t>India-Brazil Double Taxation Avoidance Agreement (DTAA)</w:t>
      </w:r>
      <w:r w:rsidRPr="009C5151">
        <w:t>.</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Besco Engineering &amp; Services Pvt. Ltd., an Indian company.</w:t>
      </w:r>
    </w:p>
    <w:p w:rsidR="00A056B6" w:rsidRPr="009C5151" w:rsidRDefault="00A056B6" w:rsidP="00743A5F">
      <w:pPr>
        <w:pStyle w:val="NormalWeb"/>
        <w:tabs>
          <w:tab w:val="num" w:pos="720"/>
        </w:tabs>
        <w:spacing w:before="0" w:beforeAutospacing="0"/>
        <w:ind w:left="720" w:hanging="360"/>
      </w:pPr>
      <w:r w:rsidRPr="009C5151">
        <w:rPr>
          <w:rStyle w:val="Strong"/>
        </w:rPr>
        <w:t>Transaction:</w:t>
      </w:r>
      <w:r w:rsidRPr="009C5151">
        <w:t xml:space="preserve"> The assessee received dividend income from Millinium Investimentos Ltd., a company resident in Brazil.</w:t>
      </w:r>
    </w:p>
    <w:p w:rsidR="00A056B6" w:rsidRPr="009C5151" w:rsidRDefault="00A056B6" w:rsidP="00743A5F">
      <w:pPr>
        <w:pStyle w:val="NormalWeb"/>
        <w:spacing w:before="0" w:beforeAutospacing="0"/>
      </w:pPr>
      <w:r w:rsidRPr="009C5151">
        <w:rPr>
          <w:rStyle w:val="Strong"/>
        </w:rPr>
        <w:t>Key Issue: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dividend income received by the assessee from the Brazilian company is taxable in India under the provisions of the Income Tax Act, 1961, and the India-Brazil DTAA.</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Article 10 of the India-Brazil DTAA:</w:t>
      </w:r>
      <w:r w:rsidRPr="009C5151">
        <w:t xml:space="preserve"> This article pertains to the taxation of dividends and provides that dividends paid by a company resident in one contracting state to a resident of the other contracting state may be taxed in that other state.</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The ITAT noted that, according to Article 10(1) of the DTAA, dividends paid by a Brazilian company to an Indian resident may be taxed in India.</w:t>
      </w:r>
    </w:p>
    <w:p w:rsidR="00A056B6" w:rsidRPr="009C5151" w:rsidRDefault="00A056B6" w:rsidP="00743A5F">
      <w:pPr>
        <w:pStyle w:val="NormalWeb"/>
        <w:tabs>
          <w:tab w:val="num" w:pos="720"/>
        </w:tabs>
        <w:spacing w:before="0" w:beforeAutospacing="0"/>
        <w:ind w:left="720" w:hanging="360"/>
      </w:pPr>
      <w:r w:rsidRPr="009C5151">
        <w:rPr>
          <w:rStyle w:val="Strong"/>
        </w:rPr>
        <w:t>Non-Applicability of Section 115-O:</w:t>
      </w:r>
      <w:r w:rsidRPr="009C5151">
        <w:t xml:space="preserve"> The Tribunal observed that Section 115-O of the Income Tax Act, which imposes a dividend distribution tax on domestic companies, does not apply to foreign companies. Therefore, the dividend received from the Brazilian company does not fall under the ambit of Section 115-O.</w:t>
      </w:r>
    </w:p>
    <w:p w:rsidR="00A056B6" w:rsidRPr="009C5151" w:rsidRDefault="00A056B6" w:rsidP="00743A5F">
      <w:pPr>
        <w:pStyle w:val="NormalWeb"/>
        <w:tabs>
          <w:tab w:val="num" w:pos="720"/>
        </w:tabs>
        <w:spacing w:before="0" w:beforeAutospacing="0"/>
        <w:ind w:left="720" w:hanging="360"/>
      </w:pPr>
      <w:r w:rsidRPr="009C5151">
        <w:rPr>
          <w:rStyle w:val="Strong"/>
        </w:rPr>
        <w:t>Exemption under Section 10(34):</w:t>
      </w:r>
      <w:r w:rsidRPr="009C5151">
        <w:t xml:space="preserve"> Section 10(34) exempts dividend income from taxation if it is subject to dividend distribution tax under Section 115-O. Since Section 115-O does not apply to dividends from foreign companies, the exemption under Section 10(34) is not available for such dividends.</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lastRenderedPageBreak/>
        <w:t>Taxability Confirmed:</w:t>
      </w:r>
      <w:r w:rsidRPr="009C5151">
        <w:rPr>
          <w:rFonts w:ascii="Times New Roman" w:hAnsi="Times New Roman" w:cs="Times New Roman"/>
          <w:sz w:val="24"/>
          <w:szCs w:val="24"/>
        </w:rPr>
        <w:t xml:space="preserve"> The ITAT held that the dividend income received by Besco Engineering &amp; Services Pvt. Ltd. from Millinium Investimentos Ltd., a Brazilian company, is taxable in India.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decision clarifies that dividend income received by an Indian resident from a foreign company, such as a Brazilian entity, is taxable in India under the provisions of the Income Tax Act, 1961, and the applicable DTAA. The exemptions under Sections 115-O and 10(34) are not applicable to such foreign-sourced dividends.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ITO v. Besco Engineering &amp; Services Pvt. Ltd., ITA No. 727/Kol/2012, ITAT Kolkata Bench.</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33"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ruling emphasizes the importance of understanding the interplay between domestic tax laws and international tax treaties in determining the taxability of cross-border income.</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ITO v SusantoPurnamo - TS-438-ITAT-2016 (Ahd) - I.T.A. No. 254/ Ahd/2015 [India - US DTAA]</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5941EFA" wp14:editId="7E754438">
            <wp:extent cx="763905" cy="763905"/>
            <wp:effectExtent l="0" t="0" r="0" b="0"/>
            <wp:docPr id="343" name="Picture 34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7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ITO v. Susanto Purnamo</w:t>
      </w:r>
      <w:r w:rsidRPr="009C5151">
        <w:t xml:space="preserve"> (I.T.A. No. 254/Ahd/2015), the </w:t>
      </w:r>
      <w:r w:rsidRPr="009C5151">
        <w:rPr>
          <w:rStyle w:val="Strong"/>
        </w:rPr>
        <w:t>Income Tax Appellate Tribunal (ITAT) Ahmedabad Bench</w:t>
      </w:r>
      <w:r w:rsidRPr="009C5151">
        <w:t xml:space="preserve"> examined the taxability of income earned by a U.S.-based individual from software development services provided to an Indian company, under the provisions of the </w:t>
      </w:r>
      <w:r w:rsidRPr="009C5151">
        <w:rPr>
          <w:rStyle w:val="Strong"/>
        </w:rPr>
        <w:t>India-USA Double Taxation Avoidance Agreement (DTAA)</w:t>
      </w:r>
      <w:r w:rsidRPr="009C5151">
        <w:t>.</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Susanto Purnamo, an individual resident of the United States, operating as a sole proprietor.</w:t>
      </w:r>
    </w:p>
    <w:p w:rsidR="00A056B6" w:rsidRPr="009C5151" w:rsidRDefault="00A056B6" w:rsidP="00743A5F">
      <w:pPr>
        <w:pStyle w:val="NormalWeb"/>
        <w:tabs>
          <w:tab w:val="num" w:pos="720"/>
        </w:tabs>
        <w:spacing w:before="0" w:beforeAutospacing="0"/>
        <w:ind w:left="720" w:hanging="360"/>
      </w:pPr>
      <w:r w:rsidRPr="009C5151">
        <w:rPr>
          <w:rStyle w:val="Strong"/>
        </w:rPr>
        <w:t>Services Rendered:</w:t>
      </w:r>
      <w:r w:rsidRPr="009C5151">
        <w:t xml:space="preserve"> Provided software development services to an Indian company, which included designing, building, and maintaining a complete video streaming website.</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Applicability of Article 15 (Independent Personal Services) vs. Article 12 (Fees for Included Services) of the India-USA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Whether the income from software development services should be classified under Article 15, pertaining to Independent Personal Services (IPS), or under Article 12, relating to Fees for Included Services (FIS).</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If Article 15 applies, whether the absence of a fixed base or the duration of stay in India affects the taxability of the income.</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Classification under Article 15:</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Tribunal noted that Article 15 of the DTAA covers professional services, including independent activities of a scientific, literary, artistic, educational, or teaching nature, as well as the independent activities of physicians, lawyers, engineers, architects, dentists, and accountants.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It was observed that software development services require specialized knowledge and intellectual skill, aligning with the nature of professional services envisaged under Article 15.</w:t>
      </w:r>
    </w:p>
    <w:p w:rsidR="00A056B6" w:rsidRPr="009C5151" w:rsidRDefault="00A056B6" w:rsidP="00743A5F">
      <w:pPr>
        <w:pStyle w:val="NormalWeb"/>
        <w:tabs>
          <w:tab w:val="num" w:pos="720"/>
        </w:tabs>
        <w:spacing w:before="0" w:beforeAutospacing="0"/>
        <w:ind w:left="720" w:hanging="360"/>
      </w:pPr>
      <w:r w:rsidRPr="009C5151">
        <w:rPr>
          <w:rStyle w:val="Strong"/>
        </w:rPr>
        <w:t>Exclusion from Article 12:</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Article 12(5)(e) of the DTAA explicitly excludes amounts covered under Article 15 from being classified as Fees for Included Services.</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Therefore, once services are determined to fall under Article 15, they are excluded from the ambit of Article 12.</w:t>
      </w:r>
    </w:p>
    <w:p w:rsidR="00A056B6" w:rsidRPr="009C5151" w:rsidRDefault="00A056B6" w:rsidP="00743A5F">
      <w:pPr>
        <w:pStyle w:val="NormalWeb"/>
        <w:tabs>
          <w:tab w:val="num" w:pos="720"/>
        </w:tabs>
        <w:spacing w:before="0" w:beforeAutospacing="0"/>
        <w:ind w:left="720" w:hanging="360"/>
      </w:pPr>
      <w:r w:rsidRPr="009C5151">
        <w:rPr>
          <w:rStyle w:val="Strong"/>
        </w:rPr>
        <w:t>Taxability Criteria under Article 15:</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For income from independent personal services to be taxable in India under Article 15, the individual must have a fixed base regularly available in India, or their stay in India must exceed 90 days within the relevant fiscal year.</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In this case, the assessee did not have a fixed base in India, nor did his stay exceed 90 days during the assessment year.</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Non-Taxability in India: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t>The ITAT concluded that the income earned by Susanto Purnamo from the software development services provided to the Indian company falls under Article 15 of the India-USA DTAA.</w:t>
      </w:r>
    </w:p>
    <w:p w:rsidR="00A056B6" w:rsidRPr="009C5151" w:rsidRDefault="00A056B6" w:rsidP="00743A5F">
      <w:pPr>
        <w:numPr>
          <w:ilvl w:val="1"/>
          <w:numId w:val="0"/>
        </w:numPr>
        <w:tabs>
          <w:tab w:val="num" w:pos="1440"/>
        </w:tabs>
        <w:spacing w:before="100" w:after="100" w:afterAutospacing="1" w:line="240" w:lineRule="auto"/>
        <w:ind w:left="1440" w:hanging="360"/>
        <w:rPr>
          <w:rFonts w:ascii="Times New Roman" w:hAnsi="Times New Roman" w:cs="Times New Roman"/>
          <w:sz w:val="24"/>
          <w:szCs w:val="24"/>
        </w:rPr>
      </w:pPr>
      <w:r w:rsidRPr="009C5151">
        <w:rPr>
          <w:rFonts w:ascii="Times New Roman" w:hAnsi="Times New Roman" w:cs="Times New Roman"/>
          <w:sz w:val="24"/>
          <w:szCs w:val="24"/>
        </w:rPr>
        <w:lastRenderedPageBreak/>
        <w:t>Given the absence of a fixed base and the duration of stay being less than 90 days, the income is not taxable in India.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ruling clarifies that income earned by a U.S.-based individual from providing software development services to an Indian company is not taxable in India under the India-USA DTAA, provided the individual does not have a fixed base in India and their stay does not exceed 90 days in the relevant fiscal year.</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ITO v. Susanto Purnamo, I.T.A. No. 254/Ahd/2015, ITAT Ahmedabad Bench.</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34"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emphasizes the importance of analyzing the nature of services and the specific provisions of international tax treaties to determine the taxability of cross-border income.</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Outotec India (P.) Ltd. v. Asstt. CIT [2015] 59 taxmann.com 108/69 SOT 618/41 ITR (Trib.) 449/172 TTJ 186(Delhi)</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73C70BA8" wp14:editId="36171ADA">
            <wp:extent cx="763905" cy="763905"/>
            <wp:effectExtent l="0" t="0" r="0" b="0"/>
            <wp:docPr id="342" name="Picture 34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7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continue</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F6DE98C" wp14:editId="26A57D39">
            <wp:extent cx="763905" cy="763905"/>
            <wp:effectExtent l="0" t="0" r="0" b="0"/>
            <wp:docPr id="341" name="Picture 34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8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Outotec India Pvt. Ltd. v. Assistant Commissioner of Income Tax</w:t>
      </w:r>
      <w:r w:rsidRPr="009C5151">
        <w:t xml:space="preserve"> ([2015] 59 taxmann.com 108), the </w:t>
      </w:r>
      <w:r w:rsidRPr="009C5151">
        <w:rPr>
          <w:rStyle w:val="Strong"/>
        </w:rPr>
        <w:t>Income Tax Appellate Tribunal (ITAT) Delhi Bench</w:t>
      </w:r>
      <w:r w:rsidRPr="009C5151">
        <w:t xml:space="preserve"> examined the tax implications of payments made by an Indian company to a Finnish company for </w:t>
      </w:r>
      <w:r w:rsidRPr="009C5151">
        <w:lastRenderedPageBreak/>
        <w:t xml:space="preserve">supervisory services under the </w:t>
      </w:r>
      <w:r w:rsidRPr="009C5151">
        <w:rPr>
          <w:rStyle w:val="Strong"/>
        </w:rPr>
        <w:t>India-Finland Double Taxation Avoidance Agreement (DTAA)</w:t>
      </w:r>
      <w:r w:rsidRPr="009C5151">
        <w:t>.</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Outotec India Pvt. Ltd., an Indian company.</w:t>
      </w:r>
    </w:p>
    <w:p w:rsidR="00A056B6" w:rsidRPr="009C5151" w:rsidRDefault="00A056B6" w:rsidP="00743A5F">
      <w:pPr>
        <w:pStyle w:val="NormalWeb"/>
        <w:tabs>
          <w:tab w:val="num" w:pos="720"/>
        </w:tabs>
        <w:spacing w:before="0" w:beforeAutospacing="0"/>
        <w:ind w:left="720" w:hanging="360"/>
      </w:pPr>
      <w:r w:rsidRPr="009C5151">
        <w:rPr>
          <w:rStyle w:val="Strong"/>
        </w:rPr>
        <w:t>Transaction:</w:t>
      </w:r>
      <w:r w:rsidRPr="009C5151">
        <w:t xml:space="preserve"> The assessee engaged a Finnish company to provide supervisory services for the erection and commissioning of a plant in India. Payments were made to the Finnish company for these services.</w:t>
      </w:r>
    </w:p>
    <w:p w:rsidR="00A056B6" w:rsidRPr="009C5151" w:rsidRDefault="00A056B6" w:rsidP="00743A5F">
      <w:pPr>
        <w:pStyle w:val="NormalWeb"/>
        <w:spacing w:before="0" w:beforeAutospacing="0"/>
      </w:pPr>
      <w:r w:rsidRPr="009C5151">
        <w:rPr>
          <w:rStyle w:val="Strong"/>
        </w:rPr>
        <w:t>Key Issue: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payments made by the assessee to the Finnish company for supervisory services qualify as "Fees for Technical Services" (FTS) under Article 13 of the India-Finland DTAA, thereby necessitating tax deduction at source under Section 195 of the Income Tax Act, 1961.</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Definition of FTS under DTAA:</w:t>
      </w:r>
      <w:r w:rsidRPr="009C5151">
        <w:t xml:space="preserve"> Article 13(4) of the India-Finland DTAA defines FTS and includes a "make available" clause, implying that for a service to be considered FTS, it must result in the recipient being able to apply the technical knowledge or skills independently in the future without further assistance from the service provider.</w:t>
      </w:r>
    </w:p>
    <w:p w:rsidR="00A056B6" w:rsidRPr="009C5151" w:rsidRDefault="00A056B6" w:rsidP="00743A5F">
      <w:pPr>
        <w:pStyle w:val="NormalWeb"/>
        <w:tabs>
          <w:tab w:val="num" w:pos="720"/>
        </w:tabs>
        <w:spacing w:before="0" w:beforeAutospacing="0"/>
        <w:ind w:left="720" w:hanging="360"/>
      </w:pPr>
      <w:r w:rsidRPr="009C5151">
        <w:rPr>
          <w:rStyle w:val="Strong"/>
        </w:rPr>
        <w:t>Nature of Services Provided:</w:t>
      </w:r>
      <w:r w:rsidRPr="009C5151">
        <w:t xml:space="preserve"> The Tribunal observed that the supervisory services rendered by the Finnish company were specific to the erection and commissioning phase of the plant. These services did not transfer any technical knowledge or skill to the assessee that could be utilized independently in the future.</w:t>
      </w:r>
    </w:p>
    <w:p w:rsidR="00A056B6" w:rsidRPr="009C5151" w:rsidRDefault="00A056B6" w:rsidP="00743A5F">
      <w:pPr>
        <w:pStyle w:val="NormalWeb"/>
        <w:tabs>
          <w:tab w:val="num" w:pos="720"/>
        </w:tabs>
        <w:spacing w:before="0" w:beforeAutospacing="0"/>
        <w:ind w:left="720" w:hanging="360"/>
      </w:pPr>
      <w:r w:rsidRPr="009C5151">
        <w:rPr>
          <w:rStyle w:val="Strong"/>
        </w:rPr>
        <w:t>Application of 'Make Available' Clause:</w:t>
      </w:r>
      <w:r w:rsidRPr="009C5151">
        <w:t xml:space="preserve"> Since the services did not "make available" technical knowledge, experience, skill, know-how, or processes to the assessee, they did not meet the criteria for FTS under Article 13(4) of the DTAA.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Non-Applicability of FTS Classification:</w:t>
      </w:r>
      <w:r w:rsidRPr="009C5151">
        <w:t xml:space="preserve"> The ITAT concluded that the payments made by Outotec India Pvt. Ltd. to the Finnish company for supervisory services did not constitute FTS under the India-Finland DTAA.</w:t>
      </w:r>
    </w:p>
    <w:p w:rsidR="00A056B6" w:rsidRPr="009C5151" w:rsidRDefault="00A056B6" w:rsidP="00743A5F">
      <w:pPr>
        <w:pStyle w:val="NormalWeb"/>
        <w:tabs>
          <w:tab w:val="num" w:pos="720"/>
        </w:tabs>
        <w:spacing w:before="0" w:beforeAutospacing="0"/>
        <w:ind w:left="720" w:hanging="360"/>
      </w:pPr>
      <w:r w:rsidRPr="009C5151">
        <w:rPr>
          <w:rStyle w:val="Strong"/>
        </w:rPr>
        <w:t>Implications for Tax Deduction at Source:</w:t>
      </w:r>
      <w:r w:rsidRPr="009C5151">
        <w:t xml:space="preserve"> As the payments were not classified as FTS, the assessee was not required to deduct tax at source under Section 195 of the Income Tax Act. Consequently, the disallowance made under Section 40(a)(i) for non-deduction of tax at source was deleted.</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 xml:space="preserve">This decision clarifies that payments for services that do not "make available" technical knowledge or skills to the recipient are not considered FTS under treaties with a "make </w:t>
      </w:r>
      <w:r w:rsidRPr="009C5151">
        <w:lastRenderedPageBreak/>
        <w:t>available" clause, such as the India-Finland DTAA. Therefore, such payments may not attract withholding tax obligations under Section 195 of the Income Tax Act.</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Outotec India Pvt. Ltd. v. ACIT, [2015] 59 taxmann.com 108 (Delhi - Trib.).</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35" w:tgtFrame="_new" w:history="1">
        <w:r w:rsidRPr="009C5151">
          <w:rPr>
            <w:rStyle w:val="Hyperlink"/>
          </w:rPr>
          <w:t>ITAT Online</w:t>
        </w:r>
      </w:hyperlink>
    </w:p>
    <w:p w:rsidR="00A056B6" w:rsidRPr="009C5151" w:rsidRDefault="00A056B6" w:rsidP="00743A5F">
      <w:pPr>
        <w:pStyle w:val="NormalWeb"/>
        <w:spacing w:before="0" w:beforeAutospacing="0"/>
      </w:pPr>
      <w:r w:rsidRPr="009C5151">
        <w:t>This ruling emphasizes the importance of analyzing the specific provisions of international tax treaties, particularly the "make available" clause, to determine the tax treatment of cross-border service payments.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Sumana Bandyopadhyay vs DDIT- ITA No. 374 of 2016, [2017] 88 taxmann.com 847 (Calcutta)/[2017] 396 ITR 406 (Calcutta), dated 13.07.2017</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35C1B39F" wp14:editId="6314B247">
            <wp:extent cx="763905" cy="763905"/>
            <wp:effectExtent l="0" t="0" r="0" b="0"/>
            <wp:docPr id="340" name="Picture 34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8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Smt. Sumana Bandyopadhyay &amp; Anr. v. Deputy Director of Income Tax (International Taxation) 3(1)</w:t>
      </w:r>
      <w:r w:rsidRPr="009C5151">
        <w:t xml:space="preserve"> ([2017] 88 taxmann.com 847 (Calcutta)), the </w:t>
      </w:r>
      <w:r w:rsidRPr="009C5151">
        <w:rPr>
          <w:rStyle w:val="Strong"/>
        </w:rPr>
        <w:t>Calcutta High Court</w:t>
      </w:r>
      <w:r w:rsidRPr="009C5151">
        <w:t xml:space="preserve"> addressed the taxability of salary income earned by a non-resident Indian (NRI) for services rendered outside India, particularly when such income is credited directly to the individual's Non-Resident External (NRE) account in India.</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The original assessee, a marine engineer, was a non-resident under Section 6 of the Income Tax Act, 1961, during the assessment year 2010-11.</w:t>
      </w:r>
    </w:p>
    <w:p w:rsidR="00A056B6" w:rsidRPr="009C5151" w:rsidRDefault="00A056B6" w:rsidP="00743A5F">
      <w:pPr>
        <w:pStyle w:val="NormalWeb"/>
        <w:tabs>
          <w:tab w:val="num" w:pos="720"/>
        </w:tabs>
        <w:spacing w:before="0" w:beforeAutospacing="0"/>
        <w:ind w:left="720" w:hanging="360"/>
      </w:pPr>
      <w:r w:rsidRPr="009C5151">
        <w:rPr>
          <w:rStyle w:val="Strong"/>
        </w:rPr>
        <w:t>Income in Question:</w:t>
      </w:r>
      <w:r w:rsidRPr="009C5151">
        <w:t xml:space="preserve"> The assessee earned a total of ₹14,79,598 as salary from two employers, Great Offshore Limited and Bibby Ship Management (Singapore) Pte. Ltd., for services rendered outside India. This salary was directly credited to his NRE account in India.</w:t>
      </w:r>
    </w:p>
    <w:p w:rsidR="00A056B6" w:rsidRPr="009C5151" w:rsidRDefault="00A056B6" w:rsidP="00743A5F">
      <w:pPr>
        <w:pStyle w:val="NormalWeb"/>
        <w:spacing w:before="0" w:beforeAutospacing="0"/>
      </w:pPr>
      <w:r w:rsidRPr="009C5151">
        <w:rPr>
          <w:rStyle w:val="Strong"/>
        </w:rPr>
        <w:t>Key Issue: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salary income earned by the non-resident assessee for services rendered outside India becomes taxable in India merely because it was credited to his NRE account in India.</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Section 5(2) of the Income Tax Act:</w:t>
      </w:r>
      <w:r w:rsidRPr="009C5151">
        <w:t xml:space="preserve"> This section defines the scope of total income for non-residents, including income received or deemed to be received in India.</w:t>
      </w:r>
    </w:p>
    <w:p w:rsidR="00A056B6" w:rsidRPr="009C5151" w:rsidRDefault="00A056B6" w:rsidP="00743A5F">
      <w:pPr>
        <w:pStyle w:val="NormalWeb"/>
        <w:tabs>
          <w:tab w:val="num" w:pos="720"/>
        </w:tabs>
        <w:spacing w:before="0" w:beforeAutospacing="0"/>
        <w:ind w:left="720" w:hanging="360"/>
      </w:pPr>
      <w:r w:rsidRPr="009C5151">
        <w:rPr>
          <w:rStyle w:val="Strong"/>
        </w:rPr>
        <w:t>Accrual of Income:</w:t>
      </w:r>
      <w:r w:rsidRPr="009C5151">
        <w:t xml:space="preserve"> The Court observed that the salary income accrued outside India for services rendered abroad.</w:t>
      </w:r>
    </w:p>
    <w:p w:rsidR="00A056B6" w:rsidRPr="009C5151" w:rsidRDefault="00A056B6" w:rsidP="00743A5F">
      <w:pPr>
        <w:pStyle w:val="NormalWeb"/>
        <w:tabs>
          <w:tab w:val="num" w:pos="720"/>
        </w:tabs>
        <w:spacing w:before="0" w:beforeAutospacing="0"/>
        <w:ind w:left="720" w:hanging="360"/>
      </w:pPr>
      <w:r w:rsidRPr="009C5151">
        <w:rPr>
          <w:rStyle w:val="Strong"/>
        </w:rPr>
        <w:t>CBDT Circular No. 13/2017:</w:t>
      </w:r>
      <w:r w:rsidRPr="009C5151">
        <w:t xml:space="preserve"> Issued on 11th April 2017, this circular clarifies that salary accrued to a non-resident seafarer for services rendered outside India on a foreign ship shall not be included in total income merely because it is credited to an NRE account maintained with an Indian bank. </w:t>
      </w:r>
    </w:p>
    <w:p w:rsidR="00A056B6" w:rsidRPr="009C5151" w:rsidRDefault="00A056B6" w:rsidP="00743A5F">
      <w:pPr>
        <w:spacing w:afterAutospacing="1" w:line="240" w:lineRule="auto"/>
        <w:ind w:left="720"/>
        <w:rPr>
          <w:rFonts w:ascii="Times New Roman" w:hAnsi="Times New Roman" w:cs="Times New Roman"/>
          <w:sz w:val="24"/>
          <w:szCs w:val="24"/>
        </w:rPr>
      </w:pPr>
      <w:hyperlink r:id="rId136" w:tgtFrame="_blank" w:history="1">
        <w:r w:rsidRPr="009C5151">
          <w:rPr>
            <w:rStyle w:val="truncate"/>
            <w:rFonts w:ascii="Times New Roman" w:hAnsi="Times New Roman" w:cs="Times New Roman"/>
            <w:color w:val="0000FF"/>
            <w:sz w:val="24"/>
            <w:szCs w:val="24"/>
            <w:u w:val="single"/>
          </w:rPr>
          <w:t>itatonline.org</w:t>
        </w:r>
      </w:hyperlink>
    </w:p>
    <w:p w:rsidR="00A056B6" w:rsidRPr="009C5151" w:rsidRDefault="00A056B6" w:rsidP="00743A5F">
      <w:pPr>
        <w:pStyle w:val="NormalWeb"/>
        <w:tabs>
          <w:tab w:val="num" w:pos="720"/>
        </w:tabs>
        <w:spacing w:before="0" w:beforeAutospacing="0"/>
        <w:ind w:left="720" w:hanging="360"/>
      </w:pPr>
      <w:r w:rsidRPr="009C5151">
        <w:rPr>
          <w:rStyle w:val="Strong"/>
        </w:rPr>
        <w:t>Judicial Precedents:</w:t>
      </w:r>
      <w:r w:rsidRPr="009C5151">
        <w:t xml:space="preserve"> The Court referred to the Karnataka High Court's decision in </w:t>
      </w:r>
      <w:r w:rsidRPr="009C5151">
        <w:rPr>
          <w:rStyle w:val="Strong"/>
        </w:rPr>
        <w:t>DIT v. Prahlad Vijendra Rao</w:t>
      </w:r>
      <w:r w:rsidRPr="009C5151">
        <w:t xml:space="preserve"> ([2011] 198 Taxman 551), which held that salary earned by a non-resident for services rendered outside India is not taxable in India, even if credited to an NRE account. </w:t>
      </w:r>
    </w:p>
    <w:p w:rsidR="00A056B6" w:rsidRPr="009C5151" w:rsidRDefault="00A056B6" w:rsidP="00743A5F">
      <w:pPr>
        <w:spacing w:afterAutospacing="1" w:line="240" w:lineRule="auto"/>
        <w:ind w:left="720"/>
        <w:rPr>
          <w:rFonts w:ascii="Times New Roman" w:hAnsi="Times New Roman" w:cs="Times New Roman"/>
          <w:sz w:val="24"/>
          <w:szCs w:val="24"/>
        </w:rPr>
      </w:pPr>
      <w:hyperlink r:id="rId137" w:tgtFrame="_blank" w:history="1">
        <w:r w:rsidRPr="009C5151">
          <w:rPr>
            <w:rStyle w:val="truncate"/>
            <w:rFonts w:ascii="Times New Roman" w:hAnsi="Times New Roman" w:cs="Times New Roman"/>
            <w:color w:val="0000FF"/>
            <w:sz w:val="24"/>
            <w:szCs w:val="24"/>
            <w:u w:val="single"/>
          </w:rPr>
          <w:t>itatonline.org</w:t>
        </w:r>
      </w:hyperlink>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t>The Calcutta High Court concluded that the salary income earned by the non-resident assessee for services rendered outside India does not become taxable in India solely because it was credited to his NRE account.</w:t>
      </w:r>
    </w:p>
    <w:p w:rsidR="00A056B6" w:rsidRPr="009C5151" w:rsidRDefault="00A056B6" w:rsidP="00743A5F">
      <w:pPr>
        <w:pStyle w:val="NormalWeb"/>
        <w:tabs>
          <w:tab w:val="num" w:pos="720"/>
        </w:tabs>
        <w:spacing w:before="0" w:beforeAutospacing="0"/>
        <w:ind w:left="720" w:hanging="360"/>
      </w:pPr>
      <w:r w:rsidRPr="009C5151">
        <w:t>The Court allowed the appeal, setting aside the additions made by the Assessing Officer, and held that such income is not chargeable to tax in India under Section 5(2) of the Income Tax Act.</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reinforces the principle that salary income earned by a non-resident for services rendered outside India is not taxable in India, even if the income is received in an NRE account within the country. The decision aligns with CBDT Circular No. 13/2017 and existing judicial precedents, providing clarity on the tax treatment of such income for non-resident individuals.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Smt. Sumana Bandyopadhyay &amp; Anr. v. DDIT (International Taxation) 3(1), [2017] 88 taxmann.com 847 (Calcutta).</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38" w:tgtFrame="_new" w:history="1">
        <w:r w:rsidRPr="009C5151">
          <w:rPr>
            <w:rStyle w:val="Hyperlink"/>
          </w:rPr>
          <w:t>ITAT Online</w:t>
        </w:r>
      </w:hyperlink>
    </w:p>
    <w:p w:rsidR="00A056B6" w:rsidRPr="009C5151" w:rsidRDefault="00A056B6" w:rsidP="00743A5F">
      <w:pPr>
        <w:pStyle w:val="NormalWeb"/>
        <w:spacing w:before="0" w:beforeAutospacing="0"/>
      </w:pPr>
      <w:r w:rsidRPr="009C5151">
        <w:t>This decision provides significant relief to non-resident individuals, particularly seafarers, ensuring that their foreign-earned income remains exempt from Indian taxation when credited to NRE accounts, in line with the Income Tax Act and CBDT guidelines.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lastRenderedPageBreak/>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HEWLETT PACKARD INDIA SOFTWARE OPERAN PRIVATE LIMITED IN RE – (2018) 401 ITR 0339 (AAR) – A.A.R. No 1217 of 2011 dated 29.01.2018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2C082DA1" wp14:editId="50CB392D">
            <wp:extent cx="763905" cy="763905"/>
            <wp:effectExtent l="0" t="0" r="0" b="0"/>
            <wp:docPr id="339" name="Picture 33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8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Hewlett Packard India Software Operation Private Limited, In Re</w:t>
      </w:r>
      <w:r w:rsidRPr="009C5151">
        <w:t xml:space="preserve"> (A.A.R. No. 1217 of 2011, dated January 29, 2018), the </w:t>
      </w:r>
      <w:r w:rsidRPr="009C5151">
        <w:rPr>
          <w:rStyle w:val="Strong"/>
        </w:rPr>
        <w:t>Authority for Advance Rulings (AAR)</w:t>
      </w:r>
      <w:r w:rsidRPr="009C5151">
        <w:t xml:space="preserve"> examined the tax implications under the </w:t>
      </w:r>
      <w:r w:rsidRPr="009C5151">
        <w:rPr>
          <w:rStyle w:val="Strong"/>
        </w:rPr>
        <w:t>Income Tax Act, 1961</w:t>
      </w:r>
      <w:r w:rsidRPr="009C5151">
        <w:t xml:space="preserve">, and the relevant </w:t>
      </w:r>
      <w:r w:rsidRPr="009C5151">
        <w:rPr>
          <w:rStyle w:val="Strong"/>
        </w:rPr>
        <w:t>Double Taxation Avoidance Agreements (DTAAs)</w:t>
      </w:r>
      <w:r w:rsidRPr="009C5151">
        <w:t xml:space="preserve"> concerning salary payments made by an Indian company to its employees deputed to the United States (U.S.) and Germany.</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Applicant:</w:t>
      </w:r>
      <w:r w:rsidRPr="009C5151">
        <w:t xml:space="preserve"> Hewlett Packard India Software Operation Private Limited, an Indian company engaged in software development and IT-enabled services.</w:t>
      </w:r>
    </w:p>
    <w:p w:rsidR="00A056B6" w:rsidRPr="009C5151" w:rsidRDefault="00A056B6" w:rsidP="00743A5F">
      <w:pPr>
        <w:pStyle w:val="NormalWeb"/>
        <w:tabs>
          <w:tab w:val="num" w:pos="720"/>
        </w:tabs>
        <w:spacing w:before="0" w:beforeAutospacing="0"/>
        <w:ind w:left="720" w:hanging="360"/>
      </w:pPr>
      <w:r w:rsidRPr="009C5151">
        <w:rPr>
          <w:rStyle w:val="Strong"/>
        </w:rPr>
        <w:t>Employees on Deputation:</w:t>
      </w:r>
      <w:r w:rsidRPr="009C5151">
        <w:t xml:space="preserve"> The company deputed two employees—Mr. Rajendrababu to the U.S. and Ms. Prashanth to Germany—for specified periods. During their deputation, these employees:</w:t>
      </w:r>
    </w:p>
    <w:p w:rsidR="00A056B6" w:rsidRPr="009C5151" w:rsidRDefault="00A056B6" w:rsidP="00743A5F">
      <w:pPr>
        <w:pStyle w:val="NormalWeb"/>
        <w:numPr>
          <w:ilvl w:val="1"/>
          <w:numId w:val="0"/>
        </w:numPr>
        <w:tabs>
          <w:tab w:val="num" w:pos="1440"/>
        </w:tabs>
        <w:spacing w:before="0" w:beforeAutospacing="0"/>
        <w:ind w:left="1440" w:hanging="360"/>
      </w:pPr>
      <w:r w:rsidRPr="009C5151">
        <w:t>Remained on the payroll of the Indian company and received salaries in India.</w:t>
      </w:r>
    </w:p>
    <w:p w:rsidR="00A056B6" w:rsidRPr="009C5151" w:rsidRDefault="00A056B6" w:rsidP="00743A5F">
      <w:pPr>
        <w:pStyle w:val="NormalWeb"/>
        <w:numPr>
          <w:ilvl w:val="1"/>
          <w:numId w:val="0"/>
        </w:numPr>
        <w:tabs>
          <w:tab w:val="num" w:pos="1440"/>
        </w:tabs>
        <w:spacing w:before="0" w:beforeAutospacing="0"/>
        <w:ind w:left="1440" w:hanging="360"/>
      </w:pPr>
      <w:r w:rsidRPr="009C5151">
        <w:t>Rendered services exclusively in the host countries (U.S. and Germany).</w:t>
      </w:r>
    </w:p>
    <w:p w:rsidR="00A056B6" w:rsidRPr="009C5151" w:rsidRDefault="00A056B6" w:rsidP="00743A5F">
      <w:pPr>
        <w:pStyle w:val="NormalWeb"/>
        <w:numPr>
          <w:ilvl w:val="1"/>
          <w:numId w:val="0"/>
        </w:numPr>
        <w:tabs>
          <w:tab w:val="num" w:pos="1440"/>
        </w:tabs>
        <w:spacing w:before="0" w:beforeAutospacing="0"/>
        <w:ind w:left="1440" w:hanging="360"/>
      </w:pPr>
      <w:r w:rsidRPr="009C5151">
        <w:t>Received additional allowances in the host countries to cover living expenses.</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Taxability of Salary in India:</w:t>
      </w:r>
      <w:r w:rsidRPr="009C5151">
        <w:t xml:space="preserve"> Whether the salary paid in India to the deputed employees for services rendered abroad is liable to tax in India under the Income Tax Act and the respective DTAAs.</w:t>
      </w:r>
    </w:p>
    <w:p w:rsidR="00A056B6" w:rsidRPr="009C5151" w:rsidRDefault="00A056B6" w:rsidP="00743A5F">
      <w:pPr>
        <w:pStyle w:val="NormalWeb"/>
        <w:tabs>
          <w:tab w:val="num" w:pos="720"/>
        </w:tabs>
        <w:spacing w:before="0" w:beforeAutospacing="0"/>
        <w:ind w:left="720" w:hanging="360"/>
      </w:pPr>
      <w:r w:rsidRPr="009C5151">
        <w:rPr>
          <w:rStyle w:val="Strong"/>
        </w:rPr>
        <w:t>Withholding Tax Obligations:</w:t>
      </w:r>
      <w:r w:rsidRPr="009C5151">
        <w:t xml:space="preserve"> Whether the Indian company is obligated to withhold taxes on such salary payments under Section 192 of the Income Tax Act.</w:t>
      </w:r>
    </w:p>
    <w:p w:rsidR="00A056B6" w:rsidRPr="009C5151" w:rsidRDefault="00A056B6" w:rsidP="00743A5F">
      <w:pPr>
        <w:pStyle w:val="NormalWeb"/>
        <w:tabs>
          <w:tab w:val="num" w:pos="720"/>
        </w:tabs>
        <w:spacing w:before="0" w:beforeAutospacing="0"/>
        <w:ind w:left="720" w:hanging="360"/>
      </w:pPr>
      <w:r w:rsidRPr="009C5151">
        <w:rPr>
          <w:rStyle w:val="Strong"/>
        </w:rPr>
        <w:t>Tax Credit for Taxes Paid Abroad:</w:t>
      </w:r>
      <w:r w:rsidRPr="009C5151">
        <w:t xml:space="preserve"> Upon the employees' return to India and their classification as Resident and Ordinarily Resident (ROR) in subsequent financial years, can the Indian company consider taxes paid by the employees in the U.S. and Germany as credit while discharging its tax withholding obligations under Section 192?</w:t>
      </w:r>
    </w:p>
    <w:p w:rsidR="00A056B6" w:rsidRPr="009C5151" w:rsidRDefault="00A056B6" w:rsidP="00743A5F">
      <w:pPr>
        <w:pStyle w:val="NormalWeb"/>
        <w:spacing w:before="0" w:beforeAutospacing="0"/>
      </w:pPr>
      <w:r w:rsidRPr="009C5151">
        <w:rPr>
          <w:rStyle w:val="Strong"/>
        </w:rPr>
        <w:t>AAR's Analysis: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Taxability of Salary in India:</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Section 5(2) of the Income Tax Act:</w:t>
      </w:r>
      <w:r w:rsidRPr="009C5151">
        <w:t xml:space="preserve"> Defines the scope of total income for non-residents, including income received or deemed to be received in India.</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Application of DTAAs:</w:t>
      </w:r>
    </w:p>
    <w:p w:rsidR="00A056B6" w:rsidRPr="009C5151" w:rsidRDefault="00A056B6" w:rsidP="00743A5F">
      <w:pPr>
        <w:pStyle w:val="NormalWeb"/>
        <w:numPr>
          <w:ilvl w:val="2"/>
          <w:numId w:val="0"/>
        </w:numPr>
        <w:tabs>
          <w:tab w:val="num" w:pos="2160"/>
        </w:tabs>
        <w:spacing w:before="0" w:beforeAutospacing="0"/>
        <w:ind w:left="2160" w:hanging="360"/>
      </w:pPr>
      <w:r w:rsidRPr="009C5151">
        <w:rPr>
          <w:rStyle w:val="Strong"/>
        </w:rPr>
        <w:t>India-U.S. DTAA (Article 16):</w:t>
      </w:r>
      <w:r w:rsidRPr="009C5151">
        <w:t xml:space="preserve"> Salaries derived by a resident of the U.S. in respect of employment exercised in the U.S. are taxable only in the U.S., provided the employment is not exercised in India.</w:t>
      </w:r>
    </w:p>
    <w:p w:rsidR="00A056B6" w:rsidRPr="009C5151" w:rsidRDefault="00A056B6" w:rsidP="00743A5F">
      <w:pPr>
        <w:pStyle w:val="NormalWeb"/>
        <w:numPr>
          <w:ilvl w:val="2"/>
          <w:numId w:val="0"/>
        </w:numPr>
        <w:tabs>
          <w:tab w:val="num" w:pos="2160"/>
        </w:tabs>
        <w:spacing w:before="0" w:beforeAutospacing="0"/>
        <w:ind w:left="2160" w:hanging="360"/>
      </w:pPr>
      <w:r w:rsidRPr="009C5151">
        <w:rPr>
          <w:rStyle w:val="Strong"/>
        </w:rPr>
        <w:t>India-Germany DTAA (Article 15):</w:t>
      </w:r>
      <w:r w:rsidRPr="009C5151">
        <w:t xml:space="preserve"> Similar provisions apply, where remuneration derived by a resident of Germany in respect of employment exercised in Germany is taxable only in Germany, provided the employment is not exercised in India.</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Conclusion:</w:t>
      </w:r>
      <w:r w:rsidRPr="009C5151">
        <w:t xml:space="preserve"> Since the employees rendered services exclusively in the U.S. and Germany during their deputation and were considered residents of those countries under the respective DTAAs, their salaries, though paid in India, are taxable only in the host countries. Therefore, such income is not liable to tax in India.</w:t>
      </w:r>
    </w:p>
    <w:p w:rsidR="00A056B6" w:rsidRPr="009C5151" w:rsidRDefault="00A056B6" w:rsidP="00743A5F">
      <w:pPr>
        <w:pStyle w:val="NormalWeb"/>
        <w:tabs>
          <w:tab w:val="num" w:pos="720"/>
        </w:tabs>
        <w:spacing w:before="0" w:beforeAutospacing="0"/>
        <w:ind w:left="720" w:hanging="360"/>
      </w:pPr>
      <w:r w:rsidRPr="009C5151">
        <w:rPr>
          <w:rStyle w:val="Strong"/>
        </w:rPr>
        <w:t>Withholding Tax Obligations:</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Section 192 of the Income Tax Act:</w:t>
      </w:r>
      <w:r w:rsidRPr="009C5151">
        <w:t xml:space="preserve"> Mandates tax deduction at source on salary payments chargeable to tax under the Act.</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Conclusion:</w:t>
      </w:r>
      <w:r w:rsidRPr="009C5151">
        <w:t xml:space="preserve"> Given that the salaries in question are not chargeable to tax in India due to the provisions of the DTAAs, the Indian company is not obligated to withhold taxes on these payments under Section 192.</w:t>
      </w:r>
    </w:p>
    <w:p w:rsidR="00A056B6" w:rsidRPr="009C5151" w:rsidRDefault="00A056B6" w:rsidP="00743A5F">
      <w:pPr>
        <w:pStyle w:val="NormalWeb"/>
        <w:tabs>
          <w:tab w:val="num" w:pos="720"/>
        </w:tabs>
        <w:spacing w:before="0" w:beforeAutospacing="0"/>
        <w:ind w:left="720" w:hanging="360"/>
      </w:pPr>
      <w:r w:rsidRPr="009C5151">
        <w:rPr>
          <w:rStyle w:val="Strong"/>
        </w:rPr>
        <w:t>Tax Credit for Taxes Paid Abroad:</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Residential Status Upon Return:</w:t>
      </w:r>
      <w:r w:rsidRPr="009C5151">
        <w:t xml:space="preserve"> Upon returning to India, the employees are classified as Resident and Ordinarily Resident (ROR) for the relevant financial years, making their global income taxable in India.</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Foreign Tax Credit (FTC):</w:t>
      </w:r>
    </w:p>
    <w:p w:rsidR="00A056B6" w:rsidRPr="009C5151" w:rsidRDefault="00A056B6" w:rsidP="00743A5F">
      <w:pPr>
        <w:numPr>
          <w:ilvl w:val="2"/>
          <w:numId w:val="0"/>
        </w:numPr>
        <w:tabs>
          <w:tab w:val="num" w:pos="2160"/>
        </w:tabs>
        <w:spacing w:before="100" w:after="100" w:afterAutospacing="1" w:line="240" w:lineRule="auto"/>
        <w:ind w:left="2160" w:hanging="360"/>
        <w:rPr>
          <w:rFonts w:ascii="Times New Roman" w:hAnsi="Times New Roman" w:cs="Times New Roman"/>
          <w:sz w:val="24"/>
          <w:szCs w:val="24"/>
        </w:rPr>
      </w:pPr>
      <w:r w:rsidRPr="009C5151">
        <w:rPr>
          <w:rStyle w:val="Strong"/>
          <w:rFonts w:ascii="Times New Roman" w:hAnsi="Times New Roman" w:cs="Times New Roman"/>
          <w:sz w:val="24"/>
          <w:szCs w:val="24"/>
        </w:rPr>
        <w:t>Article 25 of the India-U.S. DTAA and Article 23 of the India-Germany DTAA:</w:t>
      </w:r>
      <w:r w:rsidRPr="009C5151">
        <w:rPr>
          <w:rFonts w:ascii="Times New Roman" w:hAnsi="Times New Roman" w:cs="Times New Roman"/>
          <w:sz w:val="24"/>
          <w:szCs w:val="24"/>
        </w:rPr>
        <w:t xml:space="preserve"> Provide mechanisms to avoid double taxation, allowing residents to claim credit for taxes paid in the other contracting state.</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Employer's Withholding Obligations:</w:t>
      </w:r>
      <w:r w:rsidRPr="009C5151">
        <w:t xml:space="preserve"> The employer's responsibility under Section 192 is to deduct tax at source on the estimated income of the employee, considering the provisions of the Act and applicable DTAAs. The employer is not responsible for granting FTC at the withholding stage; this relief is typically claimed by the employee at the time of filing their tax return.</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lastRenderedPageBreak/>
        <w:t>Conclusion:</w:t>
      </w:r>
      <w:r w:rsidRPr="009C5151">
        <w:t xml:space="preserve"> The Indian company should deduct tax at source on the global income of the employees upon their return, without accounting for FTC. The employees can subsequently claim credit for foreign taxes paid when filing their Indian tax returns, in accordance with the provisions of the DTAAs and the Income Tax Act.</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Salary Payments During Deputation:</w:t>
      </w:r>
      <w:r w:rsidRPr="009C5151">
        <w:t xml:space="preserve"> The salaries paid by Hewlett Packard India Software Operation Private Limited to its employees deputed to the U.S. and Germany are not liable to tax in India, as per the respective DTAAs. Consequently, the company is not required to withhold taxes on these payments under Section 192 during the period of deputation.</w:t>
      </w:r>
    </w:p>
    <w:p w:rsidR="00A056B6" w:rsidRPr="009C5151" w:rsidRDefault="00A056B6" w:rsidP="00743A5F">
      <w:pPr>
        <w:pStyle w:val="NormalWeb"/>
        <w:tabs>
          <w:tab w:val="num" w:pos="720"/>
        </w:tabs>
        <w:spacing w:before="0" w:beforeAutospacing="0"/>
        <w:ind w:left="720" w:hanging="360"/>
      </w:pPr>
      <w:r w:rsidRPr="009C5151">
        <w:rPr>
          <w:rStyle w:val="Strong"/>
        </w:rPr>
        <w:t>Post-Return Withholding Obligations:</w:t>
      </w:r>
      <w:r w:rsidRPr="009C5151">
        <w:t xml:space="preserve"> Upon the employees' return to India and their change in residential status to ROR, the company must withhold taxes on their global income without considering FTC. The employees can claim FTC when filing their tax returns.</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ruling provides clarity on the tax treatment of salaries paid by Indian employers to employees deputed abroad, emphasizing the importance of DTAAs in determining tax liability and withholding obligations. It also delineates the process for claiming foreign tax credits, underscoring that such credits are to be claimed by the employee at the time of filing their tax returns, rather than by the employer during withholding.</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Hewlett Packard India Software Operation Private Limited, In Re, A.A.R. No. 1217 of 2011, dated January 29,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39" w:tgtFrame="_new" w:history="1">
        <w:r w:rsidRPr="009C5151">
          <w:rPr>
            <w:rStyle w:val="Hyperlink"/>
          </w:rPr>
          <w:t>CaseMine</w:t>
        </w:r>
      </w:hyperlink>
    </w:p>
    <w:p w:rsidR="00A056B6" w:rsidRPr="009C5151" w:rsidRDefault="00A056B6" w:rsidP="00743A5F">
      <w:pPr>
        <w:pStyle w:val="NormalWeb"/>
        <w:spacing w:before="0" w:beforeAutospacing="0"/>
      </w:pPr>
      <w:r w:rsidRPr="009C5151">
        <w:t>This decision underscores the significance of understanding international tax treaties and their application to cross-border employment scenarios, ensuring compliance with tax obligations while avoiding double taxation.</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AVDESH KUMAR vs. DCIT (2018) 172 ITD 0073 (Delhi-Trib) - ITA No. 747/Del/2018 dated July 30, 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1F5D5C53" wp14:editId="5BABA1FC">
            <wp:extent cx="763905" cy="763905"/>
            <wp:effectExtent l="0" t="0" r="0" b="0"/>
            <wp:docPr id="338" name="Picture 33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8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Avdesh Kumar v. DCIT</w:t>
      </w:r>
      <w:r w:rsidRPr="009C5151">
        <w:t xml:space="preserve"> (ITA No. 747/Del/2018, dated July 30, 2018), the </w:t>
      </w:r>
      <w:r w:rsidRPr="009C5151">
        <w:rPr>
          <w:rStyle w:val="Strong"/>
        </w:rPr>
        <w:t>Income Tax Appellate Tribunal (ITAT) Delhi Bench</w:t>
      </w:r>
      <w:r w:rsidRPr="009C5151">
        <w:t xml:space="preserve"> addressed the taxability of salary income earned by an individual for services rendered outside India during the assessment year 2013-14.</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Avdesh Kumar, an individual who filed his return of income on July 21, 2013, declaring a total income of ₹12,03,582.</w:t>
      </w:r>
    </w:p>
    <w:p w:rsidR="00A056B6" w:rsidRPr="009C5151" w:rsidRDefault="00A056B6" w:rsidP="00743A5F">
      <w:pPr>
        <w:pStyle w:val="NormalWeb"/>
        <w:tabs>
          <w:tab w:val="num" w:pos="720"/>
        </w:tabs>
        <w:spacing w:before="0" w:beforeAutospacing="0"/>
        <w:ind w:left="720" w:hanging="360"/>
      </w:pPr>
      <w:r w:rsidRPr="009C5151">
        <w:rPr>
          <w:rStyle w:val="Strong"/>
        </w:rPr>
        <w:t>Employment Details:</w:t>
      </w:r>
      <w:r w:rsidRPr="009C5151">
        <w:t xml:space="preserve"> The assessee was employed in Korea and received a salary amounting to 227,29,050 Korean Won, equivalent to ₹17,09,702. This salary was credited to his bank account in Korea.</w:t>
      </w:r>
    </w:p>
    <w:p w:rsidR="00A056B6" w:rsidRPr="009C5151" w:rsidRDefault="00A056B6" w:rsidP="00743A5F">
      <w:pPr>
        <w:pStyle w:val="NormalWeb"/>
        <w:tabs>
          <w:tab w:val="num" w:pos="720"/>
        </w:tabs>
        <w:spacing w:before="0" w:beforeAutospacing="0"/>
        <w:ind w:left="720" w:hanging="360"/>
      </w:pPr>
      <w:r w:rsidRPr="009C5151">
        <w:rPr>
          <w:rStyle w:val="Strong"/>
        </w:rPr>
        <w:t>Tax Deduction at Source (TDS):</w:t>
      </w:r>
      <w:r w:rsidRPr="009C5151">
        <w:t xml:space="preserve"> The employer deducted TDS on the entire income, including the salary earned in Korea.</w:t>
      </w:r>
    </w:p>
    <w:p w:rsidR="00A056B6" w:rsidRPr="009C5151" w:rsidRDefault="00A056B6" w:rsidP="00743A5F">
      <w:pPr>
        <w:pStyle w:val="NormalWeb"/>
        <w:spacing w:before="0" w:beforeAutospacing="0"/>
      </w:pPr>
      <w:r w:rsidRPr="009C5151">
        <w:rPr>
          <w:rStyle w:val="Strong"/>
        </w:rPr>
        <w:t>Key Issue:</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Whether the salary income earned by the assessee for services rendered outside India is taxable in India, considering his residential status during the relevant assessment year.</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Residential Status:</w:t>
      </w:r>
      <w:r w:rsidRPr="009C5151">
        <w:t xml:space="preserve"> The assessee was outside India for more than 182 days during the assessment year 2013-14, qualifying him as a non-resident under Section 6 of the Income Tax Act, 1961.</w:t>
      </w:r>
    </w:p>
    <w:p w:rsidR="00A056B6" w:rsidRPr="009C5151" w:rsidRDefault="00A056B6" w:rsidP="00743A5F">
      <w:pPr>
        <w:pStyle w:val="NormalWeb"/>
        <w:tabs>
          <w:tab w:val="num" w:pos="720"/>
        </w:tabs>
        <w:spacing w:before="0" w:beforeAutospacing="0"/>
        <w:ind w:left="720" w:hanging="360"/>
      </w:pPr>
      <w:r w:rsidRPr="009C5151">
        <w:rPr>
          <w:rStyle w:val="Strong"/>
        </w:rPr>
        <w:t>Scope of Total Income for Non-Residents:</w:t>
      </w:r>
      <w:r w:rsidRPr="009C5151">
        <w:t xml:space="preserve"> As per Section 5(2) of the Income Tax Act, the total income of a non-resident includes income received or deemed to be received in India or income accruing or arising in India.</w:t>
      </w:r>
    </w:p>
    <w:p w:rsidR="00A056B6" w:rsidRPr="009C5151" w:rsidRDefault="00A056B6" w:rsidP="00743A5F">
      <w:pPr>
        <w:pStyle w:val="NormalWeb"/>
        <w:tabs>
          <w:tab w:val="num" w:pos="720"/>
        </w:tabs>
        <w:spacing w:before="0" w:beforeAutospacing="0"/>
        <w:ind w:left="720" w:hanging="360"/>
      </w:pPr>
      <w:r w:rsidRPr="009C5151">
        <w:rPr>
          <w:rStyle w:val="Strong"/>
        </w:rPr>
        <w:t>Accrual of Salary Income:</w:t>
      </w:r>
      <w:r w:rsidRPr="009C5151">
        <w:t xml:space="preserve"> The salary was earned for services rendered in Korea and was credited to the assessee's bank account in Korea. Therefore, it neither accrued nor was received in India.</w:t>
      </w:r>
    </w:p>
    <w:p w:rsidR="00A056B6" w:rsidRPr="009C5151" w:rsidRDefault="00A056B6" w:rsidP="00743A5F">
      <w:pPr>
        <w:pStyle w:val="NormalWeb"/>
        <w:tabs>
          <w:tab w:val="num" w:pos="720"/>
        </w:tabs>
        <w:spacing w:before="0" w:beforeAutospacing="0"/>
        <w:ind w:left="720" w:hanging="360"/>
      </w:pPr>
      <w:r w:rsidRPr="009C5151">
        <w:rPr>
          <w:rStyle w:val="Strong"/>
        </w:rPr>
        <w:t>TDS Deduction Irrelevance:</w:t>
      </w:r>
      <w:r w:rsidRPr="009C5151">
        <w:t xml:space="preserve"> The mere deduction of TDS by the employer does not determine the taxability of the income in India. The nature and source of the income are the determining factors.</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t>The ITAT concluded that the salary income earned by the assessee for services rendered in Korea is not taxable in India, given his non-resident status during the relevant assessment year.</w:t>
      </w:r>
    </w:p>
    <w:p w:rsidR="00A056B6" w:rsidRPr="009C5151" w:rsidRDefault="00A056B6" w:rsidP="00743A5F">
      <w:pPr>
        <w:pStyle w:val="NormalWeb"/>
        <w:tabs>
          <w:tab w:val="num" w:pos="720"/>
        </w:tabs>
        <w:spacing w:before="0" w:beforeAutospacing="0"/>
        <w:ind w:left="720" w:hanging="360"/>
      </w:pPr>
      <w:r w:rsidRPr="009C5151">
        <w:lastRenderedPageBreak/>
        <w:t>Consequently, the addition of ₹17,09,702 made by the Assessing Officer to the assessee's income was deleted.</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ruling reinforces the principle that salary income earned by a non-resident individual for services rendered outside India is not taxable in India, irrespective of whether TDS has been deducted by the employer. The residential status of the individual and the place where the income accrues or is received are crucial determinants in ascertaining tax liability under the Income Tax Act, 1961.</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Avdesh Kumar v. DCIT, ITA No. 747/Del/2018, ITAT Delhi Bench.</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40"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decision underscores the importance of correctly determining an individual's residential status and understanding the provisions related to the scope of total income for non-residents to ensure accurate tax assessments.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DIT(IT) v. Oman International Bank S.A.O.G. [2017] 80 taxmann.com 139 (Bombay) ITA Nos. 1775 &amp; 1789 of 2013 dated July 1, 2015</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2722579" wp14:editId="5014867F">
            <wp:extent cx="763905" cy="763905"/>
            <wp:effectExtent l="0" t="0" r="0" b="0"/>
            <wp:docPr id="337" name="Picture 33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8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Director of Income Tax (International Taxation) v. Oman International Bank S.A.O.G.</w:t>
      </w:r>
      <w:r w:rsidRPr="009C5151">
        <w:t xml:space="preserve"> ([2017] 80 taxmann.com 139), the </w:t>
      </w:r>
      <w:r w:rsidRPr="009C5151">
        <w:rPr>
          <w:rStyle w:val="Strong"/>
        </w:rPr>
        <w:t>Bombay High Court</w:t>
      </w:r>
      <w:r w:rsidRPr="009C5151">
        <w:t xml:space="preserve"> addressed the tax implications of interest payments between a foreign bank's Indian branch and its head office, focusing on whether such payments are subject to withholding tax under Section 195 of the Income Tax Act, 1961.</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Oman International Bank S.A.O.G., operating in India through a branch.</w:t>
      </w:r>
    </w:p>
    <w:p w:rsidR="00A056B6" w:rsidRPr="009C5151" w:rsidRDefault="00A056B6" w:rsidP="00743A5F">
      <w:pPr>
        <w:pStyle w:val="NormalWeb"/>
        <w:tabs>
          <w:tab w:val="num" w:pos="720"/>
        </w:tabs>
        <w:spacing w:before="0" w:beforeAutospacing="0"/>
        <w:ind w:left="720" w:hanging="360"/>
      </w:pPr>
      <w:r w:rsidRPr="009C5151">
        <w:rPr>
          <w:rStyle w:val="Strong"/>
        </w:rPr>
        <w:t>Transaction:</w:t>
      </w:r>
      <w:r w:rsidRPr="009C5151">
        <w:t xml:space="preserve"> The Indian branch paid interest to its head office and other overseas branches.</w:t>
      </w:r>
    </w:p>
    <w:p w:rsidR="00A056B6" w:rsidRPr="009C5151" w:rsidRDefault="00A056B6" w:rsidP="00743A5F">
      <w:pPr>
        <w:pStyle w:val="NormalWeb"/>
        <w:tabs>
          <w:tab w:val="num" w:pos="720"/>
        </w:tabs>
        <w:spacing w:before="0" w:beforeAutospacing="0"/>
        <w:ind w:left="720" w:hanging="360"/>
      </w:pPr>
      <w:r w:rsidRPr="009C5151">
        <w:rPr>
          <w:rStyle w:val="Strong"/>
        </w:rPr>
        <w:t>Assessment Years:</w:t>
      </w:r>
      <w:r w:rsidRPr="009C5151">
        <w:t xml:space="preserve"> 1998-99 and 1999-2000.</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Taxability of Interest Payments:</w:t>
      </w:r>
      <w:r w:rsidRPr="009C5151">
        <w:t xml:space="preserve"> Whether the interest paid by the Indian branch to its head office constitutes taxable income under the Income Tax Act.</w:t>
      </w:r>
    </w:p>
    <w:p w:rsidR="00A056B6" w:rsidRPr="009C5151" w:rsidRDefault="00A056B6" w:rsidP="00743A5F">
      <w:pPr>
        <w:pStyle w:val="NormalWeb"/>
        <w:tabs>
          <w:tab w:val="num" w:pos="720"/>
        </w:tabs>
        <w:spacing w:before="0" w:beforeAutospacing="0"/>
        <w:ind w:left="720" w:hanging="360"/>
      </w:pPr>
      <w:r w:rsidRPr="009C5151">
        <w:rPr>
          <w:rStyle w:val="Strong"/>
        </w:rPr>
        <w:t>Applicability of Section 195:</w:t>
      </w:r>
      <w:r w:rsidRPr="009C5151">
        <w:t xml:space="preserve"> Whether the Indian branch is required to deduct tax at source on these interest payments under Section 195.</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t>Interest Payments as Income:</w:t>
      </w:r>
      <w:r w:rsidRPr="009C5151">
        <w:t xml:space="preserve"> The court observed that, under the Income Tax Act, a branch and its head office are considered the same legal entity. Therefore, payments between them are internal transactions and do not constitute income.</w:t>
      </w:r>
    </w:p>
    <w:p w:rsidR="00A056B6" w:rsidRPr="009C5151" w:rsidRDefault="00A056B6" w:rsidP="00743A5F">
      <w:pPr>
        <w:pStyle w:val="NormalWeb"/>
        <w:tabs>
          <w:tab w:val="num" w:pos="720"/>
        </w:tabs>
        <w:spacing w:before="0" w:beforeAutospacing="0"/>
        <w:ind w:left="720" w:hanging="360"/>
      </w:pPr>
      <w:r w:rsidRPr="009C5151">
        <w:rPr>
          <w:rStyle w:val="Strong"/>
        </w:rPr>
        <w:t>Section 195 Requirements:</w:t>
      </w:r>
      <w:r w:rsidRPr="009C5151">
        <w:t xml:space="preserve"> Section 195 mandates tax deduction at source on payments to non-residents only if the payment is chargeable to tax in India. Since the interest payments in question are internal and not considered income, they are not chargeable to tax.</w:t>
      </w:r>
    </w:p>
    <w:p w:rsidR="00A056B6" w:rsidRPr="009C5151" w:rsidRDefault="00A056B6" w:rsidP="00743A5F">
      <w:pPr>
        <w:pStyle w:val="NormalWeb"/>
        <w:tabs>
          <w:tab w:val="num" w:pos="720"/>
        </w:tabs>
        <w:spacing w:before="0" w:beforeAutospacing="0"/>
        <w:ind w:left="720" w:hanging="360"/>
      </w:pPr>
      <w:r w:rsidRPr="009C5151">
        <w:rPr>
          <w:rStyle w:val="Strong"/>
        </w:rPr>
        <w:t>Reference to Special Bench Decision:</w:t>
      </w:r>
      <w:r w:rsidRPr="009C5151">
        <w:t xml:space="preserve"> The court referred to the Special Bench decision in </w:t>
      </w:r>
      <w:r w:rsidRPr="009C5151">
        <w:rPr>
          <w:rStyle w:val="Strong"/>
        </w:rPr>
        <w:t>Sumitomo Mitsui Banking Corporation</w:t>
      </w:r>
      <w:r w:rsidRPr="009C5151">
        <w:t xml:space="preserve"> (136 ITD 66), which held that interest paid by an Indian branch to its head office is not taxable in India and, consequently, not subject to withholding tax under Section 195.</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No Withholding Tax Obligation:</w:t>
      </w:r>
      <w:r w:rsidRPr="009C5151">
        <w:rPr>
          <w:rFonts w:ascii="Times New Roman" w:hAnsi="Times New Roman" w:cs="Times New Roman"/>
          <w:sz w:val="24"/>
          <w:szCs w:val="24"/>
        </w:rPr>
        <w:t xml:space="preserve"> The Bombay High Court upheld the Tribunal's decision, concluding that the interest payments made by the Indian branch to its head office are not subject to withholding tax under Section 195, as they do not constitute taxable income in India.</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interest payments between an Indian branch and its foreign head office are internal transactions and do not attract withholding tax obligations under Section 195 of the Income Tax Act, 1961.</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Director of Income Tax (International Taxation) v. Oman International Bank S.A.O.G., [2017] 80 taxmann.com 139 (Bombay).</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41" w:tgtFrame="_new" w:history="1">
        <w:r w:rsidRPr="009C5151">
          <w:rPr>
            <w:rStyle w:val="Hyperlink"/>
          </w:rPr>
          <w:t>ITAT Online</w:t>
        </w:r>
      </w:hyperlink>
    </w:p>
    <w:p w:rsidR="00A056B6" w:rsidRPr="009C5151" w:rsidRDefault="00A056B6" w:rsidP="00743A5F">
      <w:pPr>
        <w:pStyle w:val="NormalWeb"/>
        <w:spacing w:before="0" w:beforeAutospacing="0"/>
      </w:pPr>
      <w:r w:rsidRPr="009C5151">
        <w:t>This decision provides clarity on the tax treatment of internal financial transactions between an Indian branch and its foreign head office, emphasizing that such transactions are not subject to withholding tax in India.</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lastRenderedPageBreak/>
        <w:t>Discuss Societe De Promotion Et De Participation Pour La Cooperation Economique In Re – [2018] 102 CCH 0011 (AAR) – AAR No 1105 of 2011 dated May 21, 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3E78936C" wp14:editId="32BC758B">
            <wp:extent cx="763905" cy="763905"/>
            <wp:effectExtent l="0" t="0" r="0" b="0"/>
            <wp:docPr id="336" name="Picture 33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8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Societe De Promotion Et De Participation Pour La Cooperation Economique (PROPARCO), In Re</w:t>
      </w:r>
      <w:r w:rsidRPr="009C5151">
        <w:t xml:space="preserve"> (AAR No. 1105 of 2011, dated May 21, 2018), the </w:t>
      </w:r>
      <w:r w:rsidRPr="009C5151">
        <w:rPr>
          <w:rStyle w:val="Strong"/>
        </w:rPr>
        <w:t>Authority for Advance Rulings (AAR)</w:t>
      </w:r>
      <w:r w:rsidRPr="009C5151">
        <w:t xml:space="preserve"> examined the taxability of various fees received by PROPARCO, a French financial institution, from Indian customers under the </w:t>
      </w:r>
      <w:r w:rsidRPr="009C5151">
        <w:rPr>
          <w:rStyle w:val="Strong"/>
        </w:rPr>
        <w:t>India-France Double Taxation Avoidance Agreement (DTAA)</w:t>
      </w:r>
      <w:r w:rsidRPr="009C5151">
        <w:t>.</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Applicant:</w:t>
      </w:r>
      <w:r w:rsidRPr="009C5151">
        <w:t xml:space="preserve"> PROPARCO, a French company engaged in financing private sector projects in developing countries.</w:t>
      </w:r>
    </w:p>
    <w:p w:rsidR="00A056B6" w:rsidRPr="009C5151" w:rsidRDefault="00A056B6" w:rsidP="00743A5F">
      <w:pPr>
        <w:pStyle w:val="NormalWeb"/>
        <w:tabs>
          <w:tab w:val="num" w:pos="720"/>
        </w:tabs>
        <w:spacing w:before="0" w:beforeAutospacing="0"/>
        <w:ind w:left="720" w:hanging="360"/>
      </w:pPr>
      <w:r w:rsidRPr="009C5151">
        <w:rPr>
          <w:rStyle w:val="Strong"/>
        </w:rPr>
        <w:t>Transactions:</w:t>
      </w:r>
      <w:r w:rsidRPr="009C5151">
        <w:t xml:space="preserve"> PROPARCO provided loans to Indian customers and charged various fees, including front-end fees, appraisal fees, commitment fees, and agency fees.</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Classification of Fees:</w:t>
      </w:r>
      <w:r w:rsidRPr="009C5151">
        <w:t xml:space="preserve"> Whether the fees charged by PROPARCO qualify as "interest" under Article 12 or "fees for technical services" (FTS) under Article 13 of the India-France DTAA.</w:t>
      </w:r>
    </w:p>
    <w:p w:rsidR="00A056B6" w:rsidRPr="009C5151" w:rsidRDefault="00A056B6" w:rsidP="00743A5F">
      <w:pPr>
        <w:pStyle w:val="NormalWeb"/>
        <w:tabs>
          <w:tab w:val="num" w:pos="720"/>
        </w:tabs>
        <w:spacing w:before="0" w:beforeAutospacing="0"/>
        <w:ind w:left="720" w:hanging="360"/>
      </w:pPr>
      <w:r w:rsidRPr="009C5151">
        <w:rPr>
          <w:rStyle w:val="Strong"/>
        </w:rPr>
        <w:t>Taxability in India:</w:t>
      </w:r>
      <w:r w:rsidRPr="009C5151">
        <w:t xml:space="preserve"> If the fees are not classified as interest or FTS, whether they constitute business income and, in the absence of a Permanent Establishment (PE) in India, are exempt from Indian taxation.</w:t>
      </w:r>
    </w:p>
    <w:p w:rsidR="00A056B6" w:rsidRPr="009C5151" w:rsidRDefault="00A056B6" w:rsidP="00743A5F">
      <w:pPr>
        <w:pStyle w:val="NormalWeb"/>
        <w:spacing w:before="0" w:beforeAutospacing="0"/>
      </w:pPr>
      <w:r w:rsidRPr="009C5151">
        <w:rPr>
          <w:rStyle w:val="Strong"/>
        </w:rPr>
        <w:t>AAR's Analysis:</w:t>
      </w:r>
    </w:p>
    <w:p w:rsidR="00A056B6" w:rsidRPr="009C5151" w:rsidRDefault="00A056B6" w:rsidP="00743A5F">
      <w:pPr>
        <w:pStyle w:val="NormalWeb"/>
        <w:tabs>
          <w:tab w:val="num" w:pos="720"/>
        </w:tabs>
        <w:spacing w:before="0" w:beforeAutospacing="0"/>
        <w:ind w:left="720" w:hanging="360"/>
      </w:pPr>
      <w:r w:rsidRPr="009C5151">
        <w:rPr>
          <w:rStyle w:val="Strong"/>
        </w:rPr>
        <w:t>Definition of Interest (Article 12):</w:t>
      </w:r>
    </w:p>
    <w:p w:rsidR="00A056B6" w:rsidRPr="009C5151" w:rsidRDefault="00A056B6" w:rsidP="00743A5F">
      <w:pPr>
        <w:pStyle w:val="NormalWeb"/>
        <w:numPr>
          <w:ilvl w:val="1"/>
          <w:numId w:val="0"/>
        </w:numPr>
        <w:tabs>
          <w:tab w:val="num" w:pos="1440"/>
        </w:tabs>
        <w:spacing w:before="0" w:beforeAutospacing="0"/>
        <w:ind w:left="1440" w:hanging="360"/>
      </w:pPr>
      <w:r w:rsidRPr="009C5151">
        <w:t>The DTAA defines "interest" as income from debt-claims, including premiums and fees related to loan agreements.</w:t>
      </w:r>
    </w:p>
    <w:p w:rsidR="00A056B6" w:rsidRPr="009C5151" w:rsidRDefault="00A056B6" w:rsidP="00743A5F">
      <w:pPr>
        <w:pStyle w:val="NormalWeb"/>
        <w:numPr>
          <w:ilvl w:val="1"/>
          <w:numId w:val="0"/>
        </w:numPr>
        <w:tabs>
          <w:tab w:val="num" w:pos="1440"/>
        </w:tabs>
        <w:spacing w:before="0" w:beforeAutospacing="0"/>
        <w:ind w:left="1440" w:hanging="360"/>
      </w:pPr>
      <w:r w:rsidRPr="009C5151">
        <w:t>The AAR concluded that front-end fees, commitment fees, and agency fees are integrally connected to the loan and qualify as interest under Article 12.</w:t>
      </w:r>
    </w:p>
    <w:p w:rsidR="00A056B6" w:rsidRPr="009C5151" w:rsidRDefault="00A056B6" w:rsidP="00743A5F">
      <w:pPr>
        <w:pStyle w:val="NormalWeb"/>
        <w:tabs>
          <w:tab w:val="num" w:pos="720"/>
        </w:tabs>
        <w:spacing w:before="0" w:beforeAutospacing="0"/>
        <w:ind w:left="720" w:hanging="360"/>
      </w:pPr>
      <w:r w:rsidRPr="009C5151">
        <w:rPr>
          <w:rStyle w:val="Strong"/>
        </w:rPr>
        <w:t>Definition of Fees for Technical Services (FTS) (Article 13):</w:t>
      </w:r>
    </w:p>
    <w:p w:rsidR="00A056B6" w:rsidRPr="009C5151" w:rsidRDefault="00A056B6" w:rsidP="00743A5F">
      <w:pPr>
        <w:pStyle w:val="NormalWeb"/>
        <w:numPr>
          <w:ilvl w:val="1"/>
          <w:numId w:val="0"/>
        </w:numPr>
        <w:tabs>
          <w:tab w:val="num" w:pos="1440"/>
        </w:tabs>
        <w:spacing w:before="0" w:beforeAutospacing="0"/>
        <w:ind w:left="1440" w:hanging="360"/>
      </w:pPr>
      <w:r w:rsidRPr="009C5151">
        <w:t>FTS refers to payments for managerial, technical, or consultancy services.</w:t>
      </w:r>
    </w:p>
    <w:p w:rsidR="00A056B6" w:rsidRPr="009C5151" w:rsidRDefault="00A056B6" w:rsidP="00743A5F">
      <w:pPr>
        <w:pStyle w:val="NormalWeb"/>
        <w:numPr>
          <w:ilvl w:val="1"/>
          <w:numId w:val="0"/>
        </w:numPr>
        <w:tabs>
          <w:tab w:val="num" w:pos="1440"/>
        </w:tabs>
        <w:spacing w:before="0" w:beforeAutospacing="0"/>
        <w:ind w:left="1440" w:hanging="360"/>
      </w:pPr>
      <w:r w:rsidRPr="009C5151">
        <w:t>The AAR determined that appraisal fees, charged for evaluating loan applications, involve technical expertise and thus qualify as FTS under Article 13.</w:t>
      </w:r>
    </w:p>
    <w:p w:rsidR="00A056B6" w:rsidRPr="009C5151" w:rsidRDefault="00A056B6" w:rsidP="00743A5F">
      <w:pPr>
        <w:pStyle w:val="NormalWeb"/>
        <w:tabs>
          <w:tab w:val="num" w:pos="720"/>
        </w:tabs>
        <w:spacing w:before="0" w:beforeAutospacing="0"/>
        <w:ind w:left="720" w:hanging="360"/>
      </w:pPr>
      <w:r w:rsidRPr="009C5151">
        <w:rPr>
          <w:rStyle w:val="Strong"/>
        </w:rPr>
        <w:lastRenderedPageBreak/>
        <w:t>Business Income and Permanent Establishment (PE):</w:t>
      </w:r>
    </w:p>
    <w:p w:rsidR="00A056B6" w:rsidRPr="009C5151" w:rsidRDefault="00A056B6" w:rsidP="00743A5F">
      <w:pPr>
        <w:pStyle w:val="NormalWeb"/>
        <w:numPr>
          <w:ilvl w:val="1"/>
          <w:numId w:val="0"/>
        </w:numPr>
        <w:tabs>
          <w:tab w:val="num" w:pos="1440"/>
        </w:tabs>
        <w:spacing w:before="0" w:beforeAutospacing="0"/>
        <w:ind w:left="1440" w:hanging="360"/>
      </w:pPr>
      <w:r w:rsidRPr="009C5151">
        <w:t>In the absence of a PE in India, business income of a foreign enterprise is not taxable in India under the DTAA.</w:t>
      </w:r>
    </w:p>
    <w:p w:rsidR="00A056B6" w:rsidRPr="009C5151" w:rsidRDefault="00A056B6" w:rsidP="00743A5F">
      <w:pPr>
        <w:pStyle w:val="NormalWeb"/>
        <w:numPr>
          <w:ilvl w:val="1"/>
          <w:numId w:val="0"/>
        </w:numPr>
        <w:tabs>
          <w:tab w:val="num" w:pos="1440"/>
        </w:tabs>
        <w:spacing w:before="0" w:beforeAutospacing="0"/>
        <w:ind w:left="1440" w:hanging="360"/>
      </w:pPr>
      <w:r w:rsidRPr="009C5151">
        <w:t>The AAR noted that PROPARCO did not have a PE in India; therefore, any income not classified as interest or FTS would be considered business income and exempt from Indian taxation.</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rPr>
          <w:rStyle w:val="Strong"/>
        </w:rPr>
        <w:t>Front-End Fees, Commitment Fees, and Agency Fees:</w:t>
      </w:r>
      <w:r w:rsidRPr="009C5151">
        <w:t xml:space="preserve"> These are classified as interest under Article 12 and are taxable in India.</w:t>
      </w:r>
    </w:p>
    <w:p w:rsidR="00A056B6" w:rsidRPr="009C5151" w:rsidRDefault="00A056B6" w:rsidP="00743A5F">
      <w:pPr>
        <w:pStyle w:val="NormalWeb"/>
        <w:tabs>
          <w:tab w:val="num" w:pos="720"/>
        </w:tabs>
        <w:spacing w:before="0" w:beforeAutospacing="0"/>
        <w:ind w:left="720" w:hanging="360"/>
      </w:pPr>
      <w:r w:rsidRPr="009C5151">
        <w:rPr>
          <w:rStyle w:val="Strong"/>
        </w:rPr>
        <w:t>Appraisal Fees:</w:t>
      </w:r>
      <w:r w:rsidRPr="009C5151">
        <w:t xml:space="preserve"> Classified as FTS under Article 13 and are taxable in India.</w:t>
      </w:r>
    </w:p>
    <w:p w:rsidR="00A056B6" w:rsidRPr="009C5151" w:rsidRDefault="00A056B6" w:rsidP="00743A5F">
      <w:pPr>
        <w:pStyle w:val="NormalWeb"/>
        <w:tabs>
          <w:tab w:val="num" w:pos="720"/>
        </w:tabs>
        <w:spacing w:before="0" w:beforeAutospacing="0"/>
        <w:ind w:left="720" w:hanging="360"/>
      </w:pPr>
      <w:r w:rsidRPr="009C5151">
        <w:rPr>
          <w:rStyle w:val="Strong"/>
        </w:rPr>
        <w:t>Reimbursement of Expenses:</w:t>
      </w:r>
      <w:r w:rsidRPr="009C5151">
        <w:t xml:space="preserve"> Reimbursements for legal and advisory services are not taxable, provided they are actual reimbursements without any profit element.</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ruling clarifies the tax treatment of various fees charged by foreign financial institutions under the India-France DTAA, emphasizing the importance of accurately classifying income to determine tax liability in cross-border financial transactions.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Societe De Promotion Et De Participation Pour La Cooperation Economique (PROPARCO), In Re, AAR No. 1105 of 2011, dated May 21, 2018.</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42" w:tgtFrame="_new" w:history="1">
        <w:r w:rsidRPr="009C5151">
          <w:rPr>
            <w:rStyle w:val="Hyperlink"/>
          </w:rPr>
          <w:t>CaseMine</w:t>
        </w:r>
      </w:hyperlink>
    </w:p>
    <w:p w:rsidR="00A056B6" w:rsidRPr="009C5151" w:rsidRDefault="00A056B6" w:rsidP="00743A5F">
      <w:pPr>
        <w:pStyle w:val="NormalWeb"/>
        <w:spacing w:before="0" w:beforeAutospacing="0"/>
      </w:pPr>
      <w:r w:rsidRPr="009C5151">
        <w:t>This decision underscores the necessity for foreign entities engaging in financial transactions with Indian counterparts to understand the nuances of the DTAA provisions to ensure compliance with Indian tax laws.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Ansaldo Energia SPA v. Dy.DIT (International Taxation) [2015] 63 taxamann.com 280/155 ITD(Chennai)</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02F63123" wp14:editId="39C7C4D0">
            <wp:extent cx="763905" cy="763905"/>
            <wp:effectExtent l="0" t="0" r="0" b="0"/>
            <wp:docPr id="335" name="Picture 33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8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lastRenderedPageBreak/>
        <w:t xml:space="preserve">In the case of </w:t>
      </w:r>
      <w:r w:rsidRPr="009C5151">
        <w:rPr>
          <w:rStyle w:val="Strong"/>
        </w:rPr>
        <w:t>Ansaldo Energia S.p.A. v. Deputy Director of Income Tax (International Taxation)</w:t>
      </w:r>
      <w:r w:rsidRPr="009C5151">
        <w:t xml:space="preserve"> ([2015] 63 taxmann.com 280), the </w:t>
      </w:r>
      <w:r w:rsidRPr="009C5151">
        <w:rPr>
          <w:rStyle w:val="Strong"/>
        </w:rPr>
        <w:t>Income Tax Appellate Tribunal (ITAT) Chennai Bench</w:t>
      </w:r>
      <w:r w:rsidRPr="009C5151">
        <w:t xml:space="preserve"> examined the tax implications of payments made under a composite contract involving offshore supply, onshore services, and construction activities in India.</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Ansaldo Energia S.p.A., an Italian company engaged in the business of designing, building, and supplying power generation plants.</w:t>
      </w:r>
    </w:p>
    <w:p w:rsidR="00A056B6" w:rsidRPr="009C5151" w:rsidRDefault="00A056B6" w:rsidP="00743A5F">
      <w:pPr>
        <w:pStyle w:val="NormalWeb"/>
        <w:tabs>
          <w:tab w:val="num" w:pos="720"/>
        </w:tabs>
        <w:spacing w:before="0" w:beforeAutospacing="0"/>
        <w:ind w:left="720" w:hanging="360"/>
      </w:pPr>
      <w:r w:rsidRPr="009C5151">
        <w:rPr>
          <w:rStyle w:val="Strong"/>
        </w:rPr>
        <w:t>Contracts with Neyveli Lignite Corporation (NLC):</w:t>
      </w:r>
      <w:r w:rsidRPr="009C5151">
        <w:t xml:space="preserve"> The assessee entered into multiple contracts with NLC, including:</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Contract I:</w:t>
      </w:r>
      <w:r w:rsidRPr="009C5151">
        <w:t xml:space="preserve"> Offshore supply of equipment.</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Contract II:</w:t>
      </w:r>
      <w:r w:rsidRPr="009C5151">
        <w:t xml:space="preserve"> Onshore supply of equipment.</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Contract III:</w:t>
      </w:r>
      <w:r w:rsidRPr="009C5151">
        <w:t xml:space="preserve"> Onshore services, including supervision of erection and commissioning.</w:t>
      </w:r>
    </w:p>
    <w:p w:rsidR="00A056B6" w:rsidRPr="009C5151" w:rsidRDefault="00A056B6" w:rsidP="00743A5F">
      <w:pPr>
        <w:pStyle w:val="NormalWeb"/>
        <w:numPr>
          <w:ilvl w:val="1"/>
          <w:numId w:val="0"/>
        </w:numPr>
        <w:tabs>
          <w:tab w:val="num" w:pos="1440"/>
        </w:tabs>
        <w:spacing w:before="0" w:beforeAutospacing="0"/>
        <w:ind w:left="1440" w:hanging="360"/>
      </w:pPr>
      <w:r w:rsidRPr="009C5151">
        <w:rPr>
          <w:rStyle w:val="Strong"/>
        </w:rPr>
        <w:t>Contract IV:</w:t>
      </w:r>
      <w:r w:rsidRPr="009C5151">
        <w:t xml:space="preserve"> Civil construction and erection.</w:t>
      </w:r>
    </w:p>
    <w:p w:rsidR="00A056B6" w:rsidRPr="009C5151" w:rsidRDefault="00A056B6" w:rsidP="00743A5F">
      <w:pPr>
        <w:pStyle w:val="NormalWeb"/>
        <w:spacing w:before="0" w:beforeAutospacing="0"/>
      </w:pPr>
      <w:r w:rsidRPr="009C5151">
        <w:rPr>
          <w:rStyle w:val="Strong"/>
        </w:rPr>
        <w:t>Key Issues:</w:t>
      </w:r>
    </w:p>
    <w:p w:rsidR="00A056B6" w:rsidRPr="009C5151" w:rsidRDefault="00A056B6" w:rsidP="00743A5F">
      <w:pPr>
        <w:pStyle w:val="NormalWeb"/>
        <w:tabs>
          <w:tab w:val="num" w:pos="720"/>
        </w:tabs>
        <w:spacing w:before="0" w:beforeAutospacing="0"/>
        <w:ind w:left="720" w:hanging="360"/>
      </w:pPr>
      <w:r w:rsidRPr="009C5151">
        <w:rPr>
          <w:rStyle w:val="Strong"/>
        </w:rPr>
        <w:t>Permanent Establishment (PE):</w:t>
      </w:r>
      <w:r w:rsidRPr="009C5151">
        <w:t xml:space="preserve"> Whether the assessee had a PE in India during the execution of the contracts.</w:t>
      </w:r>
    </w:p>
    <w:p w:rsidR="00A056B6" w:rsidRPr="009C5151" w:rsidRDefault="00A056B6" w:rsidP="00743A5F">
      <w:pPr>
        <w:pStyle w:val="NormalWeb"/>
        <w:tabs>
          <w:tab w:val="num" w:pos="720"/>
        </w:tabs>
        <w:spacing w:before="0" w:beforeAutospacing="0"/>
        <w:ind w:left="720" w:hanging="360"/>
      </w:pPr>
      <w:r w:rsidRPr="009C5151">
        <w:rPr>
          <w:rStyle w:val="Strong"/>
        </w:rPr>
        <w:t>Taxability of Offshore Supplies:</w:t>
      </w:r>
      <w:r w:rsidRPr="009C5151">
        <w:t xml:space="preserve"> Whether income from offshore supply of equipment under Contract I was taxable in India.</w:t>
      </w:r>
    </w:p>
    <w:p w:rsidR="00A056B6" w:rsidRPr="009C5151" w:rsidRDefault="00A056B6" w:rsidP="00743A5F">
      <w:pPr>
        <w:pStyle w:val="NormalWeb"/>
        <w:tabs>
          <w:tab w:val="num" w:pos="720"/>
        </w:tabs>
        <w:spacing w:before="0" w:beforeAutospacing="0"/>
        <w:ind w:left="720" w:hanging="360"/>
      </w:pPr>
      <w:r w:rsidRPr="009C5151">
        <w:rPr>
          <w:rStyle w:val="Strong"/>
        </w:rPr>
        <w:t>Attribution of Profits:</w:t>
      </w:r>
      <w:r w:rsidRPr="009C5151">
        <w:t xml:space="preserve"> If a PE existed, the extent to which profits from the contracts could be attributed to the PE and taxed in India.</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Existence of PE:</w:t>
      </w:r>
    </w:p>
    <w:p w:rsidR="00A056B6" w:rsidRPr="009C5151" w:rsidRDefault="00A056B6" w:rsidP="00743A5F">
      <w:pPr>
        <w:pStyle w:val="NormalWeb"/>
        <w:numPr>
          <w:ilvl w:val="1"/>
          <w:numId w:val="0"/>
        </w:numPr>
        <w:tabs>
          <w:tab w:val="num" w:pos="1440"/>
        </w:tabs>
        <w:spacing w:before="0" w:beforeAutospacing="0"/>
        <w:ind w:left="1440" w:hanging="360"/>
      </w:pPr>
      <w:r w:rsidRPr="009C5151">
        <w:t>The Tribunal noted that the assessee's activities in India, including supervision and installation services, extended over a significant period.</w:t>
      </w:r>
    </w:p>
    <w:p w:rsidR="00A056B6" w:rsidRPr="009C5151" w:rsidRDefault="00A056B6" w:rsidP="00743A5F">
      <w:pPr>
        <w:pStyle w:val="NormalWeb"/>
        <w:numPr>
          <w:ilvl w:val="1"/>
          <w:numId w:val="0"/>
        </w:numPr>
        <w:tabs>
          <w:tab w:val="num" w:pos="1440"/>
        </w:tabs>
        <w:spacing w:before="0" w:beforeAutospacing="0"/>
        <w:ind w:left="1440" w:hanging="360"/>
      </w:pPr>
      <w:r w:rsidRPr="009C5151">
        <w:t>It was determined that the assessee had a fixed place of business in India, constituting a PE under Article 5 of the India-Italy Double Taxation Avoidance Agreement (DTAA).</w:t>
      </w:r>
    </w:p>
    <w:p w:rsidR="00A056B6" w:rsidRPr="009C5151" w:rsidRDefault="00A056B6" w:rsidP="00743A5F">
      <w:pPr>
        <w:pStyle w:val="NormalWeb"/>
        <w:tabs>
          <w:tab w:val="num" w:pos="720"/>
        </w:tabs>
        <w:spacing w:before="0" w:beforeAutospacing="0"/>
        <w:ind w:left="720" w:hanging="360"/>
      </w:pPr>
      <w:r w:rsidRPr="009C5151">
        <w:rPr>
          <w:rStyle w:val="Strong"/>
        </w:rPr>
        <w:t>Taxability of Offshore Supplies:</w:t>
      </w:r>
    </w:p>
    <w:p w:rsidR="00A056B6" w:rsidRPr="009C5151" w:rsidRDefault="00A056B6" w:rsidP="00743A5F">
      <w:pPr>
        <w:pStyle w:val="NormalWeb"/>
        <w:numPr>
          <w:ilvl w:val="1"/>
          <w:numId w:val="0"/>
        </w:numPr>
        <w:tabs>
          <w:tab w:val="num" w:pos="1440"/>
        </w:tabs>
        <w:spacing w:before="0" w:beforeAutospacing="0"/>
        <w:ind w:left="1440" w:hanging="360"/>
      </w:pPr>
      <w:r w:rsidRPr="009C5151">
        <w:t>The Tribunal observed that the contracts were interdependent and formed part of a composite arrangement.</w:t>
      </w:r>
    </w:p>
    <w:p w:rsidR="00A056B6" w:rsidRPr="009C5151" w:rsidRDefault="00A056B6" w:rsidP="00743A5F">
      <w:pPr>
        <w:pStyle w:val="NormalWeb"/>
        <w:numPr>
          <w:ilvl w:val="1"/>
          <w:numId w:val="0"/>
        </w:numPr>
        <w:tabs>
          <w:tab w:val="num" w:pos="1440"/>
        </w:tabs>
        <w:spacing w:before="0" w:beforeAutospacing="0"/>
        <w:ind w:left="1440" w:hanging="360"/>
      </w:pPr>
      <w:r w:rsidRPr="009C5151">
        <w:lastRenderedPageBreak/>
        <w:t>Given the existence of a PE in India, the profits from offshore supplies were considered attributable to the PE and thus taxable in India.</w:t>
      </w:r>
    </w:p>
    <w:p w:rsidR="00A056B6" w:rsidRPr="009C5151" w:rsidRDefault="00A056B6" w:rsidP="00743A5F">
      <w:pPr>
        <w:pStyle w:val="NormalWeb"/>
        <w:tabs>
          <w:tab w:val="num" w:pos="720"/>
        </w:tabs>
        <w:spacing w:before="0" w:beforeAutospacing="0"/>
        <w:ind w:left="720" w:hanging="360"/>
      </w:pPr>
      <w:r w:rsidRPr="009C5151">
        <w:rPr>
          <w:rStyle w:val="Strong"/>
        </w:rPr>
        <w:t>Attribution of Profits:</w:t>
      </w:r>
    </w:p>
    <w:p w:rsidR="00A056B6" w:rsidRPr="009C5151" w:rsidRDefault="00A056B6" w:rsidP="00743A5F">
      <w:pPr>
        <w:pStyle w:val="NormalWeb"/>
        <w:numPr>
          <w:ilvl w:val="1"/>
          <w:numId w:val="0"/>
        </w:numPr>
        <w:tabs>
          <w:tab w:val="num" w:pos="1440"/>
        </w:tabs>
        <w:spacing w:before="0" w:beforeAutospacing="0"/>
        <w:ind w:left="1440" w:hanging="360"/>
      </w:pPr>
      <w:r w:rsidRPr="009C5151">
        <w:t>The Tribunal emphasized the need for a fair and rational attribution of profits to the PE.</w:t>
      </w:r>
    </w:p>
    <w:p w:rsidR="00A056B6" w:rsidRPr="009C5151" w:rsidRDefault="00A056B6" w:rsidP="00743A5F">
      <w:pPr>
        <w:pStyle w:val="NormalWeb"/>
        <w:numPr>
          <w:ilvl w:val="1"/>
          <w:numId w:val="0"/>
        </w:numPr>
        <w:tabs>
          <w:tab w:val="num" w:pos="1440"/>
        </w:tabs>
        <w:spacing w:before="0" w:beforeAutospacing="0"/>
        <w:ind w:left="1440" w:hanging="360"/>
      </w:pPr>
      <w:r w:rsidRPr="009C5151">
        <w:t>It directed the Assessing Officer to determine the appropriate profit attributable to the PE, considering the functions performed, assets used, and risks assumed by the PE in India.</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t>The ITAT concluded that Ansaldo Energia S.p.A. had a PE in India during the execution of the contracts with NLC.</w:t>
      </w:r>
    </w:p>
    <w:p w:rsidR="00A056B6" w:rsidRPr="009C5151" w:rsidRDefault="00A056B6" w:rsidP="00743A5F">
      <w:pPr>
        <w:pStyle w:val="NormalWeb"/>
        <w:tabs>
          <w:tab w:val="num" w:pos="720"/>
        </w:tabs>
        <w:spacing w:before="0" w:beforeAutospacing="0"/>
        <w:ind w:left="720" w:hanging="360"/>
      </w:pPr>
      <w:r w:rsidRPr="009C5151">
        <w:t>Income from offshore supplies under Contract I was deemed attributable to the PE and, therefore, taxable in India.</w:t>
      </w:r>
    </w:p>
    <w:p w:rsidR="00A056B6" w:rsidRPr="009C5151" w:rsidRDefault="00A056B6" w:rsidP="00743A5F">
      <w:pPr>
        <w:pStyle w:val="NormalWeb"/>
        <w:tabs>
          <w:tab w:val="num" w:pos="720"/>
        </w:tabs>
        <w:spacing w:before="0" w:beforeAutospacing="0"/>
        <w:ind w:left="720" w:hanging="360"/>
      </w:pPr>
      <w:r w:rsidRPr="009C5151">
        <w:t>The matter was remanded to the Assessing Officer for the determination of the exact quantum of profits attributable to the PE.</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decision underscores the importance of analyzing the interdependence of contracts and the presence of a PE in India when determining the taxability of offshore supplies. Even if supplies are made from outside India, profits may be taxable in India if they are attributable to a PE in the country.</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Ansaldo Energia S.p.A. v. Deputy Director of Income Tax (International Taxation), [2015] 63 taxmann.com 280 (Chennai - Trib.).</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43" w:tgtFrame="_new" w:history="1">
        <w:r w:rsidRPr="009C5151">
          <w:rPr>
            <w:rStyle w:val="Hyperlink"/>
          </w:rPr>
          <w:t>CaseMine</w:t>
        </w:r>
      </w:hyperlink>
    </w:p>
    <w:p w:rsidR="00A056B6" w:rsidRPr="009C5151" w:rsidRDefault="00A056B6" w:rsidP="00743A5F">
      <w:pPr>
        <w:pStyle w:val="NormalWeb"/>
        <w:spacing w:before="0" w:beforeAutospacing="0"/>
      </w:pPr>
      <w:r w:rsidRPr="009C5151">
        <w:t>This ruling highlights the complexities involved in international taxation, particularly concerning composite contracts and the determination of a Permanent Establishment, necessitating careful consideration of contractual arrangements and business operations within India.</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Pr.CIT v Krishak Bharti Cooperative Ltd.-10 – (2018) 253 Taxman 242 (SC) – SLP (Civil) Diary No. 41708 of 2017 dated 19.01.2018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3FD622C7" wp14:editId="1500F427">
            <wp:extent cx="763905" cy="763905"/>
            <wp:effectExtent l="0" t="0" r="0" b="0"/>
            <wp:docPr id="334" name="Picture 33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8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Principal Commissioner of Income Tax v. Krishak Bharti Cooperative Ltd.</w:t>
      </w:r>
      <w:r w:rsidRPr="009C5151">
        <w:t xml:space="preserve"> (SLP (Civil) Diary No. 41708 of 2017, dated January 19, 2018), the </w:t>
      </w:r>
      <w:r w:rsidRPr="009C5151">
        <w:rPr>
          <w:rStyle w:val="Strong"/>
        </w:rPr>
        <w:t>Supreme Court of India</w:t>
      </w:r>
      <w:r w:rsidRPr="009C5151">
        <w:t xml:space="preserve"> addressed the issue of tax credit entitlement under the </w:t>
      </w:r>
      <w:r w:rsidRPr="009C5151">
        <w:rPr>
          <w:rStyle w:val="Strong"/>
        </w:rPr>
        <w:t>India-Oman Double Taxation Avoidance Agreement (DTAA)</w:t>
      </w:r>
      <w:r w:rsidRPr="009C5151">
        <w:t xml:space="preserve"> concerning dividend income received by an Indian cooperative from its joint venture in Oman.</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Krishak Bharti Cooperative Ltd. (KRIBHCO), an Indian multi-state cooperative society engaged in manufacturing fertilizers.</w:t>
      </w:r>
    </w:p>
    <w:p w:rsidR="00A056B6" w:rsidRPr="009C5151" w:rsidRDefault="00A056B6" w:rsidP="00743A5F">
      <w:pPr>
        <w:pStyle w:val="NormalWeb"/>
        <w:tabs>
          <w:tab w:val="num" w:pos="720"/>
        </w:tabs>
        <w:spacing w:before="0" w:beforeAutospacing="0"/>
        <w:ind w:left="720" w:hanging="360"/>
      </w:pPr>
      <w:r w:rsidRPr="009C5151">
        <w:rPr>
          <w:rStyle w:val="Strong"/>
        </w:rPr>
        <w:t>Joint Venture:</w:t>
      </w:r>
      <w:r w:rsidRPr="009C5151">
        <w:t xml:space="preserve"> KRIBHCO held a 25% stake in Oman India Fertilizer Company SAOC (OMIFCO), a joint venture in Oman.</w:t>
      </w:r>
    </w:p>
    <w:p w:rsidR="00A056B6" w:rsidRPr="009C5151" w:rsidRDefault="00A056B6" w:rsidP="00743A5F">
      <w:pPr>
        <w:pStyle w:val="NormalWeb"/>
        <w:tabs>
          <w:tab w:val="num" w:pos="720"/>
        </w:tabs>
        <w:spacing w:before="0" w:beforeAutospacing="0"/>
        <w:ind w:left="720" w:hanging="360"/>
      </w:pPr>
      <w:r w:rsidRPr="009C5151">
        <w:rPr>
          <w:rStyle w:val="Strong"/>
        </w:rPr>
        <w:t>Dividend Income:</w:t>
      </w:r>
      <w:r w:rsidRPr="009C5151">
        <w:t xml:space="preserve"> KRIBHCO received dividend income from OMIFCO, which was exempt from tax under Omani tax laws due to specific exemptions aimed at promoting economic development.</w:t>
      </w:r>
    </w:p>
    <w:p w:rsidR="00A056B6" w:rsidRPr="009C5151" w:rsidRDefault="00A056B6" w:rsidP="00743A5F">
      <w:pPr>
        <w:pStyle w:val="NormalWeb"/>
        <w:spacing w:before="0" w:beforeAutospacing="0"/>
      </w:pPr>
      <w:r w:rsidRPr="009C5151">
        <w:rPr>
          <w:rStyle w:val="Strong"/>
        </w:rPr>
        <w:t>Key Issue:</w:t>
      </w:r>
    </w:p>
    <w:p w:rsidR="00A056B6" w:rsidRPr="009C5151" w:rsidRDefault="00A056B6" w:rsidP="00743A5F">
      <w:pPr>
        <w:pStyle w:val="NormalWeb"/>
        <w:spacing w:before="0" w:beforeAutospacing="0"/>
      </w:pPr>
      <w:r w:rsidRPr="009C5151">
        <w:t>Whether KRIBHCO was entitled to a tax credit in India for the dividend income received from OMIFCO, considering that the income was exempt from tax in Oman under Omani tax laws.</w:t>
      </w:r>
    </w:p>
    <w:p w:rsidR="00A056B6" w:rsidRPr="009C5151" w:rsidRDefault="00A056B6" w:rsidP="00743A5F">
      <w:pPr>
        <w:pStyle w:val="NormalWeb"/>
        <w:spacing w:before="0" w:beforeAutospacing="0"/>
      </w:pPr>
      <w:r w:rsidRPr="009C5151">
        <w:rPr>
          <w:rStyle w:val="Strong"/>
        </w:rPr>
        <w:t>Legal Provisions: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Style w:val="Strong"/>
          <w:rFonts w:ascii="Times New Roman" w:hAnsi="Times New Roman" w:cs="Times New Roman"/>
          <w:sz w:val="24"/>
          <w:szCs w:val="24"/>
        </w:rPr>
        <w:t>Article 25(4) of the India-Oman DTAA:</w:t>
      </w:r>
      <w:r w:rsidRPr="009C5151">
        <w:rPr>
          <w:rFonts w:ascii="Times New Roman" w:hAnsi="Times New Roman" w:cs="Times New Roman"/>
          <w:sz w:val="24"/>
          <w:szCs w:val="24"/>
        </w:rPr>
        <w:t xml:space="preserve"> This provision allows for the avoidance of double taxation by permitting tax credits in India for taxes that would have been payable in Oman but were exempted or reduced to promote economic development.</w:t>
      </w:r>
    </w:p>
    <w:p w:rsidR="00A056B6" w:rsidRPr="009C5151" w:rsidRDefault="00A056B6" w:rsidP="00743A5F">
      <w:pPr>
        <w:pStyle w:val="NormalWeb"/>
        <w:spacing w:before="0" w:beforeAutospacing="0"/>
      </w:pPr>
      <w:r w:rsidRPr="009C5151">
        <w:rPr>
          <w:rStyle w:val="Strong"/>
        </w:rPr>
        <w:t>Supreme Court's Analysis:</w:t>
      </w:r>
    </w:p>
    <w:p w:rsidR="00A056B6" w:rsidRPr="009C5151" w:rsidRDefault="00A056B6" w:rsidP="00743A5F">
      <w:pPr>
        <w:pStyle w:val="NormalWeb"/>
        <w:tabs>
          <w:tab w:val="num" w:pos="720"/>
        </w:tabs>
        <w:spacing w:before="0" w:beforeAutospacing="0"/>
        <w:ind w:left="720" w:hanging="360"/>
      </w:pPr>
      <w:r w:rsidRPr="009C5151">
        <w:rPr>
          <w:rStyle w:val="Strong"/>
        </w:rPr>
        <w:t>DTAA Interpretation:</w:t>
      </w:r>
      <w:r w:rsidRPr="009C5151">
        <w:t xml:space="preserve"> The Court emphasized that the purpose of Article 25(4) is to promote economic development by allowing tax credits in India for taxes forgone by Oman as an incentive.</w:t>
      </w:r>
    </w:p>
    <w:p w:rsidR="00A056B6" w:rsidRPr="009C5151" w:rsidRDefault="00A056B6" w:rsidP="00743A5F">
      <w:pPr>
        <w:pStyle w:val="NormalWeb"/>
        <w:tabs>
          <w:tab w:val="num" w:pos="720"/>
        </w:tabs>
        <w:spacing w:before="0" w:beforeAutospacing="0"/>
        <w:ind w:left="720" w:hanging="360"/>
      </w:pPr>
      <w:r w:rsidRPr="009C5151">
        <w:rPr>
          <w:rStyle w:val="Strong"/>
        </w:rPr>
        <w:t>Entitlement to Tax Credit:</w:t>
      </w:r>
      <w:r w:rsidRPr="009C5151">
        <w:t xml:space="preserve"> The Court held that KRIBHCO was entitled to claim a tax credit in India for the dividend income received from OMIFCO, even though the income was exempt from tax in Oman. This interpretation aligns with the intent of the DTAA to prevent double taxation and encourage cross-border investments.</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spacing w:before="0" w:beforeAutospacing="0"/>
      </w:pPr>
      <w:r w:rsidRPr="009C5151">
        <w:t xml:space="preserve">The Supreme Court dismissed the Special Leave Petition filed by the Principal Commissioner of Income Tax, thereby upholding the decisions of the lower authorities that allowed </w:t>
      </w:r>
      <w:r w:rsidRPr="009C5151">
        <w:lastRenderedPageBreak/>
        <w:t>KRIBHCO to claim the tax credit in India for the dividend income received from its Omani joint venture.</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reinforces the principle that under specific provisions of a DTAA, such as Article 25(4) of the India-Oman agreement, taxpayers can claim tax credits in their resident country for income that is exempt from tax in the source country due to economic development incentives.</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Principal Commissioner of Income Tax v. Krishak Bharti Cooperative Ltd., SLP (Civil) Diary No. 41708 of 2017, Supreme Court of India.</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Supreme Court Cases</w:t>
      </w:r>
    </w:p>
    <w:p w:rsidR="00A056B6" w:rsidRPr="009C5151" w:rsidRDefault="00A056B6" w:rsidP="00743A5F">
      <w:pPr>
        <w:pStyle w:val="NormalWeb"/>
        <w:spacing w:before="0" w:beforeAutospacing="0"/>
      </w:pPr>
      <w:r w:rsidRPr="009C5151">
        <w:t>This decision underscores the importance of interpreting DTAA provisions in a manner that facilitates economic cooperation and prevents double taxation, thereby promoting international investments.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Reliance Infrastructure Ltd. v. CIT, Mumbai [2016] 76 taxmann.com 257 (Bombay)</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60A3370F" wp14:editId="708431CF">
            <wp:extent cx="763905" cy="763905"/>
            <wp:effectExtent l="0" t="0" r="0" b="0"/>
            <wp:docPr id="333" name="Picture 33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8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Reliance Infrastructure Ltd. v. Commissioner of Income Tax, Mumbai</w:t>
      </w:r>
      <w:r w:rsidRPr="009C5151">
        <w:t xml:space="preserve"> ([2016] 76 taxmann.com 257), the </w:t>
      </w:r>
      <w:r w:rsidRPr="009C5151">
        <w:rPr>
          <w:rStyle w:val="Strong"/>
        </w:rPr>
        <w:t>Bombay High Court</w:t>
      </w:r>
      <w:r w:rsidRPr="009C5151">
        <w:t xml:space="preserve"> addressed the issue of whether foreign taxes paid by an assessee are deductible as business expenditure under Section 37(1) of the Income Tax Act, 1961, or disallowed under Section 40(a)(ii) of the Act.</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Reliance Infrastructure Ltd., engaged in various business activities, including power generation and distribution.</w:t>
      </w:r>
    </w:p>
    <w:p w:rsidR="00A056B6" w:rsidRPr="009C5151" w:rsidRDefault="00A056B6" w:rsidP="00743A5F">
      <w:pPr>
        <w:pStyle w:val="NormalWeb"/>
        <w:tabs>
          <w:tab w:val="num" w:pos="720"/>
        </w:tabs>
        <w:spacing w:before="0" w:beforeAutospacing="0"/>
        <w:ind w:left="720" w:hanging="360"/>
      </w:pPr>
      <w:r w:rsidRPr="009C5151">
        <w:rPr>
          <w:rStyle w:val="Strong"/>
        </w:rPr>
        <w:t>Foreign Operations:</w:t>
      </w:r>
      <w:r w:rsidRPr="009C5151">
        <w:t xml:space="preserve"> The company had operations in foreign jurisdictions and, consequently, paid taxes in those countries on income earned abroad.</w:t>
      </w:r>
    </w:p>
    <w:p w:rsidR="00A056B6" w:rsidRPr="009C5151" w:rsidRDefault="00A056B6" w:rsidP="00743A5F">
      <w:pPr>
        <w:pStyle w:val="NormalWeb"/>
        <w:tabs>
          <w:tab w:val="num" w:pos="720"/>
        </w:tabs>
        <w:spacing w:before="0" w:beforeAutospacing="0"/>
        <w:ind w:left="720" w:hanging="360"/>
      </w:pPr>
      <w:r w:rsidRPr="009C5151">
        <w:rPr>
          <w:rStyle w:val="Strong"/>
        </w:rPr>
        <w:t>Tax Treatment:</w:t>
      </w:r>
      <w:r w:rsidRPr="009C5151">
        <w:t xml:space="preserve"> The assessee claimed a deduction for these foreign taxes as business expenditure under Section 37(1) of the Income Tax Act.</w:t>
      </w:r>
    </w:p>
    <w:p w:rsidR="00A056B6" w:rsidRPr="009C5151" w:rsidRDefault="00A056B6" w:rsidP="00743A5F">
      <w:pPr>
        <w:pStyle w:val="NormalWeb"/>
        <w:spacing w:before="0" w:beforeAutospacing="0"/>
      </w:pPr>
      <w:r w:rsidRPr="009C5151">
        <w:rPr>
          <w:rStyle w:val="Strong"/>
        </w:rPr>
        <w:t>Key Issue:</w:t>
      </w:r>
    </w:p>
    <w:p w:rsidR="00A056B6" w:rsidRPr="009C5151" w:rsidRDefault="00A056B6" w:rsidP="00743A5F">
      <w:pPr>
        <w:pStyle w:val="NormalWeb"/>
        <w:spacing w:before="0" w:beforeAutospacing="0"/>
      </w:pPr>
      <w:r w:rsidRPr="009C5151">
        <w:lastRenderedPageBreak/>
        <w:t>Whether the foreign taxes paid by the assessee are allowable as a deduction under Section 37(1), or are they disallowed under Section 40(a)(ii) of the Income Tax Act, which prohibits the deduction of "any sum paid on account of any rate or tax levied on the profits or gains of any business or profession."</w:t>
      </w:r>
    </w:p>
    <w:p w:rsidR="00A056B6" w:rsidRPr="009C5151" w:rsidRDefault="00A056B6" w:rsidP="00743A5F">
      <w:pPr>
        <w:pStyle w:val="NormalWeb"/>
        <w:spacing w:before="0" w:beforeAutospacing="0"/>
      </w:pPr>
      <w:r w:rsidRPr="009C5151">
        <w:rPr>
          <w:rStyle w:val="Strong"/>
        </w:rPr>
        <w:t>High Court's Analysis:</w:t>
      </w:r>
    </w:p>
    <w:p w:rsidR="00A056B6" w:rsidRPr="009C5151" w:rsidRDefault="00A056B6" w:rsidP="00743A5F">
      <w:pPr>
        <w:pStyle w:val="NormalWeb"/>
        <w:tabs>
          <w:tab w:val="num" w:pos="720"/>
        </w:tabs>
        <w:spacing w:before="0" w:beforeAutospacing="0"/>
        <w:ind w:left="720" w:hanging="360"/>
      </w:pPr>
      <w:r w:rsidRPr="009C5151">
        <w:rPr>
          <w:rStyle w:val="Strong"/>
        </w:rPr>
        <w:t>Definition of 'Tax':</w:t>
      </w:r>
      <w:r w:rsidRPr="009C5151">
        <w:t xml:space="preserve"> The court examined the definition of 'tax' under Section 2(43) of the Income Tax Act, which refers specifically to taxes payable under the Act itself.</w:t>
      </w:r>
    </w:p>
    <w:p w:rsidR="00A056B6" w:rsidRPr="009C5151" w:rsidRDefault="00A056B6" w:rsidP="00743A5F">
      <w:pPr>
        <w:pStyle w:val="NormalWeb"/>
        <w:tabs>
          <w:tab w:val="num" w:pos="720"/>
        </w:tabs>
        <w:spacing w:before="0" w:beforeAutospacing="0"/>
        <w:ind w:left="720" w:hanging="360"/>
      </w:pPr>
      <w:r w:rsidRPr="009C5151">
        <w:rPr>
          <w:rStyle w:val="Strong"/>
        </w:rPr>
        <w:t>Section 40(a)(ii):</w:t>
      </w:r>
      <w:r w:rsidRPr="009C5151">
        <w:t xml:space="preserve"> This provision disallows deductions for taxes levied on profits or gains of business or profession. The court noted that the term 'tax' here pertains to taxes under the Indian Income Tax Act, not foreign taxes.</w:t>
      </w:r>
    </w:p>
    <w:p w:rsidR="00A056B6" w:rsidRPr="009C5151" w:rsidRDefault="00A056B6" w:rsidP="00743A5F">
      <w:pPr>
        <w:pStyle w:val="NormalWeb"/>
        <w:tabs>
          <w:tab w:val="num" w:pos="720"/>
        </w:tabs>
        <w:spacing w:before="0" w:beforeAutospacing="0"/>
        <w:ind w:left="720" w:hanging="360"/>
      </w:pPr>
      <w:r w:rsidRPr="009C5151">
        <w:rPr>
          <w:rStyle w:val="Strong"/>
        </w:rPr>
        <w:t>Allowability under Section 37(1):</w:t>
      </w:r>
      <w:r w:rsidRPr="009C5151">
        <w:t xml:space="preserve"> Since foreign taxes are not covered by the definition in Section 2(43) and are not disallowed by Section 40(a)(ii), the court held that such taxes could be considered as business expenditure and allowed as a deduction under Section 37(1), provided no relief or credit is claimed under Sections 90 or 91 of the Act.</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spacing w:before="0" w:beforeAutospacing="0"/>
      </w:pPr>
      <w:r w:rsidRPr="009C5151">
        <w:t>The Bombay High Court concluded that foreign taxes paid by the assessee are deductible as business expenditure under Section 37(1) of the Income Tax Act, 1961, and are not disallowed under Section 40(a)(ii), provided the assessee has not claimed any relief under Sections 90 or 91.</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This judgment clarifies that foreign taxes, not being 'tax' as defined under Section 2(43) and not covered by the disallowance under Section 40(a)(ii), can be claimed as a deduction under Section 37(1) if no double taxation relief is sought.</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Reliance Infrastructure Ltd. v. Commissioner of Income Tax, Mumbai, [2016] 76 taxmann.com 257 (Bombay).</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44" w:tgtFrame="_new" w:history="1">
        <w:r w:rsidRPr="009C5151">
          <w:rPr>
            <w:rStyle w:val="Hyperlink"/>
          </w:rPr>
          <w:t>ITAT Online</w:t>
        </w:r>
      </w:hyperlink>
    </w:p>
    <w:p w:rsidR="00A056B6" w:rsidRPr="009C5151" w:rsidRDefault="00A056B6" w:rsidP="00743A5F">
      <w:pPr>
        <w:pStyle w:val="NormalWeb"/>
        <w:spacing w:before="0" w:beforeAutospacing="0"/>
      </w:pPr>
      <w:r w:rsidRPr="009C5151">
        <w:t>This decision provides significant insight into the tax treatment of foreign taxes paid by Indian entities, emphasizing the importance of understanding the interplay between various sections of the Income Tax Act when determining allowable deductions.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IBM India Private Limited v DCIT – ITA Nos. 47 &amp; 48/Bang/ 2017 dated 19.01.2018</w:t>
      </w:r>
    </w:p>
    <w:p w:rsidR="00A056B6" w:rsidRPr="009C5151" w:rsidRDefault="00A056B6" w:rsidP="00743A5F">
      <w:pPr>
        <w:pStyle w:val="Heading6"/>
        <w:spacing w:before="0" w:beforeAutospacing="0"/>
        <w:rPr>
          <w:sz w:val="24"/>
          <w:szCs w:val="24"/>
        </w:rPr>
      </w:pPr>
      <w:r w:rsidRPr="009C5151">
        <w:rPr>
          <w:sz w:val="24"/>
          <w:szCs w:val="24"/>
        </w:rPr>
        <w:lastRenderedPageBreak/>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drawing>
          <wp:inline distT="0" distB="0" distL="0" distR="0" wp14:anchorId="1A77B99A" wp14:editId="7E1815E5">
            <wp:extent cx="763905" cy="763905"/>
            <wp:effectExtent l="0" t="0" r="0" b="0"/>
            <wp:docPr id="332" name="Picture 33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8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IBM India Private Limited v. Deputy Commissioner of Income Tax</w:t>
      </w:r>
      <w:r w:rsidRPr="009C5151">
        <w:t xml:space="preserve"> (ITA Nos. 47 &amp; 48/Bang/2017, dated January 19, 2018), the </w:t>
      </w:r>
      <w:r w:rsidRPr="009C5151">
        <w:rPr>
          <w:rStyle w:val="Strong"/>
        </w:rPr>
        <w:t>Income Tax Appellate Tribunal (ITAT) Bangalore Bench</w:t>
      </w:r>
      <w:r w:rsidRPr="009C5151">
        <w:t xml:space="preserve"> addressed the issue of whether payments made by IBM India for the purchase of software from foreign vendors constituted "royalty" under the Income Tax Act, 1961, and the relevant Double Taxation Avoidance Agreements (DTAAs), thereby necessitating tax deduction at source under Section 195.</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IBM India Private Limited, engaged in the business of software development and information technology services.</w:t>
      </w:r>
    </w:p>
    <w:p w:rsidR="00A056B6" w:rsidRPr="009C5151" w:rsidRDefault="00A056B6" w:rsidP="00743A5F">
      <w:pPr>
        <w:pStyle w:val="NormalWeb"/>
        <w:tabs>
          <w:tab w:val="num" w:pos="720"/>
        </w:tabs>
        <w:spacing w:before="0" w:beforeAutospacing="0"/>
        <w:ind w:left="720" w:hanging="360"/>
      </w:pPr>
      <w:r w:rsidRPr="009C5151">
        <w:rPr>
          <w:rStyle w:val="Strong"/>
        </w:rPr>
        <w:t>Transaction:</w:t>
      </w:r>
      <w:r w:rsidRPr="009C5151">
        <w:t xml:space="preserve"> IBM India purchased software from foreign vendors and made payments without deducting tax at source, contending that such payments did not constitute "royalty" and were not taxable in India.</w:t>
      </w:r>
    </w:p>
    <w:p w:rsidR="00A056B6" w:rsidRPr="009C5151" w:rsidRDefault="00A056B6" w:rsidP="00743A5F">
      <w:pPr>
        <w:pStyle w:val="NormalWeb"/>
        <w:tabs>
          <w:tab w:val="num" w:pos="720"/>
        </w:tabs>
        <w:spacing w:before="0" w:beforeAutospacing="0"/>
        <w:ind w:left="720" w:hanging="360"/>
      </w:pPr>
      <w:r w:rsidRPr="009C5151">
        <w:rPr>
          <w:rStyle w:val="Strong"/>
        </w:rPr>
        <w:t>Assessment Year:</w:t>
      </w:r>
      <w:r w:rsidRPr="009C5151">
        <w:t xml:space="preserve"> 2015-16.</w:t>
      </w:r>
    </w:p>
    <w:p w:rsidR="00A056B6" w:rsidRPr="009C5151" w:rsidRDefault="00A056B6" w:rsidP="00743A5F">
      <w:pPr>
        <w:pStyle w:val="NormalWeb"/>
        <w:spacing w:before="0" w:beforeAutospacing="0"/>
      </w:pPr>
      <w:r w:rsidRPr="009C5151">
        <w:rPr>
          <w:rStyle w:val="Strong"/>
        </w:rPr>
        <w:t>Key Issue:</w:t>
      </w:r>
    </w:p>
    <w:p w:rsidR="00A056B6" w:rsidRPr="009C5151" w:rsidRDefault="00A056B6" w:rsidP="00743A5F">
      <w:pPr>
        <w:pStyle w:val="NormalWeb"/>
        <w:spacing w:before="0" w:beforeAutospacing="0"/>
      </w:pPr>
      <w:r w:rsidRPr="009C5151">
        <w:t>Whether payments made by IBM India to foreign vendors for the purchase of software are liable to tax deduction at source under Section 195, considering such payments as "royalty" under Section 9(1)(vi) of the Income Tax Act and the applicable DTAAs.</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Definition of Royalty:</w:t>
      </w:r>
      <w:r w:rsidRPr="009C5151">
        <w:t xml:space="preserve"> The Tribunal referred to the definition of "royalty" under Section 9(1)(vi) of the Income Tax Act and the corresponding provisions in the DTAAs, noting that the term includes payments for the use of, or the right to use, any copyright of a literary, artistic, or scientific work.</w:t>
      </w:r>
    </w:p>
    <w:p w:rsidR="00A056B6" w:rsidRPr="009C5151" w:rsidRDefault="00A056B6" w:rsidP="00743A5F">
      <w:pPr>
        <w:pStyle w:val="NormalWeb"/>
        <w:tabs>
          <w:tab w:val="num" w:pos="720"/>
        </w:tabs>
        <w:spacing w:before="0" w:beforeAutospacing="0"/>
        <w:ind w:left="720" w:hanging="360"/>
      </w:pPr>
      <w:r w:rsidRPr="009C5151">
        <w:rPr>
          <w:rStyle w:val="Strong"/>
        </w:rPr>
        <w:t>Previous Rulings:</w:t>
      </w:r>
      <w:r w:rsidRPr="009C5151">
        <w:t xml:space="preserve"> The ITAT acknowledged that in earlier assessments, similar payments made by IBM India were treated as "royalty," and the assessee was held liable for non-deduction of tax at source under Section 195.</w:t>
      </w:r>
    </w:p>
    <w:p w:rsidR="00A056B6" w:rsidRPr="009C5151" w:rsidRDefault="00A056B6" w:rsidP="00743A5F">
      <w:pPr>
        <w:pStyle w:val="NormalWeb"/>
        <w:tabs>
          <w:tab w:val="num" w:pos="720"/>
        </w:tabs>
        <w:spacing w:before="0" w:beforeAutospacing="0"/>
        <w:ind w:left="720" w:hanging="360"/>
      </w:pPr>
      <w:r w:rsidRPr="009C5151">
        <w:rPr>
          <w:rStyle w:val="Strong"/>
        </w:rPr>
        <w:t>Jurisdictional High Court Decision:</w:t>
      </w:r>
      <w:r w:rsidRPr="009C5151">
        <w:t xml:space="preserve"> The Tribunal noted that the Karnataka High Court, in the assessee's own case, had previously held that payments for the purchase of software amounted to "royalty" and were subject to withholding tax under Section 195.</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lastRenderedPageBreak/>
        <w:t>The ITAT, following the precedent set by the jurisdictional High Court, held that the payments made by IBM India for the purchase of software from foreign vendors constituted "royalty" under Section 9(1)(vi) of the Income Tax Act and the relevant DTAAs.</w:t>
      </w:r>
    </w:p>
    <w:p w:rsidR="00A056B6" w:rsidRPr="009C5151" w:rsidRDefault="00A056B6" w:rsidP="00743A5F">
      <w:pPr>
        <w:pStyle w:val="NormalWeb"/>
        <w:tabs>
          <w:tab w:val="num" w:pos="720"/>
        </w:tabs>
        <w:spacing w:before="0" w:beforeAutospacing="0"/>
        <w:ind w:left="720" w:hanging="360"/>
      </w:pPr>
      <w:r w:rsidRPr="009C5151">
        <w:t>Consequently, the assessee was deemed to be in default for not deducting tax at source under Section 195 on such payments.</w:t>
      </w:r>
    </w:p>
    <w:p w:rsidR="00A056B6" w:rsidRPr="009C5151" w:rsidRDefault="00A056B6" w:rsidP="00743A5F">
      <w:pPr>
        <w:pStyle w:val="NormalWeb"/>
        <w:spacing w:before="0" w:beforeAutospacing="0"/>
      </w:pPr>
      <w:r w:rsidRPr="009C5151">
        <w:rPr>
          <w:rStyle w:val="Strong"/>
        </w:rPr>
        <w:t>Subsequent Developments:</w:t>
      </w:r>
    </w:p>
    <w:p w:rsidR="00A056B6" w:rsidRPr="009C5151" w:rsidRDefault="00A056B6" w:rsidP="00743A5F">
      <w:pPr>
        <w:pStyle w:val="NormalWeb"/>
        <w:tabs>
          <w:tab w:val="num" w:pos="720"/>
        </w:tabs>
        <w:spacing w:before="0" w:beforeAutospacing="0"/>
        <w:ind w:left="720" w:hanging="360"/>
      </w:pPr>
      <w:r w:rsidRPr="009C5151">
        <w:t xml:space="preserve">It is pertinent to note that the Supreme Court of India, in the case of </w:t>
      </w:r>
      <w:r w:rsidRPr="009C5151">
        <w:rPr>
          <w:rStyle w:val="Strong"/>
        </w:rPr>
        <w:t>Engineering Analysis Centre of Excellence Private Limited v. CIT</w:t>
      </w:r>
      <w:r w:rsidRPr="009C5151">
        <w:t xml:space="preserve"> ([2021] 432 ITR 471), overruled the earlier position by holding that payments made for the purchase of software do not constitute "royalty" and are not subject to tax deduction at source under Section 195.</w:t>
      </w:r>
    </w:p>
    <w:p w:rsidR="00A056B6" w:rsidRPr="009C5151" w:rsidRDefault="00A056B6" w:rsidP="00743A5F">
      <w:pPr>
        <w:pStyle w:val="NormalWeb"/>
        <w:tabs>
          <w:tab w:val="num" w:pos="720"/>
        </w:tabs>
        <w:spacing w:before="0" w:beforeAutospacing="0"/>
        <w:ind w:left="720" w:hanging="360"/>
      </w:pPr>
      <w:r w:rsidRPr="009C5151">
        <w:t xml:space="preserve">Following this landmark judgment, the ITAT Bangalore, in subsequent proceedings involving IBM India, amended its earlier orders to align with the Supreme Court's decision, thereby holding that payments for software purchases are not "royalty" and do not attract withholding tax obligations. </w:t>
      </w:r>
    </w:p>
    <w:p w:rsidR="00A056B6" w:rsidRPr="009C5151" w:rsidRDefault="00A056B6" w:rsidP="00743A5F">
      <w:pPr>
        <w:spacing w:afterAutospacing="1" w:line="240" w:lineRule="auto"/>
        <w:ind w:left="720"/>
        <w:rPr>
          <w:rFonts w:ascii="Times New Roman" w:hAnsi="Times New Roman" w:cs="Times New Roman"/>
          <w:sz w:val="24"/>
          <w:szCs w:val="24"/>
        </w:rPr>
      </w:pPr>
      <w:hyperlink r:id="rId145" w:tgtFrame="_blank" w:history="1">
        <w:r w:rsidRPr="009C5151">
          <w:rPr>
            <w:rStyle w:val="truncate"/>
            <w:rFonts w:ascii="Times New Roman" w:hAnsi="Times New Roman" w:cs="Times New Roman"/>
            <w:color w:val="0000FF"/>
            <w:sz w:val="24"/>
            <w:szCs w:val="24"/>
            <w:u w:val="single"/>
          </w:rPr>
          <w:t>Indian Kanoon</w:t>
        </w:r>
      </w:hyperlink>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 xml:space="preserve">While the ITAT's decision in </w:t>
      </w:r>
      <w:r w:rsidRPr="009C5151">
        <w:rPr>
          <w:rStyle w:val="Strong"/>
        </w:rPr>
        <w:t>IBM India Private Limited v. DCIT</w:t>
      </w:r>
      <w:r w:rsidRPr="009C5151">
        <w:t xml:space="preserve"> (January 19, 2018) held that payments for software purchases constituted "royalty" subject to tax deduction at source, this position has been overturned by the Supreme Court's ruling in </w:t>
      </w:r>
      <w:r w:rsidRPr="009C5151">
        <w:rPr>
          <w:rStyle w:val="Strong"/>
        </w:rPr>
        <w:t>Engineering Analysis Centre of Excellence Private Limited</w:t>
      </w:r>
      <w:r w:rsidRPr="009C5151">
        <w:t>. As a result, payments for the purchase of software are no longer considered "royalty" and are not liable for withholding tax under Section 195.</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IBM India Private Limited v. Deputy Commissioner of Income Tax, ITA Nos. 47 &amp; 48/Bang/2017, ITAT Bangalore Bench.</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46" w:tgtFrame="_new" w:history="1">
        <w:r w:rsidRPr="009C5151">
          <w:rPr>
            <w:rStyle w:val="Hyperlink"/>
          </w:rPr>
          <w:t>Indian Kanoon</w:t>
        </w:r>
      </w:hyperlink>
    </w:p>
    <w:p w:rsidR="00A056B6" w:rsidRPr="009C5151" w:rsidRDefault="00A056B6" w:rsidP="00743A5F">
      <w:pPr>
        <w:pStyle w:val="NormalWeb"/>
        <w:spacing w:before="0" w:beforeAutospacing="0"/>
      </w:pPr>
      <w:r w:rsidRPr="009C5151">
        <w:t>This development underscores the dynamic nature of tax jurisprudence and the importance of staying abreast of the latest judicial pronouncements to ensure compliance with current legal standards.</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A056B6" w:rsidRPr="009C5151" w:rsidRDefault="00A056B6" w:rsidP="00743A5F">
      <w:pPr>
        <w:pStyle w:val="Heading5"/>
        <w:spacing w:before="0" w:beforeAutospacing="0"/>
        <w:rPr>
          <w:sz w:val="24"/>
          <w:szCs w:val="24"/>
        </w:rPr>
      </w:pPr>
      <w:r w:rsidRPr="009C5151">
        <w:rPr>
          <w:sz w:val="24"/>
          <w:szCs w:val="24"/>
        </w:rPr>
        <w:t>You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Discuss Avesthagen Ltd v ITO [TS-486-ITAT-2018(Bang)] - ITA No.173/Bang/2016 dated 03.08.2018</w:t>
      </w:r>
    </w:p>
    <w:p w:rsidR="00A056B6" w:rsidRPr="009C5151" w:rsidRDefault="00A056B6" w:rsidP="00743A5F">
      <w:pPr>
        <w:pStyle w:val="Heading6"/>
        <w:spacing w:before="0" w:beforeAutospacing="0"/>
        <w:rPr>
          <w:sz w:val="24"/>
          <w:szCs w:val="24"/>
        </w:rPr>
      </w:pPr>
      <w:r w:rsidRPr="009C5151">
        <w:rPr>
          <w:sz w:val="24"/>
          <w:szCs w:val="24"/>
        </w:rPr>
        <w:t>ChatGPT said:</w:t>
      </w:r>
    </w:p>
    <w:p w:rsidR="00A056B6" w:rsidRPr="009C5151"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noProof/>
          <w:sz w:val="24"/>
          <w:szCs w:val="24"/>
          <w:lang w:eastAsia="en-IN" w:bidi="ta-IN"/>
        </w:rPr>
        <w:lastRenderedPageBreak/>
        <w:drawing>
          <wp:inline distT="0" distB="0" distL="0" distR="0" wp14:anchorId="7D0CE0EF" wp14:editId="721E1CA5">
            <wp:extent cx="763905" cy="763905"/>
            <wp:effectExtent l="0" t="0" r="0" b="0"/>
            <wp:docPr id="331" name="Picture 33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9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A056B6" w:rsidRPr="009C5151" w:rsidRDefault="00A056B6" w:rsidP="00743A5F">
      <w:pPr>
        <w:pStyle w:val="NormalWeb"/>
        <w:spacing w:before="0" w:beforeAutospacing="0"/>
      </w:pPr>
      <w:r w:rsidRPr="009C5151">
        <w:t xml:space="preserve">In the case of </w:t>
      </w:r>
      <w:r w:rsidRPr="009C5151">
        <w:rPr>
          <w:rStyle w:val="Strong"/>
        </w:rPr>
        <w:t>Avesthagen Ltd. v. Income Tax Officer</w:t>
      </w:r>
      <w:r w:rsidRPr="009C5151">
        <w:t xml:space="preserve"> (ITA No. 173/Bang/2016, dated August 3, 2018), the </w:t>
      </w:r>
      <w:r w:rsidRPr="009C5151">
        <w:rPr>
          <w:rStyle w:val="Strong"/>
        </w:rPr>
        <w:t>Income Tax Appellate Tribunal (ITAT) Bangalore Bench</w:t>
      </w:r>
      <w:r w:rsidRPr="009C5151">
        <w:t xml:space="preserve"> addressed the tax implications of payments made by an Indian company to a U.S.-based entity for the purchase of software licenses, focusing on whether such payments constituted "royalty" under the </w:t>
      </w:r>
      <w:r w:rsidRPr="009C5151">
        <w:rPr>
          <w:rStyle w:val="Strong"/>
        </w:rPr>
        <w:t>Income Tax Act, 1961</w:t>
      </w:r>
      <w:r w:rsidRPr="009C5151">
        <w:t xml:space="preserve">, and the </w:t>
      </w:r>
      <w:r w:rsidRPr="009C5151">
        <w:rPr>
          <w:rStyle w:val="Strong"/>
        </w:rPr>
        <w:t>India-USA Double Taxation Avoidance Agreement (DTAA)</w:t>
      </w:r>
      <w:r w:rsidRPr="009C5151">
        <w:t>.</w:t>
      </w:r>
    </w:p>
    <w:p w:rsidR="00A056B6" w:rsidRPr="009C5151" w:rsidRDefault="00A056B6" w:rsidP="00743A5F">
      <w:pPr>
        <w:pStyle w:val="NormalWeb"/>
        <w:spacing w:before="0" w:beforeAutospacing="0"/>
      </w:pPr>
      <w:r w:rsidRPr="009C5151">
        <w:rPr>
          <w:rStyle w:val="Strong"/>
        </w:rPr>
        <w:t>Background:</w:t>
      </w:r>
    </w:p>
    <w:p w:rsidR="00A056B6" w:rsidRPr="009C5151" w:rsidRDefault="00A056B6" w:rsidP="00743A5F">
      <w:pPr>
        <w:pStyle w:val="NormalWeb"/>
        <w:tabs>
          <w:tab w:val="num" w:pos="720"/>
        </w:tabs>
        <w:spacing w:before="0" w:beforeAutospacing="0"/>
        <w:ind w:left="720" w:hanging="360"/>
      </w:pPr>
      <w:r w:rsidRPr="009C5151">
        <w:rPr>
          <w:rStyle w:val="Strong"/>
        </w:rPr>
        <w:t>Assessee:</w:t>
      </w:r>
      <w:r w:rsidRPr="009C5151">
        <w:t xml:space="preserve"> Avesthagen Ltd., an Indian biotechnology company.</w:t>
      </w:r>
    </w:p>
    <w:p w:rsidR="00A056B6" w:rsidRPr="009C5151" w:rsidRDefault="00A056B6" w:rsidP="00743A5F">
      <w:pPr>
        <w:pStyle w:val="NormalWeb"/>
        <w:tabs>
          <w:tab w:val="num" w:pos="720"/>
        </w:tabs>
        <w:spacing w:before="0" w:beforeAutospacing="0"/>
        <w:ind w:left="720" w:hanging="360"/>
      </w:pPr>
      <w:r w:rsidRPr="009C5151">
        <w:rPr>
          <w:rStyle w:val="Strong"/>
        </w:rPr>
        <w:t>Transaction:</w:t>
      </w:r>
      <w:r w:rsidRPr="009C5151">
        <w:t xml:space="preserve"> The company purchased software licenses from a U.S.-based entity and made payments without deducting tax at source under Section 195 of the Income Tax Act, 1961.</w:t>
      </w:r>
    </w:p>
    <w:p w:rsidR="00A056B6" w:rsidRPr="009C5151" w:rsidRDefault="00A056B6" w:rsidP="00743A5F">
      <w:pPr>
        <w:pStyle w:val="NormalWeb"/>
        <w:tabs>
          <w:tab w:val="num" w:pos="720"/>
        </w:tabs>
        <w:spacing w:before="0" w:beforeAutospacing="0"/>
        <w:ind w:left="720" w:hanging="360"/>
      </w:pPr>
      <w:r w:rsidRPr="009C5151">
        <w:rPr>
          <w:rStyle w:val="Strong"/>
        </w:rPr>
        <w:t>Assessment Year:</w:t>
      </w:r>
      <w:r w:rsidRPr="009C5151">
        <w:t xml:space="preserve"> 2010-11.</w:t>
      </w:r>
    </w:p>
    <w:p w:rsidR="00A056B6" w:rsidRPr="009C5151" w:rsidRDefault="00A056B6" w:rsidP="00743A5F">
      <w:pPr>
        <w:pStyle w:val="NormalWeb"/>
        <w:spacing w:before="0" w:beforeAutospacing="0"/>
      </w:pPr>
      <w:r w:rsidRPr="009C5151">
        <w:rPr>
          <w:rStyle w:val="Strong"/>
        </w:rPr>
        <w:t>Key Issue:</w:t>
      </w:r>
    </w:p>
    <w:p w:rsidR="00A056B6" w:rsidRPr="009C5151" w:rsidRDefault="00A056B6" w:rsidP="00743A5F">
      <w:pPr>
        <w:pStyle w:val="NormalWeb"/>
        <w:spacing w:before="0" w:beforeAutospacing="0"/>
      </w:pPr>
      <w:r w:rsidRPr="009C5151">
        <w:t>Whether payments made by Avesthagen Ltd. for the purchase of software licenses from a U.S. entity are liable to tax deduction at source under Section 195, considering such payments as "royalty" under Section 9(1)(vi) of the Income Tax Act and the applicable DTAA.</w:t>
      </w:r>
    </w:p>
    <w:p w:rsidR="00A056B6" w:rsidRPr="009C5151" w:rsidRDefault="00A056B6" w:rsidP="00743A5F">
      <w:pPr>
        <w:pStyle w:val="NormalWeb"/>
        <w:spacing w:before="0" w:beforeAutospacing="0"/>
      </w:pPr>
      <w:r w:rsidRPr="009C5151">
        <w:rPr>
          <w:rStyle w:val="Strong"/>
        </w:rPr>
        <w:t>ITAT's Analysis:</w:t>
      </w:r>
    </w:p>
    <w:p w:rsidR="00A056B6" w:rsidRPr="009C5151" w:rsidRDefault="00A056B6" w:rsidP="00743A5F">
      <w:pPr>
        <w:pStyle w:val="NormalWeb"/>
        <w:tabs>
          <w:tab w:val="num" w:pos="720"/>
        </w:tabs>
        <w:spacing w:before="0" w:beforeAutospacing="0"/>
        <w:ind w:left="720" w:hanging="360"/>
      </w:pPr>
      <w:r w:rsidRPr="009C5151">
        <w:rPr>
          <w:rStyle w:val="Strong"/>
        </w:rPr>
        <w:t>Definition of Royalty:</w:t>
      </w:r>
      <w:r w:rsidRPr="009C5151">
        <w:t xml:space="preserve"> The Tribunal referred to the definition of "royalty" under Section 9(1)(vi) of the Income Tax Act and Article 12 of the India-USA DTAA, noting that the term includes payments for the use of, or the right to use, any copyright of a literary, artistic, or scientific work.</w:t>
      </w:r>
    </w:p>
    <w:p w:rsidR="00A056B6" w:rsidRPr="009C5151" w:rsidRDefault="00A056B6" w:rsidP="00743A5F">
      <w:pPr>
        <w:pStyle w:val="NormalWeb"/>
        <w:tabs>
          <w:tab w:val="num" w:pos="720"/>
        </w:tabs>
        <w:spacing w:before="0" w:beforeAutospacing="0"/>
        <w:ind w:left="720" w:hanging="360"/>
      </w:pPr>
      <w:r w:rsidRPr="009C5151">
        <w:rPr>
          <w:rStyle w:val="Strong"/>
        </w:rPr>
        <w:t>Nature of Software Payments:</w:t>
      </w:r>
      <w:r w:rsidRPr="009C5151">
        <w:t xml:space="preserve"> The ITAT observed that the payments were made for the purchase of software licenses, granting the assessee the right to use the software.</w:t>
      </w:r>
    </w:p>
    <w:p w:rsidR="00A056B6" w:rsidRPr="009C5151" w:rsidRDefault="00A056B6" w:rsidP="00743A5F">
      <w:pPr>
        <w:pStyle w:val="NormalWeb"/>
        <w:tabs>
          <w:tab w:val="num" w:pos="720"/>
        </w:tabs>
        <w:spacing w:before="0" w:beforeAutospacing="0"/>
        <w:ind w:left="720" w:hanging="360"/>
      </w:pPr>
      <w:r w:rsidRPr="009C5151">
        <w:rPr>
          <w:rStyle w:val="Strong"/>
        </w:rPr>
        <w:t>Judicial Precedents:</w:t>
      </w:r>
      <w:r w:rsidRPr="009C5151">
        <w:t xml:space="preserve"> The Tribunal considered various judicial decisions, including the Karnataka High Court's ruling in </w:t>
      </w:r>
      <w:r w:rsidRPr="009C5151">
        <w:rPr>
          <w:rStyle w:val="Strong"/>
        </w:rPr>
        <w:t>CIT v. Samsung Electronics Co. Ltd.</w:t>
      </w:r>
      <w:r w:rsidRPr="009C5151">
        <w:t xml:space="preserve"> ([2011] 16 taxmann.com 141), which held that payments for software amounted to "royalty" and were subject to withholding tax under Section 195.</w:t>
      </w:r>
    </w:p>
    <w:p w:rsidR="00A056B6" w:rsidRPr="009C5151" w:rsidRDefault="00A056B6" w:rsidP="00743A5F">
      <w:pPr>
        <w:pStyle w:val="NormalWeb"/>
        <w:spacing w:before="0" w:beforeAutospacing="0"/>
      </w:pPr>
      <w:r w:rsidRPr="009C5151">
        <w:rPr>
          <w:rStyle w:val="Strong"/>
        </w:rPr>
        <w:t>Ruling:</w:t>
      </w:r>
    </w:p>
    <w:p w:rsidR="00A056B6" w:rsidRPr="009C5151" w:rsidRDefault="00A056B6" w:rsidP="00743A5F">
      <w:pPr>
        <w:pStyle w:val="NormalWeb"/>
        <w:tabs>
          <w:tab w:val="num" w:pos="720"/>
        </w:tabs>
        <w:spacing w:before="0" w:beforeAutospacing="0"/>
        <w:ind w:left="720" w:hanging="360"/>
      </w:pPr>
      <w:r w:rsidRPr="009C5151">
        <w:t>The ITAT concluded that the payments made by Avesthagen Ltd. for the purchase of software licenses constituted "royalty" under Section 9(1)(vi) of the Income Tax Act and Article 12 of the India-USA DTAA.</w:t>
      </w:r>
    </w:p>
    <w:p w:rsidR="00A056B6" w:rsidRPr="009C5151" w:rsidRDefault="00A056B6" w:rsidP="00743A5F">
      <w:pPr>
        <w:pStyle w:val="NormalWeb"/>
        <w:tabs>
          <w:tab w:val="num" w:pos="720"/>
        </w:tabs>
        <w:spacing w:before="0" w:beforeAutospacing="0"/>
        <w:ind w:left="720" w:hanging="360"/>
      </w:pPr>
      <w:r w:rsidRPr="009C5151">
        <w:lastRenderedPageBreak/>
        <w:t>Consequently, the assessee was obligated to deduct tax at source under Section 195 on such payments.</w:t>
      </w:r>
    </w:p>
    <w:p w:rsidR="00A056B6" w:rsidRPr="009C5151" w:rsidRDefault="00A056B6" w:rsidP="00743A5F">
      <w:pPr>
        <w:pStyle w:val="NormalWeb"/>
        <w:spacing w:before="0" w:beforeAutospacing="0"/>
      </w:pPr>
      <w:r w:rsidRPr="009C5151">
        <w:rPr>
          <w:rStyle w:val="Strong"/>
        </w:rPr>
        <w:t>Subsequent Developments:</w:t>
      </w:r>
    </w:p>
    <w:p w:rsidR="00A056B6" w:rsidRPr="009C5151" w:rsidRDefault="00A056B6" w:rsidP="00743A5F">
      <w:pPr>
        <w:tabs>
          <w:tab w:val="num" w:pos="720"/>
        </w:tabs>
        <w:spacing w:before="100" w:after="100" w:afterAutospacing="1" w:line="240" w:lineRule="auto"/>
        <w:ind w:left="720" w:hanging="360"/>
        <w:rPr>
          <w:rFonts w:ascii="Times New Roman" w:hAnsi="Times New Roman" w:cs="Times New Roman"/>
          <w:sz w:val="24"/>
          <w:szCs w:val="24"/>
        </w:rPr>
      </w:pPr>
      <w:r w:rsidRPr="009C5151">
        <w:rPr>
          <w:rFonts w:ascii="Times New Roman" w:hAnsi="Times New Roman" w:cs="Times New Roman"/>
          <w:sz w:val="24"/>
          <w:szCs w:val="24"/>
        </w:rPr>
        <w:t xml:space="preserve">It is pertinent to note that the Supreme Court of India, in the case of </w:t>
      </w:r>
      <w:r w:rsidRPr="009C5151">
        <w:rPr>
          <w:rStyle w:val="Strong"/>
          <w:rFonts w:ascii="Times New Roman" w:hAnsi="Times New Roman" w:cs="Times New Roman"/>
          <w:sz w:val="24"/>
          <w:szCs w:val="24"/>
        </w:rPr>
        <w:t>Engineering Analysis Centre of Excellence Private Limited v. CIT</w:t>
      </w:r>
      <w:r w:rsidRPr="009C5151">
        <w:rPr>
          <w:rFonts w:ascii="Times New Roman" w:hAnsi="Times New Roman" w:cs="Times New Roman"/>
          <w:sz w:val="24"/>
          <w:szCs w:val="24"/>
        </w:rPr>
        <w:t xml:space="preserve"> ([2021] 432 ITR 471), overruled the earlier position by holding that payments made for the purchase of software do not constitute "royalty" and are not subject to tax deduction at source under Section 195.</w:t>
      </w:r>
    </w:p>
    <w:p w:rsidR="00A056B6" w:rsidRPr="009C5151" w:rsidRDefault="00A056B6" w:rsidP="00743A5F">
      <w:pPr>
        <w:pStyle w:val="NormalWeb"/>
        <w:spacing w:before="0" w:beforeAutospacing="0"/>
      </w:pPr>
      <w:r w:rsidRPr="009C5151">
        <w:rPr>
          <w:rStyle w:val="Strong"/>
        </w:rPr>
        <w:t>Conclusion:</w:t>
      </w:r>
    </w:p>
    <w:p w:rsidR="00A056B6" w:rsidRPr="009C5151" w:rsidRDefault="00A056B6" w:rsidP="00743A5F">
      <w:pPr>
        <w:pStyle w:val="NormalWeb"/>
        <w:spacing w:before="0" w:beforeAutospacing="0"/>
      </w:pPr>
      <w:r w:rsidRPr="009C5151">
        <w:t xml:space="preserve">While the ITAT's decision in </w:t>
      </w:r>
      <w:r w:rsidRPr="009C5151">
        <w:rPr>
          <w:rStyle w:val="Strong"/>
        </w:rPr>
        <w:t>Avesthagen Ltd. v. ITO</w:t>
      </w:r>
      <w:r w:rsidRPr="009C5151">
        <w:t xml:space="preserve"> (August 3, 2018) held that payments for software licenses constituted "royalty" subject to tax deduction at source, this position has been overturned by the Supreme Court's ruling in </w:t>
      </w:r>
      <w:r w:rsidRPr="009C5151">
        <w:rPr>
          <w:rStyle w:val="Strong"/>
        </w:rPr>
        <w:t>Engineering Analysis Centre of Excellence Private Limited</w:t>
      </w:r>
      <w:r w:rsidRPr="009C5151">
        <w:t>. As a result, payments for the purchase of software are no longer considered "royalty" and are not liable for withholding tax under Section 195.</w:t>
      </w:r>
    </w:p>
    <w:p w:rsidR="00A056B6" w:rsidRPr="009C5151" w:rsidRDefault="00A056B6" w:rsidP="00743A5F">
      <w:pPr>
        <w:pStyle w:val="NormalWeb"/>
        <w:spacing w:before="0" w:beforeAutospacing="0"/>
      </w:pPr>
      <w:r w:rsidRPr="009C5151">
        <w:rPr>
          <w:rStyle w:val="Strong"/>
        </w:rPr>
        <w:t>Reference:</w:t>
      </w:r>
    </w:p>
    <w:p w:rsidR="00A056B6" w:rsidRPr="009C5151" w:rsidRDefault="00A056B6" w:rsidP="00743A5F">
      <w:pPr>
        <w:pStyle w:val="NormalWeb"/>
        <w:tabs>
          <w:tab w:val="num" w:pos="720"/>
        </w:tabs>
        <w:spacing w:before="0" w:beforeAutospacing="0"/>
        <w:ind w:left="720" w:hanging="360"/>
      </w:pPr>
      <w:r w:rsidRPr="009C5151">
        <w:rPr>
          <w:rStyle w:val="Strong"/>
        </w:rPr>
        <w:t>Case Citation:</w:t>
      </w:r>
      <w:r w:rsidRPr="009C5151">
        <w:t xml:space="preserve"> Avesthagen Ltd. v. Income Tax Officer, ITA No. 173/Bang/2016, ITAT Bangalore Bench.</w:t>
      </w:r>
    </w:p>
    <w:p w:rsidR="00A056B6" w:rsidRPr="009C5151" w:rsidRDefault="00A056B6" w:rsidP="00743A5F">
      <w:pPr>
        <w:pStyle w:val="NormalWeb"/>
        <w:tabs>
          <w:tab w:val="num" w:pos="720"/>
        </w:tabs>
        <w:spacing w:before="0" w:beforeAutospacing="0"/>
        <w:ind w:left="720" w:hanging="360"/>
      </w:pPr>
      <w:r w:rsidRPr="009C5151">
        <w:rPr>
          <w:rStyle w:val="Strong"/>
        </w:rPr>
        <w:t>Source:</w:t>
      </w:r>
      <w:r w:rsidRPr="009C5151">
        <w:t xml:space="preserve"> </w:t>
      </w:r>
      <w:hyperlink r:id="rId147" w:tgtFrame="_new" w:history="1">
        <w:r w:rsidRPr="009C5151">
          <w:rPr>
            <w:rStyle w:val="Hyperlink"/>
          </w:rPr>
          <w:t>ITAT Order</w:t>
        </w:r>
      </w:hyperlink>
    </w:p>
    <w:p w:rsidR="00A056B6" w:rsidRPr="009C5151" w:rsidRDefault="00A056B6" w:rsidP="00743A5F">
      <w:pPr>
        <w:pStyle w:val="NormalWeb"/>
        <w:spacing w:before="0" w:beforeAutospacing="0"/>
      </w:pPr>
      <w:r w:rsidRPr="009C5151">
        <w:t>This development underscores the dynamic nature of tax jurisprudence and the importance of staying abreast of the latest judicial pronouncements to ensure compliance with current legal standards.</w:t>
      </w:r>
    </w:p>
    <w:p w:rsidR="00A056B6" w:rsidRDefault="00A056B6" w:rsidP="00743A5F">
      <w:pPr>
        <w:spacing w:line="240" w:lineRule="auto"/>
        <w:rPr>
          <w:rFonts w:ascii="Times New Roman" w:hAnsi="Times New Roman" w:cs="Times New Roman"/>
          <w:sz w:val="24"/>
          <w:szCs w:val="24"/>
        </w:rPr>
      </w:pPr>
      <w:r w:rsidRPr="009C5151">
        <w:rPr>
          <w:rFonts w:ascii="Times New Roman" w:hAnsi="Times New Roman" w:cs="Times New Roman"/>
          <w:sz w:val="24"/>
          <w:szCs w:val="24"/>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PR.CIT v MOTIF INDIA INFOTECH (P) LTD (2018) 409 ITR 0178 (Guj HC) – TAX APPEAL No. 1177 of 2018 dated October 16, 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5B37072D" wp14:editId="691B3A1D">
            <wp:extent cx="763905" cy="763905"/>
            <wp:effectExtent l="0" t="0" r="0" b="0"/>
            <wp:docPr id="36" name="Picture 3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Principal Commissioner of Income Tax v. Motif India Infotech (P) Ltd.</w:t>
      </w:r>
      <w:r w:rsidRPr="00FB3E6C">
        <w:rPr>
          <w:rFonts w:ascii="Times New Roman" w:eastAsia="Times New Roman" w:hAnsi="Times New Roman" w:cs="Times New Roman"/>
          <w:sz w:val="24"/>
          <w:szCs w:val="24"/>
          <w:lang w:eastAsia="en-IN" w:bidi="ta-IN"/>
        </w:rPr>
        <w:t xml:space="preserve"> ([2018] 409 ITR 178), the </w:t>
      </w:r>
      <w:r w:rsidRPr="00FB3E6C">
        <w:rPr>
          <w:rFonts w:ascii="Times New Roman" w:eastAsia="Times New Roman" w:hAnsi="Times New Roman" w:cs="Times New Roman"/>
          <w:b/>
          <w:bCs/>
          <w:sz w:val="24"/>
          <w:szCs w:val="24"/>
          <w:lang w:eastAsia="en-IN" w:bidi="ta-IN"/>
        </w:rPr>
        <w:t>Gujarat High Court</w:t>
      </w:r>
      <w:r w:rsidRPr="00FB3E6C">
        <w:rPr>
          <w:rFonts w:ascii="Times New Roman" w:eastAsia="Times New Roman" w:hAnsi="Times New Roman" w:cs="Times New Roman"/>
          <w:sz w:val="24"/>
          <w:szCs w:val="24"/>
          <w:lang w:eastAsia="en-IN" w:bidi="ta-IN"/>
        </w:rPr>
        <w:t xml:space="preserve"> addressed the issue of whether payments made by an Indian company to a non-resident entity for services rendered outside India are subject to tax deduction at source under Section 195 of the Income Tax Act, 1961.</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Assessee:</w:t>
      </w:r>
      <w:r w:rsidRPr="00FB3E6C">
        <w:rPr>
          <w:rFonts w:ascii="Times New Roman" w:eastAsia="Times New Roman" w:hAnsi="Times New Roman" w:cs="Times New Roman"/>
          <w:sz w:val="24"/>
          <w:szCs w:val="24"/>
          <w:lang w:eastAsia="en-IN" w:bidi="ta-IN"/>
        </w:rPr>
        <w:t xml:space="preserve"> Motif India Infotech (P) Ltd., an Indian company engaged in providing software-related services to overseas clients.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w:t>
      </w:r>
      <w:r w:rsidRPr="00FB3E6C">
        <w:rPr>
          <w:rFonts w:ascii="Times New Roman" w:eastAsia="Times New Roman" w:hAnsi="Times New Roman" w:cs="Times New Roman"/>
          <w:sz w:val="24"/>
          <w:szCs w:val="24"/>
          <w:lang w:eastAsia="en-IN" w:bidi="ta-IN"/>
        </w:rPr>
        <w:t xml:space="preserve"> The company made payments totaling ₹5.51 crore to Pacific Hub Corporation (PHC), a company based in the Philippines, for human resource and infrastructure services utilized in serving its foreign clients.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Tax Deduction at Source (TDS):</w:t>
      </w:r>
      <w:r w:rsidRPr="00FB3E6C">
        <w:rPr>
          <w:rFonts w:ascii="Times New Roman" w:eastAsia="Times New Roman" w:hAnsi="Times New Roman" w:cs="Times New Roman"/>
          <w:sz w:val="24"/>
          <w:szCs w:val="24"/>
          <w:lang w:eastAsia="en-IN" w:bidi="ta-IN"/>
        </w:rPr>
        <w:t xml:space="preserve"> Motif India did not deduct tax at source on these payments, contending that the income was not chargeable to tax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Issue: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Whether the payments made by Motif India to PHC for services rendered outside India are liable for tax deduction at source under Section 195, considering the provisions of Section 9(1)(vii) of the Income Tax Act, which deals with income deemed to accrue or arise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High 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9(1)(vii):</w:t>
      </w:r>
      <w:r w:rsidRPr="00FB3E6C">
        <w:rPr>
          <w:rFonts w:ascii="Times New Roman" w:eastAsia="Times New Roman" w:hAnsi="Times New Roman" w:cs="Times New Roman"/>
          <w:sz w:val="24"/>
          <w:szCs w:val="24"/>
          <w:lang w:eastAsia="en-IN" w:bidi="ta-IN"/>
        </w:rPr>
        <w:t xml:space="preserve"> This section stipulates that income by way of fees for technical services payable by a resident is deemed to accrue or arise in India, except when the fees are payable for services utilized in a business or profession carried on by such person outside India, or for earning income from any source outside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Tribunal's Findings:</w:t>
      </w:r>
      <w:r w:rsidRPr="00FB3E6C">
        <w:rPr>
          <w:rFonts w:ascii="Times New Roman" w:eastAsia="Times New Roman" w:hAnsi="Times New Roman" w:cs="Times New Roman"/>
          <w:sz w:val="24"/>
          <w:szCs w:val="24"/>
          <w:lang w:eastAsia="en-IN" w:bidi="ta-IN"/>
        </w:rPr>
        <w:t xml:space="preserve"> The Income Tax Appellate Tribunal (ITAT) accepted Motif India's assertion that the services provided by PHC were utilized for serving its foreign clients, indicating that the source of income was outside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High Court's Decision:</w:t>
      </w:r>
      <w:r w:rsidRPr="00FB3E6C">
        <w:rPr>
          <w:rFonts w:ascii="Times New Roman" w:eastAsia="Times New Roman" w:hAnsi="Times New Roman" w:cs="Times New Roman"/>
          <w:sz w:val="24"/>
          <w:szCs w:val="24"/>
          <w:lang w:eastAsia="en-IN" w:bidi="ta-IN"/>
        </w:rPr>
        <w:t xml:space="preserve"> The court concurred with the ITAT's view, emphasizing that since the services rendered by PHC were utilized by Motif India for its overseas clients, the income did not accrue or arise in India. Consequently, Motif India was not obligated to deduct tax at source under Section 195 for these payments.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Ruling:</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Gujarat High Court dismissed the revenue's appeal, upholding the ITAT's decision that payments made by Motif India to PHC were not subject to tax deduction at source under Section 195, as the income was not chargeable to tax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clarifies that payments made by an Indian entity to a non-resident for services rendered and utilized outside India are not subject to tax deduction at source under Section 195, provided the income is not deemed to accrue or arise in India under Section 9(1)(vii).</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Principal Commissioner of Income Tax v. Motif India Infotech (P) Ltd., [2018] 409 ITR 178 (Gujarat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ITAT Online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This decision underscores the importance of analyzing the utilization of services and the location of clients when determining tax deduction obligations under Section 195 of the Income Tax Act.</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US Technology Resources (Pvt) Ltd v CIT [2018] 97 taxmann.com 642 (Kerala) - ITA No.38 of 2014 &amp; 19, 26 TO 30 of 2018 (Mad) dated August 9, 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54915289" wp14:editId="6618301A">
            <wp:extent cx="763905" cy="763905"/>
            <wp:effectExtent l="0" t="0" r="0" b="0"/>
            <wp:docPr id="35" name="Picture 3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US Technology Resources (Pvt.) Ltd. v. Commissioner of Income Tax</w:t>
      </w:r>
      <w:r w:rsidRPr="00FB3E6C">
        <w:rPr>
          <w:rFonts w:ascii="Times New Roman" w:eastAsia="Times New Roman" w:hAnsi="Times New Roman" w:cs="Times New Roman"/>
          <w:sz w:val="24"/>
          <w:szCs w:val="24"/>
          <w:lang w:eastAsia="en-IN" w:bidi="ta-IN"/>
        </w:rPr>
        <w:t xml:space="preserve"> ([2018] 407 ITR 327), the </w:t>
      </w:r>
      <w:r w:rsidRPr="00FB3E6C">
        <w:rPr>
          <w:rFonts w:ascii="Times New Roman" w:eastAsia="Times New Roman" w:hAnsi="Times New Roman" w:cs="Times New Roman"/>
          <w:b/>
          <w:bCs/>
          <w:sz w:val="24"/>
          <w:szCs w:val="24"/>
          <w:lang w:eastAsia="en-IN" w:bidi="ta-IN"/>
        </w:rPr>
        <w:t>Kerala High Court</w:t>
      </w:r>
      <w:r w:rsidRPr="00FB3E6C">
        <w:rPr>
          <w:rFonts w:ascii="Times New Roman" w:eastAsia="Times New Roman" w:hAnsi="Times New Roman" w:cs="Times New Roman"/>
          <w:sz w:val="24"/>
          <w:szCs w:val="24"/>
          <w:lang w:eastAsia="en-IN" w:bidi="ta-IN"/>
        </w:rPr>
        <w:t xml:space="preserve"> examined whether payments made by an Indian company to a U.S.-based entity for management services qualified as "fees for included services" under Article 12 of the </w:t>
      </w:r>
      <w:r w:rsidRPr="00FB3E6C">
        <w:rPr>
          <w:rFonts w:ascii="Times New Roman" w:eastAsia="Times New Roman" w:hAnsi="Times New Roman" w:cs="Times New Roman"/>
          <w:b/>
          <w:bCs/>
          <w:sz w:val="24"/>
          <w:szCs w:val="24"/>
          <w:lang w:eastAsia="en-IN" w:bidi="ta-IN"/>
        </w:rPr>
        <w:t>India-USA Double Taxation Avoidance Agreement (DTAA)</w:t>
      </w:r>
      <w:r w:rsidRPr="00FB3E6C">
        <w:rPr>
          <w:rFonts w:ascii="Times New Roman" w:eastAsia="Times New Roman" w:hAnsi="Times New Roman" w:cs="Times New Roman"/>
          <w:sz w:val="24"/>
          <w:szCs w:val="24"/>
          <w:lang w:eastAsia="en-IN" w:bidi="ta-IN"/>
        </w:rPr>
        <w:t xml:space="preserve">, thereby necessitating tax deduction at source under Section 195 of the </w:t>
      </w:r>
      <w:r w:rsidRPr="00FB3E6C">
        <w:rPr>
          <w:rFonts w:ascii="Times New Roman" w:eastAsia="Times New Roman" w:hAnsi="Times New Roman" w:cs="Times New Roman"/>
          <w:b/>
          <w:bCs/>
          <w:sz w:val="24"/>
          <w:szCs w:val="24"/>
          <w:lang w:eastAsia="en-IN" w:bidi="ta-IN"/>
        </w:rPr>
        <w:t>Income Tax Act, 1961</w:t>
      </w:r>
      <w:r w:rsidRPr="00FB3E6C">
        <w:rPr>
          <w:rFonts w:ascii="Times New Roman" w:eastAsia="Times New Roman" w:hAnsi="Times New Roman" w:cs="Times New Roman"/>
          <w:sz w:val="24"/>
          <w:szCs w:val="24"/>
          <w:lang w:eastAsia="en-IN" w:bidi="ta-IN"/>
        </w:rPr>
        <w: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US Technology Resources (Pvt.) Ltd., an Indian company engaged in software development services.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w:t>
      </w:r>
      <w:r w:rsidRPr="00FB3E6C">
        <w:rPr>
          <w:rFonts w:ascii="Times New Roman" w:eastAsia="Times New Roman" w:hAnsi="Times New Roman" w:cs="Times New Roman"/>
          <w:sz w:val="24"/>
          <w:szCs w:val="24"/>
          <w:lang w:eastAsia="en-IN" w:bidi="ta-IN"/>
        </w:rPr>
        <w:t xml:space="preserve"> The company entered into a Management Services Agreement with US Technology Resources LLC (UST), a U.S.-based company, under which UST provided assistance, advice, and support in management decision-making, financial, legal matters, public relations, treasury services, and risk management.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Payments:</w:t>
      </w:r>
      <w:r w:rsidRPr="00FB3E6C">
        <w:rPr>
          <w:rFonts w:ascii="Times New Roman" w:eastAsia="Times New Roman" w:hAnsi="Times New Roman" w:cs="Times New Roman"/>
          <w:sz w:val="24"/>
          <w:szCs w:val="24"/>
          <w:lang w:eastAsia="en-IN" w:bidi="ta-IN"/>
        </w:rPr>
        <w:t xml:space="preserve"> US Technology Resources (Pvt.) Ltd. made payments to UST for these services without deducting tax at source, contending that the payments did not constitute "fees for included services" under the DTAA and were not taxable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Issue: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Whether the payments made by the Indian company to the U.S. entity for management services were taxable in India as "fees for included services" under Article 12 of the India-USA DTAA, thereby requiring tax deduction at source under Section 195 of the Income Tax Act.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High 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Article 12 of the DTAA:</w:t>
      </w:r>
      <w:r w:rsidRPr="00FB3E6C">
        <w:rPr>
          <w:rFonts w:ascii="Times New Roman" w:eastAsia="Times New Roman" w:hAnsi="Times New Roman" w:cs="Times New Roman"/>
          <w:sz w:val="24"/>
          <w:szCs w:val="24"/>
          <w:lang w:eastAsia="en-IN" w:bidi="ta-IN"/>
        </w:rPr>
        <w:t xml:space="preserve"> The court noted that for services to be considered "included services" under Article 12(4)(b) of the DTAA, they must "make available" technical </w:t>
      </w:r>
      <w:r w:rsidRPr="00FB3E6C">
        <w:rPr>
          <w:rFonts w:ascii="Times New Roman" w:eastAsia="Times New Roman" w:hAnsi="Times New Roman" w:cs="Times New Roman"/>
          <w:sz w:val="24"/>
          <w:szCs w:val="24"/>
          <w:lang w:eastAsia="en-IN" w:bidi="ta-IN"/>
        </w:rPr>
        <w:lastRenderedPageBreak/>
        <w:t>knowledge, experience, skill, know-how, or processes to the recipient, enabling them to apply the technology independently.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Nature of Services Provided:</w:t>
      </w:r>
      <w:r w:rsidRPr="00FB3E6C">
        <w:rPr>
          <w:rFonts w:ascii="Times New Roman" w:eastAsia="Times New Roman" w:hAnsi="Times New Roman" w:cs="Times New Roman"/>
          <w:sz w:val="24"/>
          <w:szCs w:val="24"/>
          <w:lang w:eastAsia="en-IN" w:bidi="ta-IN"/>
        </w:rPr>
        <w:t xml:space="preserve"> The court observed that the services rendered by UST were in the nature of managerial support and did not involve the transfer of technical knowledge or skills that would enable the Indian company to perform such services on its own without recourse to UST.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"Make Available" Clause:</w:t>
      </w:r>
      <w:r w:rsidRPr="00FB3E6C">
        <w:rPr>
          <w:rFonts w:ascii="Times New Roman" w:eastAsia="Times New Roman" w:hAnsi="Times New Roman" w:cs="Times New Roman"/>
          <w:sz w:val="24"/>
          <w:szCs w:val="24"/>
          <w:lang w:eastAsia="en-IN" w:bidi="ta-IN"/>
        </w:rPr>
        <w:t xml:space="preserve"> The court emphasized that merely providing services is insufficient; there must be a transfer of technology or expertise that empowers the recipient to utilize the knowledge or skills independently.</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Ruling:</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Kerala High Court held that the payments made by US Technology Resources (Pvt.) Ltd. to UST did not qualify as "fees for included services" under Article 12 of the India-USA DTAA, as the services did not "make available" technical knowledge or skills to the Indian company.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Consequently, the payments were not taxable in India, and the assessee was not obligated to deduct tax at source under Section 195 of the Income Tax Act.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clarifies that for payments to be classified as "fees for included services" under the India-USA DTAA, the services must result in the transfer of technical knowledge or expertise, enabling the recipient to apply the technology independently. Mere provision of managerial or consultancy services without such transfer does not attract tax liability in India under Article 12 of the DTAA.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US Technology Resources (Pvt.) Ltd. v. Commissioner of Income Tax, [2018] 407 ITR 327 (Kerala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ITAT Online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underscores the importance of analyzing the nature of services and the applicability of the "make available" clause in DTAAs when determining tax deduction obligations under Section 195 of the Income Tax Act.</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Evolv Clothing Co. (P.) Ltd. v ACIT - [2018] 94 taxmann.com 449 (Madras) - TAX CASE (APPEAL) NO. 572 of 2013 dated June 14, 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lastRenderedPageBreak/>
        <w:drawing>
          <wp:inline distT="0" distB="0" distL="0" distR="0" wp14:anchorId="48FA4995" wp14:editId="44E5C7CC">
            <wp:extent cx="763905" cy="763905"/>
            <wp:effectExtent l="0" t="0" r="0" b="0"/>
            <wp:docPr id="34" name="Picture 3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Evolv Clothing Co. (P.) Ltd. v. Assistant Commissioner of Income Tax</w:t>
      </w:r>
      <w:r w:rsidRPr="00FB3E6C">
        <w:rPr>
          <w:rFonts w:ascii="Times New Roman" w:eastAsia="Times New Roman" w:hAnsi="Times New Roman" w:cs="Times New Roman"/>
          <w:sz w:val="24"/>
          <w:szCs w:val="24"/>
          <w:lang w:eastAsia="en-IN" w:bidi="ta-IN"/>
        </w:rPr>
        <w:t xml:space="preserve"> ([2018] 94 taxmann.com 449), the </w:t>
      </w:r>
      <w:r w:rsidRPr="00FB3E6C">
        <w:rPr>
          <w:rFonts w:ascii="Times New Roman" w:eastAsia="Times New Roman" w:hAnsi="Times New Roman" w:cs="Times New Roman"/>
          <w:b/>
          <w:bCs/>
          <w:sz w:val="24"/>
          <w:szCs w:val="24"/>
          <w:lang w:eastAsia="en-IN" w:bidi="ta-IN"/>
        </w:rPr>
        <w:t>Madras High Court</w:t>
      </w:r>
      <w:r w:rsidRPr="00FB3E6C">
        <w:rPr>
          <w:rFonts w:ascii="Times New Roman" w:eastAsia="Times New Roman" w:hAnsi="Times New Roman" w:cs="Times New Roman"/>
          <w:sz w:val="24"/>
          <w:szCs w:val="24"/>
          <w:lang w:eastAsia="en-IN" w:bidi="ta-IN"/>
        </w:rPr>
        <w:t xml:space="preserve"> addressed the tax implications of commission payments made by an Indian exporter to non-resident agents for services rendered outside India, specifically concerning the obligation to deduct tax at source under Section 195 of the </w:t>
      </w:r>
      <w:r w:rsidRPr="00FB3E6C">
        <w:rPr>
          <w:rFonts w:ascii="Times New Roman" w:eastAsia="Times New Roman" w:hAnsi="Times New Roman" w:cs="Times New Roman"/>
          <w:b/>
          <w:bCs/>
          <w:sz w:val="24"/>
          <w:szCs w:val="24"/>
          <w:lang w:eastAsia="en-IN" w:bidi="ta-IN"/>
        </w:rPr>
        <w:t>Income Tax Act, 1961</w:t>
      </w:r>
      <w:r w:rsidRPr="00FB3E6C">
        <w:rPr>
          <w:rFonts w:ascii="Times New Roman" w:eastAsia="Times New Roman" w:hAnsi="Times New Roman" w:cs="Times New Roman"/>
          <w:sz w:val="24"/>
          <w:szCs w:val="24"/>
          <w:lang w:eastAsia="en-IN" w:bidi="ta-IN"/>
        </w:rPr>
        <w: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Evolv Clothing Co. (P.) Ltd., engaged in the export of garments.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w:t>
      </w:r>
      <w:r w:rsidRPr="00FB3E6C">
        <w:rPr>
          <w:rFonts w:ascii="Times New Roman" w:eastAsia="Times New Roman" w:hAnsi="Times New Roman" w:cs="Times New Roman"/>
          <w:sz w:val="24"/>
          <w:szCs w:val="24"/>
          <w:lang w:eastAsia="en-IN" w:bidi="ta-IN"/>
        </w:rPr>
        <w:t xml:space="preserve"> The company entered into agreements with non-resident agents, primarily based in Italy, to procure export orders. These agents provided services such as market surveys and customer liaison, for which they received commission payments from the assessee.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Tax Deduction at Source (TDS):</w:t>
      </w:r>
      <w:r w:rsidRPr="00FB3E6C">
        <w:rPr>
          <w:rFonts w:ascii="Times New Roman" w:eastAsia="Times New Roman" w:hAnsi="Times New Roman" w:cs="Times New Roman"/>
          <w:sz w:val="24"/>
          <w:szCs w:val="24"/>
          <w:lang w:eastAsia="en-IN" w:bidi="ta-IN"/>
        </w:rPr>
        <w:t xml:space="preserve"> Evolv Clothing did not deduct tax at source on these commission payments, contending that the income was not chargeable to tax in India since the services were rendered outside the country.</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Issue: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Whether the commission payments made by Evolv Clothing to non-resident agents for services rendered outside India were subject to tax deduction at source under Section 195, considering the provisions of Section 9(1)(vii) of the Income Tax Act, which pertains to income deemed to accrue or arise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High 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9(1)(vii):</w:t>
      </w:r>
      <w:r w:rsidRPr="00FB3E6C">
        <w:rPr>
          <w:rFonts w:ascii="Times New Roman" w:eastAsia="Times New Roman" w:hAnsi="Times New Roman" w:cs="Times New Roman"/>
          <w:sz w:val="24"/>
          <w:szCs w:val="24"/>
          <w:lang w:eastAsia="en-IN" w:bidi="ta-IN"/>
        </w:rPr>
        <w:t xml:space="preserve"> This section deems income by way of fees for technical services payable by a resident to accrue or arise in India, except when the fees are payable for services utilized in a business or profession carried on outside India or for earning income from any source outside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Nature of Services:</w:t>
      </w:r>
      <w:r w:rsidRPr="00FB3E6C">
        <w:rPr>
          <w:rFonts w:ascii="Times New Roman" w:eastAsia="Times New Roman" w:hAnsi="Times New Roman" w:cs="Times New Roman"/>
          <w:sz w:val="24"/>
          <w:szCs w:val="24"/>
          <w:lang w:eastAsia="en-IN" w:bidi="ta-IN"/>
        </w:rPr>
        <w:t xml:space="preserve"> The court observed that the services provided by the non-resident agents, including market surveys and order procurement, were incidental to their role as commission agents and did not amount to technical services as defined under Section 9(1)(vii).</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Taxability in India:</w:t>
      </w:r>
      <w:r w:rsidRPr="00FB3E6C">
        <w:rPr>
          <w:rFonts w:ascii="Times New Roman" w:eastAsia="Times New Roman" w:hAnsi="Times New Roman" w:cs="Times New Roman"/>
          <w:sz w:val="24"/>
          <w:szCs w:val="24"/>
          <w:lang w:eastAsia="en-IN" w:bidi="ta-IN"/>
        </w:rPr>
        <w:t xml:space="preserve"> Since the services were rendered outside India and were not in the nature of technical services, the income earned by the non-resident agents was not chargeable to tax in India. Consequently, there was no obligation on the assessee to deduct tax at source under Section 195.</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Ruling:</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The Madras High Court held that the commission payments made by Evolv Clothing Co. (P.) Ltd. to non-resident agents for services rendered outside India did not constitute fees for technical services under Section 9(1)(vii) and were not taxable in India. Therefore, the assessee was not required to deduct tax at source under Section 195 on such payments.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clarifies that commission payments to non-resident agents for services rendered entirely outside India, which are not in the nature of technical services, are not subject to tax deduction at source under Section 195 of the Income Tax Act.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Evolv Clothing Co. (P.) Ltd. v. Assistant Commissioner of Income Tax, [2018] 94 taxmann.com 449 (Madras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ITAT Online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underscores the importance of assessing the nature and situs of services rendered by non-resident agents to determine the applicability of tax deduction at source under Indian tax laws.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Principal CIT v. Ferromatic Milacron India (P.) Ltd. [2018] 99 taxmann.com 154 (Guj.)- R/Tax Appeal No. 1233 of 2018 dated October 9, 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3E2EC1D0" wp14:editId="22CE2733">
            <wp:extent cx="763905" cy="763905"/>
            <wp:effectExtent l="0" t="0" r="0" b="0"/>
            <wp:docPr id="33" name="Picture 3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Principal Commissioner of Income Tax v. Ferromatic Milacron India (P.) Ltd.</w:t>
      </w:r>
      <w:r w:rsidRPr="00FB3E6C">
        <w:rPr>
          <w:rFonts w:ascii="Times New Roman" w:eastAsia="Times New Roman" w:hAnsi="Times New Roman" w:cs="Times New Roman"/>
          <w:sz w:val="24"/>
          <w:szCs w:val="24"/>
          <w:lang w:eastAsia="en-IN" w:bidi="ta-IN"/>
        </w:rPr>
        <w:t xml:space="preserve"> ([2018] 99 taxmann.com 154), the </w:t>
      </w:r>
      <w:r w:rsidRPr="00FB3E6C">
        <w:rPr>
          <w:rFonts w:ascii="Times New Roman" w:eastAsia="Times New Roman" w:hAnsi="Times New Roman" w:cs="Times New Roman"/>
          <w:b/>
          <w:bCs/>
          <w:sz w:val="24"/>
          <w:szCs w:val="24"/>
          <w:lang w:eastAsia="en-IN" w:bidi="ta-IN"/>
        </w:rPr>
        <w:t>Gujarat High Court</w:t>
      </w:r>
      <w:r w:rsidRPr="00FB3E6C">
        <w:rPr>
          <w:rFonts w:ascii="Times New Roman" w:eastAsia="Times New Roman" w:hAnsi="Times New Roman" w:cs="Times New Roman"/>
          <w:sz w:val="24"/>
          <w:szCs w:val="24"/>
          <w:lang w:eastAsia="en-IN" w:bidi="ta-IN"/>
        </w:rPr>
        <w:t xml:space="preserve"> addressed two key issues: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Depreciation on Non-Compete Fees:</w:t>
      </w:r>
      <w:r w:rsidRPr="00FB3E6C">
        <w:rPr>
          <w:rFonts w:ascii="Times New Roman" w:eastAsia="Times New Roman" w:hAnsi="Times New Roman" w:cs="Times New Roman"/>
          <w:sz w:val="24"/>
          <w:szCs w:val="24"/>
          <w:lang w:eastAsia="en-IN" w:bidi="ta-IN"/>
        </w:rPr>
        <w:t xml:space="preserve"> Whether the assessee was entitled to claim depreciation under Section 32(1)(ii) of the Income Tax Act, 1961, on non-compete fees paid to ward off competition.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Disallowance under Section 40(a)(i):</w:t>
      </w:r>
      <w:r w:rsidRPr="00FB3E6C">
        <w:rPr>
          <w:rFonts w:ascii="Times New Roman" w:eastAsia="Times New Roman" w:hAnsi="Times New Roman" w:cs="Times New Roman"/>
          <w:sz w:val="24"/>
          <w:szCs w:val="24"/>
          <w:lang w:eastAsia="en-IN" w:bidi="ta-IN"/>
        </w:rPr>
        <w:t xml:space="preserve"> Whether the commission payments made to foreign agents without deducting tax at source were allowable as deductions.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Ferromatic Milacron India (P.) Ltd., engaged in manufacturing and selling plastic processing machinery.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Non-Compete Agreement:</w:t>
      </w:r>
      <w:r w:rsidRPr="00FB3E6C">
        <w:rPr>
          <w:rFonts w:ascii="Times New Roman" w:eastAsia="Times New Roman" w:hAnsi="Times New Roman" w:cs="Times New Roman"/>
          <w:sz w:val="24"/>
          <w:szCs w:val="24"/>
          <w:lang w:eastAsia="en-IN" w:bidi="ta-IN"/>
        </w:rPr>
        <w:t xml:space="preserve"> The assessee entered into a non-compete agreement, paying a fee to prevent competitors from entering the market, and claimed depreciation on this payment as an intangible asset under Section 32(1)(ii).</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Commission Payments:</w:t>
      </w:r>
      <w:r w:rsidRPr="00FB3E6C">
        <w:rPr>
          <w:rFonts w:ascii="Times New Roman" w:eastAsia="Times New Roman" w:hAnsi="Times New Roman" w:cs="Times New Roman"/>
          <w:sz w:val="24"/>
          <w:szCs w:val="24"/>
          <w:lang w:eastAsia="en-IN" w:bidi="ta-IN"/>
        </w:rPr>
        <w:t xml:space="preserve"> The assessee made commission payments to foreign agents for services rendered outside India without deducting tax at source, arguing that such income was not taxable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High 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Depreciation on Non-Compete Fees: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court referred to the definition of "intangible assets" under Section 32(1)(ii), which includes "know-how, patents, copyrights, trademarks, licenses, franchises, or any other business or commercial rights of similar nature."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It was observed that the non-compete fee provided the assessee with a commercial right, granting enduring benefits by restricting competition.</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Relying on precedents, the court concluded that such non-compete rights qualify as intangible assets eligible for depreciation.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Disallowance under Section 40(a)(i):</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court noted that the commission payments were made to foreign agents for services rendered outside India.</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Since the services were performed abroad and the agents had no permanent establishment in India, the income was not deemed to accrue or arise in India under Section 9 of the Act.</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Consequently, there was no obligation to deduct tax at source on these payments, and disallowance under Section 40(a)(i) was not warranted.</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Ruling:</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Gujarat High Court upheld the Tribunal's decision, allowing depreciation on non-compete fees as an intangible asset under Section 32(1)(ii).</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court also confirmed that commission payments to foreign agents, without tax deduction at source, were allowable deductions, as the income was not taxable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clarifies that non-compete fees can be considered intangible assets eligible for depreciation and that commission payments to foreign agents for services rendered outside India are not subject to tax deduction at source if the income is not taxable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Case Citation:</w:t>
      </w:r>
      <w:r w:rsidRPr="00FB3E6C">
        <w:rPr>
          <w:rFonts w:ascii="Times New Roman" w:eastAsia="Times New Roman" w:hAnsi="Times New Roman" w:cs="Times New Roman"/>
          <w:sz w:val="24"/>
          <w:szCs w:val="24"/>
          <w:lang w:eastAsia="en-IN" w:bidi="ta-IN"/>
        </w:rPr>
        <w:t xml:space="preserve"> Principal Commissioner of Income Tax v. Ferromatic Milacron India (P.) Ltd., [2018] 99 taxmann.com 154 (Gujarat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Indian Kanoon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provides valuable insights into the tax treatment of non-compete fees and international commission payments under Indian tax laws.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Pr.CIT v Nova Technocast (P.) Ltd - [2018] 94 taxmann.com 322 (Gujarat) - R/TAX APPEAL NO. 290 of 2018 dated April 9, 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59C292D0" wp14:editId="188713C0">
            <wp:extent cx="763905" cy="763905"/>
            <wp:effectExtent l="0" t="0" r="0" b="0"/>
            <wp:docPr id="32" name="Picture 3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Principal Commissioner of Income Tax v. Nova Technocast (P.) Ltd.</w:t>
      </w:r>
      <w:r w:rsidRPr="00FB3E6C">
        <w:rPr>
          <w:rFonts w:ascii="Times New Roman" w:eastAsia="Times New Roman" w:hAnsi="Times New Roman" w:cs="Times New Roman"/>
          <w:sz w:val="24"/>
          <w:szCs w:val="24"/>
          <w:lang w:eastAsia="en-IN" w:bidi="ta-IN"/>
        </w:rPr>
        <w:t xml:space="preserve"> ([2018] 94 taxmann.com 322), the </w:t>
      </w:r>
      <w:r w:rsidRPr="00FB3E6C">
        <w:rPr>
          <w:rFonts w:ascii="Times New Roman" w:eastAsia="Times New Roman" w:hAnsi="Times New Roman" w:cs="Times New Roman"/>
          <w:b/>
          <w:bCs/>
          <w:sz w:val="24"/>
          <w:szCs w:val="24"/>
          <w:lang w:eastAsia="en-IN" w:bidi="ta-IN"/>
        </w:rPr>
        <w:t>Gujarat High Court</w:t>
      </w:r>
      <w:r w:rsidRPr="00FB3E6C">
        <w:rPr>
          <w:rFonts w:ascii="Times New Roman" w:eastAsia="Times New Roman" w:hAnsi="Times New Roman" w:cs="Times New Roman"/>
          <w:sz w:val="24"/>
          <w:szCs w:val="24"/>
          <w:lang w:eastAsia="en-IN" w:bidi="ta-IN"/>
        </w:rPr>
        <w:t xml:space="preserve"> addressed the issue of whether commission payments made by an Indian company to non-resident agents for services rendered outside India were subject to tax deduction at source under Section 195 of the </w:t>
      </w:r>
      <w:r w:rsidRPr="00FB3E6C">
        <w:rPr>
          <w:rFonts w:ascii="Times New Roman" w:eastAsia="Times New Roman" w:hAnsi="Times New Roman" w:cs="Times New Roman"/>
          <w:b/>
          <w:bCs/>
          <w:sz w:val="24"/>
          <w:szCs w:val="24"/>
          <w:lang w:eastAsia="en-IN" w:bidi="ta-IN"/>
        </w:rPr>
        <w:t>Income Tax Act, 1961</w:t>
      </w:r>
      <w:r w:rsidRPr="00FB3E6C">
        <w:rPr>
          <w:rFonts w:ascii="Times New Roman" w:eastAsia="Times New Roman" w:hAnsi="Times New Roman" w:cs="Times New Roman"/>
          <w:sz w:val="24"/>
          <w:szCs w:val="24"/>
          <w:lang w:eastAsia="en-IN" w:bidi="ta-IN"/>
        </w:rPr>
        <w:t>, and consequently, whether disallowance under Section 40(a)(i) was warranted for non-deduction of tax.</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Nova Technocast (P.) Ltd., an Indian company engaged in manufacturing and exporting goods.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w:t>
      </w:r>
      <w:r w:rsidRPr="00FB3E6C">
        <w:rPr>
          <w:rFonts w:ascii="Times New Roman" w:eastAsia="Times New Roman" w:hAnsi="Times New Roman" w:cs="Times New Roman"/>
          <w:sz w:val="24"/>
          <w:szCs w:val="24"/>
          <w:lang w:eastAsia="en-IN" w:bidi="ta-IN"/>
        </w:rPr>
        <w:t xml:space="preserve"> The company paid commission to non-resident agents for facilitating export sales. These agents operated entirely outside India, and the services were rendered abroad.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Tax Deduction at Source (TDS):</w:t>
      </w:r>
      <w:r w:rsidRPr="00FB3E6C">
        <w:rPr>
          <w:rFonts w:ascii="Times New Roman" w:eastAsia="Times New Roman" w:hAnsi="Times New Roman" w:cs="Times New Roman"/>
          <w:sz w:val="24"/>
          <w:szCs w:val="24"/>
          <w:lang w:eastAsia="en-IN" w:bidi="ta-IN"/>
        </w:rPr>
        <w:t xml:space="preserve"> The assessee did not deduct tax at source on these commission payments, contending that the income was not chargeable to tax in India since the services were rendered outside the country.</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Issue: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Whether the commission payments made by Nova Technocast to non-resident agents for services rendered outside India were liable for tax deduction at source under Section 195, and if not deducted, whether such payments should be disallowed under Section 40(a)(i) of the Income Tax Act.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High 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Section 195 Obligation:</w:t>
      </w:r>
      <w:r w:rsidRPr="00FB3E6C">
        <w:rPr>
          <w:rFonts w:ascii="Times New Roman" w:eastAsia="Times New Roman" w:hAnsi="Times New Roman" w:cs="Times New Roman"/>
          <w:sz w:val="24"/>
          <w:szCs w:val="24"/>
          <w:lang w:eastAsia="en-IN" w:bidi="ta-IN"/>
        </w:rPr>
        <w:t xml:space="preserve"> The court referred to the Supreme Court's decision in </w:t>
      </w:r>
      <w:r w:rsidRPr="00FB3E6C">
        <w:rPr>
          <w:rFonts w:ascii="Times New Roman" w:eastAsia="Times New Roman" w:hAnsi="Times New Roman" w:cs="Times New Roman"/>
          <w:b/>
          <w:bCs/>
          <w:sz w:val="24"/>
          <w:szCs w:val="24"/>
          <w:lang w:eastAsia="en-IN" w:bidi="ta-IN"/>
        </w:rPr>
        <w:t>G.E. India Technology Centre P. Ltd. v. CIT</w:t>
      </w:r>
      <w:r w:rsidRPr="00FB3E6C">
        <w:rPr>
          <w:rFonts w:ascii="Times New Roman" w:eastAsia="Times New Roman" w:hAnsi="Times New Roman" w:cs="Times New Roman"/>
          <w:sz w:val="24"/>
          <w:szCs w:val="24"/>
          <w:lang w:eastAsia="en-IN" w:bidi="ta-IN"/>
        </w:rPr>
        <w:t xml:space="preserve"> ([2010] 327 ITR 456), which clarified that the obligation to deduct tax at source under Section 195 arises only when the payment made to the non-resident is chargeable to tax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Explanation 2 to Section 195(1):</w:t>
      </w:r>
      <w:r w:rsidRPr="00FB3E6C">
        <w:rPr>
          <w:rFonts w:ascii="Times New Roman" w:eastAsia="Times New Roman" w:hAnsi="Times New Roman" w:cs="Times New Roman"/>
          <w:sz w:val="24"/>
          <w:szCs w:val="24"/>
          <w:lang w:eastAsia="en-IN" w:bidi="ta-IN"/>
        </w:rPr>
        <w:t xml:space="preserve"> The Revenue contended that the insertion of Explanation 2 to Section 195(1) by the Finance Act, 2012, with retrospective effect from April 1, 1962, expanded the scope of Section 195. However, the court observed that this Explanation clarifies the obligation to deduct tax at source but does not alter the fundamental principle that tax deduction is required only if the payment is chargeable to tax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Chargeability to Tax:</w:t>
      </w:r>
      <w:r w:rsidRPr="00FB3E6C">
        <w:rPr>
          <w:rFonts w:ascii="Times New Roman" w:eastAsia="Times New Roman" w:hAnsi="Times New Roman" w:cs="Times New Roman"/>
          <w:sz w:val="24"/>
          <w:szCs w:val="24"/>
          <w:lang w:eastAsia="en-IN" w:bidi="ta-IN"/>
        </w:rPr>
        <w:t xml:space="preserve"> Since the non-resident agents provided services outside India and did not have any business connection or permanent establishment in India, the commission income was not deemed to accrue or arise in India under Section 9 of the Act. Therefore, such payments were not chargeable to tax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Ruling:</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Gujarat High Court held that the commission payments made by Nova Technocast to non-resident agents for services rendered outside India were not chargeable to tax in India. Consequently, there was no obligation to deduct tax at source under Section 195. As a result, disallowance under Section 40(a)(i) for non-deduction of tax was not warranted.</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reinforces the principle that tax deduction at source under Section 195 is required only when the payment to a non-resident is chargeable to tax in India. Commission payments to non-resident agents for services rendered entirely outside India, without any business connection or permanent establishment in India, are not subject to tax in India, and therefore, no TDS obligation arises on such payments.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Principal Commissioner of Income Tax v. Nova Technocast (P.) Ltd., [2018] 94 taxmann.com 322 (Gujarat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ITAT Online Digest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provides clarity on the applicability of TDS provisions concerning payments to non-resident agents for services rendered outside India, emphasizing the importance of determining the chargeability of such payments to tax in India.</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Ferromatic Milacron India Pvt. Ltd. v DCIT (2018) 52 CCH 0553 AhdTrib - ITA Nos. 2451 &amp; 2616/Ahd/2015 dated 19.04.2018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lastRenderedPageBreak/>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110D6C98" wp14:editId="4B0BAD67">
            <wp:extent cx="763905" cy="763905"/>
            <wp:effectExtent l="0" t="0" r="0" b="0"/>
            <wp:docPr id="31" name="Picture 3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Ferromatic Milacron India Pvt. Ltd. v. Deputy Commissioner of Income Tax</w:t>
      </w:r>
      <w:r w:rsidRPr="00FB3E6C">
        <w:rPr>
          <w:rFonts w:ascii="Times New Roman" w:eastAsia="Times New Roman" w:hAnsi="Times New Roman" w:cs="Times New Roman"/>
          <w:sz w:val="24"/>
          <w:szCs w:val="24"/>
          <w:lang w:eastAsia="en-IN" w:bidi="ta-IN"/>
        </w:rPr>
        <w:t xml:space="preserve"> (ITA Nos. 2451 &amp; 2616/Ahd/2015, dated April 19, 2018), the </w:t>
      </w:r>
      <w:r w:rsidRPr="00FB3E6C">
        <w:rPr>
          <w:rFonts w:ascii="Times New Roman" w:eastAsia="Times New Roman" w:hAnsi="Times New Roman" w:cs="Times New Roman"/>
          <w:b/>
          <w:bCs/>
          <w:sz w:val="24"/>
          <w:szCs w:val="24"/>
          <w:lang w:eastAsia="en-IN" w:bidi="ta-IN"/>
        </w:rPr>
        <w:t>Income Tax Appellate Tribunal (ITAT) Ahmedabad Bench</w:t>
      </w:r>
      <w:r w:rsidRPr="00FB3E6C">
        <w:rPr>
          <w:rFonts w:ascii="Times New Roman" w:eastAsia="Times New Roman" w:hAnsi="Times New Roman" w:cs="Times New Roman"/>
          <w:sz w:val="24"/>
          <w:szCs w:val="24"/>
          <w:lang w:eastAsia="en-IN" w:bidi="ta-IN"/>
        </w:rPr>
        <w:t xml:space="preserve"> addressed the issue of whether commission payments made by an Indian company to non-resident agents for services rendered outside India were subject to tax deduction at source under Section 195 of the </w:t>
      </w:r>
      <w:r w:rsidRPr="00FB3E6C">
        <w:rPr>
          <w:rFonts w:ascii="Times New Roman" w:eastAsia="Times New Roman" w:hAnsi="Times New Roman" w:cs="Times New Roman"/>
          <w:b/>
          <w:bCs/>
          <w:sz w:val="24"/>
          <w:szCs w:val="24"/>
          <w:lang w:eastAsia="en-IN" w:bidi="ta-IN"/>
        </w:rPr>
        <w:t>Income Tax Act, 1961</w:t>
      </w:r>
      <w:r w:rsidRPr="00FB3E6C">
        <w:rPr>
          <w:rFonts w:ascii="Times New Roman" w:eastAsia="Times New Roman" w:hAnsi="Times New Roman" w:cs="Times New Roman"/>
          <w:sz w:val="24"/>
          <w:szCs w:val="24"/>
          <w:lang w:eastAsia="en-IN" w:bidi="ta-IN"/>
        </w:rPr>
        <w:t>, and consequently, whether disallowance under Section 40(a)(i) was warranted for non-deduction of tax.</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Ferromatic Milacron India Pvt. Ltd., an Indian company engaged in manufacturing and exporting goods.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w:t>
      </w:r>
      <w:r w:rsidRPr="00FB3E6C">
        <w:rPr>
          <w:rFonts w:ascii="Times New Roman" w:eastAsia="Times New Roman" w:hAnsi="Times New Roman" w:cs="Times New Roman"/>
          <w:sz w:val="24"/>
          <w:szCs w:val="24"/>
          <w:lang w:eastAsia="en-IN" w:bidi="ta-IN"/>
        </w:rPr>
        <w:t xml:space="preserve"> The company paid commission to non-resident agents for facilitating export sales. These agents operated entirely outside India, and the services were rendered abroad.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Tax Deduction at Source (TDS):</w:t>
      </w:r>
      <w:r w:rsidRPr="00FB3E6C">
        <w:rPr>
          <w:rFonts w:ascii="Times New Roman" w:eastAsia="Times New Roman" w:hAnsi="Times New Roman" w:cs="Times New Roman"/>
          <w:sz w:val="24"/>
          <w:szCs w:val="24"/>
          <w:lang w:eastAsia="en-IN" w:bidi="ta-IN"/>
        </w:rPr>
        <w:t xml:space="preserve"> The assessee did not deduct tax at source on these commission payments, contending that the income was not chargeable to tax in India since the services were rendered outside the country.</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Issue: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Whether the commission payments made by Ferromatic Milacron India Pvt. Ltd. to non-resident agents for services rendered outside India were liable for tax deduction at source under Section 195, and if not deducted, whether such payments should be disallowed under Section 40(a)(i) of the Income Tax Act.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ITAT's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195 Obligation:</w:t>
      </w:r>
      <w:r w:rsidRPr="00FB3E6C">
        <w:rPr>
          <w:rFonts w:ascii="Times New Roman" w:eastAsia="Times New Roman" w:hAnsi="Times New Roman" w:cs="Times New Roman"/>
          <w:sz w:val="24"/>
          <w:szCs w:val="24"/>
          <w:lang w:eastAsia="en-IN" w:bidi="ta-IN"/>
        </w:rPr>
        <w:t xml:space="preserve"> The Tribunal referred to the Supreme Court's decision in </w:t>
      </w:r>
      <w:r w:rsidRPr="00FB3E6C">
        <w:rPr>
          <w:rFonts w:ascii="Times New Roman" w:eastAsia="Times New Roman" w:hAnsi="Times New Roman" w:cs="Times New Roman"/>
          <w:b/>
          <w:bCs/>
          <w:sz w:val="24"/>
          <w:szCs w:val="24"/>
          <w:lang w:eastAsia="en-IN" w:bidi="ta-IN"/>
        </w:rPr>
        <w:t>G.E. India Technology Centre P. Ltd. v. CIT</w:t>
      </w:r>
      <w:r w:rsidRPr="00FB3E6C">
        <w:rPr>
          <w:rFonts w:ascii="Times New Roman" w:eastAsia="Times New Roman" w:hAnsi="Times New Roman" w:cs="Times New Roman"/>
          <w:sz w:val="24"/>
          <w:szCs w:val="24"/>
          <w:lang w:eastAsia="en-IN" w:bidi="ta-IN"/>
        </w:rPr>
        <w:t xml:space="preserve"> ([2010] 327 ITR 456), which clarified that the obligation to deduct tax at source under Section 195 arises only when the payment made to the non-resident is chargeable to tax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Chargeability to Tax:</w:t>
      </w:r>
      <w:r w:rsidRPr="00FB3E6C">
        <w:rPr>
          <w:rFonts w:ascii="Times New Roman" w:eastAsia="Times New Roman" w:hAnsi="Times New Roman" w:cs="Times New Roman"/>
          <w:sz w:val="24"/>
          <w:szCs w:val="24"/>
          <w:lang w:eastAsia="en-IN" w:bidi="ta-IN"/>
        </w:rPr>
        <w:t xml:space="preserve"> Since the non-resident agents provided services outside India and did not have any business connection or permanent establishment in India, the commission income was not deemed to accrue or arise in India under Section 9 of the Act. Therefore, such payments were not chargeable to tax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Ruling:</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The ITAT Ahmedabad Bench held that the commission payments made by Ferromatic Milacron India Pvt. Ltd. to non-resident agents for services rendered outside India were not chargeable to tax in India. Consequently, there was no obligation to deduct tax at source under Section 195. As a result, disallowance under Section 40(a)(i) for non-deduction of tax was not warranted.</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reinforces the principle that tax deduction at source under Section 195 is required only when the payment to a non-resident is chargeable to tax in India. Commission payments to non-resident agents for services rendered entirely outside India, without any business connection or permanent establishment in India, are not subject to tax in India, and therefore, no TDS obligation arises on such payments.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Ferromatic Milacron India Pvt. Ltd. v. Deputy Commissioner of Income Tax, ITA Nos. 2451 &amp; 2616/Ahd/2015, ITAT Ahmedabad Bench.</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ITAT Order</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provides clarity on the applicability of TDS provisions concerning payments to non-resident agents for services rendered outside India, emphasizing the importance of determining the chargeability of such payments to tax in India.</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Ansaldo Energia SPA v DDIT (/ITA Nos. 1496 to 1498/Mds/2014) – TS-686-ITAT-2015 (Chny)</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1A082C60" wp14:editId="469B1E30">
            <wp:extent cx="763905" cy="763905"/>
            <wp:effectExtent l="0" t="0" r="0" b="0"/>
            <wp:docPr id="30" name="Picture 3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Ansaldo Energia SPA v. Deputy Director of Income Tax</w:t>
      </w:r>
      <w:r w:rsidRPr="00FB3E6C">
        <w:rPr>
          <w:rFonts w:ascii="Times New Roman" w:eastAsia="Times New Roman" w:hAnsi="Times New Roman" w:cs="Times New Roman"/>
          <w:sz w:val="24"/>
          <w:szCs w:val="24"/>
          <w:lang w:eastAsia="en-IN" w:bidi="ta-IN"/>
        </w:rPr>
        <w:t xml:space="preserve"> (ITA Nos. 1496 to 1498/Mds/2014), the </w:t>
      </w:r>
      <w:r w:rsidRPr="00FB3E6C">
        <w:rPr>
          <w:rFonts w:ascii="Times New Roman" w:eastAsia="Times New Roman" w:hAnsi="Times New Roman" w:cs="Times New Roman"/>
          <w:b/>
          <w:bCs/>
          <w:sz w:val="24"/>
          <w:szCs w:val="24"/>
          <w:lang w:eastAsia="en-IN" w:bidi="ta-IN"/>
        </w:rPr>
        <w:t>Chennai Bench of the Income Tax Appellate Tribunal (ITAT)</w:t>
      </w:r>
      <w:r w:rsidRPr="00FB3E6C">
        <w:rPr>
          <w:rFonts w:ascii="Times New Roman" w:eastAsia="Times New Roman" w:hAnsi="Times New Roman" w:cs="Times New Roman"/>
          <w:sz w:val="24"/>
          <w:szCs w:val="24"/>
          <w:lang w:eastAsia="en-IN" w:bidi="ta-IN"/>
        </w:rPr>
        <w:t xml:space="preserve"> addressed the taxability of interest on income tax refunds received by a non-resident entity under the </w:t>
      </w:r>
      <w:r w:rsidRPr="00FB3E6C">
        <w:rPr>
          <w:rFonts w:ascii="Times New Roman" w:eastAsia="Times New Roman" w:hAnsi="Times New Roman" w:cs="Times New Roman"/>
          <w:b/>
          <w:bCs/>
          <w:sz w:val="24"/>
          <w:szCs w:val="24"/>
          <w:lang w:eastAsia="en-IN" w:bidi="ta-IN"/>
        </w:rPr>
        <w:t>India-Italy Double Taxation Avoidance Agreement (DTAA)</w:t>
      </w:r>
      <w:r w:rsidRPr="00FB3E6C">
        <w:rPr>
          <w:rFonts w:ascii="Times New Roman" w:eastAsia="Times New Roman" w:hAnsi="Times New Roman" w:cs="Times New Roman"/>
          <w:sz w:val="24"/>
          <w:szCs w:val="24"/>
          <w:lang w:eastAsia="en-IN" w:bidi="ta-IN"/>
        </w:rPr>
        <w: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Ansaldo Energia SPA, an Italian company engaged in designing, building, and supplying power generation plants globally.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Context:</w:t>
      </w:r>
      <w:r w:rsidRPr="00FB3E6C">
        <w:rPr>
          <w:rFonts w:ascii="Times New Roman" w:eastAsia="Times New Roman" w:hAnsi="Times New Roman" w:cs="Times New Roman"/>
          <w:sz w:val="24"/>
          <w:szCs w:val="24"/>
          <w:lang w:eastAsia="en-IN" w:bidi="ta-IN"/>
        </w:rPr>
        <w:t xml:space="preserve"> The assessee received income tax refunds from the Indian tax authorities, which included interest under Section 244A of the Income Tax Act, 1961. The tax authorities withheld tax on this interest at a rate of 42.024%, treating it as income taxable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Issue: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Whether the interest on income tax refunds constitutes "interest" under Article 12(4) of the India-Italy DTAA, thereby attracting taxation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ITAT's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Definition of Interest under DTAA:</w:t>
      </w:r>
      <w:r w:rsidRPr="00FB3E6C">
        <w:rPr>
          <w:rFonts w:ascii="Times New Roman" w:eastAsia="Times New Roman" w:hAnsi="Times New Roman" w:cs="Times New Roman"/>
          <w:sz w:val="24"/>
          <w:szCs w:val="24"/>
          <w:lang w:eastAsia="en-IN" w:bidi="ta-IN"/>
        </w:rPr>
        <w:t xml:space="preserve"> Article 12(4) of the India-Italy DTAA defines "interest" as income from debt-claims of every kind. The Tribunal examined whether interest on tax refunds falls within this definition.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Nature of Interest on Tax Refunds:</w:t>
      </w:r>
      <w:r w:rsidRPr="00FB3E6C">
        <w:rPr>
          <w:rFonts w:ascii="Times New Roman" w:eastAsia="Times New Roman" w:hAnsi="Times New Roman" w:cs="Times New Roman"/>
          <w:sz w:val="24"/>
          <w:szCs w:val="24"/>
          <w:lang w:eastAsia="en-IN" w:bidi="ta-IN"/>
        </w:rPr>
        <w:t xml:space="preserve"> The Tribunal observed that interest under Section 244A is compensation for the use or retention of money owed by the tax authorities to the taxpayer. It is akin to interest arising from a debt-claim, as the government holds the taxpayer's funds during the period of assessment and refund.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Effective Connection with Permanent Establishment (PE):</w:t>
      </w:r>
      <w:r w:rsidRPr="00FB3E6C">
        <w:rPr>
          <w:rFonts w:ascii="Times New Roman" w:eastAsia="Times New Roman" w:hAnsi="Times New Roman" w:cs="Times New Roman"/>
          <w:sz w:val="24"/>
          <w:szCs w:val="24"/>
          <w:lang w:eastAsia="en-IN" w:bidi="ta-IN"/>
        </w:rPr>
        <w:t xml:space="preserve"> The Tribunal considered whether the interest was effectively connected with the assessee's PE in India. It concluded that the interest on tax refunds was not effectively connected to the PE's activities, as it arose due to excess tax payments rather than business operations.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Ruling:</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ITAT held that interest on income tax refunds qualifies as "interest" under Article 12(4) of the India-Italy DTAA.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Since the interest was not effectively connected with the assessee's PE in India, it is taxable in India under Article 12(2) of the DTAA.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Tribunal determined that the applicable tax rate should be 15% as specified in Article 12(2), rather than the higher domestic rate of 42.024% applied by the tax authorities.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clarifies that interest on income tax refunds received by a non-resident entity is considered "interest" under the India-Italy DTAA and is taxable in India at the concessional rate specified in the treaty, provided it is not effectively connected with a permanent establishment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Ansaldo Energia SPA v. DDIT, ITA Nos. 1496 to 1498/Mds/2014, ITAT Chennai Bench.</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CaseMine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This ruling emphasizes the importance of treaty provisions in determining the taxability and applicable tax rates for non-resident entities receiving income from Indian sources.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Hyundai Motor India Limited [TS-166-ITAT-2017(CHNY)] [I.T.A. No. 853/Chny/2014 and 563/Chny/2015]</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47E203EF" wp14:editId="44BDC243">
            <wp:extent cx="763905" cy="763905"/>
            <wp:effectExtent l="0" t="0" r="0" b="0"/>
            <wp:docPr id="29" name="Picture 2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Hyundai Motor India Limited v. Deputy Commissioner of Income Tax</w:t>
      </w:r>
      <w:r w:rsidRPr="00FB3E6C">
        <w:rPr>
          <w:rFonts w:ascii="Times New Roman" w:eastAsia="Times New Roman" w:hAnsi="Times New Roman" w:cs="Times New Roman"/>
          <w:sz w:val="24"/>
          <w:szCs w:val="24"/>
          <w:lang w:eastAsia="en-IN" w:bidi="ta-IN"/>
        </w:rPr>
        <w:t xml:space="preserve"> (I.T.A. Nos. 853/Chny/2014 and 563/Chny/2015), the </w:t>
      </w:r>
      <w:r w:rsidRPr="00FB3E6C">
        <w:rPr>
          <w:rFonts w:ascii="Times New Roman" w:eastAsia="Times New Roman" w:hAnsi="Times New Roman" w:cs="Times New Roman"/>
          <w:b/>
          <w:bCs/>
          <w:sz w:val="24"/>
          <w:szCs w:val="24"/>
          <w:lang w:eastAsia="en-IN" w:bidi="ta-IN"/>
        </w:rPr>
        <w:t>Chennai Bench of the Income Tax Appellate Tribunal (ITAT)</w:t>
      </w:r>
      <w:r w:rsidRPr="00FB3E6C">
        <w:rPr>
          <w:rFonts w:ascii="Times New Roman" w:eastAsia="Times New Roman" w:hAnsi="Times New Roman" w:cs="Times New Roman"/>
          <w:sz w:val="24"/>
          <w:szCs w:val="24"/>
          <w:lang w:eastAsia="en-IN" w:bidi="ta-IN"/>
        </w:rPr>
        <w:t xml:space="preserve"> addressed the issue of whether the expenses incurred by Hyundai Motor India Limited (HMIL) on advertising, marketing, and promotion (AMP) constituted an international transaction with its associated enterprise (AE) under Section 92B of the Income Tax Act, 1961.</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Hyundai Motor India Limited, an Indian company engaged in the manufacture and sale of passenger cars, both domestically and internationally.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Transfer Pricing Officer (TPO) contended that HMIL's AMP expenses benefited its foreign AE by promoting the "Hyundai" brand in India. Consequently, the TPO proposed an adjustment, treating the AMP expenditure as a service rendered by HMIL to its AE, warranting arm's length compensation.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Points: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Definition of International Transaction:</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TPO argued that HMIL's AMP activities enhanced the brand value of the foreign AE, constituting a service under Section 92B, thereby qualifying as an international transaction.</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HMIL contended that the AMP expenses were incurred solely for its business operations in India, aiming to boost domestic sales, and did not amount to a service provided to the AE.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Tribunal's Analysis: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ITAT examined whether the AMP expenses could be deemed an international transaction.</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 xml:space="preserve">It referred to the Delhi High Court's decision in </w:t>
      </w:r>
      <w:r w:rsidRPr="00FB3E6C">
        <w:rPr>
          <w:rFonts w:ascii="Times New Roman" w:eastAsia="Times New Roman" w:hAnsi="Times New Roman" w:cs="Times New Roman"/>
          <w:b/>
          <w:bCs/>
          <w:sz w:val="24"/>
          <w:szCs w:val="24"/>
          <w:lang w:eastAsia="en-IN" w:bidi="ta-IN"/>
        </w:rPr>
        <w:t>Maruti Suzuki India Ltd. v. CIT</w:t>
      </w:r>
      <w:r w:rsidRPr="00FB3E6C">
        <w:rPr>
          <w:rFonts w:ascii="Times New Roman" w:eastAsia="Times New Roman" w:hAnsi="Times New Roman" w:cs="Times New Roman"/>
          <w:sz w:val="24"/>
          <w:szCs w:val="24"/>
          <w:lang w:eastAsia="en-IN" w:bidi="ta-IN"/>
        </w:rPr>
        <w:t xml:space="preserve"> and </w:t>
      </w:r>
      <w:r w:rsidRPr="00FB3E6C">
        <w:rPr>
          <w:rFonts w:ascii="Times New Roman" w:eastAsia="Times New Roman" w:hAnsi="Times New Roman" w:cs="Times New Roman"/>
          <w:b/>
          <w:bCs/>
          <w:sz w:val="24"/>
          <w:szCs w:val="24"/>
          <w:lang w:eastAsia="en-IN" w:bidi="ta-IN"/>
        </w:rPr>
        <w:t>Sony Ericsson Mobile Communications India Pvt. Ltd. v. CIT</w:t>
      </w:r>
      <w:r w:rsidRPr="00FB3E6C">
        <w:rPr>
          <w:rFonts w:ascii="Times New Roman" w:eastAsia="Times New Roman" w:hAnsi="Times New Roman" w:cs="Times New Roman"/>
          <w:sz w:val="24"/>
          <w:szCs w:val="24"/>
          <w:lang w:eastAsia="en-IN" w:bidi="ta-IN"/>
        </w:rPr>
        <w:t>, which held that routine AMP expenses incurred by an entity for its business do not constitute an international transaction in the absence of an agreement or arrangement with the AE.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Tribunal noted that HMIL had not received any direct or indirect reimbursement from its AE for the AMP expenses, indicating the absence of a transaction.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ITAT concluded that HMIL's AMP expenses were incurred for its own business purposes in India and did not constitute a service to its AE.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Therefore, such expenses did not qualify as an international transaction under Section 92B, and no transfer pricing adjustment was warranted.</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Outcome: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Tribunal ruled in favor of Hyundai Motor India Limited, deleting the transfer pricing adjustment related to AMP expenses.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Hyundai Motor India Limited v. DCIT, I.T.A. Nos. 853/Chny/2014 and 563/Chny/2015, ITAT Chennai Bench.</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ITAT Online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underscores the importance of establishing the existence of an international transaction before making transfer pricing adjustments related to AMP expenses.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ACIT v Overseas Trading and Shipping Co. Pvt. Ltd. [TS-596-ITAT-2018(Rjt)] – ITA No. 211/Rjt/2007 dated September 28, 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3ED26765" wp14:editId="28D56C7A">
            <wp:extent cx="763905" cy="763905"/>
            <wp:effectExtent l="0" t="0" r="0" b="0"/>
            <wp:docPr id="28" name="Picture 2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Assistant Commissioner of Income Tax v. Overseas Trading and Shipping Co. Pvt. Ltd.</w:t>
      </w:r>
      <w:r w:rsidRPr="00FB3E6C">
        <w:rPr>
          <w:rFonts w:ascii="Times New Roman" w:eastAsia="Times New Roman" w:hAnsi="Times New Roman" w:cs="Times New Roman"/>
          <w:sz w:val="24"/>
          <w:szCs w:val="24"/>
          <w:lang w:eastAsia="en-IN" w:bidi="ta-IN"/>
        </w:rPr>
        <w:t xml:space="preserve"> (ITA No. 211/Rjt/2007, dated September 28, 2018), the </w:t>
      </w:r>
      <w:r w:rsidRPr="00FB3E6C">
        <w:rPr>
          <w:rFonts w:ascii="Times New Roman" w:eastAsia="Times New Roman" w:hAnsi="Times New Roman" w:cs="Times New Roman"/>
          <w:b/>
          <w:bCs/>
          <w:sz w:val="24"/>
          <w:szCs w:val="24"/>
          <w:lang w:eastAsia="en-IN" w:bidi="ta-IN"/>
        </w:rPr>
        <w:t>Rajkot Bench of the Income Tax Appellate Tribunal (ITAT)</w:t>
      </w:r>
      <w:r w:rsidRPr="00FB3E6C">
        <w:rPr>
          <w:rFonts w:ascii="Times New Roman" w:eastAsia="Times New Roman" w:hAnsi="Times New Roman" w:cs="Times New Roman"/>
          <w:sz w:val="24"/>
          <w:szCs w:val="24"/>
          <w:lang w:eastAsia="en-IN" w:bidi="ta-IN"/>
        </w:rPr>
        <w:t xml:space="preserve"> examined the tax implications of "usance interest" </w:t>
      </w:r>
      <w:r w:rsidRPr="00FB3E6C">
        <w:rPr>
          <w:rFonts w:ascii="Times New Roman" w:eastAsia="Times New Roman" w:hAnsi="Times New Roman" w:cs="Times New Roman"/>
          <w:sz w:val="24"/>
          <w:szCs w:val="24"/>
          <w:lang w:eastAsia="en-IN" w:bidi="ta-IN"/>
        </w:rPr>
        <w:lastRenderedPageBreak/>
        <w:t>paid by an Indian company to its Singapore-based holding company for delayed payments on imported goods.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Overseas Trading and Shipping Co. Pvt. Ltd., an Indian subsidiary engaged in importing goods from its Singapore-based holding company, Swiss Singapore Overseas Enterprises Pvt. Ltd.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w:t>
      </w:r>
      <w:r w:rsidRPr="00FB3E6C">
        <w:rPr>
          <w:rFonts w:ascii="Times New Roman" w:eastAsia="Times New Roman" w:hAnsi="Times New Roman" w:cs="Times New Roman"/>
          <w:sz w:val="24"/>
          <w:szCs w:val="24"/>
          <w:lang w:eastAsia="en-IN" w:bidi="ta-IN"/>
        </w:rPr>
        <w:t xml:space="preserve"> The assessee imported goods and, due to delayed payments, incurred "usance interest" charges paid to its holding company. The assessee did not deduct tax at source (TDS) on these payments, contending that the usance interest was part of the purchase price and not subject to TDS under Section 195 of the Income Tax Act, 1961.</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Issues: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Nature of Usance Interest:</w:t>
      </w:r>
      <w:r w:rsidRPr="00FB3E6C">
        <w:rPr>
          <w:rFonts w:ascii="Times New Roman" w:eastAsia="Times New Roman" w:hAnsi="Times New Roman" w:cs="Times New Roman"/>
          <w:sz w:val="24"/>
          <w:szCs w:val="24"/>
          <w:lang w:eastAsia="en-IN" w:bidi="ta-IN"/>
        </w:rPr>
        <w:t xml:space="preserve"> Whether the usance interest paid to the holding company constitutes "interest" under Section 2(28A) of the Income Tax Act.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TDS Obligation:</w:t>
      </w:r>
      <w:r w:rsidRPr="00FB3E6C">
        <w:rPr>
          <w:rFonts w:ascii="Times New Roman" w:eastAsia="Times New Roman" w:hAnsi="Times New Roman" w:cs="Times New Roman"/>
          <w:sz w:val="24"/>
          <w:szCs w:val="24"/>
          <w:lang w:eastAsia="en-IN" w:bidi="ta-IN"/>
        </w:rPr>
        <w:t xml:space="preserve"> Whether the assessee was liable to deduct tax at source under Section 195 on the usance interest paid to the non-resident holding company.</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ITAT's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Definition of Interest:</w:t>
      </w:r>
      <w:r w:rsidRPr="00FB3E6C">
        <w:rPr>
          <w:rFonts w:ascii="Times New Roman" w:eastAsia="Times New Roman" w:hAnsi="Times New Roman" w:cs="Times New Roman"/>
          <w:sz w:val="24"/>
          <w:szCs w:val="24"/>
          <w:lang w:eastAsia="en-IN" w:bidi="ta-IN"/>
        </w:rPr>
        <w:t xml:space="preserve"> The Tribunal referred to Section 2(28A) of the Income Tax Act, which defines "interest" as any payment in respect of any money borrowed or debt incurred. The ITAT concluded that usance interest, being a charge for delayed payment to the supplier, falls within this definition.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TDS Requirement:</w:t>
      </w:r>
      <w:r w:rsidRPr="00FB3E6C">
        <w:rPr>
          <w:rFonts w:ascii="Times New Roman" w:eastAsia="Times New Roman" w:hAnsi="Times New Roman" w:cs="Times New Roman"/>
          <w:sz w:val="24"/>
          <w:szCs w:val="24"/>
          <w:lang w:eastAsia="en-IN" w:bidi="ta-IN"/>
        </w:rPr>
        <w:t xml:space="preserve"> The ITAT noted that payments to non-residents are subject to TDS under Section 195 if the income is chargeable to tax in India. Since the usance interest was paid to a non-resident entity and constituted income deemed to accrue or arise in India, the assessee was obligated to deduct tax at source.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Disallowance under Section 40(a)(i):</w:t>
      </w:r>
      <w:r w:rsidRPr="00FB3E6C">
        <w:rPr>
          <w:rFonts w:ascii="Times New Roman" w:eastAsia="Times New Roman" w:hAnsi="Times New Roman" w:cs="Times New Roman"/>
          <w:sz w:val="24"/>
          <w:szCs w:val="24"/>
          <w:lang w:eastAsia="en-IN" w:bidi="ta-IN"/>
        </w:rPr>
        <w:t xml:space="preserve"> The Tribunal observed that failure to deduct TDS on payments to non-residents leads to disallowance of such expenses under Section 40(a)(i). Consequently, the usance interest paid without TDS was disallowed.</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Ruling:</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ITAT held that the usance interest paid by Overseas Trading and Shipping Co. Pvt. Ltd. to its Singapore-based holding company was indeed "interest" under Section 2(28A) and was subject to TDS under Section 195. The assessee's failure to deduct tax at source warranted disallowance of the usance interest expense under Section 40(a)(i).</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This decision underscores the importance of understanding the nature of payments to non-residents and the associated TDS obligations under Indian tax laws. Specifically, it clarifies </w:t>
      </w:r>
      <w:r w:rsidRPr="00FB3E6C">
        <w:rPr>
          <w:rFonts w:ascii="Times New Roman" w:eastAsia="Times New Roman" w:hAnsi="Times New Roman" w:cs="Times New Roman"/>
          <w:sz w:val="24"/>
          <w:szCs w:val="24"/>
          <w:lang w:eastAsia="en-IN" w:bidi="ta-IN"/>
        </w:rPr>
        <w:lastRenderedPageBreak/>
        <w:t>that usance interest paid to non-resident entities is subject to TDS, and non-compliance can lead to disallowance of such expenses.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ACIT v. Overseas Trading and Shipping Co. Pvt. Ltd., ITA No. 211/Rjt/2007, ITAT Rajkot Bench.</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ITAT Online Digest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ruling highlights the critical need for compliance with TDS provisions when making payments to non-resident entities, particularly concerning interest components arising from commercial transactions.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Burt Hill Design (P.) Ltd. v. DDIT [2017] 79 taxmann.com 459 (Ahmedabad - – Trib)</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1EAF558C" wp14:editId="47718B70">
            <wp:extent cx="763905" cy="763905"/>
            <wp:effectExtent l="0" t="0" r="0" b="0"/>
            <wp:docPr id="27" name="Picture 2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Burt Hill Design (P.) Ltd. v. Deputy Director of Income Tax</w:t>
      </w:r>
      <w:r w:rsidRPr="00FB3E6C">
        <w:rPr>
          <w:rFonts w:ascii="Times New Roman" w:eastAsia="Times New Roman" w:hAnsi="Times New Roman" w:cs="Times New Roman"/>
          <w:sz w:val="24"/>
          <w:szCs w:val="24"/>
          <w:lang w:eastAsia="en-IN" w:bidi="ta-IN"/>
        </w:rPr>
        <w:t xml:space="preserve"> ([2017] 79 taxmann.com 459), the </w:t>
      </w:r>
      <w:r w:rsidRPr="00FB3E6C">
        <w:rPr>
          <w:rFonts w:ascii="Times New Roman" w:eastAsia="Times New Roman" w:hAnsi="Times New Roman" w:cs="Times New Roman"/>
          <w:b/>
          <w:bCs/>
          <w:sz w:val="24"/>
          <w:szCs w:val="24"/>
          <w:lang w:eastAsia="en-IN" w:bidi="ta-IN"/>
        </w:rPr>
        <w:t>Ahmedabad Bench of the Income Tax Appellate Tribunal (ITAT)</w:t>
      </w:r>
      <w:r w:rsidRPr="00FB3E6C">
        <w:rPr>
          <w:rFonts w:ascii="Times New Roman" w:eastAsia="Times New Roman" w:hAnsi="Times New Roman" w:cs="Times New Roman"/>
          <w:sz w:val="24"/>
          <w:szCs w:val="24"/>
          <w:lang w:eastAsia="en-IN" w:bidi="ta-IN"/>
        </w:rPr>
        <w:t xml:space="preserve"> addressed the tax implications of reimbursements made by an Indian subsidiary to its U.S.-based holding company for the salaries of seconded employees.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Burt Hill Design (P.) Ltd., an Indian company engaged in providing Information Technology Enabled Services (ITES).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Arrangement:</w:t>
      </w:r>
      <w:r w:rsidRPr="00FB3E6C">
        <w:rPr>
          <w:rFonts w:ascii="Times New Roman" w:eastAsia="Times New Roman" w:hAnsi="Times New Roman" w:cs="Times New Roman"/>
          <w:sz w:val="24"/>
          <w:szCs w:val="24"/>
          <w:lang w:eastAsia="en-IN" w:bidi="ta-IN"/>
        </w:rPr>
        <w:t xml:space="preserve"> The company entered into a secondment agreement with its U.S. holding company, Burt Hill Inc., under which certain employees were deputed to work in India. These employees operated under the control and supervision of the Indian subsidiary during their secondment.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Payment Structure:</w:t>
      </w:r>
      <w:r w:rsidRPr="00FB3E6C">
        <w:rPr>
          <w:rFonts w:ascii="Times New Roman" w:eastAsia="Times New Roman" w:hAnsi="Times New Roman" w:cs="Times New Roman"/>
          <w:sz w:val="24"/>
          <w:szCs w:val="24"/>
          <w:lang w:eastAsia="en-IN" w:bidi="ta-IN"/>
        </w:rPr>
        <w:t xml:space="preserve"> Salaries for the seconded employees were initially paid by Burt Hill Inc. in the U.S. Subsequently, Burt Hill Design (P.) Ltd. reimbursed these salary costs to the holding company on a cost-to-cost basis. The Indian subsidiary deducted tax at source under Section 192 of the Income Tax Act, 1961, from the salaries paid to the seconded employees.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Issue: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Whether the reimbursements made by the Indian subsidiary to its U.S. holding company for the salaries of seconded employees were subject to tax deduction at source (TDS) under Section 195 of the Income Tax Act, considering the nature of the payments and the employer-employee relationship.</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ITAT's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Employer-Employee Relationship:</w:t>
      </w:r>
      <w:r w:rsidRPr="00FB3E6C">
        <w:rPr>
          <w:rFonts w:ascii="Times New Roman" w:eastAsia="Times New Roman" w:hAnsi="Times New Roman" w:cs="Times New Roman"/>
          <w:sz w:val="24"/>
          <w:szCs w:val="24"/>
          <w:lang w:eastAsia="en-IN" w:bidi="ta-IN"/>
        </w:rPr>
        <w:t xml:space="preserve"> The Tribunal observed that during the period of secondment, the employees were under the control, supervision, and direction of the Indian subsidiary. This indicated that, for all practical purposes, the seconded employees became employees of the Indian company during their tenure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Nature of Payments:</w:t>
      </w:r>
      <w:r w:rsidRPr="00FB3E6C">
        <w:rPr>
          <w:rFonts w:ascii="Times New Roman" w:eastAsia="Times New Roman" w:hAnsi="Times New Roman" w:cs="Times New Roman"/>
          <w:sz w:val="24"/>
          <w:szCs w:val="24"/>
          <w:lang w:eastAsia="en-IN" w:bidi="ta-IN"/>
        </w:rPr>
        <w:t xml:space="preserve"> The reimbursements made by the Indian subsidiary to the U.S. holding company were strictly on a cost-to-cost basis, with no profit element involved. These payments represented the exact salary amounts paid to the seconded employees.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Taxability under Section 195:</w:t>
      </w:r>
      <w:r w:rsidRPr="00FB3E6C">
        <w:rPr>
          <w:rFonts w:ascii="Times New Roman" w:eastAsia="Times New Roman" w:hAnsi="Times New Roman" w:cs="Times New Roman"/>
          <w:sz w:val="24"/>
          <w:szCs w:val="24"/>
          <w:lang w:eastAsia="en-IN" w:bidi="ta-IN"/>
        </w:rPr>
        <w:t xml:space="preserve"> The Tribunal referred to the Supreme Court's decision in </w:t>
      </w:r>
      <w:r w:rsidRPr="00FB3E6C">
        <w:rPr>
          <w:rFonts w:ascii="Times New Roman" w:eastAsia="Times New Roman" w:hAnsi="Times New Roman" w:cs="Times New Roman"/>
          <w:b/>
          <w:bCs/>
          <w:sz w:val="24"/>
          <w:szCs w:val="24"/>
          <w:lang w:eastAsia="en-IN" w:bidi="ta-IN"/>
        </w:rPr>
        <w:t>G.E. Technology Centre Pvt. Ltd. v. CIT</w:t>
      </w:r>
      <w:r w:rsidRPr="00FB3E6C">
        <w:rPr>
          <w:rFonts w:ascii="Times New Roman" w:eastAsia="Times New Roman" w:hAnsi="Times New Roman" w:cs="Times New Roman"/>
          <w:sz w:val="24"/>
          <w:szCs w:val="24"/>
          <w:lang w:eastAsia="en-IN" w:bidi="ta-IN"/>
        </w:rPr>
        <w:t xml:space="preserve"> ([2010] 327 ITR 456), which clarified that the obligation to deduct tax under Section 195 arises only when the payment to the non-resident is chargeable to tax in India. In this case, since the reimbursements were merely pass-through amounts corresponding to the salaries of employees working under the Indian company's supervision, they did not constitute income in the hands of the U.S. holding company.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Fees for Technical Services (FTS):</w:t>
      </w:r>
      <w:r w:rsidRPr="00FB3E6C">
        <w:rPr>
          <w:rFonts w:ascii="Times New Roman" w:eastAsia="Times New Roman" w:hAnsi="Times New Roman" w:cs="Times New Roman"/>
          <w:sz w:val="24"/>
          <w:szCs w:val="24"/>
          <w:lang w:eastAsia="en-IN" w:bidi="ta-IN"/>
        </w:rPr>
        <w:t xml:space="preserve"> The Tribunal also addressed whether the payments could be classified as Fees for Technical Services. It concluded that since the payments were in the nature of salaries, they did not fall under the definition of FTS.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Ruling:</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ITAT held that the reimbursements made by Burt Hill Design (P.) Ltd. to its U.S. holding company for the salaries of seconded employees were not subject to TDS under Section 195. The payments were considered reimbursements of salary expenses, and the Indian subsidiary had already complied with TDS obligations under Section 192 for salaries.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clarifies that reimbursements of salary costs to a foreign holding company for seconded employees, where the employees are under the control and supervision of the Indian subsidiary and the payments are made on a cost-to-cost basis, are not subject to TDS under Section 195. The primary employer-employee relationship during the secondment period is deemed to be with the Indian entity, and appropriate tax withholding under Section 192 suffices.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Burt Hill Design (P.) Ltd. v. DDIT, [2017] 79 taxmann.com 459 (Ahmedabad - Trib.)</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Source:</w:t>
      </w:r>
      <w:r w:rsidRPr="00FB3E6C">
        <w:rPr>
          <w:rFonts w:ascii="Times New Roman" w:eastAsia="Times New Roman" w:hAnsi="Times New Roman" w:cs="Times New Roman"/>
          <w:sz w:val="24"/>
          <w:szCs w:val="24"/>
          <w:lang w:eastAsia="en-IN" w:bidi="ta-IN"/>
        </w:rPr>
        <w:t xml:space="preserve"> TaxGuru</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ruling provides significant guidance on the tax treatment of cross-border secondment arrangements and the associated withholding tax obligations in India.</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Danisco India Pvt Ltd [TS-63-HC-2018(DEL)] - W.P.(C) 5908/2015 dated 05.02.2018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69FF2EA3" wp14:editId="7DAD1314">
            <wp:extent cx="763905" cy="763905"/>
            <wp:effectExtent l="0" t="0" r="0" b="0"/>
            <wp:docPr id="26" name="Picture 2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Danisco India Pvt. Ltd. v. Union of India &amp; Ors.</w:t>
      </w:r>
      <w:r w:rsidRPr="00FB3E6C">
        <w:rPr>
          <w:rFonts w:ascii="Times New Roman" w:eastAsia="Times New Roman" w:hAnsi="Times New Roman" w:cs="Times New Roman"/>
          <w:sz w:val="24"/>
          <w:szCs w:val="24"/>
          <w:lang w:eastAsia="en-IN" w:bidi="ta-IN"/>
        </w:rPr>
        <w:t xml:space="preserve"> (W.P.(C) 5908/2015, decided on February 5, 2018), the </w:t>
      </w:r>
      <w:r w:rsidRPr="00FB3E6C">
        <w:rPr>
          <w:rFonts w:ascii="Times New Roman" w:eastAsia="Times New Roman" w:hAnsi="Times New Roman" w:cs="Times New Roman"/>
          <w:b/>
          <w:bCs/>
          <w:sz w:val="24"/>
          <w:szCs w:val="24"/>
          <w:lang w:eastAsia="en-IN" w:bidi="ta-IN"/>
        </w:rPr>
        <w:t>Delhi High Court</w:t>
      </w:r>
      <w:r w:rsidRPr="00FB3E6C">
        <w:rPr>
          <w:rFonts w:ascii="Times New Roman" w:eastAsia="Times New Roman" w:hAnsi="Times New Roman" w:cs="Times New Roman"/>
          <w:sz w:val="24"/>
          <w:szCs w:val="24"/>
          <w:lang w:eastAsia="en-IN" w:bidi="ta-IN"/>
        </w:rPr>
        <w:t xml:space="preserve"> examined the interplay between Section 206AA of the Income Tax Act, 1961, and the provisions of the Double Taxation Avoidance Agreement (DTAA) between India and Singapore.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Petitioner:</w:t>
      </w:r>
      <w:r w:rsidRPr="00FB3E6C">
        <w:rPr>
          <w:rFonts w:ascii="Times New Roman" w:eastAsia="Times New Roman" w:hAnsi="Times New Roman" w:cs="Times New Roman"/>
          <w:sz w:val="24"/>
          <w:szCs w:val="24"/>
          <w:lang w:eastAsia="en-IN" w:bidi="ta-IN"/>
        </w:rPr>
        <w:t xml:space="preserve"> Danisco India Pvt. Ltd., an Indian company, made payments to M/s DuPont Singapore, a non-resident company, for services categorized as "fees for technical services."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petitioner deducted tax at source at the rate of 10% in accordance with the DTAA between India and Singapore. However, Section 206AA of the Income Tax Act mandates a higher TDS rate of 20% if the payee does not furnish a Permanent Account Number (PAN). The petitioner challenged the applicability of Section 206AA, arguing that it should not override the beneficial provisions of the DTAA.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Points: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206AA:</w:t>
      </w:r>
      <w:r w:rsidRPr="00FB3E6C">
        <w:rPr>
          <w:rFonts w:ascii="Times New Roman" w:eastAsia="Times New Roman" w:hAnsi="Times New Roman" w:cs="Times New Roman"/>
          <w:sz w:val="24"/>
          <w:szCs w:val="24"/>
          <w:lang w:eastAsia="en-IN" w:bidi="ta-IN"/>
        </w:rPr>
        <w:t xml:space="preserve"> Introduced to ensure tax compliance, this section stipulates a higher TDS rate for payments to entities without a PAN.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Double Taxation Avoidance Agreement (DTAA):</w:t>
      </w:r>
      <w:r w:rsidRPr="00FB3E6C">
        <w:rPr>
          <w:rFonts w:ascii="Times New Roman" w:eastAsia="Times New Roman" w:hAnsi="Times New Roman" w:cs="Times New Roman"/>
          <w:sz w:val="24"/>
          <w:szCs w:val="24"/>
          <w:lang w:eastAsia="en-IN" w:bidi="ta-IN"/>
        </w:rPr>
        <w:t xml:space="preserve"> The DTAA between India and Singapore prescribes a concessional TDS rate of 10% for fees for technical services.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Petitioner's Argument:</w:t>
      </w:r>
      <w:r w:rsidRPr="00FB3E6C">
        <w:rPr>
          <w:rFonts w:ascii="Times New Roman" w:eastAsia="Times New Roman" w:hAnsi="Times New Roman" w:cs="Times New Roman"/>
          <w:sz w:val="24"/>
          <w:szCs w:val="24"/>
          <w:lang w:eastAsia="en-IN" w:bidi="ta-IN"/>
        </w:rPr>
        <w:t xml:space="preserve"> Danisco contended that the DTAA's provisions, being more beneficial, should prevail over the domestic law, and thus, the TDS should be deducted at 10% instead of the 20% mandated by Section 206AA.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Supremacy of DTAA:</w:t>
      </w:r>
      <w:r w:rsidRPr="00FB3E6C">
        <w:rPr>
          <w:rFonts w:ascii="Times New Roman" w:eastAsia="Times New Roman" w:hAnsi="Times New Roman" w:cs="Times New Roman"/>
          <w:sz w:val="24"/>
          <w:szCs w:val="24"/>
          <w:lang w:eastAsia="en-IN" w:bidi="ta-IN"/>
        </w:rPr>
        <w:t xml:space="preserve"> The court referred to Section 90(2) of the Income Tax Act, which states that the provisions of the Act apply to the extent they are more beneficial to the assessee. The court also cited the Supreme Court's judgment in </w:t>
      </w:r>
      <w:r w:rsidRPr="00FB3E6C">
        <w:rPr>
          <w:rFonts w:ascii="Times New Roman" w:eastAsia="Times New Roman" w:hAnsi="Times New Roman" w:cs="Times New Roman"/>
          <w:b/>
          <w:bCs/>
          <w:sz w:val="24"/>
          <w:szCs w:val="24"/>
          <w:lang w:eastAsia="en-IN" w:bidi="ta-IN"/>
        </w:rPr>
        <w:t>Azadi Bachao Andolan v. Union of India</w:t>
      </w:r>
      <w:r w:rsidRPr="00FB3E6C">
        <w:rPr>
          <w:rFonts w:ascii="Times New Roman" w:eastAsia="Times New Roman" w:hAnsi="Times New Roman" w:cs="Times New Roman"/>
          <w:sz w:val="24"/>
          <w:szCs w:val="24"/>
          <w:lang w:eastAsia="en-IN" w:bidi="ta-IN"/>
        </w:rPr>
        <w:t xml:space="preserve"> (2003) 263 ITR 706 (SC), affirming that DTAA provisions override domestic law when beneficial to the assessee.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206AA's Applicability:</w:t>
      </w:r>
      <w:r w:rsidRPr="00FB3E6C">
        <w:rPr>
          <w:rFonts w:ascii="Times New Roman" w:eastAsia="Times New Roman" w:hAnsi="Times New Roman" w:cs="Times New Roman"/>
          <w:sz w:val="24"/>
          <w:szCs w:val="24"/>
          <w:lang w:eastAsia="en-IN" w:bidi="ta-IN"/>
        </w:rPr>
        <w:t xml:space="preserve"> The court observed that while Section 206AA aims to enforce tax compliance, it cannot override the provisions of the DTAA. Therefore, if the DTAA prescribes a lower tax rate, that rate should apply, irrespective of the absence of a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Delhi High Court held that the provisions of the DTAA would prevail over Section 206AA. Consequently, the petitioner was entitled to deduct tax at the beneficial rate of 10% as specified in the DTAA between India and Singapore, even though the non-resident payee did not possess a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reinforces the principle that the provisions of a DTAA, when more beneficial to the assessee, take precedence over conflicting provisions of domestic tax law. Specifically, in cases where a DTAA prescribes a lower TDS rate, that rate applies regardless of the requirements under Section 206AA concerning the furnishing of a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Danisco India Pvt. Ltd. v. Union of India &amp; Ors., W.P.(C) 5908/2015, Delhi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Indian Kanoon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underscores the importance of DTAAs in providing relief to taxpayers and clarifies that domestic provisions imposing higher tax rates cannot override the beneficial rates agreed upon in such international agreements.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DCIT v Calderys France - [2017] 84 taxmann.com 301 (Pune - Trib.) - IT APPEAL NO. 1265 (PUN.) of 2015 dated 14.07.2017</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73C1EDBC" wp14:editId="71CA2EB8">
            <wp:extent cx="763905" cy="763905"/>
            <wp:effectExtent l="0" t="0" r="0" b="0"/>
            <wp:docPr id="25" name="Picture 2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 xml:space="preserve">In the case of </w:t>
      </w:r>
      <w:r w:rsidRPr="00FB3E6C">
        <w:rPr>
          <w:rFonts w:ascii="Times New Roman" w:eastAsia="Times New Roman" w:hAnsi="Times New Roman" w:cs="Times New Roman"/>
          <w:b/>
          <w:bCs/>
          <w:sz w:val="24"/>
          <w:szCs w:val="24"/>
          <w:lang w:eastAsia="en-IN" w:bidi="ta-IN"/>
        </w:rPr>
        <w:t>Deputy Commissioner of Income Tax v. Calderys France</w:t>
      </w:r>
      <w:r w:rsidRPr="00FB3E6C">
        <w:rPr>
          <w:rFonts w:ascii="Times New Roman" w:eastAsia="Times New Roman" w:hAnsi="Times New Roman" w:cs="Times New Roman"/>
          <w:sz w:val="24"/>
          <w:szCs w:val="24"/>
          <w:lang w:eastAsia="en-IN" w:bidi="ta-IN"/>
        </w:rPr>
        <w:t xml:space="preserve"> (IT Appeal No. 1265/PUN/2015, dated July 14, 2017), the </w:t>
      </w:r>
      <w:r w:rsidRPr="00FB3E6C">
        <w:rPr>
          <w:rFonts w:ascii="Times New Roman" w:eastAsia="Times New Roman" w:hAnsi="Times New Roman" w:cs="Times New Roman"/>
          <w:b/>
          <w:bCs/>
          <w:sz w:val="24"/>
          <w:szCs w:val="24"/>
          <w:lang w:eastAsia="en-IN" w:bidi="ta-IN"/>
        </w:rPr>
        <w:t>Pune Bench of the Income Tax Appellate Tribunal (ITAT)</w:t>
      </w:r>
      <w:r w:rsidRPr="00FB3E6C">
        <w:rPr>
          <w:rFonts w:ascii="Times New Roman" w:eastAsia="Times New Roman" w:hAnsi="Times New Roman" w:cs="Times New Roman"/>
          <w:sz w:val="24"/>
          <w:szCs w:val="24"/>
          <w:lang w:eastAsia="en-IN" w:bidi="ta-IN"/>
        </w:rPr>
        <w:t xml:space="preserve"> addressed the applicability of Section 206AA of the Income Tax Act, 1961, in situations where payments are made to non-residents who do not possess a Permanent Account Number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Calderys France, a non-resident company, received payments from its Indian subsidiary.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Indian subsidiary deducted tax at source (TDS) on payments made to Calderys France at the rates prescribed under the Double Taxation Avoidance Agreement (DTAA) between India and France. However, the Assessing Officer contended that, in the absence of a PAN, Section 206AA mandates a higher TDS rate of 20%, overriding the DTAA provisions.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Points: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206AA:</w:t>
      </w:r>
      <w:r w:rsidRPr="00FB3E6C">
        <w:rPr>
          <w:rFonts w:ascii="Times New Roman" w:eastAsia="Times New Roman" w:hAnsi="Times New Roman" w:cs="Times New Roman"/>
          <w:sz w:val="24"/>
          <w:szCs w:val="24"/>
          <w:lang w:eastAsia="en-IN" w:bidi="ta-IN"/>
        </w:rPr>
        <w:t xml:space="preserve"> Introduced to enforce tax compliance, this section stipulates a higher TDS rate of 20% if the payee does not furnish a PAN.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Double Taxation Avoidance Agreement (DTAA):</w:t>
      </w:r>
      <w:r w:rsidRPr="00FB3E6C">
        <w:rPr>
          <w:rFonts w:ascii="Times New Roman" w:eastAsia="Times New Roman" w:hAnsi="Times New Roman" w:cs="Times New Roman"/>
          <w:sz w:val="24"/>
          <w:szCs w:val="24"/>
          <w:lang w:eastAsia="en-IN" w:bidi="ta-IN"/>
        </w:rPr>
        <w:t xml:space="preserve"> The DTAA between India and France prescribes specific tax rates for various categories of income, often lower than domestic rates, to avoid double taxation and promote cross-border trade and investment.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Assessee's Argument:</w:t>
      </w:r>
      <w:r w:rsidRPr="00FB3E6C">
        <w:rPr>
          <w:rFonts w:ascii="Times New Roman" w:eastAsia="Times New Roman" w:hAnsi="Times New Roman" w:cs="Times New Roman"/>
          <w:sz w:val="24"/>
          <w:szCs w:val="24"/>
          <w:lang w:eastAsia="en-IN" w:bidi="ta-IN"/>
        </w:rPr>
        <w:t xml:space="preserve"> Calderys France contended that the beneficial provisions of the DTAA should prevail over the domestic law, and thus, TDS should be deducted at the DTAA-prescribed rates, irrespective of the absence of a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Tribunal's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Supremacy of DTAA:</w:t>
      </w:r>
      <w:r w:rsidRPr="00FB3E6C">
        <w:rPr>
          <w:rFonts w:ascii="Times New Roman" w:eastAsia="Times New Roman" w:hAnsi="Times New Roman" w:cs="Times New Roman"/>
          <w:sz w:val="24"/>
          <w:szCs w:val="24"/>
          <w:lang w:eastAsia="en-IN" w:bidi="ta-IN"/>
        </w:rPr>
        <w:t xml:space="preserve"> The ITAT referred to Section 90(2) of the Income Tax Act, which allows an assessee to apply the provisions of the Act or the DTAA, whichever is more beneficial.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Interpretation of Section 206AA:</w:t>
      </w:r>
      <w:r w:rsidRPr="00FB3E6C">
        <w:rPr>
          <w:rFonts w:ascii="Times New Roman" w:eastAsia="Times New Roman" w:hAnsi="Times New Roman" w:cs="Times New Roman"/>
          <w:sz w:val="24"/>
          <w:szCs w:val="24"/>
          <w:lang w:eastAsia="en-IN" w:bidi="ta-IN"/>
        </w:rPr>
        <w:t xml:space="preserve"> The Tribunal observed that Section 206AA begins with a non-obstante clause, indicating its overriding nature. However, it held that this does not imply it can override the provisions of Section 90(2), which grants precedence to the beneficial provisions of a DTAA.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Supporting Precedents:</w:t>
      </w:r>
      <w:r w:rsidRPr="00FB3E6C">
        <w:rPr>
          <w:rFonts w:ascii="Times New Roman" w:eastAsia="Times New Roman" w:hAnsi="Times New Roman" w:cs="Times New Roman"/>
          <w:sz w:val="24"/>
          <w:szCs w:val="24"/>
          <w:lang w:eastAsia="en-IN" w:bidi="ta-IN"/>
        </w:rPr>
        <w:t xml:space="preserve"> The ITAT cited its earlier decision in </w:t>
      </w:r>
      <w:r w:rsidRPr="00FB3E6C">
        <w:rPr>
          <w:rFonts w:ascii="Times New Roman" w:eastAsia="Times New Roman" w:hAnsi="Times New Roman" w:cs="Times New Roman"/>
          <w:b/>
          <w:bCs/>
          <w:sz w:val="24"/>
          <w:szCs w:val="24"/>
          <w:lang w:eastAsia="en-IN" w:bidi="ta-IN"/>
        </w:rPr>
        <w:t>DDIT v. Serum Institute of India Ltd.</w:t>
      </w:r>
      <w:r w:rsidRPr="00FB3E6C">
        <w:rPr>
          <w:rFonts w:ascii="Times New Roman" w:eastAsia="Times New Roman" w:hAnsi="Times New Roman" w:cs="Times New Roman"/>
          <w:sz w:val="24"/>
          <w:szCs w:val="24"/>
          <w:lang w:eastAsia="en-IN" w:bidi="ta-IN"/>
        </w:rPr>
        <w:t xml:space="preserve"> (2015) 56 taxmann.com 1 (Pune - Trib.), where it was held that the provisions of the DTAA override domestic law, including Section 206AA.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Pune ITAT concluded that the provisions of the DTAA between India and France would prevail over Section 206AA. Therefore, in the absence of a PAN, the TDS should be </w:t>
      </w:r>
      <w:r w:rsidRPr="00FB3E6C">
        <w:rPr>
          <w:rFonts w:ascii="Times New Roman" w:eastAsia="Times New Roman" w:hAnsi="Times New Roman" w:cs="Times New Roman"/>
          <w:sz w:val="24"/>
          <w:szCs w:val="24"/>
          <w:lang w:eastAsia="en-IN" w:bidi="ta-IN"/>
        </w:rPr>
        <w:lastRenderedPageBreak/>
        <w:t>deducted at the rates prescribed under the DTAA, provided they are more beneficial to the assessee.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reinforces the principle that the provisions of a DTAA, when more beneficial to the assessee, take precedence over conflicting provisions of domestic tax law, including Section 206AA. Consequently, in cases where a DTAA prescribes a lower TDS rate, that rate applies even if the non-resident payee does not possess a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Deputy Commissioner of Income Tax v. Calderys France, IT Appeal No. 1265/PUN/2015, Pune ITAT.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Indian Kanoon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underscores the importance of DTAAs in providing relief to taxpayers and clarifies that domestic provisions imposing higher tax rates cannot override the beneficial rates agreed upon in such international agreements.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Uniphos Environtronic (P.) Ltd v DCIT - [2017] 79 taxmann.com 75 (Ahmedabad - Trib.) - IT APPEAL NO. 947 (AHD.) OF 2016 dated 06.02.2017</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746F388F" wp14:editId="69D9BF8E">
            <wp:extent cx="763905" cy="763905"/>
            <wp:effectExtent l="0" t="0" r="0" b="0"/>
            <wp:docPr id="24" name="Picture 2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Uniphos Environtronic Pvt. Ltd. v. Deputy Commissioner of Income Tax (TDS)</w:t>
      </w:r>
      <w:r w:rsidRPr="00FB3E6C">
        <w:rPr>
          <w:rFonts w:ascii="Times New Roman" w:eastAsia="Times New Roman" w:hAnsi="Times New Roman" w:cs="Times New Roman"/>
          <w:sz w:val="24"/>
          <w:szCs w:val="24"/>
          <w:lang w:eastAsia="en-IN" w:bidi="ta-IN"/>
        </w:rPr>
        <w:t xml:space="preserve"> (IT Appeal No. 947/Ahd/2016, dated February 6, 2017), the </w:t>
      </w:r>
      <w:r w:rsidRPr="00FB3E6C">
        <w:rPr>
          <w:rFonts w:ascii="Times New Roman" w:eastAsia="Times New Roman" w:hAnsi="Times New Roman" w:cs="Times New Roman"/>
          <w:b/>
          <w:bCs/>
          <w:sz w:val="24"/>
          <w:szCs w:val="24"/>
          <w:lang w:eastAsia="en-IN" w:bidi="ta-IN"/>
        </w:rPr>
        <w:t>Ahmedabad Bench of the Income Tax Appellate Tribunal (ITAT)</w:t>
      </w:r>
      <w:r w:rsidRPr="00FB3E6C">
        <w:rPr>
          <w:rFonts w:ascii="Times New Roman" w:eastAsia="Times New Roman" w:hAnsi="Times New Roman" w:cs="Times New Roman"/>
          <w:sz w:val="24"/>
          <w:szCs w:val="24"/>
          <w:lang w:eastAsia="en-IN" w:bidi="ta-IN"/>
        </w:rPr>
        <w:t xml:space="preserve"> addressed the applicability of Section 206AA of the Income Tax Act, 1961, in relation to payments made to non-residents who do not possess a Permanent Account Number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Uniphos Environtronic Pvt. Ltd., an Indian company, engaged a German law firm, Kracht + Strohe Rechtsanwalte Koln (KSR), for legal services.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w:t>
      </w:r>
      <w:r w:rsidRPr="00FB3E6C">
        <w:rPr>
          <w:rFonts w:ascii="Times New Roman" w:eastAsia="Times New Roman" w:hAnsi="Times New Roman" w:cs="Times New Roman"/>
          <w:sz w:val="24"/>
          <w:szCs w:val="24"/>
          <w:lang w:eastAsia="en-IN" w:bidi="ta-IN"/>
        </w:rPr>
        <w:t xml:space="preserve"> The assessee remitted a sum of EUR 10,395 (equivalent to ₹7,38,045) to KSR in December 2012. In accordance with Article 12 of the Double Taxation Avoidance Agreement (DTAA) between India and Germany, the assessee deducted </w:t>
      </w:r>
      <w:r w:rsidRPr="00FB3E6C">
        <w:rPr>
          <w:rFonts w:ascii="Times New Roman" w:eastAsia="Times New Roman" w:hAnsi="Times New Roman" w:cs="Times New Roman"/>
          <w:sz w:val="24"/>
          <w:szCs w:val="24"/>
          <w:lang w:eastAsia="en-IN" w:bidi="ta-IN"/>
        </w:rPr>
        <w:lastRenderedPageBreak/>
        <w:t>tax at source (TDS) at the rate of 10% on the payment, amounting to ₹73,804, and deposited the same on January 5, 2013.</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Assessing Officer (AO) raised a demand of ₹90,750, including interest, on the grounds that the assessee should have deducted TDS at the higher rate of 20% as mandated by Section 206AA of the Income Tax Act, due to the non-availability of PAN of the non-resident payee.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Points: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206AA:</w:t>
      </w:r>
      <w:r w:rsidRPr="00FB3E6C">
        <w:rPr>
          <w:rFonts w:ascii="Times New Roman" w:eastAsia="Times New Roman" w:hAnsi="Times New Roman" w:cs="Times New Roman"/>
          <w:sz w:val="24"/>
          <w:szCs w:val="24"/>
          <w:lang w:eastAsia="en-IN" w:bidi="ta-IN"/>
        </w:rPr>
        <w:t xml:space="preserve"> This section stipulates that any person entitled to receive income on which tax is deductible at source must furnish their PAN to the deductor. Failure to do so results in TDS being deducted at the higher of the following rates: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rate specified in the relevant provision of the Act.</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rate or rates in force.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20%.</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Assessee's Argument:</w:t>
      </w:r>
      <w:r w:rsidRPr="00FB3E6C">
        <w:rPr>
          <w:rFonts w:ascii="Times New Roman" w:eastAsia="Times New Roman" w:hAnsi="Times New Roman" w:cs="Times New Roman"/>
          <w:sz w:val="24"/>
          <w:szCs w:val="24"/>
          <w:lang w:eastAsia="en-IN" w:bidi="ta-IN"/>
        </w:rPr>
        <w:t xml:space="preserve"> The assessee contended that the provisions of the DTAA, being more beneficial, should prevail over the domestic law as per Section 90(2) of the Income Tax Act. Therefore, TDS was correctly deducted at 10% in accordance with the DTAA.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Revenue's Stand:</w:t>
      </w:r>
      <w:r w:rsidRPr="00FB3E6C">
        <w:rPr>
          <w:rFonts w:ascii="Times New Roman" w:eastAsia="Times New Roman" w:hAnsi="Times New Roman" w:cs="Times New Roman"/>
          <w:sz w:val="24"/>
          <w:szCs w:val="24"/>
          <w:lang w:eastAsia="en-IN" w:bidi="ta-IN"/>
        </w:rPr>
        <w:t xml:space="preserve"> The Revenue argued that in the absence of PAN, Section 206AA mandates TDS at a higher rate of 20%, overriding the DTAA provisions.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Tribunal's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Supremacy of DTAA:</w:t>
      </w:r>
      <w:r w:rsidRPr="00FB3E6C">
        <w:rPr>
          <w:rFonts w:ascii="Times New Roman" w:eastAsia="Times New Roman" w:hAnsi="Times New Roman" w:cs="Times New Roman"/>
          <w:sz w:val="24"/>
          <w:szCs w:val="24"/>
          <w:lang w:eastAsia="en-IN" w:bidi="ta-IN"/>
        </w:rPr>
        <w:t xml:space="preserve"> The ITAT referred to Section 90(2) of the Income Tax Act, which allows an assessee to apply the provisions of the Act or the DTAA, whichever is more beneficial.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Interpretation of Section 206AA:</w:t>
      </w:r>
      <w:r w:rsidRPr="00FB3E6C">
        <w:rPr>
          <w:rFonts w:ascii="Times New Roman" w:eastAsia="Times New Roman" w:hAnsi="Times New Roman" w:cs="Times New Roman"/>
          <w:sz w:val="24"/>
          <w:szCs w:val="24"/>
          <w:lang w:eastAsia="en-IN" w:bidi="ta-IN"/>
        </w:rPr>
        <w:t xml:space="preserve"> The Tribunal observed that while Section 206AA begins with a non-obstante clause, it does not override the provisions of Section 90(2). Therefore, the beneficial provisions of the DTAA would prevail.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Supporting Precedents:</w:t>
      </w:r>
      <w:r w:rsidRPr="00FB3E6C">
        <w:rPr>
          <w:rFonts w:ascii="Times New Roman" w:eastAsia="Times New Roman" w:hAnsi="Times New Roman" w:cs="Times New Roman"/>
          <w:sz w:val="24"/>
          <w:szCs w:val="24"/>
          <w:lang w:eastAsia="en-IN" w:bidi="ta-IN"/>
        </w:rPr>
        <w:t xml:space="preserve"> The ITAT cited its earlier decision in the assessee's own case for the assessment year 2014-15 (ITA No. 1974/Ahd/2015), where it was held that the provisions of the DTAA override domestic law, including Section 206AA.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Ahmedabad ITAT concluded that the provisions of the DTAA between India and Germany would prevail over Section 206AA. Therefore, the assessee was justified in deducting TDS at the rate of 10% as specified in the DTAA, despite the non-availability of PAN of the non-resident payee.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This judgment reinforces the principle that the provisions of a DTAA, when more beneficial to the assessee, take precedence over conflicting provisions of domestic tax law, including Section 206AA. Consequently, in cases where a DTAA prescribes a lower TDS rate, that rate applies even if the non-resident payee does not possess a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Uniphos Environtronic Pvt. Ltd. v. DCIT (TDS), IT Appeal No. 947/Ahd/2016, Ahmedabad ITAT.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48" w:tgtFrame="_new" w:history="1">
        <w:r w:rsidRPr="00FB3E6C">
          <w:rPr>
            <w:rFonts w:ascii="Times New Roman" w:eastAsia="Times New Roman" w:hAnsi="Times New Roman" w:cs="Times New Roman"/>
            <w:color w:val="0000FF"/>
            <w:sz w:val="24"/>
            <w:szCs w:val="24"/>
            <w:u w:val="single"/>
            <w:lang w:eastAsia="en-IN" w:bidi="ta-IN"/>
          </w:rPr>
          <w:t>CaseMine</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underscores the importance of DTAAs in providing relief to taxpayers and clarifies that domestic provisions imposing higher tax rates cannot override the beneficial rates agreed upon in such international agreements.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Shivsu Canadian Clear Waters Ltd. v DCIT – (2018) 90 taxmann.com 352 (Chen Trib) - ITA No. 2347 (Mds.) of 2017 dated 25.01.2018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6196A34B" wp14:editId="6B0365FC">
            <wp:extent cx="763905" cy="763905"/>
            <wp:effectExtent l="0" t="0" r="0" b="0"/>
            <wp:docPr id="23" name="Picture 2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Shivsu Canadian Clear Waters Ltd. v. Deputy Commissioner of Income Tax</w:t>
      </w:r>
      <w:r w:rsidRPr="00FB3E6C">
        <w:rPr>
          <w:rFonts w:ascii="Times New Roman" w:eastAsia="Times New Roman" w:hAnsi="Times New Roman" w:cs="Times New Roman"/>
          <w:sz w:val="24"/>
          <w:szCs w:val="24"/>
          <w:lang w:eastAsia="en-IN" w:bidi="ta-IN"/>
        </w:rPr>
        <w:t xml:space="preserve"> (ITA No. 2347/Mds/2017, dated January 25, 2018), the </w:t>
      </w:r>
      <w:r w:rsidRPr="00FB3E6C">
        <w:rPr>
          <w:rFonts w:ascii="Times New Roman" w:eastAsia="Times New Roman" w:hAnsi="Times New Roman" w:cs="Times New Roman"/>
          <w:b/>
          <w:bCs/>
          <w:sz w:val="24"/>
          <w:szCs w:val="24"/>
          <w:lang w:eastAsia="en-IN" w:bidi="ta-IN"/>
        </w:rPr>
        <w:t>Chennai Bench of the Income Tax Appellate Tribunal (ITAT)</w:t>
      </w:r>
      <w:r w:rsidRPr="00FB3E6C">
        <w:rPr>
          <w:rFonts w:ascii="Times New Roman" w:eastAsia="Times New Roman" w:hAnsi="Times New Roman" w:cs="Times New Roman"/>
          <w:sz w:val="24"/>
          <w:szCs w:val="24"/>
          <w:lang w:eastAsia="en-IN" w:bidi="ta-IN"/>
        </w:rPr>
        <w:t xml:space="preserve"> addressed two primary issues: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Reopening of Assessment under Section 147:</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r w:rsidRPr="00FB3E6C">
        <w:rPr>
          <w:rFonts w:ascii="Times New Roman" w:eastAsia="Times New Roman" w:hAnsi="Times New Roman" w:cs="Times New Roman"/>
          <w:sz w:val="24"/>
          <w:szCs w:val="24"/>
          <w:lang w:eastAsia="en-IN" w:bidi="ta-IN"/>
        </w:rPr>
        <w:t xml:space="preserve"> The assessee, Shivsu Canadian Clear Waters Ltd., filed its return of income for the assessment year 2009-10, which was initially processed under Section 143(1) and later scrutinized under Section 143(3). Subsequently, the Assessing Officer (AO) issued a notice under Section 148 to reopen the assessment, citing the assessee's failure to deduct tax at source under Section 195 on payments made to a foreign company.</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Assessee's Argument:</w:t>
      </w:r>
      <w:r w:rsidRPr="00FB3E6C">
        <w:rPr>
          <w:rFonts w:ascii="Times New Roman" w:eastAsia="Times New Roman" w:hAnsi="Times New Roman" w:cs="Times New Roman"/>
          <w:sz w:val="24"/>
          <w:szCs w:val="24"/>
          <w:lang w:eastAsia="en-IN" w:bidi="ta-IN"/>
        </w:rPr>
        <w:t xml:space="preserve"> The assessee contended that all relevant details were furnished during the original assessment, and no new material had surfaced to justify the reopening.</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Tribunal's Analysis:</w:t>
      </w:r>
      <w:r w:rsidRPr="00FB3E6C">
        <w:rPr>
          <w:rFonts w:ascii="Times New Roman" w:eastAsia="Times New Roman" w:hAnsi="Times New Roman" w:cs="Times New Roman"/>
          <w:sz w:val="24"/>
          <w:szCs w:val="24"/>
          <w:lang w:eastAsia="en-IN" w:bidi="ta-IN"/>
        </w:rPr>
        <w:t xml:space="preserve"> The ITAT observed that the AO had not recorded any tangible material or fresh evidence that warranted the reopening of the assessment. Relying on the judgment of the Madras High Court in </w:t>
      </w:r>
      <w:r w:rsidRPr="00FB3E6C">
        <w:rPr>
          <w:rFonts w:ascii="Times New Roman" w:eastAsia="Times New Roman" w:hAnsi="Times New Roman" w:cs="Times New Roman"/>
          <w:b/>
          <w:bCs/>
          <w:sz w:val="24"/>
          <w:szCs w:val="24"/>
          <w:lang w:eastAsia="en-IN" w:bidi="ta-IN"/>
        </w:rPr>
        <w:t xml:space="preserve">Tanmac </w:t>
      </w:r>
      <w:r w:rsidRPr="00FB3E6C">
        <w:rPr>
          <w:rFonts w:ascii="Times New Roman" w:eastAsia="Times New Roman" w:hAnsi="Times New Roman" w:cs="Times New Roman"/>
          <w:b/>
          <w:bCs/>
          <w:sz w:val="24"/>
          <w:szCs w:val="24"/>
          <w:lang w:eastAsia="en-IN" w:bidi="ta-IN"/>
        </w:rPr>
        <w:lastRenderedPageBreak/>
        <w:t>India v. DCIT</w:t>
      </w:r>
      <w:r w:rsidRPr="00FB3E6C">
        <w:rPr>
          <w:rFonts w:ascii="Times New Roman" w:eastAsia="Times New Roman" w:hAnsi="Times New Roman" w:cs="Times New Roman"/>
          <w:sz w:val="24"/>
          <w:szCs w:val="24"/>
          <w:lang w:eastAsia="en-IN" w:bidi="ta-IN"/>
        </w:rPr>
        <w:t xml:space="preserve"> (2016) 97 CCH 189, the Tribunal held that, in the absence of new material, the reopening of the assessment was invalid.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Disallowance under Section 40(a)(i) for Non-Deduction of Tax at Source: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r w:rsidRPr="00FB3E6C">
        <w:rPr>
          <w:rFonts w:ascii="Times New Roman" w:eastAsia="Times New Roman" w:hAnsi="Times New Roman" w:cs="Times New Roman"/>
          <w:sz w:val="24"/>
          <w:szCs w:val="24"/>
          <w:lang w:eastAsia="en-IN" w:bidi="ta-IN"/>
        </w:rPr>
        <w:t xml:space="preserve"> The assessee had made a payment of ₹5.25 crore to Canadian Crystaline Emirates, UAE, for erection and commissioning charges without deducting tax at source under Section 195.</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Assessee's Argument:</w:t>
      </w:r>
      <w:r w:rsidRPr="00FB3E6C">
        <w:rPr>
          <w:rFonts w:ascii="Times New Roman" w:eastAsia="Times New Roman" w:hAnsi="Times New Roman" w:cs="Times New Roman"/>
          <w:sz w:val="24"/>
          <w:szCs w:val="24"/>
          <w:lang w:eastAsia="en-IN" w:bidi="ta-IN"/>
        </w:rPr>
        <w:t xml:space="preserve"> The assessee argued that the payment was for erection and commissioning services, not for technical services, and thus did not attract tax liability in India. Consequently, there was no obligation to deduct tax at source.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Tribunal's Analysis:</w:t>
      </w:r>
      <w:r w:rsidRPr="00FB3E6C">
        <w:rPr>
          <w:rFonts w:ascii="Times New Roman" w:eastAsia="Times New Roman" w:hAnsi="Times New Roman" w:cs="Times New Roman"/>
          <w:sz w:val="24"/>
          <w:szCs w:val="24"/>
          <w:lang w:eastAsia="en-IN" w:bidi="ta-IN"/>
        </w:rPr>
        <w:t xml:space="preserve"> The ITAT examined the nature of the services rendered and concluded that the payment was indeed for erection and commissioning, which did not fall under the definition of "fees for technical services" as per Explanation 2 to Section 9(1)(vii) of the Income Tax Act. Therefore, the income was not chargeable to tax in India, and the assessee was not liable to deduct tax at source under Section 195.</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ITAT allowed the assessee's appeal, holding that: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reopening of the assessment under Section 147 was invalid due to the absence of new material.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disallowance under Section 40(a)(i) was unwarranted, as the payment for erection and commissioning charges did not constitute fees for technical services and was not taxable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Shivsu Canadian Clear Waters Ltd. v. DCIT, ITA No. 2347/Mds/2017, Chennai ITAT.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49" w:tgtFrame="_new"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underscores the importance of distinguishing between different types of services for tax purposes and reaffirms that reopening assessments without new material evidence is not permissible.</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ACIT v Carat Lane Trading (P.) Ltd - [2018] 89 taxmann.com 434 (Chennai - Trib.) - IT APPEAL NO. 213 (MDS.) OF 2017 dated 28.12.2017</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lastRenderedPageBreak/>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7C6C6A68" wp14:editId="663B0D57">
            <wp:extent cx="763905" cy="763905"/>
            <wp:effectExtent l="0" t="0" r="0" b="0"/>
            <wp:docPr id="22" name="Picture 2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Assistant Commissioner of Income Tax v. Carat Lane Trading (P.) Ltd.</w:t>
      </w:r>
      <w:r w:rsidRPr="00FB3E6C">
        <w:rPr>
          <w:rFonts w:ascii="Times New Roman" w:eastAsia="Times New Roman" w:hAnsi="Times New Roman" w:cs="Times New Roman"/>
          <w:sz w:val="24"/>
          <w:szCs w:val="24"/>
          <w:lang w:eastAsia="en-IN" w:bidi="ta-IN"/>
        </w:rPr>
        <w:t xml:space="preserve"> ([2018] 89 taxmann.com 434), the </w:t>
      </w:r>
      <w:r w:rsidRPr="00FB3E6C">
        <w:rPr>
          <w:rFonts w:ascii="Times New Roman" w:eastAsia="Times New Roman" w:hAnsi="Times New Roman" w:cs="Times New Roman"/>
          <w:b/>
          <w:bCs/>
          <w:sz w:val="24"/>
          <w:szCs w:val="24"/>
          <w:lang w:eastAsia="en-IN" w:bidi="ta-IN"/>
        </w:rPr>
        <w:t>Chennai Bench of the Income Tax Appellate Tribunal (ITAT)</w:t>
      </w:r>
      <w:r w:rsidRPr="00FB3E6C">
        <w:rPr>
          <w:rFonts w:ascii="Times New Roman" w:eastAsia="Times New Roman" w:hAnsi="Times New Roman" w:cs="Times New Roman"/>
          <w:sz w:val="24"/>
          <w:szCs w:val="24"/>
          <w:lang w:eastAsia="en-IN" w:bidi="ta-IN"/>
        </w:rPr>
        <w:t xml:space="preserve"> addressed the issue of whether payments made by an Indian company to a non-resident entity for the purchase of software were subject to tax deduction at source under Section 195 of the Income Tax Act, 1961.</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Carat Lane Trading (P.) Ltd., an Indian company engaged in the business of trading jewelry.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w:t>
      </w:r>
      <w:r w:rsidRPr="00FB3E6C">
        <w:rPr>
          <w:rFonts w:ascii="Times New Roman" w:eastAsia="Times New Roman" w:hAnsi="Times New Roman" w:cs="Times New Roman"/>
          <w:sz w:val="24"/>
          <w:szCs w:val="24"/>
          <w:lang w:eastAsia="en-IN" w:bidi="ta-IN"/>
        </w:rPr>
        <w:t xml:space="preserve"> The company purchased software from a non-resident entity and made payments without deducting tax at source, contending that the payments were for the purchase of copyrighted articles and not for the use of copyright, and therefore, not liable for tax deduction under Section 195.</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Issue: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Whether the payments made by Carat Lane Trading (P.) Ltd. to the non-resident entity for the purchase of software constituted 'royalty' under Section 9(1)(vi) of the Income Tax Act, thereby requiring tax deduction at source under Section 195.</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Tribunal's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Definition of Royalty:</w:t>
      </w:r>
      <w:r w:rsidRPr="00FB3E6C">
        <w:rPr>
          <w:rFonts w:ascii="Times New Roman" w:eastAsia="Times New Roman" w:hAnsi="Times New Roman" w:cs="Times New Roman"/>
          <w:sz w:val="24"/>
          <w:szCs w:val="24"/>
          <w:lang w:eastAsia="en-IN" w:bidi="ta-IN"/>
        </w:rPr>
        <w:t xml:space="preserve"> The Tribunal referred to the definition of 'royalty' under Explanation 2 to Section 9(1)(vi) of the Income Tax Act, which includes payments for the use of, or the right to use, any copyright.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Nature of Payment:</w:t>
      </w:r>
      <w:r w:rsidRPr="00FB3E6C">
        <w:rPr>
          <w:rFonts w:ascii="Times New Roman" w:eastAsia="Times New Roman" w:hAnsi="Times New Roman" w:cs="Times New Roman"/>
          <w:sz w:val="24"/>
          <w:szCs w:val="24"/>
          <w:lang w:eastAsia="en-IN" w:bidi="ta-IN"/>
        </w:rPr>
        <w:t xml:space="preserve"> The ITAT examined the nature of the transaction and observed that the payment was for the purchase of software, which amounted to the acquisition of a copyrighted article rather than the acquisition of rights in the copyright itself.</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Relevant Case Law:</w:t>
      </w:r>
      <w:r w:rsidRPr="00FB3E6C">
        <w:rPr>
          <w:rFonts w:ascii="Times New Roman" w:eastAsia="Times New Roman" w:hAnsi="Times New Roman" w:cs="Times New Roman"/>
          <w:sz w:val="24"/>
          <w:szCs w:val="24"/>
          <w:lang w:eastAsia="en-IN" w:bidi="ta-IN"/>
        </w:rPr>
        <w:t xml:space="preserve"> The Tribunal relied on the decision of the Supreme Court in the case of </w:t>
      </w:r>
      <w:r w:rsidRPr="00FB3E6C">
        <w:rPr>
          <w:rFonts w:ascii="Times New Roman" w:eastAsia="Times New Roman" w:hAnsi="Times New Roman" w:cs="Times New Roman"/>
          <w:b/>
          <w:bCs/>
          <w:sz w:val="24"/>
          <w:szCs w:val="24"/>
          <w:lang w:eastAsia="en-IN" w:bidi="ta-IN"/>
        </w:rPr>
        <w:t>Engineering Analysis Centre of Excellence Pvt. Ltd. v. CIT</w:t>
      </w:r>
      <w:r w:rsidRPr="00FB3E6C">
        <w:rPr>
          <w:rFonts w:ascii="Times New Roman" w:eastAsia="Times New Roman" w:hAnsi="Times New Roman" w:cs="Times New Roman"/>
          <w:sz w:val="24"/>
          <w:szCs w:val="24"/>
          <w:lang w:eastAsia="en-IN" w:bidi="ta-IN"/>
        </w:rPr>
        <w:t xml:space="preserve"> ([2021] 432 ITR 471), where it was held that payments made for the purchase of software do not constitute 'royalty' and are not subject to tax deduction at source under Section 195.</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Ruling:</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Chennai ITAT held that the payments made by Carat Lane Trading (P.) Ltd. to the non-resident entity for the purchase of software did not constitute 'royalty' under Section 9(1)(vi) of the Income Tax Act. Consequently, there was no obligation to deduct tax at source under Section 195 on such payments.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clarifies that payments made for the purchase of software, where the purchaser acquires a copyrighted article without obtaining any rights in the copyright itself, do not constitute 'royalty' and are not subject to tax deduction at source under Section 195 of the Income Tax Act.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Assistant Commissioner of Income Tax v. Carat Lane Trading (P.) Ltd., [2018] 89 taxmann.com 434 (Chennai - Trib.)</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Taxmann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provides clarity on the tax treatment of software purchases from non-resident entities and the applicability of tax deduction at source under Indian tax laws.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Wipro Ltd v ITO - (2016) 46 CCH 0187 (Bang - Trib)</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027BC2A9" wp14:editId="60E79121">
            <wp:extent cx="763905" cy="763905"/>
            <wp:effectExtent l="0" t="0" r="0" b="0"/>
            <wp:docPr id="21" name="Picture 2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Wipro Ltd. v. Income Tax Officer</w:t>
      </w:r>
      <w:r w:rsidRPr="00FB3E6C">
        <w:rPr>
          <w:rFonts w:ascii="Times New Roman" w:eastAsia="Times New Roman" w:hAnsi="Times New Roman" w:cs="Times New Roman"/>
          <w:sz w:val="24"/>
          <w:szCs w:val="24"/>
          <w:lang w:eastAsia="en-IN" w:bidi="ta-IN"/>
        </w:rPr>
        <w:t xml:space="preserve"> (ITAT Bangalore, ITA Nos. 1544 to 1547/Bang/2013, dated February 29, 2016), the </w:t>
      </w:r>
      <w:r w:rsidRPr="00FB3E6C">
        <w:rPr>
          <w:rFonts w:ascii="Times New Roman" w:eastAsia="Times New Roman" w:hAnsi="Times New Roman" w:cs="Times New Roman"/>
          <w:b/>
          <w:bCs/>
          <w:sz w:val="24"/>
          <w:szCs w:val="24"/>
          <w:lang w:eastAsia="en-IN" w:bidi="ta-IN"/>
        </w:rPr>
        <w:t>Bangalore Bench of the Income Tax Appellate Tribunal (ITAT)</w:t>
      </w:r>
      <w:r w:rsidRPr="00FB3E6C">
        <w:rPr>
          <w:rFonts w:ascii="Times New Roman" w:eastAsia="Times New Roman" w:hAnsi="Times New Roman" w:cs="Times New Roman"/>
          <w:sz w:val="24"/>
          <w:szCs w:val="24"/>
          <w:lang w:eastAsia="en-IN" w:bidi="ta-IN"/>
        </w:rPr>
        <w:t xml:space="preserve"> addressed the applicability of Section 206AA of the Income Tax Act, 1961, in relation to payments made to non-residents under the Double Taxation Avoidance Agreement (DTAA).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Wipro Ltd., an Indian multinational corporation, made payments to non-resident entities.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Assessing Officer (AO) contended that, in the absence of Permanent Account Numbers (PAN) of the non-resident payees, Wipro Ltd. was required to deduct tax at source at the higher rate of 20% as mandated by Section 206AA, instead of the lower rates prescribed under the respective DTAAs.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Points: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206AA:</w:t>
      </w:r>
      <w:r w:rsidRPr="00FB3E6C">
        <w:rPr>
          <w:rFonts w:ascii="Times New Roman" w:eastAsia="Times New Roman" w:hAnsi="Times New Roman" w:cs="Times New Roman"/>
          <w:sz w:val="24"/>
          <w:szCs w:val="24"/>
          <w:lang w:eastAsia="en-IN" w:bidi="ta-IN"/>
        </w:rPr>
        <w:t xml:space="preserve"> Introduced to enforce tax compliance, this section stipulates a higher TDS rate of 20% if the payee does not furnish a PAN.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Double Taxation Avoidance Agreement (DTAA):</w:t>
      </w:r>
      <w:r w:rsidRPr="00FB3E6C">
        <w:rPr>
          <w:rFonts w:ascii="Times New Roman" w:eastAsia="Times New Roman" w:hAnsi="Times New Roman" w:cs="Times New Roman"/>
          <w:sz w:val="24"/>
          <w:szCs w:val="24"/>
          <w:lang w:eastAsia="en-IN" w:bidi="ta-IN"/>
        </w:rPr>
        <w:t xml:space="preserve"> DTAAs between India and other countries prescribe specific tax rates for various categories of income, often lower than domestic rates, to avoid double taxation and promote cross-border trade and investment.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Assessee's Argument:</w:t>
      </w:r>
      <w:r w:rsidRPr="00FB3E6C">
        <w:rPr>
          <w:rFonts w:ascii="Times New Roman" w:eastAsia="Times New Roman" w:hAnsi="Times New Roman" w:cs="Times New Roman"/>
          <w:sz w:val="24"/>
          <w:szCs w:val="24"/>
          <w:lang w:eastAsia="en-IN" w:bidi="ta-IN"/>
        </w:rPr>
        <w:t xml:space="preserve"> Wipro Ltd. contended that the beneficial provisions of the DTAA should prevail over the domestic law as per Section 90(2) of the Income Tax Act. Therefore, TDS was correctly deducted at the DTAA-prescribed rates, irrespective of the absence of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Tribunal's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Supremacy of DTAA:</w:t>
      </w:r>
      <w:r w:rsidRPr="00FB3E6C">
        <w:rPr>
          <w:rFonts w:ascii="Times New Roman" w:eastAsia="Times New Roman" w:hAnsi="Times New Roman" w:cs="Times New Roman"/>
          <w:sz w:val="24"/>
          <w:szCs w:val="24"/>
          <w:lang w:eastAsia="en-IN" w:bidi="ta-IN"/>
        </w:rPr>
        <w:t xml:space="preserve"> The ITAT referred to Section 90(2) of the Income Tax Act, which allows an assessee to apply the provisions of the Act or the DTAA, whichever is more beneficial.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Interpretation of Section 206AA:</w:t>
      </w:r>
      <w:r w:rsidRPr="00FB3E6C">
        <w:rPr>
          <w:rFonts w:ascii="Times New Roman" w:eastAsia="Times New Roman" w:hAnsi="Times New Roman" w:cs="Times New Roman"/>
          <w:sz w:val="24"/>
          <w:szCs w:val="24"/>
          <w:lang w:eastAsia="en-IN" w:bidi="ta-IN"/>
        </w:rPr>
        <w:t xml:space="preserve"> The Tribunal observed that while Section 206AA begins with a non-obstante clause, it does not override the provisions of Section 90(2). Therefore, the beneficial provisions of the DTAA would prevail.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Supporting Precedents:</w:t>
      </w:r>
      <w:r w:rsidRPr="00FB3E6C">
        <w:rPr>
          <w:rFonts w:ascii="Times New Roman" w:eastAsia="Times New Roman" w:hAnsi="Times New Roman" w:cs="Times New Roman"/>
          <w:sz w:val="24"/>
          <w:szCs w:val="24"/>
          <w:lang w:eastAsia="en-IN" w:bidi="ta-IN"/>
        </w:rPr>
        <w:t xml:space="preserve"> The ITAT cited its earlier decision in the case of </w:t>
      </w:r>
      <w:r w:rsidRPr="00FB3E6C">
        <w:rPr>
          <w:rFonts w:ascii="Times New Roman" w:eastAsia="Times New Roman" w:hAnsi="Times New Roman" w:cs="Times New Roman"/>
          <w:b/>
          <w:bCs/>
          <w:sz w:val="24"/>
          <w:szCs w:val="24"/>
          <w:lang w:eastAsia="en-IN" w:bidi="ta-IN"/>
        </w:rPr>
        <w:t>Infosys Technologies Ltd.</w:t>
      </w:r>
      <w:r w:rsidRPr="00FB3E6C">
        <w:rPr>
          <w:rFonts w:ascii="Times New Roman" w:eastAsia="Times New Roman" w:hAnsi="Times New Roman" w:cs="Times New Roman"/>
          <w:sz w:val="24"/>
          <w:szCs w:val="24"/>
          <w:lang w:eastAsia="en-IN" w:bidi="ta-IN"/>
        </w:rPr>
        <w:t>, where it was held that the provisions of the DTAA override domestic law, including Section 206AA.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Bangalore ITAT concluded that the provisions of the DTAA between India and the respective countries would prevail over Section 206AA. Therefore, Wipro Ltd. was justified in deducting TDS at the rates specified in the DTAAs, despite the non-availability of PAN of the non-resident payees.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reinforces the principle that the provisions of a DTAA, when more beneficial to the assessee, take precedence over conflicting provisions of domestic tax law, including Section 206AA. Consequently, in cases where a DTAA prescribes a lower TDS rate, that rate applies even if the non-resident payee does not possess a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Wipro Ltd. v. ITO, ITA Nos. 1544 to 1547/Bang/2013, Bangalore ITAT.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50" w:tgtFrame="_new" w:history="1">
        <w:r w:rsidRPr="00FB3E6C">
          <w:rPr>
            <w:rFonts w:ascii="Times New Roman" w:eastAsia="Times New Roman" w:hAnsi="Times New Roman" w:cs="Times New Roman"/>
            <w:color w:val="0000FF"/>
            <w:sz w:val="24"/>
            <w:szCs w:val="24"/>
            <w:u w:val="single"/>
            <w:lang w:eastAsia="en-IN" w:bidi="ta-IN"/>
          </w:rPr>
          <w:t>TaxGuru</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underscores the importance of DTAAs in providing relief to taxpayers and clarifies that domestic provisions imposing higher tax rates cannot override the beneficial rates agreed upon in such international agreements.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lastRenderedPageBreak/>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Emmsons International Ltd. v. DCIT – [2018] 93 taxmann.com 487 (Delhi – Trib.) – IT Appeal Nos. 5124 to 5127 (DELHI) of 2015 dated April 2, 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2EB780A0" wp14:editId="50CE383D">
            <wp:extent cx="763905" cy="763905"/>
            <wp:effectExtent l="0" t="0" r="0" b="0"/>
            <wp:docPr id="20" name="Picture 2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Emmsons International Ltd. v. Deputy Commissioner of Income Tax</w:t>
      </w:r>
      <w:r w:rsidRPr="00FB3E6C">
        <w:rPr>
          <w:rFonts w:ascii="Times New Roman" w:eastAsia="Times New Roman" w:hAnsi="Times New Roman" w:cs="Times New Roman"/>
          <w:sz w:val="24"/>
          <w:szCs w:val="24"/>
          <w:lang w:eastAsia="en-IN" w:bidi="ta-IN"/>
        </w:rPr>
        <w:t xml:space="preserve"> (IT Appeal Nos. 5124 to 5127/Del/2015, dated April 2, 2018), the </w:t>
      </w:r>
      <w:r w:rsidRPr="00FB3E6C">
        <w:rPr>
          <w:rFonts w:ascii="Times New Roman" w:eastAsia="Times New Roman" w:hAnsi="Times New Roman" w:cs="Times New Roman"/>
          <w:b/>
          <w:bCs/>
          <w:sz w:val="24"/>
          <w:szCs w:val="24"/>
          <w:lang w:eastAsia="en-IN" w:bidi="ta-IN"/>
        </w:rPr>
        <w:t>Delhi Bench of the Income Tax Appellate Tribunal (ITAT)</w:t>
      </w:r>
      <w:r w:rsidRPr="00FB3E6C">
        <w:rPr>
          <w:rFonts w:ascii="Times New Roman" w:eastAsia="Times New Roman" w:hAnsi="Times New Roman" w:cs="Times New Roman"/>
          <w:sz w:val="24"/>
          <w:szCs w:val="24"/>
          <w:lang w:eastAsia="en-IN" w:bidi="ta-IN"/>
        </w:rPr>
        <w:t xml:space="preserve"> addressed the applicability of Section 206AA of the Income Tax Act, 1961, concerning payments made to non-residents without a Permanent Account Number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Emmsons International Ltd., an Indian company, made payments to non-resident entities.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Assessing Officer (AO) contended that, in the absence of PANs for the non-resident payees, the assessee was required to deduct tax at source at a higher rate of 20% as mandated by Section 206AA, instead of the lower rates prescribed under the respective Double Taxation Avoidance Agreements (DTAAs).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Points: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206AA:</w:t>
      </w:r>
      <w:r w:rsidRPr="00FB3E6C">
        <w:rPr>
          <w:rFonts w:ascii="Times New Roman" w:eastAsia="Times New Roman" w:hAnsi="Times New Roman" w:cs="Times New Roman"/>
          <w:sz w:val="24"/>
          <w:szCs w:val="24"/>
          <w:lang w:eastAsia="en-IN" w:bidi="ta-IN"/>
        </w:rPr>
        <w:t xml:space="preserve"> This section mandates a higher TDS rate of 20% if the payee does not furnish a PAN.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Double Taxation Avoidance Agreement (DTAA):</w:t>
      </w:r>
      <w:r w:rsidRPr="00FB3E6C">
        <w:rPr>
          <w:rFonts w:ascii="Times New Roman" w:eastAsia="Times New Roman" w:hAnsi="Times New Roman" w:cs="Times New Roman"/>
          <w:sz w:val="24"/>
          <w:szCs w:val="24"/>
          <w:lang w:eastAsia="en-IN" w:bidi="ta-IN"/>
        </w:rPr>
        <w:t xml:space="preserve"> DTAAs between India and other countries prescribe specific tax rates for various categories of income, often lower than domestic rates, to avoid double taxation and promote cross-border trade and investment.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Assessee's Argument:</w:t>
      </w:r>
      <w:r w:rsidRPr="00FB3E6C">
        <w:rPr>
          <w:rFonts w:ascii="Times New Roman" w:eastAsia="Times New Roman" w:hAnsi="Times New Roman" w:cs="Times New Roman"/>
          <w:sz w:val="24"/>
          <w:szCs w:val="24"/>
          <w:lang w:eastAsia="en-IN" w:bidi="ta-IN"/>
        </w:rPr>
        <w:t xml:space="preserve"> Emmsons International Ltd. contended that the beneficial provisions of the DTAA should prevail over domestic law as per Section 90(2) of the Income Tax Act. Therefore, TDS was correctly deducted at the DTAA-prescribed rates, irrespective of the absence of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Tribunal's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Supremacy of DTAA:</w:t>
      </w:r>
      <w:r w:rsidRPr="00FB3E6C">
        <w:rPr>
          <w:rFonts w:ascii="Times New Roman" w:eastAsia="Times New Roman" w:hAnsi="Times New Roman" w:cs="Times New Roman"/>
          <w:sz w:val="24"/>
          <w:szCs w:val="24"/>
          <w:lang w:eastAsia="en-IN" w:bidi="ta-IN"/>
        </w:rPr>
        <w:t xml:space="preserve"> The ITAT referred to Section 90(2) of the Income Tax Act, which allows an assessee to apply the provisions of the Act or the DTAA, whichever is more beneficial.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Interpretation of Section 206AA:</w:t>
      </w:r>
      <w:r w:rsidRPr="00FB3E6C">
        <w:rPr>
          <w:rFonts w:ascii="Times New Roman" w:eastAsia="Times New Roman" w:hAnsi="Times New Roman" w:cs="Times New Roman"/>
          <w:sz w:val="24"/>
          <w:szCs w:val="24"/>
          <w:lang w:eastAsia="en-IN" w:bidi="ta-IN"/>
        </w:rPr>
        <w:t xml:space="preserve"> The Tribunal observed that while Section 206AA begins with a non-obstante clause, it does not override the provisions of Section 90(2). Therefore, the beneficial provisions of the DTAA would prevail.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Supporting Precedents:</w:t>
      </w:r>
      <w:r w:rsidRPr="00FB3E6C">
        <w:rPr>
          <w:rFonts w:ascii="Times New Roman" w:eastAsia="Times New Roman" w:hAnsi="Times New Roman" w:cs="Times New Roman"/>
          <w:sz w:val="24"/>
          <w:szCs w:val="24"/>
          <w:lang w:eastAsia="en-IN" w:bidi="ta-IN"/>
        </w:rPr>
        <w:t xml:space="preserve"> The ITAT cited the decision of the Hon'ble Delhi High Court in the case of </w:t>
      </w:r>
      <w:r w:rsidRPr="00FB3E6C">
        <w:rPr>
          <w:rFonts w:ascii="Times New Roman" w:eastAsia="Times New Roman" w:hAnsi="Times New Roman" w:cs="Times New Roman"/>
          <w:b/>
          <w:bCs/>
          <w:sz w:val="24"/>
          <w:szCs w:val="24"/>
          <w:lang w:eastAsia="en-IN" w:bidi="ta-IN"/>
        </w:rPr>
        <w:t>Danisco India Private Limited v. Union of India</w:t>
      </w:r>
      <w:r w:rsidRPr="00FB3E6C">
        <w:rPr>
          <w:rFonts w:ascii="Times New Roman" w:eastAsia="Times New Roman" w:hAnsi="Times New Roman" w:cs="Times New Roman"/>
          <w:sz w:val="24"/>
          <w:szCs w:val="24"/>
          <w:lang w:eastAsia="en-IN" w:bidi="ta-IN"/>
        </w:rPr>
        <w:t xml:space="preserve"> (W.P.(C) 5908/2015, dated February 5, 2018), where it was held that Section 206AA does not override the provisions of Section 90(2) and that in cases of payments made to non-residents, the rate of tax to be applied is as prescribed under the DTAA and not as per Section 206AA, because the provisions of the DTAA are more beneficial. </w:t>
      </w:r>
    </w:p>
    <w:p w:rsidR="00D778CC" w:rsidRPr="00FB3E6C" w:rsidRDefault="00D778CC" w:rsidP="00743A5F">
      <w:pPr>
        <w:spacing w:beforeAutospacing="1" w:after="0" w:afterAutospacing="1" w:line="240" w:lineRule="auto"/>
        <w:ind w:left="720"/>
        <w:rPr>
          <w:rFonts w:ascii="Times New Roman" w:eastAsia="Times New Roman" w:hAnsi="Times New Roman" w:cs="Times New Roman"/>
          <w:sz w:val="24"/>
          <w:szCs w:val="24"/>
          <w:lang w:eastAsia="en-IN" w:bidi="ta-IN"/>
        </w:rPr>
      </w:pPr>
      <w:hyperlink r:id="rId151" w:tgtFrame="_blank"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Delhi ITAT concluded that the provisions of the respective DTAAs between India and the relevant countries would prevail over Section 206AA. Therefore, Emmsons International Ltd. was justified in deducting TDS at the rates specified in the DTAAs, despite the non-availability of PANs for the non-resident payees.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reinforces the principle that the provisions of a DTAA, when more beneficial to the assessee, take precedence over conflicting provisions of domestic tax law, including Section 206AA. Consequently, in cases where a DTAA prescribes a lower TDS rate, that rate applies even if the non-resident payee does not possess a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Emmsons International Ltd. v. DCIT, IT Appeal Nos. 5124 to 5127/Del/2015, Delhi ITAT.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52" w:tgtFrame="_new"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underscores the importance of DTAAs in providing relief to taxpayers and clarifies that domestic provisions imposing higher tax rates cannot override the beneficial rates agreed upon in such international agreements.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Nagarjuna Fertilizers [TS-67-ITAT-2017(HYD)]</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12506C42" wp14:editId="3255C943">
            <wp:extent cx="763905" cy="763905"/>
            <wp:effectExtent l="0" t="0" r="0" b="0"/>
            <wp:docPr id="19" name="Picture 1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 xml:space="preserve">In the case of </w:t>
      </w:r>
      <w:r w:rsidRPr="00FB3E6C">
        <w:rPr>
          <w:rFonts w:ascii="Times New Roman" w:eastAsia="Times New Roman" w:hAnsi="Times New Roman" w:cs="Times New Roman"/>
          <w:b/>
          <w:bCs/>
          <w:sz w:val="24"/>
          <w:szCs w:val="24"/>
          <w:lang w:eastAsia="en-IN" w:bidi="ta-IN"/>
        </w:rPr>
        <w:t>Nagarjuna Fertilizers and Chemicals Limited v. Assistant Commissioner of Income Tax</w:t>
      </w:r>
      <w:r w:rsidRPr="00FB3E6C">
        <w:rPr>
          <w:rFonts w:ascii="Times New Roman" w:eastAsia="Times New Roman" w:hAnsi="Times New Roman" w:cs="Times New Roman"/>
          <w:sz w:val="24"/>
          <w:szCs w:val="24"/>
          <w:lang w:eastAsia="en-IN" w:bidi="ta-IN"/>
        </w:rPr>
        <w:t xml:space="preserve"> (IT Appeal Nos. 1187 &amp; 1188/Hyd/2014, dated February 13, 2017), the </w:t>
      </w:r>
      <w:r w:rsidRPr="00FB3E6C">
        <w:rPr>
          <w:rFonts w:ascii="Times New Roman" w:eastAsia="Times New Roman" w:hAnsi="Times New Roman" w:cs="Times New Roman"/>
          <w:b/>
          <w:bCs/>
          <w:sz w:val="24"/>
          <w:szCs w:val="24"/>
          <w:lang w:eastAsia="en-IN" w:bidi="ta-IN"/>
        </w:rPr>
        <w:t>Hyderabad Special Bench of the Income Tax Appellate Tribunal (ITAT)</w:t>
      </w:r>
      <w:r w:rsidRPr="00FB3E6C">
        <w:rPr>
          <w:rFonts w:ascii="Times New Roman" w:eastAsia="Times New Roman" w:hAnsi="Times New Roman" w:cs="Times New Roman"/>
          <w:sz w:val="24"/>
          <w:szCs w:val="24"/>
          <w:lang w:eastAsia="en-IN" w:bidi="ta-IN"/>
        </w:rPr>
        <w:t xml:space="preserve"> examined whether the provisions of Section 206AA of the Income Tax Act, 1961, override the beneficial provisions of Double Taxation Avoidance Agreements (DTAAs) concerning tax deduction at source (TDS) on payments made to non-residents.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Nagarjuna Fertilizers and Chemicals Limited, an Indian company, made payments to non-residents for technical services.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Assessing Officer (AO) contended that, in the absence of Permanent Account Numbers (PAN) for the non-resident payees, the assessee was required to deduct TDS at a higher rate of 20% as mandated by Section 206AA, instead of the lower rates prescribed under the applicable DTAAs.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Points: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206AA:</w:t>
      </w:r>
      <w:r w:rsidRPr="00FB3E6C">
        <w:rPr>
          <w:rFonts w:ascii="Times New Roman" w:eastAsia="Times New Roman" w:hAnsi="Times New Roman" w:cs="Times New Roman"/>
          <w:sz w:val="24"/>
          <w:szCs w:val="24"/>
          <w:lang w:eastAsia="en-IN" w:bidi="ta-IN"/>
        </w:rPr>
        <w:t xml:space="preserve"> Introduced to enforce tax compliance, this section stipulates a higher TDS rate of 20% if the payee does not furnish a PAN.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Double Taxation Avoidance Agreement (DTAA):</w:t>
      </w:r>
      <w:r w:rsidRPr="00FB3E6C">
        <w:rPr>
          <w:rFonts w:ascii="Times New Roman" w:eastAsia="Times New Roman" w:hAnsi="Times New Roman" w:cs="Times New Roman"/>
          <w:sz w:val="24"/>
          <w:szCs w:val="24"/>
          <w:lang w:eastAsia="en-IN" w:bidi="ta-IN"/>
        </w:rPr>
        <w:t xml:space="preserve"> DTAAs between India and other countries prescribe specific tax rates for various categories of income, often lower than domestic rates, to avoid double taxation and promote cross-border trade and investment.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Assessee's Argument:</w:t>
      </w:r>
      <w:r w:rsidRPr="00FB3E6C">
        <w:rPr>
          <w:rFonts w:ascii="Times New Roman" w:eastAsia="Times New Roman" w:hAnsi="Times New Roman" w:cs="Times New Roman"/>
          <w:sz w:val="24"/>
          <w:szCs w:val="24"/>
          <w:lang w:eastAsia="en-IN" w:bidi="ta-IN"/>
        </w:rPr>
        <w:t xml:space="preserve"> The assessee contended that the beneficial provisions of the DTAA should prevail over domestic law as per Section 90(2) of the Income Tax Act. Therefore, TDS was correctly deducted at the DTAA-prescribed rates, irrespective of the absence of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Tribunal's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Supremacy of DTAA:</w:t>
      </w:r>
      <w:r w:rsidRPr="00FB3E6C">
        <w:rPr>
          <w:rFonts w:ascii="Times New Roman" w:eastAsia="Times New Roman" w:hAnsi="Times New Roman" w:cs="Times New Roman"/>
          <w:sz w:val="24"/>
          <w:szCs w:val="24"/>
          <w:lang w:eastAsia="en-IN" w:bidi="ta-IN"/>
        </w:rPr>
        <w:t xml:space="preserve"> The ITAT referred to Section 90(2) of the Income Tax Act, which allows an assessee to apply the provisions of the Act or the DTAA, whichever is more beneficial.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Interpretation of Section 206AA:</w:t>
      </w:r>
      <w:r w:rsidRPr="00FB3E6C">
        <w:rPr>
          <w:rFonts w:ascii="Times New Roman" w:eastAsia="Times New Roman" w:hAnsi="Times New Roman" w:cs="Times New Roman"/>
          <w:sz w:val="24"/>
          <w:szCs w:val="24"/>
          <w:lang w:eastAsia="en-IN" w:bidi="ta-IN"/>
        </w:rPr>
        <w:t xml:space="preserve"> The Tribunal observed that while Section 206AA contains a non-obstante clause, it does not override the provisions of Section 90(2). Therefore, the beneficial provisions of the DTAA would prevail.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Supporting Precedents:</w:t>
      </w:r>
      <w:r w:rsidRPr="00FB3E6C">
        <w:rPr>
          <w:rFonts w:ascii="Times New Roman" w:eastAsia="Times New Roman" w:hAnsi="Times New Roman" w:cs="Times New Roman"/>
          <w:sz w:val="24"/>
          <w:szCs w:val="24"/>
          <w:lang w:eastAsia="en-IN" w:bidi="ta-IN"/>
        </w:rPr>
        <w:t xml:space="preserve"> The ITAT cited the decision of the Pune Bench in the case of </w:t>
      </w:r>
      <w:r w:rsidRPr="00FB3E6C">
        <w:rPr>
          <w:rFonts w:ascii="Times New Roman" w:eastAsia="Times New Roman" w:hAnsi="Times New Roman" w:cs="Times New Roman"/>
          <w:b/>
          <w:bCs/>
          <w:sz w:val="24"/>
          <w:szCs w:val="24"/>
          <w:lang w:eastAsia="en-IN" w:bidi="ta-IN"/>
        </w:rPr>
        <w:t>Serum Institute of India Ltd.</w:t>
      </w:r>
      <w:r w:rsidRPr="00FB3E6C">
        <w:rPr>
          <w:rFonts w:ascii="Times New Roman" w:eastAsia="Times New Roman" w:hAnsi="Times New Roman" w:cs="Times New Roman"/>
          <w:sz w:val="24"/>
          <w:szCs w:val="24"/>
          <w:lang w:eastAsia="en-IN" w:bidi="ta-IN"/>
        </w:rPr>
        <w:t>, where it was held that the provisions of the DTAA override domestic law, including Section 206AA.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Hyderabad ITAT concluded that the provisions of the DTAA between India and the respective countries would prevail over Section 206AA. Therefore, Nagarjuna Fertilizers and </w:t>
      </w:r>
      <w:r w:rsidRPr="00FB3E6C">
        <w:rPr>
          <w:rFonts w:ascii="Times New Roman" w:eastAsia="Times New Roman" w:hAnsi="Times New Roman" w:cs="Times New Roman"/>
          <w:sz w:val="24"/>
          <w:szCs w:val="24"/>
          <w:lang w:eastAsia="en-IN" w:bidi="ta-IN"/>
        </w:rPr>
        <w:lastRenderedPageBreak/>
        <w:t>Chemicals Limited was justified in deducting TDS at the rates specified in the DTAAs, despite the non-availability of PAN for the non-resident payees.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reinforces the principle that the provisions of a DTAA, when more beneficial to the assessee, take precedence over conflicting provisions of domestic tax law, including Section 206AA. Consequently, in cases where a DTAA prescribes a lower TDS rate, that rate applies even if the non-resident payee does not possess a PAN.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Nagarjuna Fertilizers and Chemicals Limited v. ACIT, IT Appeal Nos. 1187 &amp; 1188/Hyd/2014, Hyderabad ITAT.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53" w:tgtFrame="_new"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underscores the importance of DTAAs in providing relief to taxpayers and clarifies that domestic provisions imposing higher tax rates cannot override the beneficial rates agreed upon in such international agreements.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TVS Motor Company Ltd. v ITO [2018] 96 taxmann.com 567 (Madras) – [T.C. (Appeal). Nos.1509 to 1513 of 2007 (Mad)] dated August 24, 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2016EC67" wp14:editId="2A77F5D3">
            <wp:extent cx="763905" cy="763905"/>
            <wp:effectExtent l="0" t="0" r="0" b="0"/>
            <wp:docPr id="18" name="Picture 1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TVS Motor Company Ltd. v. Income Tax Officer</w:t>
      </w:r>
      <w:r w:rsidRPr="00FB3E6C">
        <w:rPr>
          <w:rFonts w:ascii="Times New Roman" w:eastAsia="Times New Roman" w:hAnsi="Times New Roman" w:cs="Times New Roman"/>
          <w:sz w:val="24"/>
          <w:szCs w:val="24"/>
          <w:lang w:eastAsia="en-IN" w:bidi="ta-IN"/>
        </w:rPr>
        <w:t xml:space="preserve"> ([2018] 96 taxmann.com 567), the </w:t>
      </w:r>
      <w:r w:rsidRPr="00FB3E6C">
        <w:rPr>
          <w:rFonts w:ascii="Times New Roman" w:eastAsia="Times New Roman" w:hAnsi="Times New Roman" w:cs="Times New Roman"/>
          <w:b/>
          <w:bCs/>
          <w:sz w:val="24"/>
          <w:szCs w:val="24"/>
          <w:lang w:eastAsia="en-IN" w:bidi="ta-IN"/>
        </w:rPr>
        <w:t>Madras High Court</w:t>
      </w:r>
      <w:r w:rsidRPr="00FB3E6C">
        <w:rPr>
          <w:rFonts w:ascii="Times New Roman" w:eastAsia="Times New Roman" w:hAnsi="Times New Roman" w:cs="Times New Roman"/>
          <w:sz w:val="24"/>
          <w:szCs w:val="24"/>
          <w:lang w:eastAsia="en-IN" w:bidi="ta-IN"/>
        </w:rPr>
        <w:t xml:space="preserve"> addressed the issue of tax deduction at source (TDS) on payments made by the assessee to a UK-based university for technical services, particularly focusing on the applicability of the grossing-up principle under Section 195A of the Income Tax Act, 1961.</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TVS Motor Company Ltd., an Indian company, entered into an agreement with a UK-based university for certain technical services.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Agreement Terms:</w:t>
      </w:r>
      <w:r w:rsidRPr="00FB3E6C">
        <w:rPr>
          <w:rFonts w:ascii="Times New Roman" w:eastAsia="Times New Roman" w:hAnsi="Times New Roman" w:cs="Times New Roman"/>
          <w:sz w:val="24"/>
          <w:szCs w:val="24"/>
          <w:lang w:eastAsia="en-IN" w:bidi="ta-IN"/>
        </w:rPr>
        <w:t xml:space="preserve"> The agreement stipulated that the assessee would bear the Indian taxes on payments made to the university.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Tax Deduction:</w:t>
      </w:r>
      <w:r w:rsidRPr="00FB3E6C">
        <w:rPr>
          <w:rFonts w:ascii="Times New Roman" w:eastAsia="Times New Roman" w:hAnsi="Times New Roman" w:cs="Times New Roman"/>
          <w:sz w:val="24"/>
          <w:szCs w:val="24"/>
          <w:lang w:eastAsia="en-IN" w:bidi="ta-IN"/>
        </w:rPr>
        <w:t xml:space="preserve"> The assessee deducted tax at source at the rate of 15% on the net amount paid to the university, without grossing up the payment.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Issue: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Whether, under the India-UK Double Taxation Avoidance Agreement (DTAA), the assessee was required to compute TDS on the gross amount of fees for technical services by applying the grossing-up principle as per Section 195A of the Income Tax Act.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195A:</w:t>
      </w:r>
      <w:r w:rsidRPr="00FB3E6C">
        <w:rPr>
          <w:rFonts w:ascii="Times New Roman" w:eastAsia="Times New Roman" w:hAnsi="Times New Roman" w:cs="Times New Roman"/>
          <w:sz w:val="24"/>
          <w:szCs w:val="24"/>
          <w:lang w:eastAsia="en-IN" w:bidi="ta-IN"/>
        </w:rPr>
        <w:t xml:space="preserve"> This section mandates that when a person pays income chargeable under the Act to a non-resident and bears the tax liability, the income should be grossed up for the purpose of TDS calculation.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DTAA Provisions:</w:t>
      </w:r>
      <w:r w:rsidRPr="00FB3E6C">
        <w:rPr>
          <w:rFonts w:ascii="Times New Roman" w:eastAsia="Times New Roman" w:hAnsi="Times New Roman" w:cs="Times New Roman"/>
          <w:sz w:val="24"/>
          <w:szCs w:val="24"/>
          <w:lang w:eastAsia="en-IN" w:bidi="ta-IN"/>
        </w:rPr>
        <w:t xml:space="preserve"> The India-UK DTAA prescribes a tax rate of 15% on fees for technical services but does not define the term 'gross amount' or provide a mechanism for computing income.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Income Definition:</w:t>
      </w:r>
      <w:r w:rsidRPr="00FB3E6C">
        <w:rPr>
          <w:rFonts w:ascii="Times New Roman" w:eastAsia="Times New Roman" w:hAnsi="Times New Roman" w:cs="Times New Roman"/>
          <w:sz w:val="24"/>
          <w:szCs w:val="24"/>
          <w:lang w:eastAsia="en-IN" w:bidi="ta-IN"/>
        </w:rPr>
        <w:t xml:space="preserve"> The court referred to Section 2(24) of the Income Tax Act, which defines 'income' to include payments net of taxes. Therefore, the tax borne by the assessee on behalf of the university constitutes additional income for the university.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Application of Grossing Up:</w:t>
      </w:r>
      <w:r w:rsidRPr="00FB3E6C">
        <w:rPr>
          <w:rFonts w:ascii="Times New Roman" w:eastAsia="Times New Roman" w:hAnsi="Times New Roman" w:cs="Times New Roman"/>
          <w:sz w:val="24"/>
          <w:szCs w:val="24"/>
          <w:lang w:eastAsia="en-IN" w:bidi="ta-IN"/>
        </w:rPr>
        <w:t xml:space="preserve"> Since the DTAA does not provide a computation mechanism, the provisions of the Income Tax Act apply. Consequently, the payment to the university should be grossed up under Section 195A to determine the correct TDS amount.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Madras High Court held that the assessee was obligated to apply the grossing-up principle under Section 195A. Therefore, TDS should have been deducted on the gross amount of fees for technical services paid to the UK university, considering the tax borne by the assessee as part of the university's income.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clarifies that when an Indian payer agrees to bear the tax liability on payments to a non-resident for technical services, the payments must be grossed up under Section 195A for TDS purposes, even when a DTAA prescribes a specific tax rate.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TVS Motor Company Ltd. v. ITO, [2018] 96 taxmann.com 567 (Madras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54" w:tgtFrame="_new"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This decision underscores the importance of adhering to domestic tax provisions, such as Section 195A, in conjunction with DTAA rates, ensuring accurate TDS calculations when the payer bears the tax liability on behalf of the non-resident payee.</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SUNDARAM CLAYTON LIMITED vs INCOME TAX OFFICER (IT) [TS-686-HC-2018(MAD)] Tax Case Appeal Nos. 1200 &amp; 1201 of 2008 dated 22.10.2018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571E614A" wp14:editId="43873238">
            <wp:extent cx="763905" cy="763905"/>
            <wp:effectExtent l="0" t="0" r="0" b="0"/>
            <wp:docPr id="17" name="Picture 1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Sundaram Clayton Limited v. Income Tax Officer</w:t>
      </w:r>
      <w:r w:rsidRPr="00FB3E6C">
        <w:rPr>
          <w:rFonts w:ascii="Times New Roman" w:eastAsia="Times New Roman" w:hAnsi="Times New Roman" w:cs="Times New Roman"/>
          <w:sz w:val="24"/>
          <w:szCs w:val="24"/>
          <w:lang w:eastAsia="en-IN" w:bidi="ta-IN"/>
        </w:rPr>
        <w:t xml:space="preserve"> (Tax Case Appeal Nos. 1200 &amp; 1201 of 2008, dated October 22, 2018), the </w:t>
      </w:r>
      <w:r w:rsidRPr="00FB3E6C">
        <w:rPr>
          <w:rFonts w:ascii="Times New Roman" w:eastAsia="Times New Roman" w:hAnsi="Times New Roman" w:cs="Times New Roman"/>
          <w:b/>
          <w:bCs/>
          <w:sz w:val="24"/>
          <w:szCs w:val="24"/>
          <w:lang w:eastAsia="en-IN" w:bidi="ta-IN"/>
        </w:rPr>
        <w:t>Madras High Court</w:t>
      </w:r>
      <w:r w:rsidRPr="00FB3E6C">
        <w:rPr>
          <w:rFonts w:ascii="Times New Roman" w:eastAsia="Times New Roman" w:hAnsi="Times New Roman" w:cs="Times New Roman"/>
          <w:sz w:val="24"/>
          <w:szCs w:val="24"/>
          <w:lang w:eastAsia="en-IN" w:bidi="ta-IN"/>
        </w:rPr>
        <w:t xml:space="preserve"> addressed the issue of tax deduction at source (TDS) on payments made by the assessee to a non-resident entity for technical services, focusing on the applicability of the grossing-up principle under Section 195A of the Income Tax Act, 1961.</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Sundaram Clayton Limited, an Indian company, entered into an agreement with a non-resident entity for technical services.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Agreement Terms:</w:t>
      </w:r>
      <w:r w:rsidRPr="00FB3E6C">
        <w:rPr>
          <w:rFonts w:ascii="Times New Roman" w:eastAsia="Times New Roman" w:hAnsi="Times New Roman" w:cs="Times New Roman"/>
          <w:sz w:val="24"/>
          <w:szCs w:val="24"/>
          <w:lang w:eastAsia="en-IN" w:bidi="ta-IN"/>
        </w:rPr>
        <w:t xml:space="preserve"> The agreement stipulated that the assessee would bear the Indian taxes on payments made to the non-resident entity.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Tax Deduction:</w:t>
      </w:r>
      <w:r w:rsidRPr="00FB3E6C">
        <w:rPr>
          <w:rFonts w:ascii="Times New Roman" w:eastAsia="Times New Roman" w:hAnsi="Times New Roman" w:cs="Times New Roman"/>
          <w:sz w:val="24"/>
          <w:szCs w:val="24"/>
          <w:lang w:eastAsia="en-IN" w:bidi="ta-IN"/>
        </w:rPr>
        <w:t xml:space="preserve"> The assessee deducted tax at source on the net amount paid to the non-resident entity, without grossing up the payment.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Issue: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Whether, under the Double Taxation Avoidance Agreement (DTAA) between India and the relevant country, the assessee was required to compute TDS on the gross amount of fees for technical services by applying the grossing-up principle as per Section 195A of the Income Tax Act.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195A:</w:t>
      </w:r>
      <w:r w:rsidRPr="00FB3E6C">
        <w:rPr>
          <w:rFonts w:ascii="Times New Roman" w:eastAsia="Times New Roman" w:hAnsi="Times New Roman" w:cs="Times New Roman"/>
          <w:sz w:val="24"/>
          <w:szCs w:val="24"/>
          <w:lang w:eastAsia="en-IN" w:bidi="ta-IN"/>
        </w:rPr>
        <w:t xml:space="preserve"> This section mandates that when a person pays income chargeable under the Act to a non-resident and bears the tax liability, the income should be grossed up for the purpose of TDS calculation.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DTAA Provisions:</w:t>
      </w:r>
      <w:r w:rsidRPr="00FB3E6C">
        <w:rPr>
          <w:rFonts w:ascii="Times New Roman" w:eastAsia="Times New Roman" w:hAnsi="Times New Roman" w:cs="Times New Roman"/>
          <w:sz w:val="24"/>
          <w:szCs w:val="24"/>
          <w:lang w:eastAsia="en-IN" w:bidi="ta-IN"/>
        </w:rPr>
        <w:t xml:space="preserve"> The DTAA prescribes a tax rate on fees for technical services but does not define the term 'gross amount' or provide a mechanism for computing income.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Income Definition:</w:t>
      </w:r>
      <w:r w:rsidRPr="00FB3E6C">
        <w:rPr>
          <w:rFonts w:ascii="Times New Roman" w:eastAsia="Times New Roman" w:hAnsi="Times New Roman" w:cs="Times New Roman"/>
          <w:sz w:val="24"/>
          <w:szCs w:val="24"/>
          <w:lang w:eastAsia="en-IN" w:bidi="ta-IN"/>
        </w:rPr>
        <w:t xml:space="preserve"> The court referred to Section 2(24) of the Income Tax Act, which defines 'income' to include payments net of taxes. Therefore, the tax borne by the assessee on behalf of the non-resident entity constitutes additional income for the non-resident entity.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Application of Grossing Up:</w:t>
      </w:r>
      <w:r w:rsidRPr="00FB3E6C">
        <w:rPr>
          <w:rFonts w:ascii="Times New Roman" w:eastAsia="Times New Roman" w:hAnsi="Times New Roman" w:cs="Times New Roman"/>
          <w:sz w:val="24"/>
          <w:szCs w:val="24"/>
          <w:lang w:eastAsia="en-IN" w:bidi="ta-IN"/>
        </w:rPr>
        <w:t xml:space="preserve"> Since the DTAA does not provide a computation mechanism, the provisions of the Income Tax Act apply. Consequently, the payment to the non-resident entity should be grossed up under Section 195A to determine the correct TDS amount.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Madras High Court held that the assessee was obligated to apply the grossing-up principle under Section 195A. Therefore, TDS should have been deducted on the gross amount of fees for technical services paid to the non-resident entity, considering the tax borne by the assessee as part of the non-resident entity's income.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clarifies that when an Indian payer agrees to bear the tax liability on payments to a non-resident for technical services, the payments must be grossed up under Section 195A for TDS purposes, even when a DTAA prescribes a specific tax rate.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Sundaram Clayton Limited v. Income Tax Officer, Tax Case Appeal Nos. 1200 &amp; 1201 of 2008, Madras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55" w:tgtFrame="_new"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underscores the importance of adhering to domestic tax provisions, such as Section 195A, in conjunction with DTAA rates, ensuring accurate TDS calculations when the payer bears the tax liability on behalf of the non-resident payee.</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CIT v VS Dempo and Company Pvt Ltd (ITA No 989 and 991 of 2015) – TS-526-HC-2015 (BOM)</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lastRenderedPageBreak/>
        <w:drawing>
          <wp:inline distT="0" distB="0" distL="0" distR="0" wp14:anchorId="349E5C1F" wp14:editId="3A40D991">
            <wp:extent cx="763905" cy="763905"/>
            <wp:effectExtent l="0" t="0" r="0" b="0"/>
            <wp:docPr id="16" name="Picture 1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Commissioner of Income Tax v. V.S. Dempo and Company Pvt. Ltd.</w:t>
      </w:r>
      <w:r w:rsidRPr="00FB3E6C">
        <w:rPr>
          <w:rFonts w:ascii="Times New Roman" w:eastAsia="Times New Roman" w:hAnsi="Times New Roman" w:cs="Times New Roman"/>
          <w:sz w:val="24"/>
          <w:szCs w:val="24"/>
          <w:lang w:eastAsia="en-IN" w:bidi="ta-IN"/>
        </w:rPr>
        <w:t xml:space="preserve"> (Income Tax Appeal Nos. 989 and 991 of 2015), the </w:t>
      </w:r>
      <w:r w:rsidRPr="00FB3E6C">
        <w:rPr>
          <w:rFonts w:ascii="Times New Roman" w:eastAsia="Times New Roman" w:hAnsi="Times New Roman" w:cs="Times New Roman"/>
          <w:b/>
          <w:bCs/>
          <w:sz w:val="24"/>
          <w:szCs w:val="24"/>
          <w:lang w:eastAsia="en-IN" w:bidi="ta-IN"/>
        </w:rPr>
        <w:t>Bombay High Court</w:t>
      </w:r>
      <w:r w:rsidRPr="00FB3E6C">
        <w:rPr>
          <w:rFonts w:ascii="Times New Roman" w:eastAsia="Times New Roman" w:hAnsi="Times New Roman" w:cs="Times New Roman"/>
          <w:sz w:val="24"/>
          <w:szCs w:val="24"/>
          <w:lang w:eastAsia="en-IN" w:bidi="ta-IN"/>
        </w:rPr>
        <w:t xml:space="preserve"> addressed the applicability of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versus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of the Income Tax Act, 1961, concerning tax deduction at source (TDS) on payments made to non-resident shipping companies.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V.S. Dempo and Company Pvt. Ltd., an Indian company, made payments totaling ₹1.8 crores as demurrage charges to non-resident shipping companies.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Assessment Year:</w:t>
      </w:r>
      <w:r w:rsidRPr="00FB3E6C">
        <w:rPr>
          <w:rFonts w:ascii="Times New Roman" w:eastAsia="Times New Roman" w:hAnsi="Times New Roman" w:cs="Times New Roman"/>
          <w:sz w:val="24"/>
          <w:szCs w:val="24"/>
          <w:lang w:eastAsia="en-IN" w:bidi="ta-IN"/>
        </w:rPr>
        <w:t xml:space="preserve"> 1997-98.</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Assessing Officer (AO) disallowed the expenditure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of the Act, citing the assessee's failure to deduct tax at source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Assessee's Argument: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assessee contended that the payments were covered under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which deals with the levy and collection of tax on profits from shipping business of non-residents. They argued that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was not applicable, and thus, there was no obligation to deduct TDS on the demurrage payments.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Legal Provisions: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Pertains to the taxation of shipping profits earned by non-residents, providing a simplified mechanism for tax collection from occasional shipping operations.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Mandates TDS on payments made to non-residents, applicable to various types of income, including fees for technical services, royalties, and other sums chargeable under the Act.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Court's Analysis: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Bombay High Court examined whether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applies exclusively to non-resident shipping companies and if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obligations are independent of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The court referred to its earlier decision in </w:t>
      </w:r>
      <w:r w:rsidRPr="00FB3E6C">
        <w:rPr>
          <w:rFonts w:ascii="Times New Roman" w:eastAsia="Times New Roman" w:hAnsi="Times New Roman" w:cs="Times New Roman"/>
          <w:b/>
          <w:bCs/>
          <w:sz w:val="24"/>
          <w:szCs w:val="24"/>
          <w:lang w:eastAsia="en-IN" w:bidi="ta-IN"/>
        </w:rPr>
        <w:t>CIT v. Orient (Goa) Private Limited</w:t>
      </w:r>
      <w:r w:rsidRPr="00FB3E6C">
        <w:rPr>
          <w:rFonts w:ascii="Times New Roman" w:eastAsia="Times New Roman" w:hAnsi="Times New Roman" w:cs="Times New Roman"/>
          <w:sz w:val="24"/>
          <w:szCs w:val="24"/>
          <w:lang w:eastAsia="en-IN" w:bidi="ta-IN"/>
        </w:rPr>
        <w:t xml:space="preserve"> ([2010] 325 ITR 554), which held that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is applicable only to non-residents carrying on shipping business and not to residents. However, the court in the present case disagreed with this interpretation, leading to a reference to a larger bench for reconsideration.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Full Bench Decision: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Full Bench of the Bombay High Court, in its judgment dated February 5, 2016, overruled the decision in </w:t>
      </w:r>
      <w:r w:rsidRPr="00FB3E6C">
        <w:rPr>
          <w:rFonts w:ascii="Times New Roman" w:eastAsia="Times New Roman" w:hAnsi="Times New Roman" w:cs="Times New Roman"/>
          <w:b/>
          <w:bCs/>
          <w:sz w:val="24"/>
          <w:szCs w:val="24"/>
          <w:lang w:eastAsia="en-IN" w:bidi="ta-IN"/>
        </w:rPr>
        <w:t>Orient (Goa) Private Limited</w:t>
      </w:r>
      <w:r w:rsidRPr="00FB3E6C">
        <w:rPr>
          <w:rFonts w:ascii="Times New Roman" w:eastAsia="Times New Roman" w:hAnsi="Times New Roman" w:cs="Times New Roman"/>
          <w:sz w:val="24"/>
          <w:szCs w:val="24"/>
          <w:lang w:eastAsia="en-IN" w:bidi="ta-IN"/>
        </w:rPr>
        <w:t xml:space="preserve">. It held that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provides a complete </w:t>
      </w:r>
      <w:r w:rsidRPr="00FB3E6C">
        <w:rPr>
          <w:rFonts w:ascii="Times New Roman" w:eastAsia="Times New Roman" w:hAnsi="Times New Roman" w:cs="Times New Roman"/>
          <w:sz w:val="24"/>
          <w:szCs w:val="24"/>
          <w:lang w:eastAsia="en-IN" w:bidi="ta-IN"/>
        </w:rPr>
        <w:lastRenderedPageBreak/>
        <w:t xml:space="preserve">code for the levy and recovery of tax from non-resident shipping companies and that the provisions of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are not applicable to such payments. Consequently, the assessee was not required to deduct tax at source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for payments made to non-resident shipping companies, as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governed the taxation of such income. </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hyperlink r:id="rId156" w:tgtFrame="_blank" w:history="1">
        <w:r w:rsidRPr="00FB3E6C">
          <w:rPr>
            <w:rFonts w:ascii="Times New Roman" w:eastAsia="Times New Roman" w:hAnsi="Times New Roman" w:cs="Times New Roman"/>
            <w:color w:val="0000FF"/>
            <w:sz w:val="24"/>
            <w:szCs w:val="24"/>
            <w:u w:val="single"/>
            <w:lang w:eastAsia="en-IN" w:bidi="ta-IN"/>
          </w:rPr>
          <w:t>itatonline.org</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Bombay High Court clarified that payments made to non-resident shipping companies are governed by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of the Income Tax Act, and the provisions of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regarding TDS are not applicable in such cases. This judgment provides clarity on the taxation mechanism for non-resident shipping entities, emphasizing that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operates as a self-contained code for taxing shipping profits of non-residents.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CIT v. V.S. Dempo and Company Pvt. Ltd., Income Tax Appeal Nos. 989 and 991 of 2015, Bombay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p>
    <w:p w:rsidR="00D778CC" w:rsidRPr="00FB3E6C" w:rsidRDefault="00D778CC" w:rsidP="00743A5F">
      <w:pPr>
        <w:spacing w:beforeAutospacing="1" w:after="0" w:afterAutospacing="1" w:line="240" w:lineRule="auto"/>
        <w:ind w:left="720"/>
        <w:rPr>
          <w:rFonts w:ascii="Times New Roman" w:eastAsia="Times New Roman" w:hAnsi="Times New Roman" w:cs="Times New Roman"/>
          <w:sz w:val="24"/>
          <w:szCs w:val="24"/>
          <w:lang w:eastAsia="en-IN" w:bidi="ta-IN"/>
        </w:rPr>
      </w:pPr>
      <w:hyperlink r:id="rId157" w:tgtFrame="_blank" w:history="1">
        <w:r w:rsidRPr="00FB3E6C">
          <w:rPr>
            <w:rFonts w:ascii="Times New Roman" w:eastAsia="Times New Roman" w:hAnsi="Times New Roman" w:cs="Times New Roman"/>
            <w:color w:val="0000FF"/>
            <w:sz w:val="24"/>
            <w:szCs w:val="24"/>
            <w:u w:val="single"/>
            <w:lang w:eastAsia="en-IN" w:bidi="ta-IN"/>
          </w:rPr>
          <w:t>itatonline.org</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This decision underscores the distinct taxation provisions applicable to non-resident shipping companies and clarifies the non-applicability of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TDS obligations in such contexts.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CIT v VS Dempo and Company Pvt Ltd (ITA No 989 and 991 of 2015) – TS-526-HC-2015 (BOM)</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64E77461" wp14:editId="1E688BE0">
            <wp:extent cx="763905" cy="763905"/>
            <wp:effectExtent l="0" t="0" r="0" b="0"/>
            <wp:docPr id="15" name="Picture 1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CIT v. V.S. Dempo and Company Pvt. Ltd.</w:t>
      </w:r>
      <w:r w:rsidRPr="00FB3E6C">
        <w:rPr>
          <w:rFonts w:ascii="Times New Roman" w:eastAsia="Times New Roman" w:hAnsi="Times New Roman" w:cs="Times New Roman"/>
          <w:sz w:val="24"/>
          <w:szCs w:val="24"/>
          <w:lang w:eastAsia="en-IN" w:bidi="ta-IN"/>
        </w:rPr>
        <w:t xml:space="preserve"> (ITA No. 989 and 991 of 2015, TS-526-HC-2015), the </w:t>
      </w:r>
      <w:r w:rsidRPr="00FB3E6C">
        <w:rPr>
          <w:rFonts w:ascii="Times New Roman" w:eastAsia="Times New Roman" w:hAnsi="Times New Roman" w:cs="Times New Roman"/>
          <w:b/>
          <w:bCs/>
          <w:sz w:val="24"/>
          <w:szCs w:val="24"/>
          <w:lang w:eastAsia="en-IN" w:bidi="ta-IN"/>
        </w:rPr>
        <w:t>Bombay High Court</w:t>
      </w:r>
      <w:r w:rsidRPr="00FB3E6C">
        <w:rPr>
          <w:rFonts w:ascii="Times New Roman" w:eastAsia="Times New Roman" w:hAnsi="Times New Roman" w:cs="Times New Roman"/>
          <w:sz w:val="24"/>
          <w:szCs w:val="24"/>
          <w:lang w:eastAsia="en-IN" w:bidi="ta-IN"/>
        </w:rPr>
        <w:t xml:space="preserve"> addressed the interplay between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and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of the Income Tax Act, 1961, concerning tax deduction at source (TDS) on payments made to non-resident shipping companies. The primary issue revolved around whether the provisions of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which require TDS on payments to non-residents, apply when the payments fall under the special provisions of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for shipping business taxation.</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pict>
          <v:rect id="_x0000_i1915"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53" w:name="_Toc187663309"/>
      <w:bookmarkStart w:id="1354" w:name="_Toc187661125"/>
      <w:bookmarkStart w:id="1355" w:name="_Toc187662204"/>
      <w:r w:rsidRPr="00FB3E6C">
        <w:rPr>
          <w:rFonts w:ascii="Times New Roman" w:eastAsia="Times New Roman" w:hAnsi="Times New Roman" w:cs="Times New Roman"/>
          <w:b/>
          <w:bCs/>
          <w:sz w:val="27"/>
          <w:szCs w:val="27"/>
          <w:lang w:eastAsia="en-IN" w:bidi="ta-IN"/>
        </w:rPr>
        <w:t>Background</w:t>
      </w:r>
      <w:bookmarkEnd w:id="1353"/>
      <w:bookmarkEnd w:id="1354"/>
      <w:bookmarkEnd w:id="1355"/>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br/>
        <w:t>V.S. Dempo and Company Pvt. Ltd., an Indian company, made payments as demurrage to non-resident shipping companies.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Assessment Year:</w:t>
      </w:r>
      <w:r w:rsidRPr="00FB3E6C">
        <w:rPr>
          <w:rFonts w:ascii="Times New Roman" w:eastAsia="Times New Roman" w:hAnsi="Times New Roman" w:cs="Times New Roman"/>
          <w:sz w:val="24"/>
          <w:szCs w:val="24"/>
          <w:lang w:eastAsia="en-IN" w:bidi="ta-IN"/>
        </w:rPr>
        <w:br/>
        <w:t>The case pertained to the assessment years 1997-98 and 1998-99.</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Nature of Payments:</w:t>
      </w:r>
      <w:r w:rsidRPr="00FB3E6C">
        <w:rPr>
          <w:rFonts w:ascii="Times New Roman" w:eastAsia="Times New Roman" w:hAnsi="Times New Roman" w:cs="Times New Roman"/>
          <w:sz w:val="24"/>
          <w:szCs w:val="24"/>
          <w:lang w:eastAsia="en-IN" w:bidi="ta-IN"/>
        </w:rPr>
        <w:br/>
        <w:t xml:space="preserve">Payments were made for demurrage to non-resident shipping companies. These companies were taxed under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a specific provision governing the taxation of shipping income of non-residents.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Department's Contention:</w:t>
      </w:r>
      <w:r w:rsidRPr="00FB3E6C">
        <w:rPr>
          <w:rFonts w:ascii="Times New Roman" w:eastAsia="Times New Roman" w:hAnsi="Times New Roman" w:cs="Times New Roman"/>
          <w:sz w:val="24"/>
          <w:szCs w:val="24"/>
          <w:lang w:eastAsia="en-IN" w:bidi="ta-IN"/>
        </w:rPr>
        <w:br/>
        <w:t xml:space="preserve">The Assessing Officer (AO) argued that the assessee failed to deduct TDS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resulting in disallowance of the payments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16"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56" w:name="_Toc187663310"/>
      <w:bookmarkStart w:id="1357" w:name="_Toc187661126"/>
      <w:bookmarkStart w:id="1358" w:name="_Toc187662205"/>
      <w:r w:rsidRPr="00FB3E6C">
        <w:rPr>
          <w:rFonts w:ascii="Times New Roman" w:eastAsia="Times New Roman" w:hAnsi="Times New Roman" w:cs="Times New Roman"/>
          <w:b/>
          <w:bCs/>
          <w:sz w:val="27"/>
          <w:szCs w:val="27"/>
          <w:lang w:eastAsia="en-IN" w:bidi="ta-IN"/>
        </w:rPr>
        <w:t>Legal Framework</w:t>
      </w:r>
      <w:bookmarkEnd w:id="1356"/>
      <w:bookmarkEnd w:id="1357"/>
      <w:bookmarkEnd w:id="1358"/>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br/>
        <w:t>A special provision for taxing profits from occasional shipping operations of non-residents, providing a simplified mechanism for the levy and recovery of tax from shipping companies.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br/>
        <w:t>Mandates tax deduction at source on payments made to non-residents if the income is chargeable to tax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br/>
        <w:t>Disallows the deduction of expenses if TDS obligations under Section 195 are not met.</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17"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59" w:name="_Toc187663311"/>
      <w:bookmarkStart w:id="1360" w:name="_Toc187661127"/>
      <w:bookmarkStart w:id="1361" w:name="_Toc187662206"/>
      <w:r w:rsidRPr="00FB3E6C">
        <w:rPr>
          <w:rFonts w:ascii="Times New Roman" w:eastAsia="Times New Roman" w:hAnsi="Times New Roman" w:cs="Times New Roman"/>
          <w:b/>
          <w:bCs/>
          <w:sz w:val="27"/>
          <w:szCs w:val="27"/>
          <w:lang w:eastAsia="en-IN" w:bidi="ta-IN"/>
        </w:rPr>
        <w:t>Key Issues</w:t>
      </w:r>
      <w:bookmarkEnd w:id="1359"/>
      <w:bookmarkEnd w:id="1360"/>
      <w:bookmarkEnd w:id="1361"/>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Whether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applies to payments made to non-resident shipping companies taxed under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applies, whether the disallowance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for non-deduction of TDS was justified.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18"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62" w:name="_Toc187663312"/>
      <w:bookmarkStart w:id="1363" w:name="_Toc187661128"/>
      <w:bookmarkStart w:id="1364" w:name="_Toc187662207"/>
      <w:r w:rsidRPr="00FB3E6C">
        <w:rPr>
          <w:rFonts w:ascii="Times New Roman" w:eastAsia="Times New Roman" w:hAnsi="Times New Roman" w:cs="Times New Roman"/>
          <w:b/>
          <w:bCs/>
          <w:sz w:val="27"/>
          <w:szCs w:val="27"/>
          <w:lang w:eastAsia="en-IN" w:bidi="ta-IN"/>
        </w:rPr>
        <w:lastRenderedPageBreak/>
        <w:t>Arguments</w:t>
      </w:r>
      <w:bookmarkEnd w:id="1362"/>
      <w:bookmarkEnd w:id="1363"/>
      <w:bookmarkEnd w:id="1364"/>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Revenue's Argument:</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payments were made to non-resident shipping companies.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Since no TDS was deducted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the disallowance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was warranted.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Assessee's Argument:</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payments were subject to taxation under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which is a specific code for shipping income.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Therefore, the provisions of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did not apply, and the disallowance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was not justified.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19"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65" w:name="_Toc187663313"/>
      <w:bookmarkStart w:id="1366" w:name="_Toc187661129"/>
      <w:bookmarkStart w:id="1367" w:name="_Toc187662208"/>
      <w:r w:rsidRPr="00FB3E6C">
        <w:rPr>
          <w:rFonts w:ascii="Times New Roman" w:eastAsia="Times New Roman" w:hAnsi="Times New Roman" w:cs="Times New Roman"/>
          <w:b/>
          <w:bCs/>
          <w:sz w:val="27"/>
          <w:szCs w:val="27"/>
          <w:lang w:eastAsia="en-IN" w:bidi="ta-IN"/>
        </w:rPr>
        <w:t>Court's Analysis</w:t>
      </w:r>
      <w:bookmarkEnd w:id="1365"/>
      <w:bookmarkEnd w:id="1366"/>
      <w:bookmarkEnd w:id="1367"/>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Special vs. General Provisions: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court emphasized that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operates as a self-contained code for taxing income from shipping operations of non-residents.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provisions of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which are general in nature, do not override the specific provisions of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Conflict Resolution:</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court referred to earlier judicial precedents, including </w:t>
      </w:r>
      <w:r w:rsidRPr="00FB3E6C">
        <w:rPr>
          <w:rFonts w:ascii="Times New Roman" w:eastAsia="Times New Roman" w:hAnsi="Times New Roman" w:cs="Times New Roman"/>
          <w:b/>
          <w:bCs/>
          <w:sz w:val="24"/>
          <w:szCs w:val="24"/>
          <w:lang w:eastAsia="en-IN" w:bidi="ta-IN"/>
        </w:rPr>
        <w:t>CIT v. Orient (Goa) Pvt. Ltd.</w:t>
      </w:r>
      <w:r w:rsidRPr="00FB3E6C">
        <w:rPr>
          <w:rFonts w:ascii="Times New Roman" w:eastAsia="Times New Roman" w:hAnsi="Times New Roman" w:cs="Times New Roman"/>
          <w:sz w:val="24"/>
          <w:szCs w:val="24"/>
          <w:lang w:eastAsia="en-IN" w:bidi="ta-IN"/>
        </w:rPr>
        <w:t>, where it was held that Section 172 governs taxation of shipping income, and Section 195 does not apply.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Disallowance under Section 40(a)(i):</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Since Section 172 governs the taxation of shipping income and does not mandate TDS under Section 195, disallowance under Section 40(a)(i) for non-deduction of TDS was not warranted.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20"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68" w:name="_Toc187663314"/>
      <w:bookmarkStart w:id="1369" w:name="_Toc187661130"/>
      <w:bookmarkStart w:id="1370" w:name="_Toc187662209"/>
      <w:r w:rsidRPr="00FB3E6C">
        <w:rPr>
          <w:rFonts w:ascii="Times New Roman" w:eastAsia="Times New Roman" w:hAnsi="Times New Roman" w:cs="Times New Roman"/>
          <w:b/>
          <w:bCs/>
          <w:sz w:val="27"/>
          <w:szCs w:val="27"/>
          <w:lang w:eastAsia="en-IN" w:bidi="ta-IN"/>
        </w:rPr>
        <w:t>Judgment</w:t>
      </w:r>
      <w:bookmarkEnd w:id="1368"/>
      <w:bookmarkEnd w:id="1369"/>
      <w:bookmarkEnd w:id="1370"/>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Bombay High Court ruled in favor of the assessee, holding that payments made to non-resident shipping companies are governed by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and the provisions of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do not apply.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 xml:space="preserve">Consequently, the disallowance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was deleted.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21"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71" w:name="_Toc187663315"/>
      <w:bookmarkStart w:id="1372" w:name="_Toc187661131"/>
      <w:bookmarkStart w:id="1373" w:name="_Toc187662210"/>
      <w:r w:rsidRPr="00FB3E6C">
        <w:rPr>
          <w:rFonts w:ascii="Times New Roman" w:eastAsia="Times New Roman" w:hAnsi="Times New Roman" w:cs="Times New Roman"/>
          <w:b/>
          <w:bCs/>
          <w:sz w:val="27"/>
          <w:szCs w:val="27"/>
          <w:lang w:eastAsia="en-IN" w:bidi="ta-IN"/>
        </w:rPr>
        <w:t>Conclusion</w:t>
      </w:r>
      <w:bookmarkEnd w:id="1371"/>
      <w:bookmarkEnd w:id="1372"/>
      <w:bookmarkEnd w:id="1373"/>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clarifies: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special provisions of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for taxing shipping income of non-residents override the general provisions of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for TDS.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No disallowance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can be made for payments to non-residents when the income is taxable under Section 172.</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22"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74" w:name="_Toc187663316"/>
      <w:bookmarkStart w:id="1375" w:name="_Toc187661132"/>
      <w:bookmarkStart w:id="1376" w:name="_Toc187662211"/>
      <w:r w:rsidRPr="00FB3E6C">
        <w:rPr>
          <w:rFonts w:ascii="Times New Roman" w:eastAsia="Times New Roman" w:hAnsi="Times New Roman" w:cs="Times New Roman"/>
          <w:b/>
          <w:bCs/>
          <w:sz w:val="27"/>
          <w:szCs w:val="27"/>
          <w:lang w:eastAsia="en-IN" w:bidi="ta-IN"/>
        </w:rPr>
        <w:t>Reference</w:t>
      </w:r>
      <w:bookmarkEnd w:id="1374"/>
      <w:bookmarkEnd w:id="1375"/>
      <w:bookmarkEnd w:id="1376"/>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CIT v. V.S. Dempo and Company Pvt. Ltd. (ITA Nos. 989 and 991 of 2015, TS-526-HC-2015, Bombay High Court).</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CIT v Mitsubishi Corporation India P Ltd – (2017) 87 taxmann.com 217 (Del) – ITA No 180 of 2014</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2BCAD3AA" wp14:editId="1F26D895">
            <wp:extent cx="763905" cy="763905"/>
            <wp:effectExtent l="0" t="0" r="0" b="0"/>
            <wp:docPr id="14" name="Picture 1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Commissioner of Income Tax v. Mitsubishi Corporation India Pvt. Ltd.</w:t>
      </w:r>
      <w:r w:rsidRPr="00FB3E6C">
        <w:rPr>
          <w:rFonts w:ascii="Times New Roman" w:eastAsia="Times New Roman" w:hAnsi="Times New Roman" w:cs="Times New Roman"/>
          <w:sz w:val="24"/>
          <w:szCs w:val="24"/>
          <w:lang w:eastAsia="en-IN" w:bidi="ta-IN"/>
        </w:rPr>
        <w:t xml:space="preserve"> (ITA No. 180 of 2014), the </w:t>
      </w:r>
      <w:r w:rsidRPr="00FB3E6C">
        <w:rPr>
          <w:rFonts w:ascii="Times New Roman" w:eastAsia="Times New Roman" w:hAnsi="Times New Roman" w:cs="Times New Roman"/>
          <w:b/>
          <w:bCs/>
          <w:sz w:val="24"/>
          <w:szCs w:val="24"/>
          <w:lang w:eastAsia="en-IN" w:bidi="ta-IN"/>
        </w:rPr>
        <w:t>Delhi High Court</w:t>
      </w:r>
      <w:r w:rsidRPr="00FB3E6C">
        <w:rPr>
          <w:rFonts w:ascii="Times New Roman" w:eastAsia="Times New Roman" w:hAnsi="Times New Roman" w:cs="Times New Roman"/>
          <w:sz w:val="24"/>
          <w:szCs w:val="24"/>
          <w:lang w:eastAsia="en-IN" w:bidi="ta-IN"/>
        </w:rPr>
        <w:t xml:space="preserve"> examined the applicability of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of the Income Tax Act, 1961, in conjunction with the provisions of the Double Taxation Avoidance Agreements (DTAAs) between India and Japan, and India and the USA.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Mitsubishi Corporation India Pvt. Ltd. (MC India), an Indian subsidiary of Mitsubishi Corporation, Japan (MC Japan).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Transactions:</w:t>
      </w:r>
      <w:r w:rsidRPr="00FB3E6C">
        <w:rPr>
          <w:rFonts w:ascii="Times New Roman" w:eastAsia="Times New Roman" w:hAnsi="Times New Roman" w:cs="Times New Roman"/>
          <w:sz w:val="24"/>
          <w:szCs w:val="24"/>
          <w:lang w:eastAsia="en-IN" w:bidi="ta-IN"/>
        </w:rPr>
        <w:t xml:space="preserve"> MC India made payments to its group companies, including MC Japan, for services rendered.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Assessment Year:</w:t>
      </w:r>
      <w:r w:rsidRPr="00FB3E6C">
        <w:rPr>
          <w:rFonts w:ascii="Times New Roman" w:eastAsia="Times New Roman" w:hAnsi="Times New Roman" w:cs="Times New Roman"/>
          <w:sz w:val="24"/>
          <w:szCs w:val="24"/>
          <w:lang w:eastAsia="en-IN" w:bidi="ta-IN"/>
        </w:rPr>
        <w:t xml:space="preserve"> 2006-07.</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Assessing Officer (AO) disallowed deductions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amounting to approximately ₹97.89 crores, on the grounds that MC India failed to </w:t>
      </w:r>
      <w:r w:rsidRPr="00FB3E6C">
        <w:rPr>
          <w:rFonts w:ascii="Times New Roman" w:eastAsia="Times New Roman" w:hAnsi="Times New Roman" w:cs="Times New Roman"/>
          <w:sz w:val="24"/>
          <w:szCs w:val="24"/>
          <w:lang w:eastAsia="en-IN" w:bidi="ta-IN"/>
        </w:rPr>
        <w:lastRenderedPageBreak/>
        <w:t xml:space="preserve">deduct tax at source (TDS)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on payments made to non-resident group companies.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Legal Provisions: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Disallows certain expenses if TDS is not deducted as required under the Act.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Mandates TDS on payments made to non-residents if such payments are chargeable to tax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DTAAs:</w:t>
      </w:r>
      <w:r w:rsidRPr="00FB3E6C">
        <w:rPr>
          <w:rFonts w:ascii="Times New Roman" w:eastAsia="Times New Roman" w:hAnsi="Times New Roman" w:cs="Times New Roman"/>
          <w:sz w:val="24"/>
          <w:szCs w:val="24"/>
          <w:lang w:eastAsia="en-IN" w:bidi="ta-IN"/>
        </w:rPr>
        <w:t xml:space="preserve"> Agreements between India and other countries (e.g., Japan, USA) to avoid double taxation and prevent fiscal evasion.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Existence of Permanent Establishment (PE):</w:t>
      </w:r>
      <w:r w:rsidRPr="00FB3E6C">
        <w:rPr>
          <w:rFonts w:ascii="Times New Roman" w:eastAsia="Times New Roman" w:hAnsi="Times New Roman" w:cs="Times New Roman"/>
          <w:sz w:val="24"/>
          <w:szCs w:val="24"/>
          <w:lang w:eastAsia="en-IN" w:bidi="ta-IN"/>
        </w:rPr>
        <w:t xml:space="preserve"> The court examined whether the non-resident group companies, particularly MC Japan, had a PE in India. The presence of a PE would determine the taxability of the income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Non-Discrimination Clause:</w:t>
      </w:r>
      <w:r w:rsidRPr="00FB3E6C">
        <w:rPr>
          <w:rFonts w:ascii="Times New Roman" w:eastAsia="Times New Roman" w:hAnsi="Times New Roman" w:cs="Times New Roman"/>
          <w:sz w:val="24"/>
          <w:szCs w:val="24"/>
          <w:lang w:eastAsia="en-IN" w:bidi="ta-IN"/>
        </w:rPr>
        <w:t xml:space="preserve"> The DTAAs contain non-discrimination clauses that prevent one country from imposing more burdensome taxation on nationals of the other country than it does on its own nationals.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Applicability of Section 40(a)(i):</w:t>
      </w:r>
      <w:r w:rsidRPr="00FB3E6C">
        <w:rPr>
          <w:rFonts w:ascii="Times New Roman" w:eastAsia="Times New Roman" w:hAnsi="Times New Roman" w:cs="Times New Roman"/>
          <w:sz w:val="24"/>
          <w:szCs w:val="24"/>
          <w:lang w:eastAsia="en-IN" w:bidi="ta-IN"/>
        </w:rPr>
        <w:t xml:space="preserve"> The court considered whether disallowance under this section was justified, especially in light of the non-discrimination clauses in the DTAAs.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Permanent Establishment:</w:t>
      </w:r>
      <w:r w:rsidRPr="00FB3E6C">
        <w:rPr>
          <w:rFonts w:ascii="Times New Roman" w:eastAsia="Times New Roman" w:hAnsi="Times New Roman" w:cs="Times New Roman"/>
          <w:sz w:val="24"/>
          <w:szCs w:val="24"/>
          <w:lang w:eastAsia="en-IN" w:bidi="ta-IN"/>
        </w:rPr>
        <w:t xml:space="preserve"> The court found no conclusive evidence that the non-resident group companies had a PE in India. Therefore, the income earned by these entities was not taxable in India under the respective DTAAs.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Non-Discrimination Clause:</w:t>
      </w:r>
      <w:r w:rsidRPr="00FB3E6C">
        <w:rPr>
          <w:rFonts w:ascii="Times New Roman" w:eastAsia="Times New Roman" w:hAnsi="Times New Roman" w:cs="Times New Roman"/>
          <w:sz w:val="24"/>
          <w:szCs w:val="24"/>
          <w:lang w:eastAsia="en-IN" w:bidi="ta-IN"/>
        </w:rPr>
        <w:t xml:space="preserve"> The court held that the disallowance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due to non-deduction of TDS, would result in discrimination against the foreign entities, which is prohibited under the DTAAs.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Disallowance under Section 40(a)(i):</w:t>
      </w:r>
      <w:r w:rsidRPr="00FB3E6C">
        <w:rPr>
          <w:rFonts w:ascii="Times New Roman" w:eastAsia="Times New Roman" w:hAnsi="Times New Roman" w:cs="Times New Roman"/>
          <w:sz w:val="24"/>
          <w:szCs w:val="24"/>
          <w:lang w:eastAsia="en-IN" w:bidi="ta-IN"/>
        </w:rPr>
        <w:t xml:space="preserve"> Given the non-discrimination clause and the absence of a PE, the court concluded that the disallowance was not justified.</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Delhi High Court ruled in favor of Mitsubishi Corporation India Pvt. Ltd., holding that: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payments made to non-resident group companies were not subject to TDS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as the income was not chargeable to tax in India due to the absence of a PE.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 xml:space="preserve">The disallowance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was not warranted, considering the non-discrimination clauses in the DTAAs.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CIT v. Mitsubishi Corporation India Pvt. Ltd., ITA No. 180 of 2014, Delhi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58" w:tgtFrame="_new"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underscores the importance of DTAAs in determining tax liabilities and highlights the relevance of non-discrimination clauses in preventing disallowances under domestic tax provisions.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CIT v Herbalife International India Pvt Ltd - (2016) 96 CCH 0007 (Del) [India - US DTAA]</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304F8BF8" wp14:editId="76B979A3">
            <wp:extent cx="763905" cy="763905"/>
            <wp:effectExtent l="0" t="0" r="0" b="0"/>
            <wp:docPr id="13" name="Picture 1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Commissioner of Income Tax v. Herbalife International India Pvt. Ltd.</w:t>
      </w:r>
      <w:r w:rsidRPr="00FB3E6C">
        <w:rPr>
          <w:rFonts w:ascii="Times New Roman" w:eastAsia="Times New Roman" w:hAnsi="Times New Roman" w:cs="Times New Roman"/>
          <w:sz w:val="24"/>
          <w:szCs w:val="24"/>
          <w:lang w:eastAsia="en-IN" w:bidi="ta-IN"/>
        </w:rPr>
        <w:t xml:space="preserve"> (ITA No. 7/2007), the </w:t>
      </w:r>
      <w:r w:rsidRPr="00FB3E6C">
        <w:rPr>
          <w:rFonts w:ascii="Times New Roman" w:eastAsia="Times New Roman" w:hAnsi="Times New Roman" w:cs="Times New Roman"/>
          <w:b/>
          <w:bCs/>
          <w:sz w:val="24"/>
          <w:szCs w:val="24"/>
          <w:lang w:eastAsia="en-IN" w:bidi="ta-IN"/>
        </w:rPr>
        <w:t>Delhi High Court</w:t>
      </w:r>
      <w:r w:rsidRPr="00FB3E6C">
        <w:rPr>
          <w:rFonts w:ascii="Times New Roman" w:eastAsia="Times New Roman" w:hAnsi="Times New Roman" w:cs="Times New Roman"/>
          <w:sz w:val="24"/>
          <w:szCs w:val="24"/>
          <w:lang w:eastAsia="en-IN" w:bidi="ta-IN"/>
        </w:rPr>
        <w:t xml:space="preserve"> addressed the applicability of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of the Income Tax Act, 1961, in conjunction with the </w:t>
      </w:r>
      <w:r w:rsidRPr="00FB3E6C">
        <w:rPr>
          <w:rFonts w:ascii="Times New Roman" w:eastAsia="Times New Roman" w:hAnsi="Times New Roman" w:cs="Times New Roman"/>
          <w:b/>
          <w:bCs/>
          <w:sz w:val="24"/>
          <w:szCs w:val="24"/>
          <w:lang w:eastAsia="en-IN" w:bidi="ta-IN"/>
        </w:rPr>
        <w:t>India-USA Double Taxation Avoidance Agreement (DTAA)</w:t>
      </w:r>
      <w:r w:rsidRPr="00FB3E6C">
        <w:rPr>
          <w:rFonts w:ascii="Times New Roman" w:eastAsia="Times New Roman" w:hAnsi="Times New Roman" w:cs="Times New Roman"/>
          <w:sz w:val="24"/>
          <w:szCs w:val="24"/>
          <w:lang w:eastAsia="en-IN" w:bidi="ta-IN"/>
        </w:rPr>
        <w:t xml:space="preserve">, particularly focusing on the non-discrimination clause under </w:t>
      </w:r>
      <w:r w:rsidRPr="00FB3E6C">
        <w:rPr>
          <w:rFonts w:ascii="Times New Roman" w:eastAsia="Times New Roman" w:hAnsi="Times New Roman" w:cs="Times New Roman"/>
          <w:b/>
          <w:bCs/>
          <w:sz w:val="24"/>
          <w:szCs w:val="24"/>
          <w:lang w:eastAsia="en-IN" w:bidi="ta-IN"/>
        </w:rPr>
        <w:t>Article 26(3)</w:t>
      </w:r>
      <w:r w:rsidRPr="00FB3E6C">
        <w:rPr>
          <w:rFonts w:ascii="Times New Roman" w:eastAsia="Times New Roman" w:hAnsi="Times New Roman" w:cs="Times New Roman"/>
          <w:sz w:val="24"/>
          <w:szCs w:val="24"/>
          <w:lang w:eastAsia="en-IN" w:bidi="ta-IN"/>
        </w:rPr>
        <w: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Herbalife International India Pvt. Ltd., an Indian subsidiary of Herbalife International Inc., USA, engaged in trading and marketing herbal products.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w:t>
      </w:r>
      <w:r w:rsidRPr="00FB3E6C">
        <w:rPr>
          <w:rFonts w:ascii="Times New Roman" w:eastAsia="Times New Roman" w:hAnsi="Times New Roman" w:cs="Times New Roman"/>
          <w:sz w:val="24"/>
          <w:szCs w:val="24"/>
          <w:lang w:eastAsia="en-IN" w:bidi="ta-IN"/>
        </w:rPr>
        <w:t xml:space="preserve"> The assessee entered into an Administrative Services Agreement (ASA) with Herbalife International of America Inc. (HIAI) for services such as data processing, accounting, financial planning, and marketing. Payments were made to HIAI as administrative fees.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Assessment Year:</w:t>
      </w:r>
      <w:r w:rsidRPr="00FB3E6C">
        <w:rPr>
          <w:rFonts w:ascii="Times New Roman" w:eastAsia="Times New Roman" w:hAnsi="Times New Roman" w:cs="Times New Roman"/>
          <w:sz w:val="24"/>
          <w:szCs w:val="24"/>
          <w:lang w:eastAsia="en-IN" w:bidi="ta-IN"/>
        </w:rPr>
        <w:t xml:space="preserve"> 2001-02.</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Assessing Officer (AO) disallowed the administrative fees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citing the assessee's failure to deduct tax at source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treating the payments as Fees for Technical Services (FTS).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Key Legal Provisions: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Disallows deductions for certain payments to non-residents if tax is not deducted at source as required.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Mandates tax deduction at source on payments to non-residents if such payments are chargeable to tax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Article 26(3) of the India-USA DTAA:</w:t>
      </w:r>
      <w:r w:rsidRPr="00FB3E6C">
        <w:rPr>
          <w:rFonts w:ascii="Times New Roman" w:eastAsia="Times New Roman" w:hAnsi="Times New Roman" w:cs="Times New Roman"/>
          <w:sz w:val="24"/>
          <w:szCs w:val="24"/>
          <w:lang w:eastAsia="en-IN" w:bidi="ta-IN"/>
        </w:rPr>
        <w:t xml:space="preserve"> The non-discrimination clause, which stipulates that payments to residents and non-residents should be treated equally concerning deductibility.</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Non-Discrimination Clause:</w:t>
      </w:r>
      <w:r w:rsidRPr="00FB3E6C">
        <w:rPr>
          <w:rFonts w:ascii="Times New Roman" w:eastAsia="Times New Roman" w:hAnsi="Times New Roman" w:cs="Times New Roman"/>
          <w:sz w:val="24"/>
          <w:szCs w:val="24"/>
          <w:lang w:eastAsia="en-IN" w:bidi="ta-IN"/>
        </w:rPr>
        <w:t xml:space="preserve"> The court examined whether disallowing the deduction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due to non-deduction of TDS on payments to a non-resident violated the non-discrimination clause of the DTAA.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Comparison with Domestic Payments:</w:t>
      </w:r>
      <w:r w:rsidRPr="00FB3E6C">
        <w:rPr>
          <w:rFonts w:ascii="Times New Roman" w:eastAsia="Times New Roman" w:hAnsi="Times New Roman" w:cs="Times New Roman"/>
          <w:sz w:val="24"/>
          <w:szCs w:val="24"/>
          <w:lang w:eastAsia="en-IN" w:bidi="ta-IN"/>
        </w:rPr>
        <w:t xml:space="preserve"> At the relevant time, payments to residents were not subject to disallowance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for non-deduction of TDS, as </w:t>
      </w:r>
      <w:r w:rsidRPr="00FB3E6C">
        <w:rPr>
          <w:rFonts w:ascii="Times New Roman" w:eastAsia="Times New Roman" w:hAnsi="Times New Roman" w:cs="Times New Roman"/>
          <w:b/>
          <w:bCs/>
          <w:sz w:val="24"/>
          <w:szCs w:val="24"/>
          <w:lang w:eastAsia="en-IN" w:bidi="ta-IN"/>
        </w:rPr>
        <w:t>Section 40(a)(ia)</w:t>
      </w:r>
      <w:r w:rsidRPr="00FB3E6C">
        <w:rPr>
          <w:rFonts w:ascii="Times New Roman" w:eastAsia="Times New Roman" w:hAnsi="Times New Roman" w:cs="Times New Roman"/>
          <w:sz w:val="24"/>
          <w:szCs w:val="24"/>
          <w:lang w:eastAsia="en-IN" w:bidi="ta-IN"/>
        </w:rPr>
        <w:t xml:space="preserve"> (pertaining to residents) was introduced only later.</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Interpretation of 'Other Disbursements':</w:t>
      </w:r>
      <w:r w:rsidRPr="00FB3E6C">
        <w:rPr>
          <w:rFonts w:ascii="Times New Roman" w:eastAsia="Times New Roman" w:hAnsi="Times New Roman" w:cs="Times New Roman"/>
          <w:sz w:val="24"/>
          <w:szCs w:val="24"/>
          <w:lang w:eastAsia="en-IN" w:bidi="ta-IN"/>
        </w:rPr>
        <w:t xml:space="preserve"> The court interpreted the term 'other disbursements' in </w:t>
      </w:r>
      <w:r w:rsidRPr="00FB3E6C">
        <w:rPr>
          <w:rFonts w:ascii="Times New Roman" w:eastAsia="Times New Roman" w:hAnsi="Times New Roman" w:cs="Times New Roman"/>
          <w:b/>
          <w:bCs/>
          <w:sz w:val="24"/>
          <w:szCs w:val="24"/>
          <w:lang w:eastAsia="en-IN" w:bidi="ta-IN"/>
        </w:rPr>
        <w:t>Article 26(3)</w:t>
      </w:r>
      <w:r w:rsidRPr="00FB3E6C">
        <w:rPr>
          <w:rFonts w:ascii="Times New Roman" w:eastAsia="Times New Roman" w:hAnsi="Times New Roman" w:cs="Times New Roman"/>
          <w:sz w:val="24"/>
          <w:szCs w:val="24"/>
          <w:lang w:eastAsia="en-IN" w:bidi="ta-IN"/>
        </w:rPr>
        <w:t xml:space="preserve"> to include administrative fees, thereby requiring equal treatment for payments to residents and non-residents.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Delhi High Court held that disallowing the administrative fees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due to non-deduction of TDS resulted in discriminatory treatment against the non-resident payee, violating </w:t>
      </w:r>
      <w:r w:rsidRPr="00FB3E6C">
        <w:rPr>
          <w:rFonts w:ascii="Times New Roman" w:eastAsia="Times New Roman" w:hAnsi="Times New Roman" w:cs="Times New Roman"/>
          <w:b/>
          <w:bCs/>
          <w:sz w:val="24"/>
          <w:szCs w:val="24"/>
          <w:lang w:eastAsia="en-IN" w:bidi="ta-IN"/>
        </w:rPr>
        <w:t>Article 26(3)</w:t>
      </w:r>
      <w:r w:rsidRPr="00FB3E6C">
        <w:rPr>
          <w:rFonts w:ascii="Times New Roman" w:eastAsia="Times New Roman" w:hAnsi="Times New Roman" w:cs="Times New Roman"/>
          <w:sz w:val="24"/>
          <w:szCs w:val="24"/>
          <w:lang w:eastAsia="en-IN" w:bidi="ta-IN"/>
        </w:rPr>
        <w:t xml:space="preserve"> of the India-USA DTAA. Therefore, the disallowance was not justified.</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underscores the significance of the non-discrimination clause in DTAAs, ensuring that payments to non-residents are not subjected to more onerous conditions than those applied to residents. It highlights the necessity for tax authorities to consider international treaty obligations when applying domestic tax provisions.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CIT v. Herbalife International India Pvt. Ltd., ITA No. 7/2007, Delhi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59" w:tgtFrame="_new"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emphasizes the importance of adhering to international tax treaties to ensure non-discriminatory treatment of cross-border transactions, promoting fairness and equity in taxation.</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CIT v CIT v VS Dempo and Company Pvt Ltd (ITA No 989 and 991 of 2015) – TS-526-HC-2015 (BOM)</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447C6C88" wp14:editId="745C833B">
            <wp:extent cx="763905" cy="763905"/>
            <wp:effectExtent l="0" t="0" r="0" b="0"/>
            <wp:docPr id="12" name="Picture 1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case </w:t>
      </w:r>
      <w:r w:rsidRPr="00FB3E6C">
        <w:rPr>
          <w:rFonts w:ascii="Times New Roman" w:eastAsia="Times New Roman" w:hAnsi="Times New Roman" w:cs="Times New Roman"/>
          <w:b/>
          <w:bCs/>
          <w:sz w:val="24"/>
          <w:szCs w:val="24"/>
          <w:lang w:eastAsia="en-IN" w:bidi="ta-IN"/>
        </w:rPr>
        <w:t>CIT v. V.S. Dempo and Company Pvt. Ltd.</w:t>
      </w:r>
      <w:r w:rsidRPr="00FB3E6C">
        <w:rPr>
          <w:rFonts w:ascii="Times New Roman" w:eastAsia="Times New Roman" w:hAnsi="Times New Roman" w:cs="Times New Roman"/>
          <w:sz w:val="24"/>
          <w:szCs w:val="24"/>
          <w:lang w:eastAsia="en-IN" w:bidi="ta-IN"/>
        </w:rPr>
        <w:t xml:space="preserve"> (ITA Nos. 989 and 991 of 2015, TS-526-HC-2015, Bombay High Court) deals with the applicability of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versus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of the Income Tax Act, 1961, in relation to tax deduction at source (TDS) on payments made to non-resident shipping companies. The issue revolved around whether payments subject to taxation under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are also liable for TDS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23"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77" w:name="_Toc187663317"/>
      <w:bookmarkStart w:id="1378" w:name="_Toc187661133"/>
      <w:bookmarkStart w:id="1379" w:name="_Toc187662212"/>
      <w:r w:rsidRPr="00FB3E6C">
        <w:rPr>
          <w:rFonts w:ascii="Times New Roman" w:eastAsia="Times New Roman" w:hAnsi="Times New Roman" w:cs="Times New Roman"/>
          <w:b/>
          <w:bCs/>
          <w:sz w:val="27"/>
          <w:szCs w:val="27"/>
          <w:lang w:eastAsia="en-IN" w:bidi="ta-IN"/>
        </w:rPr>
        <w:t>Background:</w:t>
      </w:r>
      <w:bookmarkEnd w:id="1377"/>
      <w:bookmarkEnd w:id="1378"/>
      <w:bookmarkEnd w:id="1379"/>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br/>
        <w:t>V.S. Dempo and Company Pvt. Ltd., an Indian company, made payments of demurrage and freight charges to non-resident shipping companies.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Assessment Year:</w:t>
      </w:r>
      <w:r w:rsidRPr="00FB3E6C">
        <w:rPr>
          <w:rFonts w:ascii="Times New Roman" w:eastAsia="Times New Roman" w:hAnsi="Times New Roman" w:cs="Times New Roman"/>
          <w:sz w:val="24"/>
          <w:szCs w:val="24"/>
          <w:lang w:eastAsia="en-IN" w:bidi="ta-IN"/>
        </w:rPr>
        <w:br/>
        <w:t>1997-98.</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 Details:</w:t>
      </w:r>
      <w:r w:rsidRPr="00FB3E6C">
        <w:rPr>
          <w:rFonts w:ascii="Times New Roman" w:eastAsia="Times New Roman" w:hAnsi="Times New Roman" w:cs="Times New Roman"/>
          <w:sz w:val="24"/>
          <w:szCs w:val="24"/>
          <w:lang w:eastAsia="en-IN" w:bidi="ta-IN"/>
        </w:rPr>
        <w:br/>
        <w:t xml:space="preserve">The payments made by the assessee were claimed as business expenses without deducting TDS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The Assessing Officer (AO) contended that the payments were taxable in India, and TDS should have been deducted. As a result, the expenses were disallowed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24"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80" w:name="_Toc187663318"/>
      <w:bookmarkStart w:id="1381" w:name="_Toc187661134"/>
      <w:bookmarkStart w:id="1382" w:name="_Toc187662213"/>
      <w:r w:rsidRPr="00FB3E6C">
        <w:rPr>
          <w:rFonts w:ascii="Times New Roman" w:eastAsia="Times New Roman" w:hAnsi="Times New Roman" w:cs="Times New Roman"/>
          <w:b/>
          <w:bCs/>
          <w:sz w:val="27"/>
          <w:szCs w:val="27"/>
          <w:lang w:eastAsia="en-IN" w:bidi="ta-IN"/>
        </w:rPr>
        <w:t>Legal Framework:</w:t>
      </w:r>
      <w:bookmarkEnd w:id="1380"/>
      <w:bookmarkEnd w:id="1381"/>
      <w:bookmarkEnd w:id="1382"/>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br/>
        <w:t>Provides a simplified mechanism for taxing non-resident shipping companies for income earned from voyages to or from Indian ports. It overrides other provisions of the Act for taxing shipping income of non-residents.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br/>
        <w:t>Mandates tax deduction at source on payments made to non-residents if such payments are chargeable to tax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Section 40(a)(i):</w:t>
      </w:r>
      <w:r w:rsidRPr="00FB3E6C">
        <w:rPr>
          <w:rFonts w:ascii="Times New Roman" w:eastAsia="Times New Roman" w:hAnsi="Times New Roman" w:cs="Times New Roman"/>
          <w:sz w:val="24"/>
          <w:szCs w:val="24"/>
          <w:lang w:eastAsia="en-IN" w:bidi="ta-IN"/>
        </w:rPr>
        <w:br/>
        <w:t xml:space="preserve">Disallows expenses if TDS obligations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are not complied with.</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25"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83" w:name="_Toc187663319"/>
      <w:bookmarkStart w:id="1384" w:name="_Toc187661135"/>
      <w:bookmarkStart w:id="1385" w:name="_Toc187662214"/>
      <w:r w:rsidRPr="00FB3E6C">
        <w:rPr>
          <w:rFonts w:ascii="Times New Roman" w:eastAsia="Times New Roman" w:hAnsi="Times New Roman" w:cs="Times New Roman"/>
          <w:b/>
          <w:bCs/>
          <w:sz w:val="27"/>
          <w:szCs w:val="27"/>
          <w:lang w:eastAsia="en-IN" w:bidi="ta-IN"/>
        </w:rPr>
        <w:t>Key Issue:</w:t>
      </w:r>
      <w:bookmarkEnd w:id="1383"/>
      <w:bookmarkEnd w:id="1384"/>
      <w:bookmarkEnd w:id="1385"/>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Whether payments to non-resident shipping companies, taxable under Section 172, are also subject to TDS under Section 195?</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26"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86" w:name="_Toc187663320"/>
      <w:bookmarkStart w:id="1387" w:name="_Toc187661136"/>
      <w:bookmarkStart w:id="1388" w:name="_Toc187662215"/>
      <w:r w:rsidRPr="00FB3E6C">
        <w:rPr>
          <w:rFonts w:ascii="Times New Roman" w:eastAsia="Times New Roman" w:hAnsi="Times New Roman" w:cs="Times New Roman"/>
          <w:b/>
          <w:bCs/>
          <w:sz w:val="27"/>
          <w:szCs w:val="27"/>
          <w:lang w:eastAsia="en-IN" w:bidi="ta-IN"/>
        </w:rPr>
        <w:t>Arguments:</w:t>
      </w:r>
      <w:bookmarkEnd w:id="1386"/>
      <w:bookmarkEnd w:id="1387"/>
      <w:bookmarkEnd w:id="1388"/>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Revenue's Argument:</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Payments made to non-resident shipping companies for freight and demurrage were taxable in India.</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Since TDS was not deducted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the disallowance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was valid.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Assessee's Argument:</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payments were governed by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a self-contained provision for taxing income from shipping business of non-residents.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does not apply when income is taxed under Section 172.</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Therefore, there was no obligation to deduct TDS, and the disallowance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was unwarranted.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27"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89" w:name="_Toc187663321"/>
      <w:bookmarkStart w:id="1390" w:name="_Toc187661137"/>
      <w:bookmarkStart w:id="1391" w:name="_Toc187662216"/>
      <w:r w:rsidRPr="00FB3E6C">
        <w:rPr>
          <w:rFonts w:ascii="Times New Roman" w:eastAsia="Times New Roman" w:hAnsi="Times New Roman" w:cs="Times New Roman"/>
          <w:b/>
          <w:bCs/>
          <w:sz w:val="27"/>
          <w:szCs w:val="27"/>
          <w:lang w:eastAsia="en-IN" w:bidi="ta-IN"/>
        </w:rPr>
        <w:t>Court's Analysis:</w:t>
      </w:r>
      <w:bookmarkEnd w:id="1389"/>
      <w:bookmarkEnd w:id="1390"/>
      <w:bookmarkEnd w:id="1391"/>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Special Provision under Section 172:</w:t>
      </w:r>
      <w:r w:rsidRPr="00FB3E6C">
        <w:rPr>
          <w:rFonts w:ascii="Times New Roman" w:eastAsia="Times New Roman" w:hAnsi="Times New Roman" w:cs="Times New Roman"/>
          <w:sz w:val="24"/>
          <w:szCs w:val="24"/>
          <w:lang w:eastAsia="en-IN" w:bidi="ta-IN"/>
        </w:rPr>
        <w:br/>
        <w:t xml:space="preserve">The court emphasized that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is a complete code for the taxation of income earned by non-resident shipping companies. It overrides other provisions of the Act, including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for such income.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Applicability of Section 195:</w:t>
      </w:r>
      <w:r w:rsidRPr="00FB3E6C">
        <w:rPr>
          <w:rFonts w:ascii="Times New Roman" w:eastAsia="Times New Roman" w:hAnsi="Times New Roman" w:cs="Times New Roman"/>
          <w:sz w:val="24"/>
          <w:szCs w:val="24"/>
          <w:lang w:eastAsia="en-IN" w:bidi="ta-IN"/>
        </w:rPr>
        <w:br/>
        <w:t xml:space="preserve">Since the payments to non-resident shipping companies were subject to taxation under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the court held that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was not applicable. The intention of Section 172 is to provide a simplified procedure for taxing shipping income of non-residents, making other provisions redundant.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Disallowance under Section 40(a)(i):</w:t>
      </w:r>
      <w:r w:rsidRPr="00FB3E6C">
        <w:rPr>
          <w:rFonts w:ascii="Times New Roman" w:eastAsia="Times New Roman" w:hAnsi="Times New Roman" w:cs="Times New Roman"/>
          <w:sz w:val="24"/>
          <w:szCs w:val="24"/>
          <w:lang w:eastAsia="en-IN" w:bidi="ta-IN"/>
        </w:rPr>
        <w:br/>
        <w:t xml:space="preserve">The court ruled that since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governs the taxation of shipping income and does not mandate TDS, the disallowance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was not justified.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Precedents Cited:</w:t>
      </w:r>
      <w:r w:rsidRPr="00FB3E6C">
        <w:rPr>
          <w:rFonts w:ascii="Times New Roman" w:eastAsia="Times New Roman" w:hAnsi="Times New Roman" w:cs="Times New Roman"/>
          <w:sz w:val="24"/>
          <w:szCs w:val="24"/>
          <w:lang w:eastAsia="en-IN" w:bidi="ta-IN"/>
        </w:rPr>
        <w:br/>
        <w:t xml:space="preserve">The court relied on its earlier decisions in </w:t>
      </w:r>
      <w:r w:rsidRPr="00FB3E6C">
        <w:rPr>
          <w:rFonts w:ascii="Times New Roman" w:eastAsia="Times New Roman" w:hAnsi="Times New Roman" w:cs="Times New Roman"/>
          <w:b/>
          <w:bCs/>
          <w:sz w:val="24"/>
          <w:szCs w:val="24"/>
          <w:lang w:eastAsia="en-IN" w:bidi="ta-IN"/>
        </w:rPr>
        <w:t>Orient Goa Pvt. Ltd.</w:t>
      </w:r>
      <w:r w:rsidRPr="00FB3E6C">
        <w:rPr>
          <w:rFonts w:ascii="Times New Roman" w:eastAsia="Times New Roman" w:hAnsi="Times New Roman" w:cs="Times New Roman"/>
          <w:sz w:val="24"/>
          <w:szCs w:val="24"/>
          <w:lang w:eastAsia="en-IN" w:bidi="ta-IN"/>
        </w:rPr>
        <w:t xml:space="preserve"> and </w:t>
      </w:r>
      <w:r w:rsidRPr="00FB3E6C">
        <w:rPr>
          <w:rFonts w:ascii="Times New Roman" w:eastAsia="Times New Roman" w:hAnsi="Times New Roman" w:cs="Times New Roman"/>
          <w:b/>
          <w:bCs/>
          <w:sz w:val="24"/>
          <w:szCs w:val="24"/>
          <w:lang w:eastAsia="en-IN" w:bidi="ta-IN"/>
        </w:rPr>
        <w:t>Al Nisr Publishing</w:t>
      </w:r>
      <w:r w:rsidRPr="00FB3E6C">
        <w:rPr>
          <w:rFonts w:ascii="Times New Roman" w:eastAsia="Times New Roman" w:hAnsi="Times New Roman" w:cs="Times New Roman"/>
          <w:sz w:val="24"/>
          <w:szCs w:val="24"/>
          <w:lang w:eastAsia="en-IN" w:bidi="ta-IN"/>
        </w:rPr>
        <w:t>, which clarified that Section 172 overrides Section 195 for non-resident shipping income.</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28"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92" w:name="_Toc187663322"/>
      <w:bookmarkStart w:id="1393" w:name="_Toc187661138"/>
      <w:bookmarkStart w:id="1394" w:name="_Toc187662217"/>
      <w:r w:rsidRPr="00FB3E6C">
        <w:rPr>
          <w:rFonts w:ascii="Times New Roman" w:eastAsia="Times New Roman" w:hAnsi="Times New Roman" w:cs="Times New Roman"/>
          <w:b/>
          <w:bCs/>
          <w:sz w:val="27"/>
          <w:szCs w:val="27"/>
          <w:lang w:eastAsia="en-IN" w:bidi="ta-IN"/>
        </w:rPr>
        <w:t>Judgment:</w:t>
      </w:r>
      <w:bookmarkEnd w:id="1392"/>
      <w:bookmarkEnd w:id="1393"/>
      <w:bookmarkEnd w:id="1394"/>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Bombay High Court ruled in favor of V.S. Dempo and Company Pvt. Ltd., holding that: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Payments to non-resident shipping companies are governed by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and the provisions of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do not apply.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Disallowance under </w:t>
      </w:r>
      <w:r w:rsidRPr="00FB3E6C">
        <w:rPr>
          <w:rFonts w:ascii="Times New Roman" w:eastAsia="Times New Roman" w:hAnsi="Times New Roman" w:cs="Times New Roman"/>
          <w:b/>
          <w:bCs/>
          <w:sz w:val="24"/>
          <w:szCs w:val="24"/>
          <w:lang w:eastAsia="en-IN" w:bidi="ta-IN"/>
        </w:rPr>
        <w:t>Section 40(a)(i)</w:t>
      </w:r>
      <w:r w:rsidRPr="00FB3E6C">
        <w:rPr>
          <w:rFonts w:ascii="Times New Roman" w:eastAsia="Times New Roman" w:hAnsi="Times New Roman" w:cs="Times New Roman"/>
          <w:sz w:val="24"/>
          <w:szCs w:val="24"/>
          <w:lang w:eastAsia="en-IN" w:bidi="ta-IN"/>
        </w:rPr>
        <w:t xml:space="preserve"> for non-deduction of TDS was not warranted.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29"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95" w:name="_Toc187663323"/>
      <w:bookmarkStart w:id="1396" w:name="_Toc187661139"/>
      <w:bookmarkStart w:id="1397" w:name="_Toc187662218"/>
      <w:r w:rsidRPr="00FB3E6C">
        <w:rPr>
          <w:rFonts w:ascii="Times New Roman" w:eastAsia="Times New Roman" w:hAnsi="Times New Roman" w:cs="Times New Roman"/>
          <w:b/>
          <w:bCs/>
          <w:sz w:val="27"/>
          <w:szCs w:val="27"/>
          <w:lang w:eastAsia="en-IN" w:bidi="ta-IN"/>
        </w:rPr>
        <w:t>Conclusion:</w:t>
      </w:r>
      <w:bookmarkEnd w:id="1395"/>
      <w:bookmarkEnd w:id="1396"/>
      <w:bookmarkEnd w:id="1397"/>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This case highlights the principle that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as a special provision for taxing shipping income of non-residents, overrides the general provisions of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The judgment underscores that tax authorities must apply the specific provisions of the Income Tax Act in cases involving non-resident shipping companies, ensuring that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is not diluted by other sections.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30"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398" w:name="_Toc187663324"/>
      <w:bookmarkStart w:id="1399" w:name="_Toc187661140"/>
      <w:bookmarkStart w:id="1400" w:name="_Toc187662219"/>
      <w:r w:rsidRPr="00FB3E6C">
        <w:rPr>
          <w:rFonts w:ascii="Times New Roman" w:eastAsia="Times New Roman" w:hAnsi="Times New Roman" w:cs="Times New Roman"/>
          <w:b/>
          <w:bCs/>
          <w:sz w:val="27"/>
          <w:szCs w:val="27"/>
          <w:lang w:eastAsia="en-IN" w:bidi="ta-IN"/>
        </w:rPr>
        <w:t>Reference:</w:t>
      </w:r>
      <w:bookmarkEnd w:id="1398"/>
      <w:bookmarkEnd w:id="1399"/>
      <w:bookmarkEnd w:id="1400"/>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CIT v. V.S. Dempo and Company Pvt. Ltd., ITA Nos. 989 and 991 of 2015, Bombay High Court.</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M.T. Maersk Mikage [TS-474-HC-2016(GUJ)] SPECIAL CIVIL APPLICATION NO. 9150 of 2014 [India - Singapore DTAA]</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1C2368DE" wp14:editId="157ADEFF">
            <wp:extent cx="763905" cy="763905"/>
            <wp:effectExtent l="0" t="0" r="0" b="0"/>
            <wp:docPr id="11" name="Picture 1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 xml:space="preserve">In the case of </w:t>
      </w:r>
      <w:r w:rsidRPr="00FB3E6C">
        <w:rPr>
          <w:rFonts w:ascii="Times New Roman" w:eastAsia="Times New Roman" w:hAnsi="Times New Roman" w:cs="Times New Roman"/>
          <w:b/>
          <w:bCs/>
          <w:sz w:val="24"/>
          <w:szCs w:val="24"/>
          <w:lang w:eastAsia="en-IN" w:bidi="ta-IN"/>
        </w:rPr>
        <w:t>M.T. Maersk Mikage v. Director of Income Tax (International Taxation)</w:t>
      </w:r>
      <w:r w:rsidRPr="00FB3E6C">
        <w:rPr>
          <w:rFonts w:ascii="Times New Roman" w:eastAsia="Times New Roman" w:hAnsi="Times New Roman" w:cs="Times New Roman"/>
          <w:sz w:val="24"/>
          <w:szCs w:val="24"/>
          <w:lang w:eastAsia="en-IN" w:bidi="ta-IN"/>
        </w:rPr>
        <w:t xml:space="preserve"> (Special Civil Application No. 9150 of 2014), the </w:t>
      </w:r>
      <w:r w:rsidRPr="00FB3E6C">
        <w:rPr>
          <w:rFonts w:ascii="Times New Roman" w:eastAsia="Times New Roman" w:hAnsi="Times New Roman" w:cs="Times New Roman"/>
          <w:b/>
          <w:bCs/>
          <w:sz w:val="24"/>
          <w:szCs w:val="24"/>
          <w:lang w:eastAsia="en-IN" w:bidi="ta-IN"/>
        </w:rPr>
        <w:t>Gujarat High Court</w:t>
      </w:r>
      <w:r w:rsidRPr="00FB3E6C">
        <w:rPr>
          <w:rFonts w:ascii="Times New Roman" w:eastAsia="Times New Roman" w:hAnsi="Times New Roman" w:cs="Times New Roman"/>
          <w:sz w:val="24"/>
          <w:szCs w:val="24"/>
          <w:lang w:eastAsia="en-IN" w:bidi="ta-IN"/>
        </w:rPr>
        <w:t xml:space="preserve"> addressed the taxation of shipping income earned by a Singapore-based company under the </w:t>
      </w:r>
      <w:r w:rsidRPr="00FB3E6C">
        <w:rPr>
          <w:rFonts w:ascii="Times New Roman" w:eastAsia="Times New Roman" w:hAnsi="Times New Roman" w:cs="Times New Roman"/>
          <w:b/>
          <w:bCs/>
          <w:sz w:val="24"/>
          <w:szCs w:val="24"/>
          <w:lang w:eastAsia="en-IN" w:bidi="ta-IN"/>
        </w:rPr>
        <w:t>India-Singapore Double Taxation Avoidance Agreement (DTAA)</w:t>
      </w:r>
      <w:r w:rsidRPr="00FB3E6C">
        <w:rPr>
          <w:rFonts w:ascii="Times New Roman" w:eastAsia="Times New Roman" w:hAnsi="Times New Roman" w:cs="Times New Roman"/>
          <w:sz w:val="24"/>
          <w:szCs w:val="24"/>
          <w:lang w:eastAsia="en-IN" w:bidi="ta-IN"/>
        </w:rPr>
        <w: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Petitioner:</w:t>
      </w:r>
      <w:r w:rsidRPr="00FB3E6C">
        <w:rPr>
          <w:rFonts w:ascii="Times New Roman" w:eastAsia="Times New Roman" w:hAnsi="Times New Roman" w:cs="Times New Roman"/>
          <w:sz w:val="24"/>
          <w:szCs w:val="24"/>
          <w:lang w:eastAsia="en-IN" w:bidi="ta-IN"/>
        </w:rPr>
        <w:t xml:space="preserve"> M.T. Maersk Mikage, a vessel owned by a Singapore-resident company, engaged in international shipping operations, including voyages involving Indian ports.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Indian tax authorities sought to tax the income earned by the petitioner from its shipping operations in India under </w:t>
      </w:r>
      <w:r w:rsidRPr="00FB3E6C">
        <w:rPr>
          <w:rFonts w:ascii="Times New Roman" w:eastAsia="Times New Roman" w:hAnsi="Times New Roman" w:cs="Times New Roman"/>
          <w:b/>
          <w:bCs/>
          <w:sz w:val="24"/>
          <w:szCs w:val="24"/>
          <w:lang w:eastAsia="en-IN" w:bidi="ta-IN"/>
        </w:rPr>
        <w:t>Section 44B</w:t>
      </w:r>
      <w:r w:rsidRPr="00FB3E6C">
        <w:rPr>
          <w:rFonts w:ascii="Times New Roman" w:eastAsia="Times New Roman" w:hAnsi="Times New Roman" w:cs="Times New Roman"/>
          <w:sz w:val="24"/>
          <w:szCs w:val="24"/>
          <w:lang w:eastAsia="en-IN" w:bidi="ta-IN"/>
        </w:rPr>
        <w:t xml:space="preserve"> of the Income Tax Act, 1961, contending that the income was taxable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Legal Provisions: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Article 8 of the India-Singapore DTAA:</w:t>
      </w:r>
      <w:r w:rsidRPr="00FB3E6C">
        <w:rPr>
          <w:rFonts w:ascii="Times New Roman" w:eastAsia="Times New Roman" w:hAnsi="Times New Roman" w:cs="Times New Roman"/>
          <w:sz w:val="24"/>
          <w:szCs w:val="24"/>
          <w:lang w:eastAsia="en-IN" w:bidi="ta-IN"/>
        </w:rPr>
        <w:t xml:space="preserve"> Stipulates that profits derived by an enterprise of a Contracting State from the operation of ships in international traffic shall be taxable only in that State.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Article 24 of the DTAA (Limitation of Relief):</w:t>
      </w:r>
      <w:r w:rsidRPr="00FB3E6C">
        <w:rPr>
          <w:rFonts w:ascii="Times New Roman" w:eastAsia="Times New Roman" w:hAnsi="Times New Roman" w:cs="Times New Roman"/>
          <w:sz w:val="24"/>
          <w:szCs w:val="24"/>
          <w:lang w:eastAsia="en-IN" w:bidi="ta-IN"/>
        </w:rPr>
        <w:t xml:space="preserve"> Provides that the DTAA benefits shall not apply if the income is exempt from tax in the resident state.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Applicability of Article 8:</w:t>
      </w:r>
      <w:r w:rsidRPr="00FB3E6C">
        <w:rPr>
          <w:rFonts w:ascii="Times New Roman" w:eastAsia="Times New Roman" w:hAnsi="Times New Roman" w:cs="Times New Roman"/>
          <w:sz w:val="24"/>
          <w:szCs w:val="24"/>
          <w:lang w:eastAsia="en-IN" w:bidi="ta-IN"/>
        </w:rPr>
        <w:t xml:space="preserve"> The court examined whether the petitioner's shipping income was taxable exclusively in Singapore under Article 8 of the DTAA.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Limitation of Relief under Article 24:</w:t>
      </w:r>
      <w:r w:rsidRPr="00FB3E6C">
        <w:rPr>
          <w:rFonts w:ascii="Times New Roman" w:eastAsia="Times New Roman" w:hAnsi="Times New Roman" w:cs="Times New Roman"/>
          <w:sz w:val="24"/>
          <w:szCs w:val="24"/>
          <w:lang w:eastAsia="en-IN" w:bidi="ta-IN"/>
        </w:rPr>
        <w:t xml:space="preserve"> The court considered whether Article 24 would deny the DTAA benefits if the income was not taxed in Singapore.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Taxation in Singapore:</w:t>
      </w:r>
      <w:r w:rsidRPr="00FB3E6C">
        <w:rPr>
          <w:rFonts w:ascii="Times New Roman" w:eastAsia="Times New Roman" w:hAnsi="Times New Roman" w:cs="Times New Roman"/>
          <w:sz w:val="24"/>
          <w:szCs w:val="24"/>
          <w:lang w:eastAsia="en-IN" w:bidi="ta-IN"/>
        </w:rPr>
        <w:t xml:space="preserve"> It was noted that under Singapore's domestic laws, specifically Section 13F of the Singapore Income Tax Act, certain shipping income is exempt from tax.</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Exclusive Taxation in Singapore:</w:t>
      </w:r>
      <w:r w:rsidRPr="00FB3E6C">
        <w:rPr>
          <w:rFonts w:ascii="Times New Roman" w:eastAsia="Times New Roman" w:hAnsi="Times New Roman" w:cs="Times New Roman"/>
          <w:sz w:val="24"/>
          <w:szCs w:val="24"/>
          <w:lang w:eastAsia="en-IN" w:bidi="ta-IN"/>
        </w:rPr>
        <w:t xml:space="preserve"> The court held that Article 8 of the DTAA grants exclusive taxing rights to Singapore for profits from international shipping operations conducted by Singapore-resident enterprises.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Non-Applicability of Article 24:</w:t>
      </w:r>
      <w:r w:rsidRPr="00FB3E6C">
        <w:rPr>
          <w:rFonts w:ascii="Times New Roman" w:eastAsia="Times New Roman" w:hAnsi="Times New Roman" w:cs="Times New Roman"/>
          <w:sz w:val="24"/>
          <w:szCs w:val="24"/>
          <w:lang w:eastAsia="en-IN" w:bidi="ta-IN"/>
        </w:rPr>
        <w:t xml:space="preserve"> The court determined that the exemption of shipping income under Singapore's domestic law does not trigger the limitation of relief under Article 24. The exemption is a matter of domestic policy and does not imply that the income is not subject to Singapore's tax jurisdiction.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r w:rsidRPr="00FB3E6C">
        <w:rPr>
          <w:rFonts w:ascii="Times New Roman" w:eastAsia="Times New Roman" w:hAnsi="Times New Roman" w:cs="Times New Roman"/>
          <w:sz w:val="24"/>
          <w:szCs w:val="24"/>
          <w:lang w:eastAsia="en-IN" w:bidi="ta-IN"/>
        </w:rPr>
        <w:t xml:space="preserve"> The Gujarat High Court concluded that the petitioner's shipping income was not taxable in India due to the provisions of Article 8 of the India-Singapore DTAA, and Article 24 did not alter this position.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Implications: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judgment clarifies that under the India-Singapore DTAA, shipping income earned by a Singapore-resident company from international operations, including those involving Indian ports, is taxable only in Singapore. The exemption of such income under Singapore's domestic tax laws does not affect the applicability of the DTAA provisions, and India does not have the right to tax this income.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M.T. Maersk Mikage v. Director of Income Tax (International Taxation), Special Civil Application No. 9150 of 2014, Gujarat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60" w:tgtFrame="_new"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reinforces the principle that international tax treaties, such as the DTAA between India and Singapore, take precedence over domestic tax laws in determining the taxability of cross-border income, ensuring clarity and consistency in international taxation.</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CIT v Taurus Shipping Services – [2015] 64 taxmann.com 64 (Guj)</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25C9A804" wp14:editId="443F70F4">
            <wp:extent cx="763905" cy="763905"/>
            <wp:effectExtent l="0" t="0" r="0" b="0"/>
            <wp:docPr id="10" name="Picture 10"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Commissioner of Income Tax v. Taurus Shipping Services</w:t>
      </w:r>
      <w:r w:rsidRPr="00FB3E6C">
        <w:rPr>
          <w:rFonts w:ascii="Times New Roman" w:eastAsia="Times New Roman" w:hAnsi="Times New Roman" w:cs="Times New Roman"/>
          <w:sz w:val="24"/>
          <w:szCs w:val="24"/>
          <w:lang w:eastAsia="en-IN" w:bidi="ta-IN"/>
        </w:rPr>
        <w:t xml:space="preserve"> ([2015] 64 taxmann.com 64), the </w:t>
      </w:r>
      <w:r w:rsidRPr="00FB3E6C">
        <w:rPr>
          <w:rFonts w:ascii="Times New Roman" w:eastAsia="Times New Roman" w:hAnsi="Times New Roman" w:cs="Times New Roman"/>
          <w:b/>
          <w:bCs/>
          <w:sz w:val="24"/>
          <w:szCs w:val="24"/>
          <w:lang w:eastAsia="en-IN" w:bidi="ta-IN"/>
        </w:rPr>
        <w:t>Gujarat High Court</w:t>
      </w:r>
      <w:r w:rsidRPr="00FB3E6C">
        <w:rPr>
          <w:rFonts w:ascii="Times New Roman" w:eastAsia="Times New Roman" w:hAnsi="Times New Roman" w:cs="Times New Roman"/>
          <w:sz w:val="24"/>
          <w:szCs w:val="24"/>
          <w:lang w:eastAsia="en-IN" w:bidi="ta-IN"/>
        </w:rPr>
        <w:t xml:space="preserve"> addressed the issue of disallowance under </w:t>
      </w:r>
      <w:r w:rsidRPr="00FB3E6C">
        <w:rPr>
          <w:rFonts w:ascii="Times New Roman" w:eastAsia="Times New Roman" w:hAnsi="Times New Roman" w:cs="Times New Roman"/>
          <w:b/>
          <w:bCs/>
          <w:sz w:val="24"/>
          <w:szCs w:val="24"/>
          <w:lang w:eastAsia="en-IN" w:bidi="ta-IN"/>
        </w:rPr>
        <w:t>Section 40(a)(ia)</w:t>
      </w:r>
      <w:r w:rsidRPr="00FB3E6C">
        <w:rPr>
          <w:rFonts w:ascii="Times New Roman" w:eastAsia="Times New Roman" w:hAnsi="Times New Roman" w:cs="Times New Roman"/>
          <w:sz w:val="24"/>
          <w:szCs w:val="24"/>
          <w:lang w:eastAsia="en-IN" w:bidi="ta-IN"/>
        </w:rPr>
        <w:t xml:space="preserve"> of the Income Tax Act, 1961, due to non-deduction of tax at source (TDS) on payments made to non-resident shipping companies.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Taurus Shipping Services, engaged in the business of shipping and freight forwarding.</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w:t>
      </w:r>
      <w:r w:rsidRPr="00FB3E6C">
        <w:rPr>
          <w:rFonts w:ascii="Times New Roman" w:eastAsia="Times New Roman" w:hAnsi="Times New Roman" w:cs="Times New Roman"/>
          <w:sz w:val="24"/>
          <w:szCs w:val="24"/>
          <w:lang w:eastAsia="en-IN" w:bidi="ta-IN"/>
        </w:rPr>
        <w:t xml:space="preserve"> The assessee made payments to non-resident shipping companies without deducting TDS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Assessment Year:</w:t>
      </w:r>
      <w:r w:rsidRPr="00FB3E6C">
        <w:rPr>
          <w:rFonts w:ascii="Times New Roman" w:eastAsia="Times New Roman" w:hAnsi="Times New Roman" w:cs="Times New Roman"/>
          <w:sz w:val="24"/>
          <w:szCs w:val="24"/>
          <w:lang w:eastAsia="en-IN" w:bidi="ta-IN"/>
        </w:rPr>
        <w:t xml:space="preserve"> 2007-08.</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Assessing Officer (AO) disallowed the payments under </w:t>
      </w:r>
      <w:r w:rsidRPr="00FB3E6C">
        <w:rPr>
          <w:rFonts w:ascii="Times New Roman" w:eastAsia="Times New Roman" w:hAnsi="Times New Roman" w:cs="Times New Roman"/>
          <w:b/>
          <w:bCs/>
          <w:sz w:val="24"/>
          <w:szCs w:val="24"/>
          <w:lang w:eastAsia="en-IN" w:bidi="ta-IN"/>
        </w:rPr>
        <w:t>Section 40(a)(ia)</w:t>
      </w:r>
      <w:r w:rsidRPr="00FB3E6C">
        <w:rPr>
          <w:rFonts w:ascii="Times New Roman" w:eastAsia="Times New Roman" w:hAnsi="Times New Roman" w:cs="Times New Roman"/>
          <w:sz w:val="24"/>
          <w:szCs w:val="24"/>
          <w:lang w:eastAsia="en-IN" w:bidi="ta-IN"/>
        </w:rPr>
        <w:t xml:space="preserve">, citing the assessee's failure to deduct TDS as required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Key Legal Provisions: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40(a)(ia):</w:t>
      </w:r>
      <w:r w:rsidRPr="00FB3E6C">
        <w:rPr>
          <w:rFonts w:ascii="Times New Roman" w:eastAsia="Times New Roman" w:hAnsi="Times New Roman" w:cs="Times New Roman"/>
          <w:sz w:val="24"/>
          <w:szCs w:val="24"/>
          <w:lang w:eastAsia="en-IN" w:bidi="ta-IN"/>
        </w:rPr>
        <w:t xml:space="preserve"> Disallows certain payments if TDS is not deducted as required under the Act.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Mandates TDS on payments made to non-residents if such payments are chargeable to tax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Provides for the levy and collection of tax on profits from shipping business of non-residents, offering a simplified mechanism for taxing such income.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Applicability of Section 172:</w:t>
      </w:r>
      <w:r w:rsidRPr="00FB3E6C">
        <w:rPr>
          <w:rFonts w:ascii="Times New Roman" w:eastAsia="Times New Roman" w:hAnsi="Times New Roman" w:cs="Times New Roman"/>
          <w:sz w:val="24"/>
          <w:szCs w:val="24"/>
          <w:lang w:eastAsia="en-IN" w:bidi="ta-IN"/>
        </w:rPr>
        <w:t xml:space="preserve"> The court noted that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is a special provision dealing with the taxation of non-resident shipping companies, providing a comprehensive mechanism for taxing their income from shipping operations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Interaction between Sections 172 and 195:</w:t>
      </w:r>
      <w:r w:rsidRPr="00FB3E6C">
        <w:rPr>
          <w:rFonts w:ascii="Times New Roman" w:eastAsia="Times New Roman" w:hAnsi="Times New Roman" w:cs="Times New Roman"/>
          <w:sz w:val="24"/>
          <w:szCs w:val="24"/>
          <w:lang w:eastAsia="en-IN" w:bidi="ta-IN"/>
        </w:rPr>
        <w:t xml:space="preserve"> The court observed that when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applies, it overrides other provisions of the Act, including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Therefore, if the income of non-resident shipping companies is taxed under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the payer is not required to deduct TDS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Disallowance under Section 40(a)(ia):</w:t>
      </w:r>
      <w:r w:rsidRPr="00FB3E6C">
        <w:rPr>
          <w:rFonts w:ascii="Times New Roman" w:eastAsia="Times New Roman" w:hAnsi="Times New Roman" w:cs="Times New Roman"/>
          <w:sz w:val="24"/>
          <w:szCs w:val="24"/>
          <w:lang w:eastAsia="en-IN" w:bidi="ta-IN"/>
        </w:rPr>
        <w:t xml:space="preserve"> Since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governs the taxation of non-resident shipping companies, and there was no requirement to deduct TDS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the court held that the disallowance under </w:t>
      </w:r>
      <w:r w:rsidRPr="00FB3E6C">
        <w:rPr>
          <w:rFonts w:ascii="Times New Roman" w:eastAsia="Times New Roman" w:hAnsi="Times New Roman" w:cs="Times New Roman"/>
          <w:b/>
          <w:bCs/>
          <w:sz w:val="24"/>
          <w:szCs w:val="24"/>
          <w:lang w:eastAsia="en-IN" w:bidi="ta-IN"/>
        </w:rPr>
        <w:t>Section 40(a)(ia)</w:t>
      </w:r>
      <w:r w:rsidRPr="00FB3E6C">
        <w:rPr>
          <w:rFonts w:ascii="Times New Roman" w:eastAsia="Times New Roman" w:hAnsi="Times New Roman" w:cs="Times New Roman"/>
          <w:sz w:val="24"/>
          <w:szCs w:val="24"/>
          <w:lang w:eastAsia="en-IN" w:bidi="ta-IN"/>
        </w:rPr>
        <w:t xml:space="preserve"> was not justified.</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Gujarat High Court ruled in favor of Taurus Shipping Services, holding that: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Payments made to non-resident shipping companies are governed by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and the provisions of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do not apply.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Consequently, the disallowance under </w:t>
      </w:r>
      <w:r w:rsidRPr="00FB3E6C">
        <w:rPr>
          <w:rFonts w:ascii="Times New Roman" w:eastAsia="Times New Roman" w:hAnsi="Times New Roman" w:cs="Times New Roman"/>
          <w:b/>
          <w:bCs/>
          <w:sz w:val="24"/>
          <w:szCs w:val="24"/>
          <w:lang w:eastAsia="en-IN" w:bidi="ta-IN"/>
        </w:rPr>
        <w:t>Section 40(a)(ia)</w:t>
      </w:r>
      <w:r w:rsidRPr="00FB3E6C">
        <w:rPr>
          <w:rFonts w:ascii="Times New Roman" w:eastAsia="Times New Roman" w:hAnsi="Times New Roman" w:cs="Times New Roman"/>
          <w:sz w:val="24"/>
          <w:szCs w:val="24"/>
          <w:lang w:eastAsia="en-IN" w:bidi="ta-IN"/>
        </w:rPr>
        <w:t xml:space="preserve"> for non-deduction of TDS was not warranted.</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This judgment reinforces the principle that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serves as a complete code for the taxation of income earned by non-resident shipping companies, overriding the general provisions of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Therefore, when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applies, there is no obligation to deduct TDS under </w:t>
      </w:r>
      <w:r w:rsidRPr="00FB3E6C">
        <w:rPr>
          <w:rFonts w:ascii="Times New Roman" w:eastAsia="Times New Roman" w:hAnsi="Times New Roman" w:cs="Times New Roman"/>
          <w:b/>
          <w:bCs/>
          <w:sz w:val="24"/>
          <w:szCs w:val="24"/>
          <w:lang w:eastAsia="en-IN" w:bidi="ta-IN"/>
        </w:rPr>
        <w:t>Section 195</w:t>
      </w:r>
      <w:r w:rsidRPr="00FB3E6C">
        <w:rPr>
          <w:rFonts w:ascii="Times New Roman" w:eastAsia="Times New Roman" w:hAnsi="Times New Roman" w:cs="Times New Roman"/>
          <w:sz w:val="24"/>
          <w:szCs w:val="24"/>
          <w:lang w:eastAsia="en-IN" w:bidi="ta-IN"/>
        </w:rPr>
        <w:t xml:space="preserve">, and disallowance under </w:t>
      </w:r>
      <w:r w:rsidRPr="00FB3E6C">
        <w:rPr>
          <w:rFonts w:ascii="Times New Roman" w:eastAsia="Times New Roman" w:hAnsi="Times New Roman" w:cs="Times New Roman"/>
          <w:b/>
          <w:bCs/>
          <w:sz w:val="24"/>
          <w:szCs w:val="24"/>
          <w:lang w:eastAsia="en-IN" w:bidi="ta-IN"/>
        </w:rPr>
        <w:t>Section 40(a)(ia)</w:t>
      </w:r>
      <w:r w:rsidRPr="00FB3E6C">
        <w:rPr>
          <w:rFonts w:ascii="Times New Roman" w:eastAsia="Times New Roman" w:hAnsi="Times New Roman" w:cs="Times New Roman"/>
          <w:sz w:val="24"/>
          <w:szCs w:val="24"/>
          <w:lang w:eastAsia="en-IN" w:bidi="ta-IN"/>
        </w:rPr>
        <w:t xml:space="preserve"> is not applicable.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CIT v. Taurus Shipping Services, [2015] 64 taxmann.com 64, Gujarat High Court.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 xml:space="preserve">This decision provides clarity on the interplay between </w:t>
      </w:r>
      <w:r w:rsidRPr="00FB3E6C">
        <w:rPr>
          <w:rFonts w:ascii="Times New Roman" w:eastAsia="Times New Roman" w:hAnsi="Times New Roman" w:cs="Times New Roman"/>
          <w:b/>
          <w:bCs/>
          <w:sz w:val="24"/>
          <w:szCs w:val="24"/>
          <w:lang w:eastAsia="en-IN" w:bidi="ta-IN"/>
        </w:rPr>
        <w:t>Sections 172</w:t>
      </w:r>
      <w:r w:rsidRPr="00FB3E6C">
        <w:rPr>
          <w:rFonts w:ascii="Times New Roman" w:eastAsia="Times New Roman" w:hAnsi="Times New Roman" w:cs="Times New Roman"/>
          <w:sz w:val="24"/>
          <w:szCs w:val="24"/>
          <w:lang w:eastAsia="en-IN" w:bidi="ta-IN"/>
        </w:rPr>
        <w:t xml:space="preserve">, </w:t>
      </w:r>
      <w:r w:rsidRPr="00FB3E6C">
        <w:rPr>
          <w:rFonts w:ascii="Times New Roman" w:eastAsia="Times New Roman" w:hAnsi="Times New Roman" w:cs="Times New Roman"/>
          <w:b/>
          <w:bCs/>
          <w:sz w:val="24"/>
          <w:szCs w:val="24"/>
          <w:lang w:eastAsia="en-IN" w:bidi="ta-IN"/>
        </w:rPr>
        <w:t>195</w:t>
      </w:r>
      <w:r w:rsidRPr="00FB3E6C">
        <w:rPr>
          <w:rFonts w:ascii="Times New Roman" w:eastAsia="Times New Roman" w:hAnsi="Times New Roman" w:cs="Times New Roman"/>
          <w:sz w:val="24"/>
          <w:szCs w:val="24"/>
          <w:lang w:eastAsia="en-IN" w:bidi="ta-IN"/>
        </w:rPr>
        <w:t xml:space="preserve">, and </w:t>
      </w:r>
      <w:r w:rsidRPr="00FB3E6C">
        <w:rPr>
          <w:rFonts w:ascii="Times New Roman" w:eastAsia="Times New Roman" w:hAnsi="Times New Roman" w:cs="Times New Roman"/>
          <w:b/>
          <w:bCs/>
          <w:sz w:val="24"/>
          <w:szCs w:val="24"/>
          <w:lang w:eastAsia="en-IN" w:bidi="ta-IN"/>
        </w:rPr>
        <w:t>40(a)(ia)</w:t>
      </w:r>
      <w:r w:rsidRPr="00FB3E6C">
        <w:rPr>
          <w:rFonts w:ascii="Times New Roman" w:eastAsia="Times New Roman" w:hAnsi="Times New Roman" w:cs="Times New Roman"/>
          <w:sz w:val="24"/>
          <w:szCs w:val="24"/>
          <w:lang w:eastAsia="en-IN" w:bidi="ta-IN"/>
        </w:rPr>
        <w:t xml:space="preserve">, emphasizing the primacy of </w:t>
      </w:r>
      <w:r w:rsidRPr="00FB3E6C">
        <w:rPr>
          <w:rFonts w:ascii="Times New Roman" w:eastAsia="Times New Roman" w:hAnsi="Times New Roman" w:cs="Times New Roman"/>
          <w:b/>
          <w:bCs/>
          <w:sz w:val="24"/>
          <w:szCs w:val="24"/>
          <w:lang w:eastAsia="en-IN" w:bidi="ta-IN"/>
        </w:rPr>
        <w:t>Section 172</w:t>
      </w:r>
      <w:r w:rsidRPr="00FB3E6C">
        <w:rPr>
          <w:rFonts w:ascii="Times New Roman" w:eastAsia="Times New Roman" w:hAnsi="Times New Roman" w:cs="Times New Roman"/>
          <w:sz w:val="24"/>
          <w:szCs w:val="24"/>
          <w:lang w:eastAsia="en-IN" w:bidi="ta-IN"/>
        </w:rPr>
        <w:t xml:space="preserve"> in matters related to the taxation of non-resident shipping companies.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Sedco Forex International INC v CIT [2018] 94 taxmann.com 119 (SC) – CIVIL APPEAL NO. 4906 OF 2010 dated 10.05.2018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50DD0FC4" wp14:editId="4BB2A4D9">
            <wp:extent cx="763905" cy="763905"/>
            <wp:effectExtent l="0" t="0" r="0" b="0"/>
            <wp:docPr id="9" name="Picture 9"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Sedco Forex International Inc. v. Commissioner of Income Tax</w:t>
      </w:r>
      <w:r w:rsidRPr="00FB3E6C">
        <w:rPr>
          <w:rFonts w:ascii="Times New Roman" w:eastAsia="Times New Roman" w:hAnsi="Times New Roman" w:cs="Times New Roman"/>
          <w:sz w:val="24"/>
          <w:szCs w:val="24"/>
          <w:lang w:eastAsia="en-IN" w:bidi="ta-IN"/>
        </w:rPr>
        <w:t xml:space="preserve"> ([2018] 94 taxmann.com 119), the </w:t>
      </w:r>
      <w:r w:rsidRPr="00FB3E6C">
        <w:rPr>
          <w:rFonts w:ascii="Times New Roman" w:eastAsia="Times New Roman" w:hAnsi="Times New Roman" w:cs="Times New Roman"/>
          <w:b/>
          <w:bCs/>
          <w:sz w:val="24"/>
          <w:szCs w:val="24"/>
          <w:lang w:eastAsia="en-IN" w:bidi="ta-IN"/>
        </w:rPr>
        <w:t>Supreme Court of India</w:t>
      </w:r>
      <w:r w:rsidRPr="00FB3E6C">
        <w:rPr>
          <w:rFonts w:ascii="Times New Roman" w:eastAsia="Times New Roman" w:hAnsi="Times New Roman" w:cs="Times New Roman"/>
          <w:sz w:val="24"/>
          <w:szCs w:val="24"/>
          <w:lang w:eastAsia="en-IN" w:bidi="ta-IN"/>
        </w:rPr>
        <w:t xml:space="preserve"> addressed the taxability of mobilization fees received by non-resident companies under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xml:space="preserve"> of the Income Tax Act, 1961.</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Sedco Forex International Inc., a non-resident company engaged in providing services and facilities related to the exploration and extraction of mineral oils.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w:t>
      </w:r>
      <w:r w:rsidRPr="00FB3E6C">
        <w:rPr>
          <w:rFonts w:ascii="Times New Roman" w:eastAsia="Times New Roman" w:hAnsi="Times New Roman" w:cs="Times New Roman"/>
          <w:sz w:val="24"/>
          <w:szCs w:val="24"/>
          <w:lang w:eastAsia="en-IN" w:bidi="ta-IN"/>
        </w:rPr>
        <w:t xml:space="preserve"> The company received mobilization fees from ONGC for the deployment of drilling rigs and associated services in connection with oil exploration activities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Assessment Year:</w:t>
      </w:r>
      <w:r w:rsidRPr="00FB3E6C">
        <w:rPr>
          <w:rFonts w:ascii="Times New Roman" w:eastAsia="Times New Roman" w:hAnsi="Times New Roman" w:cs="Times New Roman"/>
          <w:sz w:val="24"/>
          <w:szCs w:val="24"/>
          <w:lang w:eastAsia="en-IN" w:bidi="ta-IN"/>
        </w:rPr>
        <w:t xml:space="preserve"> Relevant to the period under consideration.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primary question was whether the mobilization fees received by the assessee should be included in the "gross receipts" for computing taxable income under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which provides a presumptive taxation regime for non-resident entities engaged in specified activities.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Legal Provisions: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xml:space="preserve"> Provides a special mechanism for computing profits and gains of non-resident entities involved in the business of providing services or facilities in connection with, or supplying plant and machinery on hire for, the prospecting for or extraction or production of mineral oils. It deems 10% of the aggregate of specified amounts as the taxable income.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Scope of Section 44BB:</w:t>
      </w:r>
      <w:r w:rsidRPr="00FB3E6C">
        <w:rPr>
          <w:rFonts w:ascii="Times New Roman" w:eastAsia="Times New Roman" w:hAnsi="Times New Roman" w:cs="Times New Roman"/>
          <w:sz w:val="24"/>
          <w:szCs w:val="24"/>
          <w:lang w:eastAsia="en-IN" w:bidi="ta-IN"/>
        </w:rPr>
        <w:t xml:space="preserve"> The Court noted that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xml:space="preserve"> is a special provision designed to simplify the computation of taxable income for non-resident entities </w:t>
      </w:r>
      <w:r w:rsidRPr="00FB3E6C">
        <w:rPr>
          <w:rFonts w:ascii="Times New Roman" w:eastAsia="Times New Roman" w:hAnsi="Times New Roman" w:cs="Times New Roman"/>
          <w:sz w:val="24"/>
          <w:szCs w:val="24"/>
          <w:lang w:eastAsia="en-IN" w:bidi="ta-IN"/>
        </w:rPr>
        <w:lastRenderedPageBreak/>
        <w:t>engaged in specific activities related to mineral oil exploration. It overrides the general provisions for computing business income.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Inclusion of Mobilization Fees:</w:t>
      </w:r>
      <w:r w:rsidRPr="00FB3E6C">
        <w:rPr>
          <w:rFonts w:ascii="Times New Roman" w:eastAsia="Times New Roman" w:hAnsi="Times New Roman" w:cs="Times New Roman"/>
          <w:sz w:val="24"/>
          <w:szCs w:val="24"/>
          <w:lang w:eastAsia="en-IN" w:bidi="ta-IN"/>
        </w:rPr>
        <w:t xml:space="preserve"> The Court held that mobilization fees, being amounts paid on account of the provision of services and facilities in connection with the prospecting for or extraction or production of mineral oils, fall within the ambit of </w:t>
      </w:r>
      <w:r w:rsidRPr="00FB3E6C">
        <w:rPr>
          <w:rFonts w:ascii="Times New Roman" w:eastAsia="Times New Roman" w:hAnsi="Times New Roman" w:cs="Times New Roman"/>
          <w:b/>
          <w:bCs/>
          <w:sz w:val="24"/>
          <w:szCs w:val="24"/>
          <w:lang w:eastAsia="en-IN" w:bidi="ta-IN"/>
        </w:rPr>
        <w:t>Section 44BB(2)</w:t>
      </w:r>
      <w:r w:rsidRPr="00FB3E6C">
        <w:rPr>
          <w:rFonts w:ascii="Times New Roman" w:eastAsia="Times New Roman" w:hAnsi="Times New Roman" w:cs="Times New Roman"/>
          <w:sz w:val="24"/>
          <w:szCs w:val="24"/>
          <w:lang w:eastAsia="en-IN" w:bidi="ta-IN"/>
        </w:rPr>
        <w:t>. Therefore, such fees should be included in the aggregate amount for computing the deemed profits and gains under this section.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Nature of Mobilization Fees:</w:t>
      </w:r>
      <w:r w:rsidRPr="00FB3E6C">
        <w:rPr>
          <w:rFonts w:ascii="Times New Roman" w:eastAsia="Times New Roman" w:hAnsi="Times New Roman" w:cs="Times New Roman"/>
          <w:sz w:val="24"/>
          <w:szCs w:val="24"/>
          <w:lang w:eastAsia="en-IN" w:bidi="ta-IN"/>
        </w:rPr>
        <w:t xml:space="preserve"> The Court rejected the argument that mobilization fees represent reimbursement of expenses and thus should be excluded from gross receipts. It emphasized that mobilization fees are contractual payments for services rendered and are not mere reimbursements.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Supreme Court concluded that mobilization fees received by non-resident companies like Sedco Forex International Inc. are to be included in the gross receipts for the purpose of computing taxable income under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Consequently, 10% of the aggregate amount, including mobilization fees, would be deemed as the profits and gains of such business chargeable to tax.</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This judgment clarifies that all payments, including mobilization fees, received by non-resident entities for services or facilities provided in connection with mineral oil exploration in India are to be included in the gross receipts under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xml:space="preserve">. The decision underscores the comprehensive nature of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xml:space="preserve"> in taxing income from specified activities of non-resident entities on a presumptive basis.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Sedco Forex International Inc. v. Commissioner of Income Tax, [2018] 94 taxmann.com 119 (SC).</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61" w:tgtFrame="_new"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This ruling provides significant guidance on the interpretation of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ensuring that non-resident entities engaged in mineral oil exploration activities in India are taxed in accordance with the specific provisions designed for such operations.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PGS Exploration (Norway)AS v ADIT - [2016] 68 taxmann.com 143 (Delhi)</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lastRenderedPageBreak/>
        <w:drawing>
          <wp:inline distT="0" distB="0" distL="0" distR="0" wp14:anchorId="1F6B0016" wp14:editId="66EF0B01">
            <wp:extent cx="763905" cy="763905"/>
            <wp:effectExtent l="0" t="0" r="0" b="0"/>
            <wp:docPr id="8" name="Picture 8"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PGS Exploration (Norway) AS v. Additional Director of Income Tax</w:t>
      </w:r>
      <w:r w:rsidRPr="00FB3E6C">
        <w:rPr>
          <w:rFonts w:ascii="Times New Roman" w:eastAsia="Times New Roman" w:hAnsi="Times New Roman" w:cs="Times New Roman"/>
          <w:sz w:val="24"/>
          <w:szCs w:val="24"/>
          <w:lang w:eastAsia="en-IN" w:bidi="ta-IN"/>
        </w:rPr>
        <w:t xml:space="preserve"> ([2016] 68 taxmann.com 143), the </w:t>
      </w:r>
      <w:r w:rsidRPr="00FB3E6C">
        <w:rPr>
          <w:rFonts w:ascii="Times New Roman" w:eastAsia="Times New Roman" w:hAnsi="Times New Roman" w:cs="Times New Roman"/>
          <w:b/>
          <w:bCs/>
          <w:sz w:val="24"/>
          <w:szCs w:val="24"/>
          <w:lang w:eastAsia="en-IN" w:bidi="ta-IN"/>
        </w:rPr>
        <w:t>Delhi High Court</w:t>
      </w:r>
      <w:r w:rsidRPr="00FB3E6C">
        <w:rPr>
          <w:rFonts w:ascii="Times New Roman" w:eastAsia="Times New Roman" w:hAnsi="Times New Roman" w:cs="Times New Roman"/>
          <w:sz w:val="24"/>
          <w:szCs w:val="24"/>
          <w:lang w:eastAsia="en-IN" w:bidi="ta-IN"/>
        </w:rPr>
        <w:t xml:space="preserve"> examined the taxability of payments received by a Norwegian company for seismic survey services provided to Indian entities, specifically whether such payments should be classified as "fees for technical services" (FTS) under </w:t>
      </w:r>
      <w:r w:rsidRPr="00FB3E6C">
        <w:rPr>
          <w:rFonts w:ascii="Times New Roman" w:eastAsia="Times New Roman" w:hAnsi="Times New Roman" w:cs="Times New Roman"/>
          <w:b/>
          <w:bCs/>
          <w:sz w:val="24"/>
          <w:szCs w:val="24"/>
          <w:lang w:eastAsia="en-IN" w:bidi="ta-IN"/>
        </w:rPr>
        <w:t>Section 9(1)(vii)</w:t>
      </w:r>
      <w:r w:rsidRPr="00FB3E6C">
        <w:rPr>
          <w:rFonts w:ascii="Times New Roman" w:eastAsia="Times New Roman" w:hAnsi="Times New Roman" w:cs="Times New Roman"/>
          <w:sz w:val="24"/>
          <w:szCs w:val="24"/>
          <w:lang w:eastAsia="en-IN" w:bidi="ta-IN"/>
        </w:rPr>
        <w:t xml:space="preserve"> of the Income Tax Act, 1961, or as income taxable under the presumptive taxation scheme of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PGS Exploration (Norway) AS, a company incorporated in Norway, engaged in providing geophysical services, including two-dimensional (2D) and three-dimensional (3D) seismic surveys, primarily for oil exploration.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Transactions:</w:t>
      </w:r>
      <w:r w:rsidRPr="00FB3E6C">
        <w:rPr>
          <w:rFonts w:ascii="Times New Roman" w:eastAsia="Times New Roman" w:hAnsi="Times New Roman" w:cs="Times New Roman"/>
          <w:sz w:val="24"/>
          <w:szCs w:val="24"/>
          <w:lang w:eastAsia="en-IN" w:bidi="ta-IN"/>
        </w:rPr>
        <w:t xml:space="preserve"> The assessee entered into contracts with Indian companies, such as BG Exploration and Production India Limited and Reliance Industries Limited, to conduct 2D and 3D seismic surveys in connection with oil exploration activities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Assessment Year:</w:t>
      </w:r>
      <w:r w:rsidRPr="00FB3E6C">
        <w:rPr>
          <w:rFonts w:ascii="Times New Roman" w:eastAsia="Times New Roman" w:hAnsi="Times New Roman" w:cs="Times New Roman"/>
          <w:sz w:val="24"/>
          <w:szCs w:val="24"/>
          <w:lang w:eastAsia="en-IN" w:bidi="ta-IN"/>
        </w:rPr>
        <w:t xml:space="preserve"> 2008-09.</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primary question was whether the payments received by the assessee for seismic survey services should be taxed as FTS under </w:t>
      </w:r>
      <w:r w:rsidRPr="00FB3E6C">
        <w:rPr>
          <w:rFonts w:ascii="Times New Roman" w:eastAsia="Times New Roman" w:hAnsi="Times New Roman" w:cs="Times New Roman"/>
          <w:b/>
          <w:bCs/>
          <w:sz w:val="24"/>
          <w:szCs w:val="24"/>
          <w:lang w:eastAsia="en-IN" w:bidi="ta-IN"/>
        </w:rPr>
        <w:t>Section 9(1)(vii)</w:t>
      </w:r>
      <w:r w:rsidRPr="00FB3E6C">
        <w:rPr>
          <w:rFonts w:ascii="Times New Roman" w:eastAsia="Times New Roman" w:hAnsi="Times New Roman" w:cs="Times New Roman"/>
          <w:sz w:val="24"/>
          <w:szCs w:val="24"/>
          <w:lang w:eastAsia="en-IN" w:bidi="ta-IN"/>
        </w:rPr>
        <w:t xml:space="preserve">, attracting a higher tax rate, or under the presumptive taxation regime of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which applies to services related to the exploration of mineral oils.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Legal Provisions: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9(1)(vii):</w:t>
      </w:r>
      <w:r w:rsidRPr="00FB3E6C">
        <w:rPr>
          <w:rFonts w:ascii="Times New Roman" w:eastAsia="Times New Roman" w:hAnsi="Times New Roman" w:cs="Times New Roman"/>
          <w:sz w:val="24"/>
          <w:szCs w:val="24"/>
          <w:lang w:eastAsia="en-IN" w:bidi="ta-IN"/>
        </w:rPr>
        <w:t xml:space="preserve"> Defines "fees for technical services" and includes payments for managerial, technical, or consultancy services.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xml:space="preserve"> Provides a presumptive taxation scheme for non-resident entities engaged in providing services or facilities in connection with the prospecting for, or extraction or production of, mineral oils, deeming 10% of the gross receipts as taxable income.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Nature of Services:</w:t>
      </w:r>
      <w:r w:rsidRPr="00FB3E6C">
        <w:rPr>
          <w:rFonts w:ascii="Times New Roman" w:eastAsia="Times New Roman" w:hAnsi="Times New Roman" w:cs="Times New Roman"/>
          <w:sz w:val="24"/>
          <w:szCs w:val="24"/>
          <w:lang w:eastAsia="en-IN" w:bidi="ta-IN"/>
        </w:rPr>
        <w:t xml:space="preserve"> The court analyzed the nature of seismic survey services provided by the assessee, noting that such services are integral to oil exploration activities.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Applicability of Section 44BB:</w:t>
      </w:r>
      <w:r w:rsidRPr="00FB3E6C">
        <w:rPr>
          <w:rFonts w:ascii="Times New Roman" w:eastAsia="Times New Roman" w:hAnsi="Times New Roman" w:cs="Times New Roman"/>
          <w:sz w:val="24"/>
          <w:szCs w:val="24"/>
          <w:lang w:eastAsia="en-IN" w:bidi="ta-IN"/>
        </w:rPr>
        <w:t xml:space="preserve"> The court referred to its earlier decision in </w:t>
      </w:r>
      <w:r w:rsidRPr="00FB3E6C">
        <w:rPr>
          <w:rFonts w:ascii="Times New Roman" w:eastAsia="Times New Roman" w:hAnsi="Times New Roman" w:cs="Times New Roman"/>
          <w:b/>
          <w:bCs/>
          <w:sz w:val="24"/>
          <w:szCs w:val="24"/>
          <w:lang w:eastAsia="en-IN" w:bidi="ta-IN"/>
        </w:rPr>
        <w:t>DIT v. OHM Ltd.</w:t>
      </w:r>
      <w:r w:rsidRPr="00FB3E6C">
        <w:rPr>
          <w:rFonts w:ascii="Times New Roman" w:eastAsia="Times New Roman" w:hAnsi="Times New Roman" w:cs="Times New Roman"/>
          <w:sz w:val="24"/>
          <w:szCs w:val="24"/>
          <w:lang w:eastAsia="en-IN" w:bidi="ta-IN"/>
        </w:rPr>
        <w:t xml:space="preserve"> ([2012] 28 taxmann.com 120), where it was held that services related to seismic surveys fall within the ambit of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Distinction from FTS:</w:t>
      </w:r>
      <w:r w:rsidRPr="00FB3E6C">
        <w:rPr>
          <w:rFonts w:ascii="Times New Roman" w:eastAsia="Times New Roman" w:hAnsi="Times New Roman" w:cs="Times New Roman"/>
          <w:sz w:val="24"/>
          <w:szCs w:val="24"/>
          <w:lang w:eastAsia="en-IN" w:bidi="ta-IN"/>
        </w:rPr>
        <w:t xml:space="preserve"> The court distinguished between general technical services and those specifically related to oil exploration, concluding that the latter are covered under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xml:space="preserve"> rather than being classified as FTS under </w:t>
      </w:r>
      <w:r w:rsidRPr="00FB3E6C">
        <w:rPr>
          <w:rFonts w:ascii="Times New Roman" w:eastAsia="Times New Roman" w:hAnsi="Times New Roman" w:cs="Times New Roman"/>
          <w:b/>
          <w:bCs/>
          <w:sz w:val="24"/>
          <w:szCs w:val="24"/>
          <w:lang w:eastAsia="en-IN" w:bidi="ta-IN"/>
        </w:rPr>
        <w:t>Section 9(1)(vii)</w:t>
      </w:r>
      <w:r w:rsidRPr="00FB3E6C">
        <w:rPr>
          <w:rFonts w:ascii="Times New Roman" w:eastAsia="Times New Roman" w:hAnsi="Times New Roman" w:cs="Times New Roman"/>
          <w:sz w:val="24"/>
          <w:szCs w:val="24"/>
          <w:lang w:eastAsia="en-IN" w:bidi="ta-IN"/>
        </w:rPr>
        <w: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Delhi High Court held that the payments received by PGS Exploration (Norway) AS for seismic survey services provided to Indian companies in connection with oil exploration are taxable under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xml:space="preserve"> of the Income Tax Act. The court emphasized that such services are directly associated with the exploration of mineral oils and, therefore, fall within the scope of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which provides a specific taxation regime for such activities.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This judgment clarifies that payments for seismic survey services related to oil exploration are not to be classified as "fees for technical services" under </w:t>
      </w:r>
      <w:r w:rsidRPr="00FB3E6C">
        <w:rPr>
          <w:rFonts w:ascii="Times New Roman" w:eastAsia="Times New Roman" w:hAnsi="Times New Roman" w:cs="Times New Roman"/>
          <w:b/>
          <w:bCs/>
          <w:sz w:val="24"/>
          <w:szCs w:val="24"/>
          <w:lang w:eastAsia="en-IN" w:bidi="ta-IN"/>
        </w:rPr>
        <w:t>Section 9(1)(vii)</w:t>
      </w:r>
      <w:r w:rsidRPr="00FB3E6C">
        <w:rPr>
          <w:rFonts w:ascii="Times New Roman" w:eastAsia="Times New Roman" w:hAnsi="Times New Roman" w:cs="Times New Roman"/>
          <w:sz w:val="24"/>
          <w:szCs w:val="24"/>
          <w:lang w:eastAsia="en-IN" w:bidi="ta-IN"/>
        </w:rPr>
        <w:t xml:space="preserve"> but are instead taxable under the presumptive taxation scheme of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The decision underscores the importance of the specific nature of services in determining the applicable tax provisions, particularly in the context of oil and gas exploration activities.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PGS Exploration (Norway) AS v. Additional Director of Income Tax, [2016] 68 taxmann.com 143 (Delhi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62" w:tgtFrame="_new"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This ruling provides significant guidance on the interpretation of </w:t>
      </w:r>
      <w:r w:rsidRPr="00FB3E6C">
        <w:rPr>
          <w:rFonts w:ascii="Times New Roman" w:eastAsia="Times New Roman" w:hAnsi="Times New Roman" w:cs="Times New Roman"/>
          <w:b/>
          <w:bCs/>
          <w:sz w:val="24"/>
          <w:szCs w:val="24"/>
          <w:lang w:eastAsia="en-IN" w:bidi="ta-IN"/>
        </w:rPr>
        <w:t>Section 44BB</w:t>
      </w:r>
      <w:r w:rsidRPr="00FB3E6C">
        <w:rPr>
          <w:rFonts w:ascii="Times New Roman" w:eastAsia="Times New Roman" w:hAnsi="Times New Roman" w:cs="Times New Roman"/>
          <w:sz w:val="24"/>
          <w:szCs w:val="24"/>
          <w:lang w:eastAsia="en-IN" w:bidi="ta-IN"/>
        </w:rPr>
        <w:t>, ensuring that non-resident entities engaged in specialized services related to mineral oil exploration are taxed under the appropriate provisions of the Income Tax Act.</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Mr. Cyrus Kersi Vandrevala [TS-91-HC-2017(BOM)] (W.P. No. 2551 of 2016)</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7B861C59" wp14:editId="62FA6D41">
            <wp:extent cx="763905" cy="763905"/>
            <wp:effectExtent l="0" t="0" r="0" b="0"/>
            <wp:docPr id="7" name="Picture 7"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Mr. Cyrus Kersi Vandrevala v. Income Tax Officer</w:t>
      </w:r>
      <w:r w:rsidRPr="00FB3E6C">
        <w:rPr>
          <w:rFonts w:ascii="Times New Roman" w:eastAsia="Times New Roman" w:hAnsi="Times New Roman" w:cs="Times New Roman"/>
          <w:sz w:val="24"/>
          <w:szCs w:val="24"/>
          <w:lang w:eastAsia="en-IN" w:bidi="ta-IN"/>
        </w:rPr>
        <w:t xml:space="preserve"> (W.P. No. 2551 of 2016), the </w:t>
      </w:r>
      <w:r w:rsidRPr="00FB3E6C">
        <w:rPr>
          <w:rFonts w:ascii="Times New Roman" w:eastAsia="Times New Roman" w:hAnsi="Times New Roman" w:cs="Times New Roman"/>
          <w:b/>
          <w:bCs/>
          <w:sz w:val="24"/>
          <w:szCs w:val="24"/>
          <w:lang w:eastAsia="en-IN" w:bidi="ta-IN"/>
        </w:rPr>
        <w:t>Bombay High Court</w:t>
      </w:r>
      <w:r w:rsidRPr="00FB3E6C">
        <w:rPr>
          <w:rFonts w:ascii="Times New Roman" w:eastAsia="Times New Roman" w:hAnsi="Times New Roman" w:cs="Times New Roman"/>
          <w:sz w:val="24"/>
          <w:szCs w:val="24"/>
          <w:lang w:eastAsia="en-IN" w:bidi="ta-IN"/>
        </w:rPr>
        <w:t xml:space="preserve"> addressed the jurisdictional validity of a reassessment notice issued under </w:t>
      </w:r>
      <w:r w:rsidRPr="00FB3E6C">
        <w:rPr>
          <w:rFonts w:ascii="Times New Roman" w:eastAsia="Times New Roman" w:hAnsi="Times New Roman" w:cs="Times New Roman"/>
          <w:b/>
          <w:bCs/>
          <w:sz w:val="24"/>
          <w:szCs w:val="24"/>
          <w:lang w:eastAsia="en-IN" w:bidi="ta-IN"/>
        </w:rPr>
        <w:t>Section 148</w:t>
      </w:r>
      <w:r w:rsidRPr="00FB3E6C">
        <w:rPr>
          <w:rFonts w:ascii="Times New Roman" w:eastAsia="Times New Roman" w:hAnsi="Times New Roman" w:cs="Times New Roman"/>
          <w:sz w:val="24"/>
          <w:szCs w:val="24"/>
          <w:lang w:eastAsia="en-IN" w:bidi="ta-IN"/>
        </w:rPr>
        <w:t xml:space="preserve"> of the Income Tax Act, 1961, to a non-resident individual.</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Petitioner:</w:t>
      </w:r>
      <w:r w:rsidRPr="00FB3E6C">
        <w:rPr>
          <w:rFonts w:ascii="Times New Roman" w:eastAsia="Times New Roman" w:hAnsi="Times New Roman" w:cs="Times New Roman"/>
          <w:sz w:val="24"/>
          <w:szCs w:val="24"/>
          <w:lang w:eastAsia="en-IN" w:bidi="ta-IN"/>
        </w:rPr>
        <w:t xml:space="preserve"> Mr. Cyrus Kersi Vandrevala, a non-resident individual.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Income Tax Department issued a notice under </w:t>
      </w:r>
      <w:r w:rsidRPr="00FB3E6C">
        <w:rPr>
          <w:rFonts w:ascii="Times New Roman" w:eastAsia="Times New Roman" w:hAnsi="Times New Roman" w:cs="Times New Roman"/>
          <w:b/>
          <w:bCs/>
          <w:sz w:val="24"/>
          <w:szCs w:val="24"/>
          <w:lang w:eastAsia="en-IN" w:bidi="ta-IN"/>
        </w:rPr>
        <w:t>Section 148</w:t>
      </w:r>
      <w:r w:rsidRPr="00FB3E6C">
        <w:rPr>
          <w:rFonts w:ascii="Times New Roman" w:eastAsia="Times New Roman" w:hAnsi="Times New Roman" w:cs="Times New Roman"/>
          <w:sz w:val="24"/>
          <w:szCs w:val="24"/>
          <w:lang w:eastAsia="en-IN" w:bidi="ta-IN"/>
        </w:rPr>
        <w:t xml:space="preserve"> to the petitioner, seeking to reassess his income for a particular assessment year. The petitioner </w:t>
      </w:r>
      <w:r w:rsidRPr="00FB3E6C">
        <w:rPr>
          <w:rFonts w:ascii="Times New Roman" w:eastAsia="Times New Roman" w:hAnsi="Times New Roman" w:cs="Times New Roman"/>
          <w:sz w:val="24"/>
          <w:szCs w:val="24"/>
          <w:lang w:eastAsia="en-IN" w:bidi="ta-IN"/>
        </w:rPr>
        <w:lastRenderedPageBreak/>
        <w:t>challenged this notice on the grounds of lack of jurisdiction, asserting that he had no business operations or income accruing or arising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Legal Provisions: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148:</w:t>
      </w:r>
      <w:r w:rsidRPr="00FB3E6C">
        <w:rPr>
          <w:rFonts w:ascii="Times New Roman" w:eastAsia="Times New Roman" w:hAnsi="Times New Roman" w:cs="Times New Roman"/>
          <w:sz w:val="24"/>
          <w:szCs w:val="24"/>
          <w:lang w:eastAsia="en-IN" w:bidi="ta-IN"/>
        </w:rPr>
        <w:t xml:space="preserve"> Empowers the Assessing Officer to issue a notice for reassessment if there is a reason to believe that any income chargeable to tax has escaped assessment.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6:</w:t>
      </w:r>
      <w:r w:rsidRPr="00FB3E6C">
        <w:rPr>
          <w:rFonts w:ascii="Times New Roman" w:eastAsia="Times New Roman" w:hAnsi="Times New Roman" w:cs="Times New Roman"/>
          <w:sz w:val="24"/>
          <w:szCs w:val="24"/>
          <w:lang w:eastAsia="en-IN" w:bidi="ta-IN"/>
        </w:rPr>
        <w:t xml:space="preserve"> Defines the residential status of an individual, which is crucial in determining tax liability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Jurisdictional Validity:</w:t>
      </w:r>
      <w:r w:rsidRPr="00FB3E6C">
        <w:rPr>
          <w:rFonts w:ascii="Times New Roman" w:eastAsia="Times New Roman" w:hAnsi="Times New Roman" w:cs="Times New Roman"/>
          <w:sz w:val="24"/>
          <w:szCs w:val="24"/>
          <w:lang w:eastAsia="en-IN" w:bidi="ta-IN"/>
        </w:rPr>
        <w:t xml:space="preserve"> The court examined whether the Assessing Officer had the requisite "reason to believe" that the petitioner's income had escaped assessment, justifying the issuance of the notice under </w:t>
      </w:r>
      <w:r w:rsidRPr="00FB3E6C">
        <w:rPr>
          <w:rFonts w:ascii="Times New Roman" w:eastAsia="Times New Roman" w:hAnsi="Times New Roman" w:cs="Times New Roman"/>
          <w:b/>
          <w:bCs/>
          <w:sz w:val="24"/>
          <w:szCs w:val="24"/>
          <w:lang w:eastAsia="en-IN" w:bidi="ta-IN"/>
        </w:rPr>
        <w:t>Section 148</w:t>
      </w:r>
      <w:r w:rsidRPr="00FB3E6C">
        <w:rPr>
          <w:rFonts w:ascii="Times New Roman" w:eastAsia="Times New Roman" w:hAnsi="Times New Roman" w:cs="Times New Roman"/>
          <w:sz w:val="24"/>
          <w:szCs w:val="24"/>
          <w:lang w:eastAsia="en-IN" w:bidi="ta-IN"/>
        </w:rPr>
        <w: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Non-Resident Status:</w:t>
      </w:r>
      <w:r w:rsidRPr="00FB3E6C">
        <w:rPr>
          <w:rFonts w:ascii="Times New Roman" w:eastAsia="Times New Roman" w:hAnsi="Times New Roman" w:cs="Times New Roman"/>
          <w:sz w:val="24"/>
          <w:szCs w:val="24"/>
          <w:lang w:eastAsia="en-IN" w:bidi="ta-IN"/>
        </w:rPr>
        <w:t xml:space="preserve"> The petitioner contended that he was a non-resident with no income accruing or arising in India, and therefore, the Indian tax authorities lacked jurisdiction to reassess his income.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Prima Facie Satisfaction:</w:t>
      </w:r>
      <w:r w:rsidRPr="00FB3E6C">
        <w:rPr>
          <w:rFonts w:ascii="Times New Roman" w:eastAsia="Times New Roman" w:hAnsi="Times New Roman" w:cs="Times New Roman"/>
          <w:sz w:val="24"/>
          <w:szCs w:val="24"/>
          <w:lang w:eastAsia="en-IN" w:bidi="ta-IN"/>
        </w:rPr>
        <w:t xml:space="preserve"> The court assessed whether there was prima facie satisfaction of the conditions precedent for invoking </w:t>
      </w:r>
      <w:r w:rsidRPr="00FB3E6C">
        <w:rPr>
          <w:rFonts w:ascii="Times New Roman" w:eastAsia="Times New Roman" w:hAnsi="Times New Roman" w:cs="Times New Roman"/>
          <w:b/>
          <w:bCs/>
          <w:sz w:val="24"/>
          <w:szCs w:val="24"/>
          <w:lang w:eastAsia="en-IN" w:bidi="ta-IN"/>
        </w:rPr>
        <w:t>Section 148</w:t>
      </w:r>
      <w:r w:rsidRPr="00FB3E6C">
        <w:rPr>
          <w:rFonts w:ascii="Times New Roman" w:eastAsia="Times New Roman" w:hAnsi="Times New Roman" w:cs="Times New Roman"/>
          <w:sz w:val="24"/>
          <w:szCs w:val="24"/>
          <w:lang w:eastAsia="en-IN" w:bidi="ta-IN"/>
        </w:rPr>
        <w:t>, particularly concerning the petitioner's residential status and the source of income.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Interim Relief Granted:</w:t>
      </w:r>
      <w:r w:rsidRPr="00FB3E6C">
        <w:rPr>
          <w:rFonts w:ascii="Times New Roman" w:eastAsia="Times New Roman" w:hAnsi="Times New Roman" w:cs="Times New Roman"/>
          <w:sz w:val="24"/>
          <w:szCs w:val="24"/>
          <w:lang w:eastAsia="en-IN" w:bidi="ta-IN"/>
        </w:rPr>
        <w:t xml:space="preserve"> The Bombay High Court granted interim relief to the petitioner, staying the reassessment proceedings initiated by the impugned notice. The court observed that the Assessing Officer's "reason to believe" appeared to be prima facie unsatisfactory, given the petitioner's non-resident status and lack of business operations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Rule Issued:</w:t>
      </w:r>
      <w:r w:rsidRPr="00FB3E6C">
        <w:rPr>
          <w:rFonts w:ascii="Times New Roman" w:eastAsia="Times New Roman" w:hAnsi="Times New Roman" w:cs="Times New Roman"/>
          <w:sz w:val="24"/>
          <w:szCs w:val="24"/>
          <w:lang w:eastAsia="en-IN" w:bidi="ta-IN"/>
        </w:rPr>
        <w:t xml:space="preserve"> The court issued a rule, indicating that the matter required further examination to determine the validity of the reassessment notice.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case underscores the importance of establishing clear jurisdictional grounds before initiating reassessment proceedings, especially concerning non-resident individuals. The Income Tax Department must demonstrate a reasonable belief, based on tangible evidence, that income chargeable to tax has escaped assessment, particularly when dealing with taxpayers who are non-residents with no apparent income sources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Mr. Cyrus Kersi Vandrevala v. Income Tax Officer, W.P. No. 2551 of 2016, Bombay High Court.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63" w:tgtFrame="_new" w:history="1">
        <w:r w:rsidRPr="00FB3E6C">
          <w:rPr>
            <w:rFonts w:ascii="Times New Roman" w:eastAsia="Times New Roman" w:hAnsi="Times New Roman" w:cs="Times New Roman"/>
            <w:color w:val="0000FF"/>
            <w:sz w:val="24"/>
            <w:szCs w:val="24"/>
            <w:u w:val="single"/>
            <w:lang w:eastAsia="en-IN" w:bidi="ta-IN"/>
          </w:rPr>
          <w:t>CaseMine</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This decision highlights the judiciary's role in safeguarding taxpayers' rights against jurisdictionally flawed reassessment proceedings, ensuring that tax authorities adhere to due process and legal standards.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ADIT v. White Industries Australia Ltd. [2017] 81 taxmann.com 33 (Kolkata - Trib.) (ITA Nos. 477, 478 &amp; 507 (KOL) of 2010)</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3C3E383F" wp14:editId="3A00965D">
            <wp:extent cx="763905" cy="763905"/>
            <wp:effectExtent l="0" t="0" r="0" b="0"/>
            <wp:docPr id="6" name="Picture 6"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ADIT v. White Industries Australia Ltd.</w:t>
      </w:r>
      <w:r w:rsidRPr="00FB3E6C">
        <w:rPr>
          <w:rFonts w:ascii="Times New Roman" w:eastAsia="Times New Roman" w:hAnsi="Times New Roman" w:cs="Times New Roman"/>
          <w:sz w:val="24"/>
          <w:szCs w:val="24"/>
          <w:lang w:eastAsia="en-IN" w:bidi="ta-IN"/>
        </w:rPr>
        <w:t xml:space="preserve"> ([2017] 81 taxmann.com 33), the </w:t>
      </w:r>
      <w:r w:rsidRPr="00FB3E6C">
        <w:rPr>
          <w:rFonts w:ascii="Times New Roman" w:eastAsia="Times New Roman" w:hAnsi="Times New Roman" w:cs="Times New Roman"/>
          <w:b/>
          <w:bCs/>
          <w:sz w:val="24"/>
          <w:szCs w:val="24"/>
          <w:lang w:eastAsia="en-IN" w:bidi="ta-IN"/>
        </w:rPr>
        <w:t>Kolkata Bench of the Income Tax Appellate Tribunal (ITAT)</w:t>
      </w:r>
      <w:r w:rsidRPr="00FB3E6C">
        <w:rPr>
          <w:rFonts w:ascii="Times New Roman" w:eastAsia="Times New Roman" w:hAnsi="Times New Roman" w:cs="Times New Roman"/>
          <w:sz w:val="24"/>
          <w:szCs w:val="24"/>
          <w:lang w:eastAsia="en-IN" w:bidi="ta-IN"/>
        </w:rPr>
        <w:t xml:space="preserve"> addressed the taxability of procurement fees received by a non-resident company under the provisions of the Income Tax Act, 1961.</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White Industries Australia Ltd., a company incorporated in Australia, engaged in a contract with Coal India Ltd. (CIL) for the development of an open-cast mine at Piparwar.</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Assessment Year:</w:t>
      </w:r>
      <w:r w:rsidRPr="00FB3E6C">
        <w:rPr>
          <w:rFonts w:ascii="Times New Roman" w:eastAsia="Times New Roman" w:hAnsi="Times New Roman" w:cs="Times New Roman"/>
          <w:sz w:val="24"/>
          <w:szCs w:val="24"/>
          <w:lang w:eastAsia="en-IN" w:bidi="ta-IN"/>
        </w:rPr>
        <w:t xml:space="preserve"> 1992-93.</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Transactions:</w:t>
      </w:r>
      <w:r w:rsidRPr="00FB3E6C">
        <w:rPr>
          <w:rFonts w:ascii="Times New Roman" w:eastAsia="Times New Roman" w:hAnsi="Times New Roman" w:cs="Times New Roman"/>
          <w:sz w:val="24"/>
          <w:szCs w:val="24"/>
          <w:lang w:eastAsia="en-IN" w:bidi="ta-IN"/>
        </w:rPr>
        <w:t xml:space="preserve"> The assessee received payments from CIL, which included a component termed as "procurement fees" amounting to ₹3,57,35,557.</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primary question was whether the procurement fees should be classified as "fees for technical services" (FTS) under </w:t>
      </w:r>
      <w:r w:rsidRPr="00FB3E6C">
        <w:rPr>
          <w:rFonts w:ascii="Times New Roman" w:eastAsia="Times New Roman" w:hAnsi="Times New Roman" w:cs="Times New Roman"/>
          <w:b/>
          <w:bCs/>
          <w:sz w:val="24"/>
          <w:szCs w:val="24"/>
          <w:lang w:eastAsia="en-IN" w:bidi="ta-IN"/>
        </w:rPr>
        <w:t>Section 115A</w:t>
      </w:r>
      <w:r w:rsidRPr="00FB3E6C">
        <w:rPr>
          <w:rFonts w:ascii="Times New Roman" w:eastAsia="Times New Roman" w:hAnsi="Times New Roman" w:cs="Times New Roman"/>
          <w:sz w:val="24"/>
          <w:szCs w:val="24"/>
          <w:lang w:eastAsia="en-IN" w:bidi="ta-IN"/>
        </w:rPr>
        <w:t xml:space="preserve"> of the Income Tax Act, attracting a tax rate of 30%, or as "commission," which would be taxed as business income at a higher rate of 65%.</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Legal Provisions: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115A:</w:t>
      </w:r>
      <w:r w:rsidRPr="00FB3E6C">
        <w:rPr>
          <w:rFonts w:ascii="Times New Roman" w:eastAsia="Times New Roman" w:hAnsi="Times New Roman" w:cs="Times New Roman"/>
          <w:sz w:val="24"/>
          <w:szCs w:val="24"/>
          <w:lang w:eastAsia="en-IN" w:bidi="ta-IN"/>
        </w:rPr>
        <w:t xml:space="preserve"> Provides for taxation of FTS received by a non-resident at a concessional rate of 30%.</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9(1)(vii):</w:t>
      </w:r>
      <w:r w:rsidRPr="00FB3E6C">
        <w:rPr>
          <w:rFonts w:ascii="Times New Roman" w:eastAsia="Times New Roman" w:hAnsi="Times New Roman" w:cs="Times New Roman"/>
          <w:sz w:val="24"/>
          <w:szCs w:val="24"/>
          <w:lang w:eastAsia="en-IN" w:bidi="ta-IN"/>
        </w:rPr>
        <w:t xml:space="preserve"> Defines FTS as payments for managerial, technical, or consultancy services.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44D:</w:t>
      </w:r>
      <w:r w:rsidRPr="00FB3E6C">
        <w:rPr>
          <w:rFonts w:ascii="Times New Roman" w:eastAsia="Times New Roman" w:hAnsi="Times New Roman" w:cs="Times New Roman"/>
          <w:sz w:val="24"/>
          <w:szCs w:val="24"/>
          <w:lang w:eastAsia="en-IN" w:bidi="ta-IN"/>
        </w:rPr>
        <w:t xml:space="preserve"> Specifies that no deduction shall be allowed in respect of any expenditure or allowance in computing income by way of royalties or FTS received by a foreign company.</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Tribunal's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Nature of Procurement Fees:</w:t>
      </w:r>
      <w:r w:rsidRPr="00FB3E6C">
        <w:rPr>
          <w:rFonts w:ascii="Times New Roman" w:eastAsia="Times New Roman" w:hAnsi="Times New Roman" w:cs="Times New Roman"/>
          <w:sz w:val="24"/>
          <w:szCs w:val="24"/>
          <w:lang w:eastAsia="en-IN" w:bidi="ta-IN"/>
        </w:rPr>
        <w:t xml:space="preserve"> The Tribunal examined the nature of the procurement fees and concluded that these payments were in the nature of commission earned by the assessee for acting as an intermediary in procuring equipment and services for CIL.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Classification as Business Income:</w:t>
      </w:r>
      <w:r w:rsidRPr="00FB3E6C">
        <w:rPr>
          <w:rFonts w:ascii="Times New Roman" w:eastAsia="Times New Roman" w:hAnsi="Times New Roman" w:cs="Times New Roman"/>
          <w:sz w:val="24"/>
          <w:szCs w:val="24"/>
          <w:lang w:eastAsia="en-IN" w:bidi="ta-IN"/>
        </w:rPr>
        <w:t xml:space="preserve"> Since the procurement fees were considered commission, the Tribunal held that such income should be classified as business income.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Tax Rate Applicability:</w:t>
      </w:r>
      <w:r w:rsidRPr="00FB3E6C">
        <w:rPr>
          <w:rFonts w:ascii="Times New Roman" w:eastAsia="Times New Roman" w:hAnsi="Times New Roman" w:cs="Times New Roman"/>
          <w:sz w:val="24"/>
          <w:szCs w:val="24"/>
          <w:lang w:eastAsia="en-IN" w:bidi="ta-IN"/>
        </w:rPr>
        <w:t xml:space="preserve"> The Tribunal noted that during the relevant assessment year, business income of a non-resident was taxable at a rate of 65%.</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Grossing Up of Income:</w:t>
      </w:r>
      <w:r w:rsidRPr="00FB3E6C">
        <w:rPr>
          <w:rFonts w:ascii="Times New Roman" w:eastAsia="Times New Roman" w:hAnsi="Times New Roman" w:cs="Times New Roman"/>
          <w:sz w:val="24"/>
          <w:szCs w:val="24"/>
          <w:lang w:eastAsia="en-IN" w:bidi="ta-IN"/>
        </w:rPr>
        <w:t xml:space="preserve"> The Tribunal upheld the Assessing Officer's action of grossing up the income, as the payments were made net of taxes, implying that CIL bore the tax liability on behalf of the assessee.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ITAT ruled in favor of the Revenue, holding that:</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procurement fees received by White Industries Australia Ltd. were in the nature of commission and, therefore, constituted business income.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Such income was taxable at the rate of 65% applicable to non-resident companies' business income during the assessment year 1992-93.</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grossing up of income was justified, as the payments were made net of taxes.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underscores the importance of accurately characterizing the nature of payments received by non-resident entities to determine the applicable tax rates under Indian tax laws. It highlights that payments termed as "procurement fees" may be treated as commission, leading to their classification as business income and attracting higher tax rates, especially in historical contexts where tax rates were significantly different.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ADIT v. White Industries Australia Ltd., [2017] 81 taxmann.com 33 (Kolkata - Trib.).</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64" w:tgtFrame="_new"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ruling provides clarity on the tax treatment of various types of income earned by non-resident entities, emphasizing the need for careful analysis of contractual terms and the nature of services rendered.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lastRenderedPageBreak/>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HITT HOLLAND INSTITUTE OF TRAFFIC TECHNOLOGY B.V. v DCIT (2018) 53 CCH 0371 KolTrib – ITA Nos. 290/Kol/2016 &amp; 348/Kol/2017 dated July 20, 2018</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43954095" wp14:editId="4FDB62F4">
            <wp:extent cx="763905" cy="763905"/>
            <wp:effectExtent l="0" t="0" r="0" b="0"/>
            <wp:docPr id="5" name="Picture 5"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HITT Holland Institute of Traffic Technology B.V. v. Deputy Commissioner of Income Tax</w:t>
      </w:r>
      <w:r w:rsidRPr="00FB3E6C">
        <w:rPr>
          <w:rFonts w:ascii="Times New Roman" w:eastAsia="Times New Roman" w:hAnsi="Times New Roman" w:cs="Times New Roman"/>
          <w:sz w:val="24"/>
          <w:szCs w:val="24"/>
          <w:lang w:eastAsia="en-IN" w:bidi="ta-IN"/>
        </w:rPr>
        <w:t xml:space="preserve"> (ITA Nos. 290/Kol/2016 &amp; 348/Kol/2017, dated July 20, 2018), the </w:t>
      </w:r>
      <w:r w:rsidRPr="00FB3E6C">
        <w:rPr>
          <w:rFonts w:ascii="Times New Roman" w:eastAsia="Times New Roman" w:hAnsi="Times New Roman" w:cs="Times New Roman"/>
          <w:b/>
          <w:bCs/>
          <w:sz w:val="24"/>
          <w:szCs w:val="24"/>
          <w:lang w:eastAsia="en-IN" w:bidi="ta-IN"/>
        </w:rPr>
        <w:t>Kolkata Bench of the Income Tax Appellate Tribunal (ITAT)</w:t>
      </w:r>
      <w:r w:rsidRPr="00FB3E6C">
        <w:rPr>
          <w:rFonts w:ascii="Times New Roman" w:eastAsia="Times New Roman" w:hAnsi="Times New Roman" w:cs="Times New Roman"/>
          <w:sz w:val="24"/>
          <w:szCs w:val="24"/>
          <w:lang w:eastAsia="en-IN" w:bidi="ta-IN"/>
        </w:rPr>
        <w:t xml:space="preserve"> addressed the tax implications for a Dutch company engaged in supplying equipment and services to Indian entities, particularly concerning the existence of a Permanent Establishment (PE) in India and the attribution of profits thereto.</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HITT Holland Institute of Traffic Technology B.V., a company incorporated in the Netherlands, specializing in traffic control, navigation, and port management systems.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Projects in India:</w:t>
      </w:r>
      <w:r w:rsidRPr="00FB3E6C">
        <w:rPr>
          <w:rFonts w:ascii="Times New Roman" w:eastAsia="Times New Roman" w:hAnsi="Times New Roman" w:cs="Times New Roman"/>
          <w:sz w:val="24"/>
          <w:szCs w:val="24"/>
          <w:lang w:eastAsia="en-IN" w:bidi="ta-IN"/>
        </w:rPr>
        <w:t xml:space="preserve"> The assessee entered into contracts with Indian entities, including the Oil and Natural Gas Corporation (ONGC), the Director General of Lighthouse and Lightships (DGLL), and the Airports Authority of India (AAI), for the supply of equipment and related services.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Assessment Years:</w:t>
      </w:r>
      <w:r w:rsidRPr="00FB3E6C">
        <w:rPr>
          <w:rFonts w:ascii="Times New Roman" w:eastAsia="Times New Roman" w:hAnsi="Times New Roman" w:cs="Times New Roman"/>
          <w:sz w:val="24"/>
          <w:szCs w:val="24"/>
          <w:lang w:eastAsia="en-IN" w:bidi="ta-IN"/>
        </w:rPr>
        <w:t xml:space="preserve"> 2012-13 and 2013-14.</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Issues: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Existence of a Permanent Establishment (PE):</w:t>
      </w:r>
      <w:r w:rsidRPr="00FB3E6C">
        <w:rPr>
          <w:rFonts w:ascii="Times New Roman" w:eastAsia="Times New Roman" w:hAnsi="Times New Roman" w:cs="Times New Roman"/>
          <w:sz w:val="24"/>
          <w:szCs w:val="24"/>
          <w:lang w:eastAsia="en-IN" w:bidi="ta-IN"/>
        </w:rPr>
        <w:t xml:space="preserve"> Whether the assessee had an Installation PE in India under Article 5(3) of the India-Netherlands Double Taxation Avoidance Agreement (DTAA) due to its activities exceeding the threshold period.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Attribution of Profits:</w:t>
      </w:r>
      <w:r w:rsidRPr="00FB3E6C">
        <w:rPr>
          <w:rFonts w:ascii="Times New Roman" w:eastAsia="Times New Roman" w:hAnsi="Times New Roman" w:cs="Times New Roman"/>
          <w:sz w:val="24"/>
          <w:szCs w:val="24"/>
          <w:lang w:eastAsia="en-IN" w:bidi="ta-IN"/>
        </w:rPr>
        <w:t xml:space="preserve"> If a PE existed, the extent of profits attributable to such PE from the offshore supply of equipment and services.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Tribunal's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Installation PE:</w:t>
      </w:r>
      <w:r w:rsidRPr="00FB3E6C">
        <w:rPr>
          <w:rFonts w:ascii="Times New Roman" w:eastAsia="Times New Roman" w:hAnsi="Times New Roman" w:cs="Times New Roman"/>
          <w:sz w:val="24"/>
          <w:szCs w:val="24"/>
          <w:lang w:eastAsia="en-IN" w:bidi="ta-IN"/>
        </w:rPr>
        <w:t xml:space="preserve"> The Tribunal noted that the assessee's installation projects in India exceeded the six-month threshold specified in Article 5(3) of the DTAA, thereby constituting an Installation PE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Attribution of Profits: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Offshore Supply of Equipment and Services:</w:t>
      </w:r>
      <w:r w:rsidRPr="00FB3E6C">
        <w:rPr>
          <w:rFonts w:ascii="Times New Roman" w:eastAsia="Times New Roman" w:hAnsi="Times New Roman" w:cs="Times New Roman"/>
          <w:sz w:val="24"/>
          <w:szCs w:val="24"/>
          <w:lang w:eastAsia="en-IN" w:bidi="ta-IN"/>
        </w:rPr>
        <w:t xml:space="preserve"> The Tribunal observed that the property in the equipment supplied passed outside India, and payments were received outside India. Relying on the Supreme Court's decision in </w:t>
      </w:r>
      <w:r w:rsidRPr="00FB3E6C">
        <w:rPr>
          <w:rFonts w:ascii="Times New Roman" w:eastAsia="Times New Roman" w:hAnsi="Times New Roman" w:cs="Times New Roman"/>
          <w:b/>
          <w:bCs/>
          <w:sz w:val="24"/>
          <w:szCs w:val="24"/>
          <w:lang w:eastAsia="en-IN" w:bidi="ta-IN"/>
        </w:rPr>
        <w:t>Ishikawajima-Harima Heavy Industries Ltd. v. DIT</w:t>
      </w:r>
      <w:r w:rsidRPr="00FB3E6C">
        <w:rPr>
          <w:rFonts w:ascii="Times New Roman" w:eastAsia="Times New Roman" w:hAnsi="Times New Roman" w:cs="Times New Roman"/>
          <w:sz w:val="24"/>
          <w:szCs w:val="24"/>
          <w:lang w:eastAsia="en-IN" w:bidi="ta-IN"/>
        </w:rPr>
        <w:t>, the Tribunal held that profits from such offshore supplies could not be attributed to the Installation PE in India.</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Onshore Activities:</w:t>
      </w:r>
      <w:r w:rsidRPr="00FB3E6C">
        <w:rPr>
          <w:rFonts w:ascii="Times New Roman" w:eastAsia="Times New Roman" w:hAnsi="Times New Roman" w:cs="Times New Roman"/>
          <w:sz w:val="24"/>
          <w:szCs w:val="24"/>
          <w:lang w:eastAsia="en-IN" w:bidi="ta-IN"/>
        </w:rPr>
        <w:t xml:space="preserve"> The Tribunal upheld the attribution of profits related to onshore services and supplies to the Installation PE, as these activities were performed within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ITAT concluded that while the assessee had an Installation PE in India due to the duration of its projects, only the profits from onshore activities could be attributed to this PE. Profits from offshore supply of equipment and services, where the transfer of property and receipt of payment occurred outside India, were not attributable to the PE and, therefore, not taxable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HITT Holland Institute of Traffic Technology B.V. v. DCIT, ITA Nos. 290/Kol/2016 &amp; 348/Kol/2017, ITAT Kolkata.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Indian Kanoon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decision provides clarity on the taxation of non-resident entities engaged in composite contracts involving both offshore and onshore activities in India, emphasizing the significance of the location of property transfer and payment receipt in determining tax liability.</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Castleton Investment Ltd v Director of Income tax (IT) – Civil Appeal No 4559 and 4560 of 2013</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2E7007C7" wp14:editId="1AE72EAB">
            <wp:extent cx="763905" cy="763905"/>
            <wp:effectExtent l="0" t="0" r="0" b="0"/>
            <wp:docPr id="4" name="Picture 4"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Castleton Investment Ltd. v. Director of Income Tax (International Taxation-I), Mumbai</w:t>
      </w:r>
      <w:r w:rsidRPr="00FB3E6C">
        <w:rPr>
          <w:rFonts w:ascii="Times New Roman" w:eastAsia="Times New Roman" w:hAnsi="Times New Roman" w:cs="Times New Roman"/>
          <w:sz w:val="24"/>
          <w:szCs w:val="24"/>
          <w:lang w:eastAsia="en-IN" w:bidi="ta-IN"/>
        </w:rPr>
        <w:t xml:space="preserve"> (Civil Appeals No. 4559 and 4560 of 2013), the </w:t>
      </w:r>
      <w:r w:rsidRPr="00FB3E6C">
        <w:rPr>
          <w:rFonts w:ascii="Times New Roman" w:eastAsia="Times New Roman" w:hAnsi="Times New Roman" w:cs="Times New Roman"/>
          <w:b/>
          <w:bCs/>
          <w:sz w:val="24"/>
          <w:szCs w:val="24"/>
          <w:lang w:eastAsia="en-IN" w:bidi="ta-IN"/>
        </w:rPr>
        <w:t>Supreme Court of India</w:t>
      </w:r>
      <w:r w:rsidRPr="00FB3E6C">
        <w:rPr>
          <w:rFonts w:ascii="Times New Roman" w:eastAsia="Times New Roman" w:hAnsi="Times New Roman" w:cs="Times New Roman"/>
          <w:sz w:val="24"/>
          <w:szCs w:val="24"/>
          <w:lang w:eastAsia="en-IN" w:bidi="ta-IN"/>
        </w:rPr>
        <w:t xml:space="preserve"> addressed the applicability of </w:t>
      </w:r>
      <w:r w:rsidRPr="00FB3E6C">
        <w:rPr>
          <w:rFonts w:ascii="Times New Roman" w:eastAsia="Times New Roman" w:hAnsi="Times New Roman" w:cs="Times New Roman"/>
          <w:b/>
          <w:bCs/>
          <w:sz w:val="24"/>
          <w:szCs w:val="24"/>
          <w:lang w:eastAsia="en-IN" w:bidi="ta-IN"/>
        </w:rPr>
        <w:t>Minimum Alternate Tax (MAT)</w:t>
      </w:r>
      <w:r w:rsidRPr="00FB3E6C">
        <w:rPr>
          <w:rFonts w:ascii="Times New Roman" w:eastAsia="Times New Roman" w:hAnsi="Times New Roman" w:cs="Times New Roman"/>
          <w:sz w:val="24"/>
          <w:szCs w:val="24"/>
          <w:lang w:eastAsia="en-IN" w:bidi="ta-IN"/>
        </w:rPr>
        <w:t xml:space="preserve"> under </w:t>
      </w:r>
      <w:r w:rsidRPr="00FB3E6C">
        <w:rPr>
          <w:rFonts w:ascii="Times New Roman" w:eastAsia="Times New Roman" w:hAnsi="Times New Roman" w:cs="Times New Roman"/>
          <w:b/>
          <w:bCs/>
          <w:sz w:val="24"/>
          <w:szCs w:val="24"/>
          <w:lang w:eastAsia="en-IN" w:bidi="ta-IN"/>
        </w:rPr>
        <w:t>Section 115JB</w:t>
      </w:r>
      <w:r w:rsidRPr="00FB3E6C">
        <w:rPr>
          <w:rFonts w:ascii="Times New Roman" w:eastAsia="Times New Roman" w:hAnsi="Times New Roman" w:cs="Times New Roman"/>
          <w:sz w:val="24"/>
          <w:szCs w:val="24"/>
          <w:lang w:eastAsia="en-IN" w:bidi="ta-IN"/>
        </w:rPr>
        <w:t xml:space="preserve"> of the Income Tax Act, 1961, to foreign companies without a Permanent Establishment (PE)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Castleton Investment Ltd., a foreign company incorporated in Mauritius, engaged in investment activities.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primary question was whether the provisions of </w:t>
      </w:r>
      <w:r w:rsidRPr="00FB3E6C">
        <w:rPr>
          <w:rFonts w:ascii="Times New Roman" w:eastAsia="Times New Roman" w:hAnsi="Times New Roman" w:cs="Times New Roman"/>
          <w:b/>
          <w:bCs/>
          <w:sz w:val="24"/>
          <w:szCs w:val="24"/>
          <w:lang w:eastAsia="en-IN" w:bidi="ta-IN"/>
        </w:rPr>
        <w:t>Section 115JB</w:t>
      </w:r>
      <w:r w:rsidRPr="00FB3E6C">
        <w:rPr>
          <w:rFonts w:ascii="Times New Roman" w:eastAsia="Times New Roman" w:hAnsi="Times New Roman" w:cs="Times New Roman"/>
          <w:sz w:val="24"/>
          <w:szCs w:val="24"/>
          <w:lang w:eastAsia="en-IN" w:bidi="ta-IN"/>
        </w:rPr>
        <w:t>, which impose MAT on companies, applied to foreign companies like Castleton Investment Ltd. that did not have a PE or place of business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Legal Provisions: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115JB:</w:t>
      </w:r>
      <w:r w:rsidRPr="00FB3E6C">
        <w:rPr>
          <w:rFonts w:ascii="Times New Roman" w:eastAsia="Times New Roman" w:hAnsi="Times New Roman" w:cs="Times New Roman"/>
          <w:sz w:val="24"/>
          <w:szCs w:val="24"/>
          <w:lang w:eastAsia="en-IN" w:bidi="ta-IN"/>
        </w:rPr>
        <w:t xml:space="preserve"> Mandates a minimum tax on the "book profits" of companies if the income tax payable on the total income is less than a specified percentage.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Double Taxation Avoidance Agreement (DTAA):</w:t>
      </w:r>
      <w:r w:rsidRPr="00FB3E6C">
        <w:rPr>
          <w:rFonts w:ascii="Times New Roman" w:eastAsia="Times New Roman" w:hAnsi="Times New Roman" w:cs="Times New Roman"/>
          <w:sz w:val="24"/>
          <w:szCs w:val="24"/>
          <w:lang w:eastAsia="en-IN" w:bidi="ta-IN"/>
        </w:rPr>
        <w:t xml:space="preserve"> India-Mauritius DTAA provides tax relief and clarifies tax liabilities for entities operating between the two countries.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Supreme Court's Analysis: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Government's Clarification:</w:t>
      </w:r>
      <w:r w:rsidRPr="00FB3E6C">
        <w:rPr>
          <w:rFonts w:ascii="Times New Roman" w:eastAsia="Times New Roman" w:hAnsi="Times New Roman" w:cs="Times New Roman"/>
          <w:sz w:val="24"/>
          <w:szCs w:val="24"/>
          <w:lang w:eastAsia="en-IN" w:bidi="ta-IN"/>
        </w:rPr>
        <w:t xml:space="preserve"> The Court noted a circular issued by the Central Board of Direct Taxes (CBDT) dated September 2, 2015, which clarified that MAT provisions under </w:t>
      </w:r>
      <w:r w:rsidRPr="00FB3E6C">
        <w:rPr>
          <w:rFonts w:ascii="Times New Roman" w:eastAsia="Times New Roman" w:hAnsi="Times New Roman" w:cs="Times New Roman"/>
          <w:b/>
          <w:bCs/>
          <w:sz w:val="24"/>
          <w:szCs w:val="24"/>
          <w:lang w:eastAsia="en-IN" w:bidi="ta-IN"/>
        </w:rPr>
        <w:t>Section 115JB</w:t>
      </w:r>
      <w:r w:rsidRPr="00FB3E6C">
        <w:rPr>
          <w:rFonts w:ascii="Times New Roman" w:eastAsia="Times New Roman" w:hAnsi="Times New Roman" w:cs="Times New Roman"/>
          <w:sz w:val="24"/>
          <w:szCs w:val="24"/>
          <w:lang w:eastAsia="en-IN" w:bidi="ta-IN"/>
        </w:rPr>
        <w:t xml:space="preserve"> would not apply to Foreign Institutional Investors (FIIs) and Foreign Portfolio Investors (FPIs) not having a PE or place of business in India for the period prior to April 1, 2015. </w:t>
      </w:r>
    </w:p>
    <w:p w:rsidR="00D778CC" w:rsidRPr="00FB3E6C" w:rsidRDefault="00D778CC" w:rsidP="00743A5F">
      <w:pPr>
        <w:spacing w:beforeAutospacing="1" w:after="0" w:afterAutospacing="1" w:line="240" w:lineRule="auto"/>
        <w:ind w:left="720"/>
        <w:rPr>
          <w:rFonts w:ascii="Times New Roman" w:eastAsia="Times New Roman" w:hAnsi="Times New Roman" w:cs="Times New Roman"/>
          <w:sz w:val="24"/>
          <w:szCs w:val="24"/>
          <w:lang w:eastAsia="en-IN" w:bidi="ta-IN"/>
        </w:rPr>
      </w:pPr>
      <w:hyperlink r:id="rId165" w:tgtFrame="_blank"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Press Release:</w:t>
      </w:r>
      <w:r w:rsidRPr="00FB3E6C">
        <w:rPr>
          <w:rFonts w:ascii="Times New Roman" w:eastAsia="Times New Roman" w:hAnsi="Times New Roman" w:cs="Times New Roman"/>
          <w:sz w:val="24"/>
          <w:szCs w:val="24"/>
          <w:lang w:eastAsia="en-IN" w:bidi="ta-IN"/>
        </w:rPr>
        <w:t xml:space="preserve"> Further, a Press Release dated September 24, 2015, stated that with effect from April 1, 2001, the provisions of </w:t>
      </w:r>
      <w:r w:rsidRPr="00FB3E6C">
        <w:rPr>
          <w:rFonts w:ascii="Times New Roman" w:eastAsia="Times New Roman" w:hAnsi="Times New Roman" w:cs="Times New Roman"/>
          <w:b/>
          <w:bCs/>
          <w:sz w:val="24"/>
          <w:szCs w:val="24"/>
          <w:lang w:eastAsia="en-IN" w:bidi="ta-IN"/>
        </w:rPr>
        <w:t>Section 115JB</w:t>
      </w:r>
      <w:r w:rsidRPr="00FB3E6C">
        <w:rPr>
          <w:rFonts w:ascii="Times New Roman" w:eastAsia="Times New Roman" w:hAnsi="Times New Roman" w:cs="Times New Roman"/>
          <w:sz w:val="24"/>
          <w:szCs w:val="24"/>
          <w:lang w:eastAsia="en-IN" w:bidi="ta-IN"/>
        </w:rPr>
        <w:t xml:space="preserve"> shall not be applicable to a foreign company if:</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foreign company is a resident of a country having a DTAA with India and does not have a PE in India; or</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foreign company is a resident of a country without a DTAA with India and is not required to seek registration under the Indian Companies Act. </w:t>
      </w:r>
    </w:p>
    <w:p w:rsidR="00D778CC" w:rsidRPr="00FB3E6C" w:rsidRDefault="00D778CC" w:rsidP="00743A5F">
      <w:pPr>
        <w:spacing w:beforeAutospacing="1" w:after="0" w:afterAutospacing="1" w:line="240" w:lineRule="auto"/>
        <w:ind w:left="1440"/>
        <w:rPr>
          <w:rFonts w:ascii="Times New Roman" w:eastAsia="Times New Roman" w:hAnsi="Times New Roman" w:cs="Times New Roman"/>
          <w:sz w:val="24"/>
          <w:szCs w:val="24"/>
          <w:lang w:eastAsia="en-IN" w:bidi="ta-IN"/>
        </w:rPr>
      </w:pPr>
      <w:hyperlink r:id="rId166" w:tgtFrame="_blank" w:history="1">
        <w:r w:rsidRPr="00FB3E6C">
          <w:rPr>
            <w:rFonts w:ascii="Times New Roman" w:eastAsia="Times New Roman" w:hAnsi="Times New Roman" w:cs="Times New Roman"/>
            <w:color w:val="0000FF"/>
            <w:sz w:val="24"/>
            <w:szCs w:val="24"/>
            <w:u w:val="single"/>
            <w:lang w:eastAsia="en-IN" w:bidi="ta-IN"/>
          </w:rPr>
          <w:t>LexTech Suite</w:t>
        </w:r>
      </w:hyperlink>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Government's Commitment:</w:t>
      </w:r>
      <w:r w:rsidRPr="00FB3E6C">
        <w:rPr>
          <w:rFonts w:ascii="Times New Roman" w:eastAsia="Times New Roman" w:hAnsi="Times New Roman" w:cs="Times New Roman"/>
          <w:sz w:val="24"/>
          <w:szCs w:val="24"/>
          <w:lang w:eastAsia="en-IN" w:bidi="ta-IN"/>
        </w:rPr>
        <w:t xml:space="preserve"> The learned Attorney General, representing the Government, affirmed that the Government would abide by the clarifications provided in the aforementioned circular and press release.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Judgment: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Based on the Government's clarifications and commitment, the Supreme Court disposed of the appeals, concluding that </w:t>
      </w:r>
      <w:r w:rsidRPr="00FB3E6C">
        <w:rPr>
          <w:rFonts w:ascii="Times New Roman" w:eastAsia="Times New Roman" w:hAnsi="Times New Roman" w:cs="Times New Roman"/>
          <w:b/>
          <w:bCs/>
          <w:sz w:val="24"/>
          <w:szCs w:val="24"/>
          <w:lang w:eastAsia="en-IN" w:bidi="ta-IN"/>
        </w:rPr>
        <w:t>Section 115JB</w:t>
      </w:r>
      <w:r w:rsidRPr="00FB3E6C">
        <w:rPr>
          <w:rFonts w:ascii="Times New Roman" w:eastAsia="Times New Roman" w:hAnsi="Times New Roman" w:cs="Times New Roman"/>
          <w:sz w:val="24"/>
          <w:szCs w:val="24"/>
          <w:lang w:eastAsia="en-IN" w:bidi="ta-IN"/>
        </w:rPr>
        <w:t xml:space="preserve"> does not apply to foreign companies like Castleton Investment Ltd. that do not have a PE or place of business in India.</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 xml:space="preserve">This judgment clarifies that the MAT provisions under </w:t>
      </w:r>
      <w:r w:rsidRPr="00FB3E6C">
        <w:rPr>
          <w:rFonts w:ascii="Times New Roman" w:eastAsia="Times New Roman" w:hAnsi="Times New Roman" w:cs="Times New Roman"/>
          <w:b/>
          <w:bCs/>
          <w:sz w:val="24"/>
          <w:szCs w:val="24"/>
          <w:lang w:eastAsia="en-IN" w:bidi="ta-IN"/>
        </w:rPr>
        <w:t>Section 115JB</w:t>
      </w:r>
      <w:r w:rsidRPr="00FB3E6C">
        <w:rPr>
          <w:rFonts w:ascii="Times New Roman" w:eastAsia="Times New Roman" w:hAnsi="Times New Roman" w:cs="Times New Roman"/>
          <w:sz w:val="24"/>
          <w:szCs w:val="24"/>
          <w:lang w:eastAsia="en-IN" w:bidi="ta-IN"/>
        </w:rPr>
        <w:t xml:space="preserve"> are inapplicable to foreign companies without a PE or place of business in India, effective from April 1, 2001. This decision provides significant relief to foreign investors, ensuring that they are not subject to MAT in India in the absence of a PE or business presence.</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Castleton Investment Ltd. v. Director of Income Tax (International Taxation-I), Mumbai, Civil Appeals No. 4559 and 4560 of 2013, Supreme Court of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67" w:tgtFrame="_new"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This ruling underscores the importance of clear governmental policies and their interpretation by judicial authorities, providing certainty to foreign investors regarding their tax liabilities in India.</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Discuss CIT v Hyosung Corporation &amp; ANR – TS-668-SC-2016</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31F613A3" wp14:editId="485C32ED">
            <wp:extent cx="763905" cy="763905"/>
            <wp:effectExtent l="0" t="0" r="0" b="0"/>
            <wp:docPr id="3" name="Picture 3"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In the case of </w:t>
      </w:r>
      <w:r w:rsidRPr="00FB3E6C">
        <w:rPr>
          <w:rFonts w:ascii="Times New Roman" w:eastAsia="Times New Roman" w:hAnsi="Times New Roman" w:cs="Times New Roman"/>
          <w:b/>
          <w:bCs/>
          <w:sz w:val="24"/>
          <w:szCs w:val="24"/>
          <w:lang w:eastAsia="en-IN" w:bidi="ta-IN"/>
        </w:rPr>
        <w:t>Commissioner of Income Tax v. Hyosung Corporation &amp; Anr.</w:t>
      </w:r>
      <w:r w:rsidRPr="00FB3E6C">
        <w:rPr>
          <w:rFonts w:ascii="Times New Roman" w:eastAsia="Times New Roman" w:hAnsi="Times New Roman" w:cs="Times New Roman"/>
          <w:sz w:val="24"/>
          <w:szCs w:val="24"/>
          <w:lang w:eastAsia="en-IN" w:bidi="ta-IN"/>
        </w:rPr>
        <w:t xml:space="preserve"> (TS-668-SC-2016), the </w:t>
      </w:r>
      <w:r w:rsidRPr="00FB3E6C">
        <w:rPr>
          <w:rFonts w:ascii="Times New Roman" w:eastAsia="Times New Roman" w:hAnsi="Times New Roman" w:cs="Times New Roman"/>
          <w:b/>
          <w:bCs/>
          <w:sz w:val="24"/>
          <w:szCs w:val="24"/>
          <w:lang w:eastAsia="en-IN" w:bidi="ta-IN"/>
        </w:rPr>
        <w:t>Supreme Court of India</w:t>
      </w:r>
      <w:r w:rsidRPr="00FB3E6C">
        <w:rPr>
          <w:rFonts w:ascii="Times New Roman" w:eastAsia="Times New Roman" w:hAnsi="Times New Roman" w:cs="Times New Roman"/>
          <w:sz w:val="24"/>
          <w:szCs w:val="24"/>
          <w:lang w:eastAsia="en-IN" w:bidi="ta-IN"/>
        </w:rPr>
        <w:t xml:space="preserve"> addressed the applicability of the bar under </w:t>
      </w:r>
      <w:r w:rsidRPr="00FB3E6C">
        <w:rPr>
          <w:rFonts w:ascii="Times New Roman" w:eastAsia="Times New Roman" w:hAnsi="Times New Roman" w:cs="Times New Roman"/>
          <w:b/>
          <w:bCs/>
          <w:sz w:val="24"/>
          <w:szCs w:val="24"/>
          <w:lang w:eastAsia="en-IN" w:bidi="ta-IN"/>
        </w:rPr>
        <w:t>Section 245R(2)</w:t>
      </w:r>
      <w:r w:rsidRPr="00FB3E6C">
        <w:rPr>
          <w:rFonts w:ascii="Times New Roman" w:eastAsia="Times New Roman" w:hAnsi="Times New Roman" w:cs="Times New Roman"/>
          <w:sz w:val="24"/>
          <w:szCs w:val="24"/>
          <w:lang w:eastAsia="en-IN" w:bidi="ta-IN"/>
        </w:rPr>
        <w:t xml:space="preserve"> of the Income Tax Act, 1961, concerning the admission of applications by the Authority for Advance Rulings (AAR).</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Background: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Assessee:</w:t>
      </w:r>
      <w:r w:rsidRPr="00FB3E6C">
        <w:rPr>
          <w:rFonts w:ascii="Times New Roman" w:eastAsia="Times New Roman" w:hAnsi="Times New Roman" w:cs="Times New Roman"/>
          <w:sz w:val="24"/>
          <w:szCs w:val="24"/>
          <w:lang w:eastAsia="en-IN" w:bidi="ta-IN"/>
        </w:rPr>
        <w:t xml:space="preserve"> Hyosung Corporation, a company incorporated in South Korea, engaged in executing contracts in India.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Issue:</w:t>
      </w:r>
      <w:r w:rsidRPr="00FB3E6C">
        <w:rPr>
          <w:rFonts w:ascii="Times New Roman" w:eastAsia="Times New Roman" w:hAnsi="Times New Roman" w:cs="Times New Roman"/>
          <w:sz w:val="24"/>
          <w:szCs w:val="24"/>
          <w:lang w:eastAsia="en-IN" w:bidi="ta-IN"/>
        </w:rPr>
        <w:t xml:space="preserve"> The primary question was whether the AAR could admit an application for advance ruling when a notice under </w:t>
      </w:r>
      <w:r w:rsidRPr="00FB3E6C">
        <w:rPr>
          <w:rFonts w:ascii="Times New Roman" w:eastAsia="Times New Roman" w:hAnsi="Times New Roman" w:cs="Times New Roman"/>
          <w:b/>
          <w:bCs/>
          <w:sz w:val="24"/>
          <w:szCs w:val="24"/>
          <w:lang w:eastAsia="en-IN" w:bidi="ta-IN"/>
        </w:rPr>
        <w:t>Section 143(2)</w:t>
      </w:r>
      <w:r w:rsidRPr="00FB3E6C">
        <w:rPr>
          <w:rFonts w:ascii="Times New Roman" w:eastAsia="Times New Roman" w:hAnsi="Times New Roman" w:cs="Times New Roman"/>
          <w:sz w:val="24"/>
          <w:szCs w:val="24"/>
          <w:lang w:eastAsia="en-IN" w:bidi="ta-IN"/>
        </w:rPr>
        <w:t xml:space="preserve"> of the Income Tax Act had already been issued to the assessee, thereby rendering the question "pending" before an income-tax authority, as per the bar under </w:t>
      </w:r>
      <w:r w:rsidRPr="00FB3E6C">
        <w:rPr>
          <w:rFonts w:ascii="Times New Roman" w:eastAsia="Times New Roman" w:hAnsi="Times New Roman" w:cs="Times New Roman"/>
          <w:b/>
          <w:bCs/>
          <w:sz w:val="24"/>
          <w:szCs w:val="24"/>
          <w:lang w:eastAsia="en-IN" w:bidi="ta-IN"/>
        </w:rPr>
        <w:t>Section 245R(2)</w:t>
      </w:r>
      <w:r w:rsidRPr="00FB3E6C">
        <w:rPr>
          <w:rFonts w:ascii="Times New Roman" w:eastAsia="Times New Roman" w:hAnsi="Times New Roman" w:cs="Times New Roman"/>
          <w:sz w:val="24"/>
          <w:szCs w:val="24"/>
          <w:lang w:eastAsia="en-IN" w:bidi="ta-IN"/>
        </w:rPr>
        <w:t>.</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Key Legal Provisions: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Section 245R(2):</w:t>
      </w:r>
      <w:r w:rsidRPr="00FB3E6C">
        <w:rPr>
          <w:rFonts w:ascii="Times New Roman" w:eastAsia="Times New Roman" w:hAnsi="Times New Roman" w:cs="Times New Roman"/>
          <w:sz w:val="24"/>
          <w:szCs w:val="24"/>
          <w:lang w:eastAsia="en-IN" w:bidi="ta-IN"/>
        </w:rPr>
        <w:t xml:space="preserve"> Specifies that the AAR shall not allow an application where the question raised is already pending before any income-tax authority or appellate tribunal.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Section 143(2):</w:t>
      </w:r>
      <w:r w:rsidRPr="00FB3E6C">
        <w:rPr>
          <w:rFonts w:ascii="Times New Roman" w:eastAsia="Times New Roman" w:hAnsi="Times New Roman" w:cs="Times New Roman"/>
          <w:sz w:val="24"/>
          <w:szCs w:val="24"/>
          <w:lang w:eastAsia="en-IN" w:bidi="ta-IN"/>
        </w:rPr>
        <w:t xml:space="preserve"> Empowers the Assessing Officer to issue a notice to the assessee for scrutiny of the return filed.</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Supreme Court's Analysis:</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Supreme Court, in its order dated January 12, 2018, dismissed the Special Leave Petition (SLP) filed by the Commissioner of Income Tax against the decision of the Delhi High Court in the case of </w:t>
      </w:r>
      <w:r w:rsidRPr="00FB3E6C">
        <w:rPr>
          <w:rFonts w:ascii="Times New Roman" w:eastAsia="Times New Roman" w:hAnsi="Times New Roman" w:cs="Times New Roman"/>
          <w:b/>
          <w:bCs/>
          <w:sz w:val="24"/>
          <w:szCs w:val="24"/>
          <w:lang w:eastAsia="en-IN" w:bidi="ta-IN"/>
        </w:rPr>
        <w:t>Hyosung Corporation v. AAR</w:t>
      </w:r>
      <w:r w:rsidRPr="00FB3E6C">
        <w:rPr>
          <w:rFonts w:ascii="Times New Roman" w:eastAsia="Times New Roman" w:hAnsi="Times New Roman" w:cs="Times New Roman"/>
          <w:sz w:val="24"/>
          <w:szCs w:val="24"/>
          <w:lang w:eastAsia="en-IN" w:bidi="ta-IN"/>
        </w:rPr>
        <w:t xml:space="preserve">. </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hyperlink r:id="rId168" w:tgtFrame="_blank"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The Delhi High Court had held that the mere issuance of a notice under </w:t>
      </w:r>
      <w:r w:rsidRPr="00FB3E6C">
        <w:rPr>
          <w:rFonts w:ascii="Times New Roman" w:eastAsia="Times New Roman" w:hAnsi="Times New Roman" w:cs="Times New Roman"/>
          <w:b/>
          <w:bCs/>
          <w:sz w:val="24"/>
          <w:szCs w:val="24"/>
          <w:lang w:eastAsia="en-IN" w:bidi="ta-IN"/>
        </w:rPr>
        <w:t>Section 143(2)</w:t>
      </w:r>
      <w:r w:rsidRPr="00FB3E6C">
        <w:rPr>
          <w:rFonts w:ascii="Times New Roman" w:eastAsia="Times New Roman" w:hAnsi="Times New Roman" w:cs="Times New Roman"/>
          <w:sz w:val="24"/>
          <w:szCs w:val="24"/>
          <w:lang w:eastAsia="en-IN" w:bidi="ta-IN"/>
        </w:rPr>
        <w:t xml:space="preserve"> does not constitute a "pending" proceeding that would bar the AAR from admitting an application under </w:t>
      </w:r>
      <w:r w:rsidRPr="00FB3E6C">
        <w:rPr>
          <w:rFonts w:ascii="Times New Roman" w:eastAsia="Times New Roman" w:hAnsi="Times New Roman" w:cs="Times New Roman"/>
          <w:b/>
          <w:bCs/>
          <w:sz w:val="24"/>
          <w:szCs w:val="24"/>
          <w:lang w:eastAsia="en-IN" w:bidi="ta-IN"/>
        </w:rPr>
        <w:t>Section 245R(2)</w:t>
      </w:r>
      <w:r w:rsidRPr="00FB3E6C">
        <w:rPr>
          <w:rFonts w:ascii="Times New Roman" w:eastAsia="Times New Roman" w:hAnsi="Times New Roman" w:cs="Times New Roman"/>
          <w:sz w:val="24"/>
          <w:szCs w:val="24"/>
          <w:lang w:eastAsia="en-IN" w:bidi="ta-IN"/>
        </w:rPr>
        <w:t xml:space="preserve">. The High Court emphasized that for the bar to apply, the question must be "already pending" before the income-tax authority at the time of filing the application before the AAR. </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hyperlink r:id="rId169" w:tgtFrame="_blank"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Supreme Court, upon reviewing the petition, found no legal and valid ground for interference with the High Court's judgment and, accordingly, dismissed the SLP.</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This judgment clarifies that the issuance of a notice under </w:t>
      </w:r>
      <w:r w:rsidRPr="00FB3E6C">
        <w:rPr>
          <w:rFonts w:ascii="Times New Roman" w:eastAsia="Times New Roman" w:hAnsi="Times New Roman" w:cs="Times New Roman"/>
          <w:b/>
          <w:bCs/>
          <w:sz w:val="24"/>
          <w:szCs w:val="24"/>
          <w:lang w:eastAsia="en-IN" w:bidi="ta-IN"/>
        </w:rPr>
        <w:t>Section 143(2)</w:t>
      </w:r>
      <w:r w:rsidRPr="00FB3E6C">
        <w:rPr>
          <w:rFonts w:ascii="Times New Roman" w:eastAsia="Times New Roman" w:hAnsi="Times New Roman" w:cs="Times New Roman"/>
          <w:sz w:val="24"/>
          <w:szCs w:val="24"/>
          <w:lang w:eastAsia="en-IN" w:bidi="ta-IN"/>
        </w:rPr>
        <w:t xml:space="preserve"> does not automatically render a question "pending" before an income-tax authority for the purposes of </w:t>
      </w:r>
      <w:r w:rsidRPr="00FB3E6C">
        <w:rPr>
          <w:rFonts w:ascii="Times New Roman" w:eastAsia="Times New Roman" w:hAnsi="Times New Roman" w:cs="Times New Roman"/>
          <w:b/>
          <w:bCs/>
          <w:sz w:val="24"/>
          <w:szCs w:val="24"/>
          <w:lang w:eastAsia="en-IN" w:bidi="ta-IN"/>
        </w:rPr>
        <w:t>Section 245R(2)</w:t>
      </w:r>
      <w:r w:rsidRPr="00FB3E6C">
        <w:rPr>
          <w:rFonts w:ascii="Times New Roman" w:eastAsia="Times New Roman" w:hAnsi="Times New Roman" w:cs="Times New Roman"/>
          <w:sz w:val="24"/>
          <w:szCs w:val="24"/>
          <w:lang w:eastAsia="en-IN" w:bidi="ta-IN"/>
        </w:rPr>
        <w:t>. Therefore, the AAR can admit applications for advance rulings even if such notices have been issued, provided that the specific question raised is not already under consideration by the income-tax authorities at the time of the application.</w: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Reference: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Case Citation:</w:t>
      </w:r>
      <w:r w:rsidRPr="00FB3E6C">
        <w:rPr>
          <w:rFonts w:ascii="Times New Roman" w:eastAsia="Times New Roman" w:hAnsi="Times New Roman" w:cs="Times New Roman"/>
          <w:sz w:val="24"/>
          <w:szCs w:val="24"/>
          <w:lang w:eastAsia="en-IN" w:bidi="ta-IN"/>
        </w:rPr>
        <w:t xml:space="preserve"> Commissioner of Income Tax v. Hyosung Corporation &amp; Anr., TS-668-SC-2016.</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Source:</w:t>
      </w:r>
      <w:r w:rsidRPr="00FB3E6C">
        <w:rPr>
          <w:rFonts w:ascii="Times New Roman" w:eastAsia="Times New Roman" w:hAnsi="Times New Roman" w:cs="Times New Roman"/>
          <w:sz w:val="24"/>
          <w:szCs w:val="24"/>
          <w:lang w:eastAsia="en-IN" w:bidi="ta-IN"/>
        </w:rPr>
        <w:t xml:space="preserve"> </w:t>
      </w:r>
      <w:hyperlink r:id="rId170" w:tgtFrame="_new" w:history="1">
        <w:r w:rsidRPr="00FB3E6C">
          <w:rPr>
            <w:rFonts w:ascii="Times New Roman" w:eastAsia="Times New Roman" w:hAnsi="Times New Roman" w:cs="Times New Roman"/>
            <w:color w:val="0000FF"/>
            <w:sz w:val="24"/>
            <w:szCs w:val="24"/>
            <w:u w:val="single"/>
            <w:lang w:eastAsia="en-IN" w:bidi="ta-IN"/>
          </w:rPr>
          <w:t>Indian Kanoon</w:t>
        </w:r>
      </w:hyperlink>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 xml:space="preserve">This ruling provides significant clarity on the interpretation of </w:t>
      </w:r>
      <w:r w:rsidRPr="00FB3E6C">
        <w:rPr>
          <w:rFonts w:ascii="Times New Roman" w:eastAsia="Times New Roman" w:hAnsi="Times New Roman" w:cs="Times New Roman"/>
          <w:b/>
          <w:bCs/>
          <w:sz w:val="24"/>
          <w:szCs w:val="24"/>
          <w:lang w:eastAsia="en-IN" w:bidi="ta-IN"/>
        </w:rPr>
        <w:t>Section 245R(2)</w:t>
      </w:r>
      <w:r w:rsidRPr="00FB3E6C">
        <w:rPr>
          <w:rFonts w:ascii="Times New Roman" w:eastAsia="Times New Roman" w:hAnsi="Times New Roman" w:cs="Times New Roman"/>
          <w:sz w:val="24"/>
          <w:szCs w:val="24"/>
          <w:lang w:eastAsia="en-IN" w:bidi="ta-IN"/>
        </w:rPr>
        <w:t>, ensuring that taxpayers can seek advance rulings from the AAR without being barred by the mere issuance of scrutiny notices, thereby promoting certainty and transparency in tax matters.</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Sources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Please list down Do's and Don'ts while handling cases under nternational Taxation</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lastRenderedPageBreak/>
        <w:drawing>
          <wp:inline distT="0" distB="0" distL="0" distR="0" wp14:anchorId="141A785B" wp14:editId="5687EEC2">
            <wp:extent cx="763905" cy="763905"/>
            <wp:effectExtent l="0" t="0" r="0" b="0"/>
            <wp:docPr id="2" name="Picture 2"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401" w:name="_Toc187663325"/>
      <w:bookmarkStart w:id="1402" w:name="_Toc187661141"/>
      <w:bookmarkStart w:id="1403" w:name="_Toc187662220"/>
      <w:r w:rsidRPr="00FB3E6C">
        <w:rPr>
          <w:rFonts w:ascii="Times New Roman" w:eastAsia="Times New Roman" w:hAnsi="Times New Roman" w:cs="Times New Roman"/>
          <w:b/>
          <w:bCs/>
          <w:sz w:val="27"/>
          <w:szCs w:val="27"/>
          <w:lang w:eastAsia="en-IN" w:bidi="ta-IN"/>
        </w:rPr>
        <w:t>Do's and Don'ts While Handling Cases Under International Taxation</w:t>
      </w:r>
      <w:bookmarkEnd w:id="1401"/>
      <w:bookmarkEnd w:id="1402"/>
      <w:bookmarkEnd w:id="1403"/>
    </w:p>
    <w:p w:rsidR="00D778CC" w:rsidRPr="00FB3E6C" w:rsidRDefault="00D778CC" w:rsidP="00743A5F">
      <w:pPr>
        <w:spacing w:before="100" w:beforeAutospacing="1" w:after="100" w:afterAutospacing="1" w:line="240" w:lineRule="auto"/>
        <w:outlineLvl w:val="3"/>
        <w:rPr>
          <w:rFonts w:ascii="Times New Roman" w:eastAsia="Times New Roman" w:hAnsi="Times New Roman" w:cs="Times New Roman"/>
          <w:b/>
          <w:bCs/>
          <w:sz w:val="24"/>
          <w:szCs w:val="24"/>
          <w:lang w:eastAsia="en-IN" w:bidi="ta-IN"/>
        </w:rPr>
      </w:pPr>
      <w:r w:rsidRPr="00FB3E6C">
        <w:rPr>
          <w:rFonts w:ascii="Times New Roman" w:eastAsia="Times New Roman" w:hAnsi="Times New Roman" w:cs="Times New Roman"/>
          <w:b/>
          <w:bCs/>
          <w:sz w:val="24"/>
          <w:szCs w:val="24"/>
          <w:lang w:eastAsia="en-IN" w:bidi="ta-IN"/>
        </w:rPr>
        <w:t>Do's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Understand the Applicable DTAA:</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Identify the relevant Double Taxation Avoidance Agreement (DTAA) between the countries involved.</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Analyze articles such as those related to Permanent Establishment (PE), Fees for Technical Services (FTS), Royalties, and Business Profits.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Review Residency Status: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Verify the taxpayer's residential status under Section 6 of the Income Tax Act, 1961, and the corresponding DTAA.</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Evaluate Permanent Establishment:</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Assess whether the foreign entity constitutes a PE in India as per Article 5 of the DTAA.</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Evaluate specific PEs like Installation, Agency, or Service PE.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Maintain Documentation:</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Keep proper documentation for inter-company transactions, including transfer pricing reports, benchmarking studies, and Form 3CEB.</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Maintain Tax Residency Certificates (TRCs), Form 10F, and relevant agreements.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Ensure TDS Compliance: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Deduct tax at source (TDS) under Section 195 where applicable.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Apply lower rates prescribed under DTAAs if beneficial and supported by documentation.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Apply Correct Tax Rates: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Identify applicable withholding tax rates under the Income Tax Act and DTAA.</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Factor in grossing-up where tax is borne by the payer.</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lastRenderedPageBreak/>
        <w:t>Evaluate GAAR and Anti-Abuse Provisions: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Ensure that the arrangement complies with General Anti-Avoidance Rules (GAAR) and Limitation of Benefits (LOB) clauses.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Comply with Reporting Requirements: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File necessary forms like Form 15CA and Form 15CB for cross-border remittances.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Ensure compliance with Equalization Levy and Base Erosion and Profit Shifting (BEPS) Action Plan reporting requirements, such as CbC reporting.</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Obtain Expert Opinions: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Seek Advance Rulings for complex issues to minimize litigation.</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Consult with professionals for proper interpretation of international tax provisions.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Monitor Recent Developments: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Stay updated with changes in tax treaties, case laws, and domestic legislation impacting international taxation.</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31" style="width:0;height:1.5pt" o:hralign="center" o:hrstd="t" o:hr="t" fillcolor="#a0a0a0" stroked="f"/>
        </w:pict>
      </w:r>
    </w:p>
    <w:p w:rsidR="00D778CC" w:rsidRPr="00FB3E6C" w:rsidRDefault="00D778CC" w:rsidP="00743A5F">
      <w:pPr>
        <w:spacing w:before="100" w:beforeAutospacing="1" w:after="100" w:afterAutospacing="1" w:line="240" w:lineRule="auto"/>
        <w:outlineLvl w:val="3"/>
        <w:rPr>
          <w:rFonts w:ascii="Times New Roman" w:eastAsia="Times New Roman" w:hAnsi="Times New Roman" w:cs="Times New Roman"/>
          <w:b/>
          <w:bCs/>
          <w:sz w:val="24"/>
          <w:szCs w:val="24"/>
          <w:lang w:eastAsia="en-IN" w:bidi="ta-IN"/>
        </w:rPr>
      </w:pPr>
      <w:r w:rsidRPr="00FB3E6C">
        <w:rPr>
          <w:rFonts w:ascii="Times New Roman" w:eastAsia="Times New Roman" w:hAnsi="Times New Roman" w:cs="Times New Roman"/>
          <w:b/>
          <w:bCs/>
          <w:sz w:val="24"/>
          <w:szCs w:val="24"/>
          <w:lang w:eastAsia="en-IN" w:bidi="ta-IN"/>
        </w:rPr>
        <w:t>Don'ts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Don't Ignore Treaty Overrides: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Avoid assuming domestic provisions will always override DTAAs. Treaties often provide beneficial terms for taxpayers.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Don't Omit Proper Documentation:</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Failing to maintain agreements, TRCs, or transfer pricing documentation can lead to disallowances and penalties.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Don't Assume Income is Automatically Taxable: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Assess whether income is sourced in India or taxable due to a PE. Non-residents are only taxable on India-sourced income or if connected to a PE.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Don’t Misclassify Payments: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Incorrectly classifying payments like fees for technical services, royalties, or business profits can result in disputes.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Don’t Ignore TDS Obligations: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Failure to deduct or deduct at incorrect rates can lead to disallowance of expenses under Section 40(a)(i) and penalties.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Don’t Overlook GAAR/LOB:</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Structuring transactions solely for tax benefits without commercial substance can invoke GAAR or denial of DTAA benefits under LOB clauses.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Don't Delay Filings: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Late filing of CbC reports, tax audits, or remittance forms like 15CA/15CB can attract penalties.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Don’t Assume No PE Without Analysis: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Activities like long-term installations or repetitive service arrangements might create a PE even if unintentional.</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Don’t Ignore Tax Credit Claims: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Ensure proper foreign tax credit (FTC) claims under the DTAA and domestic rules to avoid double taxation.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Don’t Disregard Applicability of Other Taxes: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Apart from income tax, consider applicability of Equalization Levy, GST on cross-border services, or withholding under the Multilateral Instrument (MLI).</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32" style="width:0;height:1.5pt" o:hralign="center" o:hrstd="t" o:hr="t" fillcolor="#a0a0a0" stroked="f"/>
        </w:pict>
      </w:r>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Conclusion:</w:t>
      </w:r>
      <w:r w:rsidRPr="00FB3E6C">
        <w:rPr>
          <w:rFonts w:ascii="Times New Roman" w:eastAsia="Times New Roman" w:hAnsi="Times New Roman" w:cs="Times New Roman"/>
          <w:sz w:val="24"/>
          <w:szCs w:val="24"/>
          <w:lang w:eastAsia="en-IN" w:bidi="ta-IN"/>
        </w:rPr>
        <w:t xml:space="preserve"> Handling international taxation cases requires a meticulous approach, balancing domestic tax laws, DTAAs, and global tax developments. Proactive compliance and accurate documentation are critical to mitigating disputes and penalties.</w:t>
      </w:r>
    </w:p>
    <w:p w:rsidR="00D778CC" w:rsidRPr="00FB3E6C" w:rsidRDefault="00D778CC" w:rsidP="00743A5F">
      <w:pPr>
        <w:spacing w:before="100" w:beforeAutospacing="1" w:after="100" w:afterAutospacing="1" w:line="240" w:lineRule="auto"/>
        <w:outlineLvl w:val="4"/>
        <w:rPr>
          <w:rFonts w:ascii="Times New Roman" w:eastAsia="Times New Roman" w:hAnsi="Times New Roman" w:cs="Times New Roman"/>
          <w:b/>
          <w:bCs/>
          <w:sz w:val="20"/>
          <w:szCs w:val="20"/>
          <w:lang w:eastAsia="en-IN" w:bidi="ta-IN"/>
        </w:rPr>
      </w:pPr>
      <w:r w:rsidRPr="00FB3E6C">
        <w:rPr>
          <w:rFonts w:ascii="Times New Roman" w:eastAsia="Times New Roman" w:hAnsi="Times New Roman" w:cs="Times New Roman"/>
          <w:b/>
          <w:bCs/>
          <w:sz w:val="20"/>
          <w:szCs w:val="20"/>
          <w:lang w:eastAsia="en-IN" w:bidi="ta-IN"/>
        </w:rPr>
        <w:t>You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Key Takeaways in our discussions in International taxation</w:t>
      </w:r>
    </w:p>
    <w:p w:rsidR="00D778CC" w:rsidRPr="00FB3E6C" w:rsidRDefault="00D778CC" w:rsidP="00743A5F">
      <w:pPr>
        <w:spacing w:before="100" w:beforeAutospacing="1" w:after="100" w:afterAutospacing="1" w:line="240" w:lineRule="auto"/>
        <w:outlineLvl w:val="5"/>
        <w:rPr>
          <w:rFonts w:ascii="Times New Roman" w:eastAsia="Times New Roman" w:hAnsi="Times New Roman" w:cs="Times New Roman"/>
          <w:b/>
          <w:bCs/>
          <w:sz w:val="15"/>
          <w:szCs w:val="15"/>
          <w:lang w:eastAsia="en-IN" w:bidi="ta-IN"/>
        </w:rPr>
      </w:pPr>
      <w:r w:rsidRPr="00FB3E6C">
        <w:rPr>
          <w:rFonts w:ascii="Times New Roman" w:eastAsia="Times New Roman" w:hAnsi="Times New Roman" w:cs="Times New Roman"/>
          <w:b/>
          <w:bCs/>
          <w:sz w:val="15"/>
          <w:szCs w:val="15"/>
          <w:lang w:eastAsia="en-IN" w:bidi="ta-IN"/>
        </w:rPr>
        <w:t>ChatGPT said:</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noProof/>
          <w:sz w:val="24"/>
          <w:szCs w:val="24"/>
          <w:lang w:eastAsia="en-IN" w:bidi="ta-IN"/>
        </w:rPr>
        <w:drawing>
          <wp:inline distT="0" distB="0" distL="0" distR="0" wp14:anchorId="37DF6F0E" wp14:editId="11B4391E">
            <wp:extent cx="763905" cy="763905"/>
            <wp:effectExtent l="0" t="0" r="0" b="0"/>
            <wp:docPr id="1" name="Picture 1" descr="GP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descr="GPT 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 cy="763905"/>
                    </a:xfrm>
                    <a:prstGeom prst="rect">
                      <a:avLst/>
                    </a:prstGeom>
                    <a:noFill/>
                    <a:ln>
                      <a:noFill/>
                    </a:ln>
                  </pic:spPr>
                </pic:pic>
              </a:graphicData>
            </a:graphic>
          </wp:inline>
        </w:drawing>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404" w:name="_Toc187663326"/>
      <w:bookmarkStart w:id="1405" w:name="_Toc187661142"/>
      <w:bookmarkStart w:id="1406" w:name="_Toc187662221"/>
      <w:r w:rsidRPr="00FB3E6C">
        <w:rPr>
          <w:rFonts w:ascii="Times New Roman" w:eastAsia="Times New Roman" w:hAnsi="Times New Roman" w:cs="Times New Roman"/>
          <w:b/>
          <w:bCs/>
          <w:sz w:val="27"/>
          <w:szCs w:val="27"/>
          <w:lang w:eastAsia="en-IN" w:bidi="ta-IN"/>
        </w:rPr>
        <w:t>Key Takeaways from Discussions on International Taxation</w:t>
      </w:r>
      <w:bookmarkEnd w:id="1404"/>
      <w:bookmarkEnd w:id="1405"/>
      <w:bookmarkEnd w:id="1406"/>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Importance of DTAAs: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Double Taxation Avoidance Agreements (DTAAs) are critical in determining tax liabilities for cross-border transactions.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DTAAs provide clarity on the taxability of income, allocation of taxing rights, and rates applicable to various types of income like dividends, royalties, and fees for technical services.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Permanent Establishment (PE):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Establishing the existence of a PE is a key factor in determining the taxability of a foreign enterprise in India.</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Types of PEs include Fixed Place PE, Service PE, Installation PE, and Agency PE, as defined in Article 5 of most DTAAs.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PE analysis depends on the nature of activities, duration of presence, and relationship with local agents.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Characterization of Income: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Proper classification of income as business profits, royalties, fees for technical services (FTS), or capital gains is vital to determine tax rates and exemptions under DTAAs.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Mischaracterization can lead to higher tax liabilities or disputes with tax authorities.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Withholding Tax Compliance: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Section 195 of the Income Tax Act mandates withholding tax on payments to non-residents if the income is chargeable to tax in India.</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applicable TDS rate depends on the Income Tax Act and DTAA, whichever is more beneficial to the taxpayer.</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Grossing-up is required when the payer bears the tax liability.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Transfer Pricing Regulations: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Transfer pricing compliance is crucial for inter-company transactions to ensure that prices are consistent with the arm’s-length principle.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Proper documentation, benchmarking studies, and Form 3CEB filing are mandatory to avoid penalties.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Equalization Levy:</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Equalization Levy applies to digital services and certain e-commerce transactions provided by non-residents without a PE in India.</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This levy aims to address taxation of the digital economy and requires monitoring of its scope and compliance.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General Anti-Avoidance Rule (GAAR):</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GAAR applies to transactions lacking commercial substance and undertaken solely for tax benefits.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Taxpayers must ensure that international structures comply with substance requirements to avoid challenges under GAAR or Limitation of Benefits (LOB) clauses.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Base Erosion and Profit Shifting (BEPS) Actions: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BEPS Action Plans, including Country-by-Country (CbC) reporting and Multilateral Instrument (MLI), aim to address tax avoidance strategies.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Companies must align their tax practices with these global standards to avoid penalties and maintain transparency.</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Foreign Tax Credit (FTC):</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FTC provisions prevent double taxation of the same income by providing credit for taxes paid in foreign jurisdictions.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Proper documentation, including Tax Residency Certificates (TRC) and Form 67, is essential to claim FTC.</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Advance Rulings: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Advance Rulings provide certainty in tax matters, particularly for non-residents and cross-border transactions.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They help minimize disputes by clarifying the tax treatment of specific transactions beforehand.</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Litigation Trends: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Recent judicial decisions emphasize the importance of adhering to DTAA provisions, proper income classification, and documentation.</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Courts have consistently upheld the supremacy of DTAAs over domestic laws where applicable.</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Documentation and Compliance:</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Maintaining accurate and complete documentation, such as TRCs, Form 10F, and inter-company agreements, is vital for international transactions.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lastRenderedPageBreak/>
        <w:t>Timely compliance with filing requirements like Form 15CA/15CB, CbC reports, and tax audits ensures smooth operations.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Digital Economy and Emerging Trends: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The increasing scope of the digital economy necessitates monitoring of taxation on e-commerce, digital advertising, and intangible assets.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Changes in global tax frameworks, such as the OECD’s Pillar One and Pillar Two proposals, require constant adaptation.</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Tax Residency and LOB Clauses: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Determining residency under Section 6 and relevant DTAA provisions is critical to claiming treaty benefits.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LOB clauses must be analyzed to ensure eligibility for treaty advantages, especially in cases involving treaty shopping concerns.</w:t>
      </w:r>
    </w:p>
    <w:p w:rsidR="00D778CC" w:rsidRPr="00FB3E6C" w:rsidRDefault="00D778CC" w:rsidP="00743A5F">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b/>
          <w:bCs/>
          <w:sz w:val="24"/>
          <w:szCs w:val="24"/>
          <w:lang w:eastAsia="en-IN" w:bidi="ta-IN"/>
        </w:rPr>
        <w:t>Judicial Precedents:</w:t>
      </w:r>
    </w:p>
    <w:p w:rsidR="00D778CC" w:rsidRPr="00FB3E6C" w:rsidRDefault="00D778CC" w:rsidP="00743A5F">
      <w:pPr>
        <w:numPr>
          <w:ilvl w:val="1"/>
          <w:numId w:val="0"/>
        </w:numPr>
        <w:tabs>
          <w:tab w:val="num" w:pos="1440"/>
        </w:tabs>
        <w:spacing w:before="100" w:beforeAutospacing="1" w:after="100" w:afterAutospacing="1" w:line="240" w:lineRule="auto"/>
        <w:ind w:left="1440" w:hanging="360"/>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Key rulings in international taxation provide clarity on critical aspects like the taxability of offshore supply, treaty overrides, and the scope of PE.</w:t>
      </w:r>
    </w:p>
    <w:p w:rsidR="00D778CC" w:rsidRPr="00FB3E6C" w:rsidRDefault="00D778CC" w:rsidP="00743A5F">
      <w:pPr>
        <w:spacing w:after="0"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pict>
          <v:rect id="_x0000_i1933" style="width:0;height:1.5pt" o:hralign="center" o:hrstd="t" o:hr="t" fillcolor="#a0a0a0" stroked="f"/>
        </w:pict>
      </w:r>
    </w:p>
    <w:p w:rsidR="00D778CC" w:rsidRPr="00FB3E6C" w:rsidRDefault="00D778CC" w:rsidP="00743A5F">
      <w:pPr>
        <w:spacing w:before="100" w:beforeAutospacing="1" w:after="100" w:afterAutospacing="1" w:line="240" w:lineRule="auto"/>
        <w:outlineLvl w:val="2"/>
        <w:rPr>
          <w:rFonts w:ascii="Times New Roman" w:eastAsia="Times New Roman" w:hAnsi="Times New Roman" w:cs="Times New Roman"/>
          <w:b/>
          <w:bCs/>
          <w:sz w:val="27"/>
          <w:szCs w:val="27"/>
          <w:lang w:eastAsia="en-IN" w:bidi="ta-IN"/>
        </w:rPr>
      </w:pPr>
      <w:bookmarkStart w:id="1407" w:name="_Toc187663327"/>
      <w:bookmarkStart w:id="1408" w:name="_Toc187661143"/>
      <w:bookmarkStart w:id="1409" w:name="_Toc187662222"/>
      <w:r w:rsidRPr="00FB3E6C">
        <w:rPr>
          <w:rFonts w:ascii="Times New Roman" w:eastAsia="Times New Roman" w:hAnsi="Times New Roman" w:cs="Times New Roman"/>
          <w:b/>
          <w:bCs/>
          <w:sz w:val="27"/>
          <w:szCs w:val="27"/>
          <w:lang w:eastAsia="en-IN" w:bidi="ta-IN"/>
        </w:rPr>
        <w:t>Final Thoughts:</w:t>
      </w:r>
      <w:bookmarkEnd w:id="1407"/>
      <w:bookmarkEnd w:id="1408"/>
      <w:bookmarkEnd w:id="1409"/>
    </w:p>
    <w:p w:rsidR="00D778CC" w:rsidRPr="00FB3E6C" w:rsidRDefault="00D778CC" w:rsidP="00743A5F">
      <w:pPr>
        <w:spacing w:before="100" w:beforeAutospacing="1" w:after="100" w:afterAutospacing="1" w:line="240" w:lineRule="auto"/>
        <w:rPr>
          <w:rFonts w:ascii="Times New Roman" w:eastAsia="Times New Roman" w:hAnsi="Times New Roman" w:cs="Times New Roman"/>
          <w:sz w:val="24"/>
          <w:szCs w:val="24"/>
          <w:lang w:eastAsia="en-IN" w:bidi="ta-IN"/>
        </w:rPr>
      </w:pPr>
      <w:r w:rsidRPr="00FB3E6C">
        <w:rPr>
          <w:rFonts w:ascii="Times New Roman" w:eastAsia="Times New Roman" w:hAnsi="Times New Roman" w:cs="Times New Roman"/>
          <w:sz w:val="24"/>
          <w:szCs w:val="24"/>
          <w:lang w:eastAsia="en-IN" w:bidi="ta-IN"/>
        </w:rPr>
        <w:t>International taxation requires a multi-faceted approach, balancing domestic laws, treaties, and global standards. Proactive compliance, documentation, and alignment with international best practices are essential to manage risks and optimize tax outcomes.</w:t>
      </w:r>
    </w:p>
    <w:p w:rsidR="00D778CC" w:rsidRPr="009C5151" w:rsidRDefault="00D778CC" w:rsidP="00743A5F">
      <w:pPr>
        <w:spacing w:line="240" w:lineRule="auto"/>
        <w:rPr>
          <w:rFonts w:ascii="Times New Roman" w:hAnsi="Times New Roman" w:cs="Times New Roman"/>
          <w:sz w:val="24"/>
          <w:szCs w:val="24"/>
        </w:rPr>
      </w:pPr>
    </w:p>
    <w:p w:rsidR="003B6437" w:rsidRDefault="003B6437" w:rsidP="00743A5F">
      <w:pPr>
        <w:spacing w:line="240" w:lineRule="auto"/>
      </w:pPr>
    </w:p>
    <w:sectPr w:rsidR="003B6437" w:rsidSect="00A056B6">
      <w:headerReference w:type="default" r:id="rId171"/>
      <w:footerReference w:type="default" r:id="rId172"/>
      <w:headerReference w:type="first" r:id="rId173"/>
      <w:footerReference w:type="first" r:id="rId174"/>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507" w:rsidRDefault="00773507" w:rsidP="00A056B6">
      <w:pPr>
        <w:spacing w:after="0" w:line="240" w:lineRule="auto"/>
      </w:pPr>
      <w:r>
        <w:separator/>
      </w:r>
    </w:p>
  </w:endnote>
  <w:endnote w:type="continuationSeparator" w:id="0">
    <w:p w:rsidR="00773507" w:rsidRDefault="00773507" w:rsidP="00A05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346869"/>
      <w:docPartObj>
        <w:docPartGallery w:val="Page Numbers (Bottom of Page)"/>
        <w:docPartUnique/>
      </w:docPartObj>
    </w:sdtPr>
    <w:sdtEndPr>
      <w:rPr>
        <w:color w:val="7F7F7F" w:themeColor="background1" w:themeShade="7F"/>
        <w:spacing w:val="60"/>
      </w:rPr>
    </w:sdtEndPr>
    <w:sdtContent>
      <w:p w:rsidR="003B6437" w:rsidRDefault="003B6437">
        <w:pPr>
          <w:pStyle w:val="Footer"/>
          <w:pBdr>
            <w:top w:val="single" w:sz="4" w:space="1" w:color="D9D9D9" w:themeColor="background1" w:themeShade="D9"/>
          </w:pBdr>
          <w:jc w:val="right"/>
        </w:pPr>
        <w:r>
          <w:fldChar w:fldCharType="begin"/>
        </w:r>
        <w:r>
          <w:instrText xml:space="preserve"> PAGE   \* MERGEFORMAT </w:instrText>
        </w:r>
        <w:r>
          <w:fldChar w:fldCharType="separate"/>
        </w:r>
        <w:r w:rsidR="00DB2ADC">
          <w:rPr>
            <w:noProof/>
          </w:rPr>
          <w:t>2</w:t>
        </w:r>
        <w:r>
          <w:rPr>
            <w:noProof/>
          </w:rPr>
          <w:fldChar w:fldCharType="end"/>
        </w:r>
        <w:r>
          <w:t xml:space="preserve"> | </w:t>
        </w:r>
        <w:r>
          <w:rPr>
            <w:color w:val="7F7F7F" w:themeColor="background1" w:themeShade="7F"/>
            <w:spacing w:val="60"/>
          </w:rPr>
          <w:t>Page</w:t>
        </w:r>
      </w:p>
    </w:sdtContent>
  </w:sdt>
  <w:p w:rsidR="003B6437" w:rsidRDefault="003B64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0243219"/>
      <w:docPartObj>
        <w:docPartGallery w:val="Page Numbers (Bottom of Page)"/>
        <w:docPartUnique/>
      </w:docPartObj>
    </w:sdtPr>
    <w:sdtEndPr>
      <w:rPr>
        <w:color w:val="7F7F7F" w:themeColor="background1" w:themeShade="7F"/>
        <w:spacing w:val="60"/>
      </w:rPr>
    </w:sdtEndPr>
    <w:sdtContent>
      <w:p w:rsidR="003B6437" w:rsidRDefault="003B643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B2ADC" w:rsidRPr="00DB2ADC">
          <w:rPr>
            <w:b/>
            <w:bCs/>
            <w:noProof/>
          </w:rPr>
          <w:t>1</w:t>
        </w:r>
        <w:r>
          <w:rPr>
            <w:b/>
            <w:bCs/>
            <w:noProof/>
          </w:rPr>
          <w:fldChar w:fldCharType="end"/>
        </w:r>
        <w:r>
          <w:rPr>
            <w:b/>
            <w:bCs/>
          </w:rPr>
          <w:t xml:space="preserve"> | </w:t>
        </w:r>
        <w:r>
          <w:rPr>
            <w:color w:val="7F7F7F" w:themeColor="background1" w:themeShade="7F"/>
            <w:spacing w:val="60"/>
          </w:rPr>
          <w:t>Page</w:t>
        </w:r>
      </w:p>
    </w:sdtContent>
  </w:sdt>
  <w:p w:rsidR="003B6437" w:rsidRDefault="003B64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507" w:rsidRDefault="00773507" w:rsidP="00A056B6">
      <w:pPr>
        <w:spacing w:after="0" w:line="240" w:lineRule="auto"/>
      </w:pPr>
      <w:r>
        <w:separator/>
      </w:r>
    </w:p>
  </w:footnote>
  <w:footnote w:type="continuationSeparator" w:id="0">
    <w:p w:rsidR="00773507" w:rsidRDefault="00773507" w:rsidP="00A05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ADC" w:rsidRDefault="00DB2ADC">
    <w:pPr>
      <w:pStyle w:val="Header"/>
      <w:pBdr>
        <w:bottom w:val="single" w:sz="12" w:space="1" w:color="auto"/>
      </w:pBdr>
      <w:rPr>
        <w:rFonts w:ascii="Times New Roman" w:hAnsi="Times New Roman" w:cs="Times New Roman"/>
        <w:sz w:val="24"/>
        <w:szCs w:val="24"/>
        <w:lang w:val="en-US"/>
      </w:rPr>
    </w:pPr>
    <w:r w:rsidRPr="00DB2ADC">
      <w:rPr>
        <w:rFonts w:ascii="Times New Roman" w:hAnsi="Times New Roman" w:cs="Times New Roman"/>
        <w:sz w:val="24"/>
        <w:szCs w:val="24"/>
        <w:lang w:val="en-US"/>
      </w:rPr>
      <w:t>Case studies and decided cases in International Taxation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437" w:rsidRDefault="003B6437" w:rsidP="00A056B6">
    <w:pPr>
      <w:pStyle w:val="Header"/>
      <w:pBdr>
        <w:bottom w:val="single" w:sz="6" w:space="1" w:color="auto"/>
      </w:pBdr>
      <w:rPr>
        <w:rFonts w:ascii="Georgia" w:hAnsi="Georgia" w:cs="Mongolian Baiti"/>
        <w:b/>
        <w:i/>
        <w:color w:val="002060"/>
        <w:sz w:val="32"/>
        <w:szCs w:val="48"/>
      </w:rPr>
    </w:pPr>
    <w:r>
      <w:rPr>
        <w:noProof/>
        <w:lang w:eastAsia="en-IN" w:bidi="ta-IN"/>
      </w:rPr>
      <w:drawing>
        <wp:inline distT="0" distB="0" distL="0" distR="0" wp14:anchorId="7C708661" wp14:editId="03E0326D">
          <wp:extent cx="508000" cy="381000"/>
          <wp:effectExtent l="0" t="0" r="6350" b="0"/>
          <wp:docPr id="252" name="Picture 252" descr="CA I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 Indi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t xml:space="preserve">  </w:t>
    </w:r>
    <w:r w:rsidRPr="008A6E0D">
      <w:rPr>
        <w:rFonts w:ascii="Georgia" w:hAnsi="Georgia" w:cs="Mongolian Baiti"/>
        <w:b/>
        <w:i/>
        <w:color w:val="002060"/>
        <w:sz w:val="32"/>
        <w:szCs w:val="48"/>
      </w:rPr>
      <w:t>Chandrasekaran Ramadurai FCA FCMA ACS</w:t>
    </w:r>
  </w:p>
  <w:p w:rsidR="003B6437" w:rsidRDefault="003B6437" w:rsidP="00A056B6">
    <w:pPr>
      <w:pStyle w:val="Header"/>
      <w:pBdr>
        <w:bottom w:val="single" w:sz="12" w:space="1" w:color="auto"/>
      </w:pBdr>
      <w:jc w:val="center"/>
      <w:rPr>
        <w:rFonts w:ascii="Times New Roman" w:eastAsia="Times New Roman" w:hAnsi="Times New Roman" w:cs="Times New Roman"/>
        <w:b/>
        <w:bCs/>
        <w:lang w:eastAsia="en-IN"/>
      </w:rPr>
    </w:pPr>
    <w:r w:rsidRPr="00861CDB">
      <w:rPr>
        <w:rFonts w:ascii="Times New Roman" w:eastAsia="Times New Roman" w:hAnsi="Times New Roman" w:cs="Times New Roman"/>
        <w:b/>
        <w:bCs/>
        <w:lang w:eastAsia="en-IN"/>
      </w:rPr>
      <w:t>Proprietor – C Ramadurai &amp; Co, Chartered Accountants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4976DA"/>
    <w:multiLevelType w:val="hybridMultilevel"/>
    <w:tmpl w:val="A4BAEB0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6B6"/>
    <w:rsid w:val="0034018A"/>
    <w:rsid w:val="003B6437"/>
    <w:rsid w:val="004D0ABB"/>
    <w:rsid w:val="00702BC7"/>
    <w:rsid w:val="00743A5F"/>
    <w:rsid w:val="00773507"/>
    <w:rsid w:val="008D23CE"/>
    <w:rsid w:val="00A056B6"/>
    <w:rsid w:val="00B37CA0"/>
    <w:rsid w:val="00D778CC"/>
    <w:rsid w:val="00DB2ADC"/>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462D07-8D80-450A-B536-4B0643B7A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6B6"/>
  </w:style>
  <w:style w:type="paragraph" w:styleId="Heading1">
    <w:name w:val="heading 1"/>
    <w:basedOn w:val="Normal"/>
    <w:next w:val="Normal"/>
    <w:link w:val="Heading1Char"/>
    <w:uiPriority w:val="9"/>
    <w:qFormat/>
    <w:rsid w:val="00A05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A056B6"/>
    <w:pPr>
      <w:spacing w:before="100" w:beforeAutospacing="1" w:after="100" w:afterAutospacing="1" w:line="240" w:lineRule="auto"/>
      <w:outlineLvl w:val="2"/>
    </w:pPr>
    <w:rPr>
      <w:rFonts w:ascii="Times New Roman" w:eastAsia="Times New Roman" w:hAnsi="Times New Roman" w:cs="Times New Roman"/>
      <w:b/>
      <w:bCs/>
      <w:sz w:val="27"/>
      <w:szCs w:val="27"/>
      <w:lang w:eastAsia="en-IN" w:bidi="ta-IN"/>
    </w:rPr>
  </w:style>
  <w:style w:type="paragraph" w:styleId="Heading4">
    <w:name w:val="heading 4"/>
    <w:basedOn w:val="Normal"/>
    <w:link w:val="Heading4Char"/>
    <w:uiPriority w:val="9"/>
    <w:qFormat/>
    <w:rsid w:val="00A056B6"/>
    <w:pPr>
      <w:spacing w:before="100" w:beforeAutospacing="1" w:after="100" w:afterAutospacing="1" w:line="240" w:lineRule="auto"/>
      <w:outlineLvl w:val="3"/>
    </w:pPr>
    <w:rPr>
      <w:rFonts w:ascii="Times New Roman" w:eastAsia="Times New Roman" w:hAnsi="Times New Roman" w:cs="Times New Roman"/>
      <w:b/>
      <w:bCs/>
      <w:sz w:val="24"/>
      <w:szCs w:val="24"/>
      <w:lang w:eastAsia="en-IN" w:bidi="ta-IN"/>
    </w:rPr>
  </w:style>
  <w:style w:type="paragraph" w:styleId="Heading5">
    <w:name w:val="heading 5"/>
    <w:basedOn w:val="Normal"/>
    <w:link w:val="Heading5Char"/>
    <w:uiPriority w:val="9"/>
    <w:qFormat/>
    <w:rsid w:val="00A056B6"/>
    <w:pPr>
      <w:spacing w:before="100" w:beforeAutospacing="1" w:after="100" w:afterAutospacing="1" w:line="240" w:lineRule="auto"/>
      <w:outlineLvl w:val="4"/>
    </w:pPr>
    <w:rPr>
      <w:rFonts w:ascii="Times New Roman" w:eastAsia="Times New Roman" w:hAnsi="Times New Roman" w:cs="Times New Roman"/>
      <w:b/>
      <w:bCs/>
      <w:sz w:val="20"/>
      <w:szCs w:val="20"/>
      <w:lang w:eastAsia="en-IN" w:bidi="ta-IN"/>
    </w:rPr>
  </w:style>
  <w:style w:type="paragraph" w:styleId="Heading6">
    <w:name w:val="heading 6"/>
    <w:basedOn w:val="Normal"/>
    <w:link w:val="Heading6Char"/>
    <w:uiPriority w:val="9"/>
    <w:qFormat/>
    <w:rsid w:val="00A056B6"/>
    <w:pPr>
      <w:spacing w:before="100" w:beforeAutospacing="1" w:after="100" w:afterAutospacing="1" w:line="240" w:lineRule="auto"/>
      <w:outlineLvl w:val="5"/>
    </w:pPr>
    <w:rPr>
      <w:rFonts w:ascii="Times New Roman" w:eastAsia="Times New Roman" w:hAnsi="Times New Roman" w:cs="Times New Roman"/>
      <w:b/>
      <w:bCs/>
      <w:sz w:val="15"/>
      <w:szCs w:val="15"/>
      <w:lang w:eastAsia="en-IN"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6B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A056B6"/>
    <w:rPr>
      <w:rFonts w:ascii="Times New Roman" w:eastAsia="Times New Roman" w:hAnsi="Times New Roman" w:cs="Times New Roman"/>
      <w:b/>
      <w:bCs/>
      <w:sz w:val="27"/>
      <w:szCs w:val="27"/>
      <w:lang w:eastAsia="en-IN" w:bidi="ta-IN"/>
    </w:rPr>
  </w:style>
  <w:style w:type="character" w:customStyle="1" w:styleId="Heading4Char">
    <w:name w:val="Heading 4 Char"/>
    <w:basedOn w:val="DefaultParagraphFont"/>
    <w:link w:val="Heading4"/>
    <w:uiPriority w:val="9"/>
    <w:rsid w:val="00A056B6"/>
    <w:rPr>
      <w:rFonts w:ascii="Times New Roman" w:eastAsia="Times New Roman" w:hAnsi="Times New Roman" w:cs="Times New Roman"/>
      <w:b/>
      <w:bCs/>
      <w:sz w:val="24"/>
      <w:szCs w:val="24"/>
      <w:lang w:eastAsia="en-IN" w:bidi="ta-IN"/>
    </w:rPr>
  </w:style>
  <w:style w:type="character" w:customStyle="1" w:styleId="Heading5Char">
    <w:name w:val="Heading 5 Char"/>
    <w:basedOn w:val="DefaultParagraphFont"/>
    <w:link w:val="Heading5"/>
    <w:uiPriority w:val="9"/>
    <w:rsid w:val="00A056B6"/>
    <w:rPr>
      <w:rFonts w:ascii="Times New Roman" w:eastAsia="Times New Roman" w:hAnsi="Times New Roman" w:cs="Times New Roman"/>
      <w:b/>
      <w:bCs/>
      <w:sz w:val="20"/>
      <w:szCs w:val="20"/>
      <w:lang w:eastAsia="en-IN" w:bidi="ta-IN"/>
    </w:rPr>
  </w:style>
  <w:style w:type="character" w:customStyle="1" w:styleId="Heading6Char">
    <w:name w:val="Heading 6 Char"/>
    <w:basedOn w:val="DefaultParagraphFont"/>
    <w:link w:val="Heading6"/>
    <w:uiPriority w:val="9"/>
    <w:rsid w:val="00A056B6"/>
    <w:rPr>
      <w:rFonts w:ascii="Times New Roman" w:eastAsia="Times New Roman" w:hAnsi="Times New Roman" w:cs="Times New Roman"/>
      <w:b/>
      <w:bCs/>
      <w:sz w:val="15"/>
      <w:szCs w:val="15"/>
      <w:lang w:eastAsia="en-IN" w:bidi="ta-IN"/>
    </w:rPr>
  </w:style>
  <w:style w:type="paragraph" w:styleId="Header">
    <w:name w:val="header"/>
    <w:basedOn w:val="Normal"/>
    <w:link w:val="HeaderChar"/>
    <w:uiPriority w:val="99"/>
    <w:unhideWhenUsed/>
    <w:rsid w:val="00A05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6B6"/>
  </w:style>
  <w:style w:type="paragraph" w:styleId="Footer">
    <w:name w:val="footer"/>
    <w:basedOn w:val="Normal"/>
    <w:link w:val="FooterChar"/>
    <w:uiPriority w:val="99"/>
    <w:unhideWhenUsed/>
    <w:rsid w:val="00A056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6B6"/>
  </w:style>
  <w:style w:type="paragraph" w:customStyle="1" w:styleId="firstmt-0">
    <w:name w:val="first:mt-0"/>
    <w:basedOn w:val="Normal"/>
    <w:rsid w:val="00A056B6"/>
    <w:pPr>
      <w:spacing w:before="100" w:beforeAutospacing="1" w:after="100" w:afterAutospacing="1" w:line="240" w:lineRule="auto"/>
    </w:pPr>
    <w:rPr>
      <w:rFonts w:ascii="Times New Roman" w:eastAsia="Times New Roman" w:hAnsi="Times New Roman" w:cs="Times New Roman"/>
      <w:sz w:val="24"/>
      <w:szCs w:val="24"/>
      <w:lang w:eastAsia="en-IN" w:bidi="ta-IN"/>
    </w:rPr>
  </w:style>
  <w:style w:type="paragraph" w:styleId="NormalWeb">
    <w:name w:val="Normal (Web)"/>
    <w:basedOn w:val="Normal"/>
    <w:uiPriority w:val="99"/>
    <w:semiHidden/>
    <w:unhideWhenUsed/>
    <w:rsid w:val="00A056B6"/>
    <w:pPr>
      <w:spacing w:before="100" w:beforeAutospacing="1" w:after="100" w:afterAutospacing="1" w:line="240" w:lineRule="auto"/>
    </w:pPr>
    <w:rPr>
      <w:rFonts w:ascii="Times New Roman" w:eastAsia="Times New Roman" w:hAnsi="Times New Roman" w:cs="Times New Roman"/>
      <w:sz w:val="24"/>
      <w:szCs w:val="24"/>
      <w:lang w:eastAsia="en-IN" w:bidi="ta-IN"/>
    </w:rPr>
  </w:style>
  <w:style w:type="character" w:styleId="Strong">
    <w:name w:val="Strong"/>
    <w:basedOn w:val="DefaultParagraphFont"/>
    <w:uiPriority w:val="22"/>
    <w:qFormat/>
    <w:rsid w:val="00A056B6"/>
    <w:rPr>
      <w:b/>
      <w:bCs/>
    </w:rPr>
  </w:style>
  <w:style w:type="character" w:customStyle="1" w:styleId="flex">
    <w:name w:val="flex"/>
    <w:basedOn w:val="DefaultParagraphFont"/>
    <w:rsid w:val="00A056B6"/>
  </w:style>
  <w:style w:type="character" w:styleId="Hyperlink">
    <w:name w:val="Hyperlink"/>
    <w:basedOn w:val="DefaultParagraphFont"/>
    <w:uiPriority w:val="99"/>
    <w:unhideWhenUsed/>
    <w:rsid w:val="00A056B6"/>
    <w:rPr>
      <w:color w:val="0000FF"/>
      <w:u w:val="single"/>
    </w:rPr>
  </w:style>
  <w:style w:type="character" w:styleId="FollowedHyperlink">
    <w:name w:val="FollowedHyperlink"/>
    <w:basedOn w:val="DefaultParagraphFont"/>
    <w:uiPriority w:val="99"/>
    <w:semiHidden/>
    <w:unhideWhenUsed/>
    <w:rsid w:val="00A056B6"/>
    <w:rPr>
      <w:color w:val="800080"/>
      <w:u w:val="single"/>
    </w:rPr>
  </w:style>
  <w:style w:type="character" w:customStyle="1" w:styleId="truncate">
    <w:name w:val="truncate"/>
    <w:basedOn w:val="DefaultParagraphFont"/>
    <w:rsid w:val="00A056B6"/>
  </w:style>
  <w:style w:type="paragraph" w:styleId="TOCHeading">
    <w:name w:val="TOC Heading"/>
    <w:basedOn w:val="Heading1"/>
    <w:next w:val="Normal"/>
    <w:uiPriority w:val="39"/>
    <w:unhideWhenUsed/>
    <w:qFormat/>
    <w:rsid w:val="00A056B6"/>
    <w:pPr>
      <w:outlineLvl w:val="9"/>
    </w:pPr>
    <w:rPr>
      <w:lang w:val="en-US"/>
    </w:rPr>
  </w:style>
  <w:style w:type="paragraph" w:styleId="TOC3">
    <w:name w:val="toc 3"/>
    <w:basedOn w:val="Normal"/>
    <w:next w:val="Normal"/>
    <w:autoRedefine/>
    <w:uiPriority w:val="39"/>
    <w:unhideWhenUsed/>
    <w:rsid w:val="00A056B6"/>
    <w:pPr>
      <w:spacing w:after="100"/>
      <w:ind w:left="440"/>
    </w:pPr>
  </w:style>
  <w:style w:type="character" w:customStyle="1" w:styleId="HTMLPreformattedChar">
    <w:name w:val="HTML Preformatted Char"/>
    <w:basedOn w:val="DefaultParagraphFont"/>
    <w:link w:val="HTMLPreformatted"/>
    <w:uiPriority w:val="99"/>
    <w:semiHidden/>
    <w:rsid w:val="00A056B6"/>
    <w:rPr>
      <w:rFonts w:ascii="Courier New" w:eastAsia="Times New Roman" w:hAnsi="Courier New" w:cs="Courier New"/>
      <w:sz w:val="20"/>
      <w:szCs w:val="20"/>
      <w:lang w:eastAsia="en-IN" w:bidi="ta-IN"/>
    </w:rPr>
  </w:style>
  <w:style w:type="paragraph" w:styleId="HTMLPreformatted">
    <w:name w:val="HTML Preformatted"/>
    <w:basedOn w:val="Normal"/>
    <w:link w:val="HTMLPreformattedChar"/>
    <w:uiPriority w:val="99"/>
    <w:semiHidden/>
    <w:unhideWhenUsed/>
    <w:rsid w:val="00A05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bidi="ta-IN"/>
    </w:rPr>
  </w:style>
  <w:style w:type="character" w:customStyle="1" w:styleId="HTMLPreformattedChar1">
    <w:name w:val="HTML Preformatted Char1"/>
    <w:basedOn w:val="DefaultParagraphFont"/>
    <w:uiPriority w:val="99"/>
    <w:semiHidden/>
    <w:rsid w:val="00A056B6"/>
    <w:rPr>
      <w:rFonts w:ascii="Consolas" w:hAnsi="Consolas"/>
      <w:sz w:val="20"/>
      <w:szCs w:val="20"/>
    </w:rPr>
  </w:style>
  <w:style w:type="character" w:styleId="HTMLCode">
    <w:name w:val="HTML Code"/>
    <w:basedOn w:val="DefaultParagraphFont"/>
    <w:uiPriority w:val="99"/>
    <w:semiHidden/>
    <w:unhideWhenUsed/>
    <w:rsid w:val="00A056B6"/>
    <w:rPr>
      <w:rFonts w:ascii="Courier New" w:eastAsia="Times New Roman" w:hAnsi="Courier New" w:cs="Courier New"/>
      <w:sz w:val="20"/>
      <w:szCs w:val="20"/>
    </w:rPr>
  </w:style>
  <w:style w:type="character" w:customStyle="1" w:styleId="hljs-bullet">
    <w:name w:val="hljs-bullet"/>
    <w:basedOn w:val="DefaultParagraphFont"/>
    <w:rsid w:val="00A056B6"/>
  </w:style>
  <w:style w:type="character" w:customStyle="1" w:styleId="hljs-string">
    <w:name w:val="hljs-string"/>
    <w:basedOn w:val="DefaultParagraphFont"/>
    <w:rsid w:val="00A056B6"/>
  </w:style>
  <w:style w:type="character" w:customStyle="1" w:styleId="hljs-attr">
    <w:name w:val="hljs-attr"/>
    <w:basedOn w:val="DefaultParagraphFont"/>
    <w:rsid w:val="00A056B6"/>
  </w:style>
  <w:style w:type="character" w:customStyle="1" w:styleId="hljs-deletion">
    <w:name w:val="hljs-deletion"/>
    <w:basedOn w:val="DefaultParagraphFont"/>
    <w:rsid w:val="00A056B6"/>
  </w:style>
  <w:style w:type="character" w:customStyle="1" w:styleId="hljs-strong">
    <w:name w:val="hljs-strong"/>
    <w:basedOn w:val="DefaultParagraphFont"/>
    <w:rsid w:val="00A056B6"/>
  </w:style>
  <w:style w:type="character" w:customStyle="1" w:styleId="hljs-keyword">
    <w:name w:val="hljs-keyword"/>
    <w:basedOn w:val="DefaultParagraphFont"/>
    <w:rsid w:val="00A056B6"/>
  </w:style>
  <w:style w:type="character" w:customStyle="1" w:styleId="hljs-number">
    <w:name w:val="hljs-number"/>
    <w:basedOn w:val="DefaultParagraphFont"/>
    <w:rsid w:val="00A056B6"/>
  </w:style>
  <w:style w:type="character" w:customStyle="1" w:styleId="hljs-operator">
    <w:name w:val="hljs-operator"/>
    <w:basedOn w:val="DefaultParagraphFont"/>
    <w:rsid w:val="00A056B6"/>
  </w:style>
  <w:style w:type="character" w:styleId="Emphasis">
    <w:name w:val="Emphasis"/>
    <w:basedOn w:val="DefaultParagraphFont"/>
    <w:uiPriority w:val="20"/>
    <w:qFormat/>
    <w:rsid w:val="00A056B6"/>
    <w:rPr>
      <w:i/>
      <w:iCs/>
    </w:rPr>
  </w:style>
  <w:style w:type="paragraph" w:styleId="TOC1">
    <w:name w:val="toc 1"/>
    <w:basedOn w:val="Normal"/>
    <w:next w:val="Normal"/>
    <w:autoRedefine/>
    <w:uiPriority w:val="39"/>
    <w:unhideWhenUsed/>
    <w:rsid w:val="00A056B6"/>
    <w:pPr>
      <w:spacing w:after="100"/>
    </w:pPr>
    <w:rPr>
      <w:rFonts w:eastAsiaTheme="minorEastAsia"/>
      <w:lang w:eastAsia="en-IN" w:bidi="ta-IN"/>
    </w:rPr>
  </w:style>
  <w:style w:type="paragraph" w:styleId="TOC2">
    <w:name w:val="toc 2"/>
    <w:basedOn w:val="Normal"/>
    <w:next w:val="Normal"/>
    <w:autoRedefine/>
    <w:uiPriority w:val="39"/>
    <w:unhideWhenUsed/>
    <w:rsid w:val="00A056B6"/>
    <w:pPr>
      <w:spacing w:after="100"/>
      <w:ind w:left="220"/>
    </w:pPr>
    <w:rPr>
      <w:rFonts w:eastAsiaTheme="minorEastAsia"/>
      <w:lang w:eastAsia="en-IN" w:bidi="ta-IN"/>
    </w:rPr>
  </w:style>
  <w:style w:type="paragraph" w:styleId="TOC4">
    <w:name w:val="toc 4"/>
    <w:basedOn w:val="Normal"/>
    <w:next w:val="Normal"/>
    <w:autoRedefine/>
    <w:uiPriority w:val="39"/>
    <w:unhideWhenUsed/>
    <w:rsid w:val="00A056B6"/>
    <w:pPr>
      <w:spacing w:after="100"/>
      <w:ind w:left="660"/>
    </w:pPr>
    <w:rPr>
      <w:rFonts w:eastAsiaTheme="minorEastAsia"/>
      <w:lang w:eastAsia="en-IN" w:bidi="ta-IN"/>
    </w:rPr>
  </w:style>
  <w:style w:type="paragraph" w:styleId="TOC5">
    <w:name w:val="toc 5"/>
    <w:basedOn w:val="Normal"/>
    <w:next w:val="Normal"/>
    <w:autoRedefine/>
    <w:uiPriority w:val="39"/>
    <w:unhideWhenUsed/>
    <w:rsid w:val="00A056B6"/>
    <w:pPr>
      <w:spacing w:after="100"/>
      <w:ind w:left="880"/>
    </w:pPr>
    <w:rPr>
      <w:rFonts w:eastAsiaTheme="minorEastAsia"/>
      <w:lang w:eastAsia="en-IN" w:bidi="ta-IN"/>
    </w:rPr>
  </w:style>
  <w:style w:type="paragraph" w:styleId="TOC6">
    <w:name w:val="toc 6"/>
    <w:basedOn w:val="Normal"/>
    <w:next w:val="Normal"/>
    <w:autoRedefine/>
    <w:uiPriority w:val="39"/>
    <w:unhideWhenUsed/>
    <w:rsid w:val="00A056B6"/>
    <w:pPr>
      <w:spacing w:after="100"/>
      <w:ind w:left="1100"/>
    </w:pPr>
    <w:rPr>
      <w:rFonts w:eastAsiaTheme="minorEastAsia"/>
      <w:lang w:eastAsia="en-IN" w:bidi="ta-IN"/>
    </w:rPr>
  </w:style>
  <w:style w:type="paragraph" w:styleId="TOC7">
    <w:name w:val="toc 7"/>
    <w:basedOn w:val="Normal"/>
    <w:next w:val="Normal"/>
    <w:autoRedefine/>
    <w:uiPriority w:val="39"/>
    <w:unhideWhenUsed/>
    <w:rsid w:val="00A056B6"/>
    <w:pPr>
      <w:spacing w:after="100"/>
      <w:ind w:left="1320"/>
    </w:pPr>
    <w:rPr>
      <w:rFonts w:eastAsiaTheme="minorEastAsia"/>
      <w:lang w:eastAsia="en-IN" w:bidi="ta-IN"/>
    </w:rPr>
  </w:style>
  <w:style w:type="paragraph" w:styleId="TOC8">
    <w:name w:val="toc 8"/>
    <w:basedOn w:val="Normal"/>
    <w:next w:val="Normal"/>
    <w:autoRedefine/>
    <w:uiPriority w:val="39"/>
    <w:unhideWhenUsed/>
    <w:rsid w:val="00A056B6"/>
    <w:pPr>
      <w:spacing w:after="100"/>
      <w:ind w:left="1540"/>
    </w:pPr>
    <w:rPr>
      <w:rFonts w:eastAsiaTheme="minorEastAsia"/>
      <w:lang w:eastAsia="en-IN" w:bidi="ta-IN"/>
    </w:rPr>
  </w:style>
  <w:style w:type="paragraph" w:styleId="TOC9">
    <w:name w:val="toc 9"/>
    <w:basedOn w:val="Normal"/>
    <w:next w:val="Normal"/>
    <w:autoRedefine/>
    <w:uiPriority w:val="39"/>
    <w:unhideWhenUsed/>
    <w:rsid w:val="00A056B6"/>
    <w:pPr>
      <w:spacing w:after="100"/>
      <w:ind w:left="1760"/>
    </w:pPr>
    <w:rPr>
      <w:rFonts w:eastAsiaTheme="minorEastAsia"/>
      <w:lang w:eastAsia="en-IN" w:bidi="ta-IN"/>
    </w:rPr>
  </w:style>
  <w:style w:type="paragraph" w:styleId="ListParagraph">
    <w:name w:val="List Paragraph"/>
    <w:basedOn w:val="Normal"/>
    <w:uiPriority w:val="34"/>
    <w:qFormat/>
    <w:rsid w:val="003B6437"/>
    <w:pPr>
      <w:ind w:left="720"/>
      <w:contextualSpacing/>
    </w:pPr>
  </w:style>
  <w:style w:type="character" w:customStyle="1" w:styleId="block">
    <w:name w:val="block"/>
    <w:basedOn w:val="DefaultParagraphFont"/>
    <w:rsid w:val="00D778CC"/>
  </w:style>
  <w:style w:type="paragraph" w:styleId="z-TopofForm">
    <w:name w:val="HTML Top of Form"/>
    <w:basedOn w:val="Normal"/>
    <w:next w:val="Normal"/>
    <w:link w:val="z-TopofFormChar"/>
    <w:hidden/>
    <w:uiPriority w:val="99"/>
    <w:semiHidden/>
    <w:unhideWhenUsed/>
    <w:rsid w:val="00D778CC"/>
    <w:pPr>
      <w:pBdr>
        <w:bottom w:val="single" w:sz="6" w:space="1" w:color="auto"/>
      </w:pBdr>
      <w:spacing w:after="0" w:line="240" w:lineRule="auto"/>
      <w:jc w:val="center"/>
    </w:pPr>
    <w:rPr>
      <w:rFonts w:ascii="Arial" w:eastAsia="Times New Roman" w:hAnsi="Arial" w:cs="Arial"/>
      <w:vanish/>
      <w:sz w:val="16"/>
      <w:szCs w:val="16"/>
      <w:lang w:eastAsia="en-IN" w:bidi="ta-IN"/>
    </w:rPr>
  </w:style>
  <w:style w:type="character" w:customStyle="1" w:styleId="z-TopofFormChar">
    <w:name w:val="z-Top of Form Char"/>
    <w:basedOn w:val="DefaultParagraphFont"/>
    <w:link w:val="z-TopofForm"/>
    <w:uiPriority w:val="99"/>
    <w:semiHidden/>
    <w:rsid w:val="00D778CC"/>
    <w:rPr>
      <w:rFonts w:ascii="Arial" w:eastAsia="Times New Roman" w:hAnsi="Arial" w:cs="Arial"/>
      <w:vanish/>
      <w:sz w:val="16"/>
      <w:szCs w:val="16"/>
      <w:lang w:eastAsia="en-IN" w:bidi="ta-IN"/>
    </w:rPr>
  </w:style>
  <w:style w:type="paragraph" w:styleId="z-BottomofForm">
    <w:name w:val="HTML Bottom of Form"/>
    <w:basedOn w:val="Normal"/>
    <w:next w:val="Normal"/>
    <w:link w:val="z-BottomofFormChar"/>
    <w:hidden/>
    <w:uiPriority w:val="99"/>
    <w:semiHidden/>
    <w:unhideWhenUsed/>
    <w:rsid w:val="00D778CC"/>
    <w:pPr>
      <w:pBdr>
        <w:top w:val="single" w:sz="6" w:space="1" w:color="auto"/>
      </w:pBdr>
      <w:spacing w:after="0" w:line="240" w:lineRule="auto"/>
      <w:jc w:val="center"/>
    </w:pPr>
    <w:rPr>
      <w:rFonts w:ascii="Arial" w:eastAsia="Times New Roman" w:hAnsi="Arial" w:cs="Arial"/>
      <w:vanish/>
      <w:sz w:val="16"/>
      <w:szCs w:val="16"/>
      <w:lang w:eastAsia="en-IN" w:bidi="ta-IN"/>
    </w:rPr>
  </w:style>
  <w:style w:type="character" w:customStyle="1" w:styleId="z-BottomofFormChar">
    <w:name w:val="z-Bottom of Form Char"/>
    <w:basedOn w:val="DefaultParagraphFont"/>
    <w:link w:val="z-BottomofForm"/>
    <w:uiPriority w:val="99"/>
    <w:semiHidden/>
    <w:rsid w:val="00D778CC"/>
    <w:rPr>
      <w:rFonts w:ascii="Arial" w:eastAsia="Times New Roman" w:hAnsi="Arial" w:cs="Arial"/>
      <w:vanish/>
      <w:sz w:val="16"/>
      <w:szCs w:val="16"/>
      <w:lang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atonline.org/digest/cit-it-v-new-skies-satellite-bv-2023-290-taxman-170-delhihc/?utm_source=chatgpt.com" TargetMode="External"/><Relationship Id="rId117" Type="http://schemas.openxmlformats.org/officeDocument/2006/relationships/hyperlink" Target="https://indiankanoon.org/doc/195686554/" TargetMode="External"/><Relationship Id="rId21" Type="http://schemas.openxmlformats.org/officeDocument/2006/relationships/hyperlink" Target="https://itatonline.org/archives/ge-energy-parts-inc-vs-cit-delhi-high-court-law-on-what-constitutes-a-fixed-place-permanent-establishment-under-articles-51-to-53-of-india-usa-dtaa-explained-after-referring-to-all-judgements/?utm_source=chatgpt.com" TargetMode="External"/><Relationship Id="rId42" Type="http://schemas.openxmlformats.org/officeDocument/2006/relationships/hyperlink" Target="https://itatonline.org/archives/nokia-networks-oy-vs-jcit-itat-delhi-special-bench-entire-law-explained-on-a-whether-a-subsidiary-of-a-foreign-company-constitutes-business-connection-and-or-fixed-permanent-establishment-a/" TargetMode="External"/><Relationship Id="rId47" Type="http://schemas.openxmlformats.org/officeDocument/2006/relationships/hyperlink" Target="https://www.casemine.com/judgement/in/5d3168bd3321bc7180e380b5" TargetMode="External"/><Relationship Id="rId63" Type="http://schemas.openxmlformats.org/officeDocument/2006/relationships/hyperlink" Target="https://assets.kpmg.com/content/dam/kpmg/pdf/2015/08/KPMG-Flash-News-Measurement-Technology-Ltd-1.pdf" TargetMode="External"/><Relationship Id="rId68" Type="http://schemas.openxmlformats.org/officeDocument/2006/relationships/hyperlink" Target="https://indiankanoon.org/doc/92699736/" TargetMode="External"/><Relationship Id="rId84" Type="http://schemas.openxmlformats.org/officeDocument/2006/relationships/hyperlink" Target="https://itatonline.org/archives/sumana-bandyopadhyay-vs-ddit-calcutta-high-court-s-52a-salary-of-a-non-resident-seafarer-for-services-rendered-outside-india-on-board-foreign-ships-accrues-outside-india-and-is-not-assessable-in/?utm_source=chatgpt.com" TargetMode="External"/><Relationship Id="rId89" Type="http://schemas.openxmlformats.org/officeDocument/2006/relationships/hyperlink" Target="https://itatonline.org/archives/dit-vs-oman-international-bank-bombay-high-court/" TargetMode="External"/><Relationship Id="rId112" Type="http://schemas.openxmlformats.org/officeDocument/2006/relationships/hyperlink" Target="https://www.taxscan.in/salary-paid-secondment-agreement-not-subject-tds-bombay-hc/7709/" TargetMode="External"/><Relationship Id="rId133" Type="http://schemas.openxmlformats.org/officeDocument/2006/relationships/hyperlink" Target="https://indiankanoon.org/doc/128485294/" TargetMode="External"/><Relationship Id="rId138" Type="http://schemas.openxmlformats.org/officeDocument/2006/relationships/hyperlink" Target="https://itatonline.org/archives/sumana-bandyopadhyay-vs-ddit-calcutta-high-court-s-52a-salary-of-a-non-resident-seafarer-for-services-rendered-outside-india-on-board-foreign-ships-accrues-outside-india-and-is-not-assessable-in/" TargetMode="External"/><Relationship Id="rId154" Type="http://schemas.openxmlformats.org/officeDocument/2006/relationships/hyperlink" Target="https://indiankanoon.org/doc/123682239/" TargetMode="External"/><Relationship Id="rId159" Type="http://schemas.openxmlformats.org/officeDocument/2006/relationships/hyperlink" Target="https://indiankanoon.org/doc/72612521/" TargetMode="External"/><Relationship Id="rId175" Type="http://schemas.openxmlformats.org/officeDocument/2006/relationships/fontTable" Target="fontTable.xml"/><Relationship Id="rId170" Type="http://schemas.openxmlformats.org/officeDocument/2006/relationships/hyperlink" Target="https://indiankanoon.org/doc/12939193/" TargetMode="External"/><Relationship Id="rId16" Type="http://schemas.openxmlformats.org/officeDocument/2006/relationships/hyperlink" Target="https://taxguru.in/income-tax/tax-treaty-benefit-denied-fraud-mobile-number-itat-mumbai.html?utm_source=chatgpt.com" TargetMode="External"/><Relationship Id="rId107" Type="http://schemas.openxmlformats.org/officeDocument/2006/relationships/hyperlink" Target="https://www.casemine.com/judgement/in/5e3edcf246571b7663abe1c0" TargetMode="External"/><Relationship Id="rId11" Type="http://schemas.openxmlformats.org/officeDocument/2006/relationships/hyperlink" Target="https://www.incometaxindiaefiling.gov.in" TargetMode="External"/><Relationship Id="rId32" Type="http://schemas.openxmlformats.org/officeDocument/2006/relationships/hyperlink" Target="https://indiankanoon.org/doc/57215097/" TargetMode="External"/><Relationship Id="rId37" Type="http://schemas.openxmlformats.org/officeDocument/2006/relationships/hyperlink" Target="https://itatonline.org/digest/saudi-arabian-oil-company-in-re-2018-405-itr-83-aar/?utm_source=chatgpt.com" TargetMode="External"/><Relationship Id="rId53" Type="http://schemas.openxmlformats.org/officeDocument/2006/relationships/hyperlink" Target="https://www.taxscan.in/non-competent-fee-taxable-india-indo-uk-treaty-aar/24761/" TargetMode="External"/><Relationship Id="rId58" Type="http://schemas.openxmlformats.org/officeDocument/2006/relationships/hyperlink" Target="https://indiankanoon.org/doc/49208257/" TargetMode="External"/><Relationship Id="rId74" Type="http://schemas.openxmlformats.org/officeDocument/2006/relationships/hyperlink" Target="https://nishithdesai.com/generateHTML/9542/" TargetMode="External"/><Relationship Id="rId79" Type="http://schemas.openxmlformats.org/officeDocument/2006/relationships/hyperlink" Target="https://www.lawfinderlive.com/archivesc/865684.htm" TargetMode="External"/><Relationship Id="rId102" Type="http://schemas.openxmlformats.org/officeDocument/2006/relationships/hyperlink" Target="https://www.casemine.com/judgement/in/57d322b6bc41685895109a50" TargetMode="External"/><Relationship Id="rId123" Type="http://schemas.openxmlformats.org/officeDocument/2006/relationships/hyperlink" Target="https://www.itatorders.in/appeal/ita-1525-bang-2010-14-flughafen-zurich-ag-bangalore-ddit-international-taxation-bangalore" TargetMode="External"/><Relationship Id="rId128" Type="http://schemas.openxmlformats.org/officeDocument/2006/relationships/hyperlink" Target="https://indiankanoon.org/doc/168896675/" TargetMode="External"/><Relationship Id="rId144" Type="http://schemas.openxmlformats.org/officeDocument/2006/relationships/hyperlink" Target="https://itatonline.org/archives/reliance-infrastructure-ltd-vs-cit-bombay-high-court-s-40aii-foreign-taxes-are-not-hit-by-the-bar-in-s-40aii-and-are-deductible-on-the-real-income-theory-after-the-insertion-of-the-explana/" TargetMode="External"/><Relationship Id="rId149" Type="http://schemas.openxmlformats.org/officeDocument/2006/relationships/hyperlink" Target="https://indiankanoon.org/doc/128045543/" TargetMode="External"/><Relationship Id="rId5" Type="http://schemas.openxmlformats.org/officeDocument/2006/relationships/webSettings" Target="webSettings.xml"/><Relationship Id="rId90" Type="http://schemas.openxmlformats.org/officeDocument/2006/relationships/hyperlink" Target="https://www.casemine.com/judgement/in/5b2a2386833480de78142297" TargetMode="External"/><Relationship Id="rId95" Type="http://schemas.openxmlformats.org/officeDocument/2006/relationships/hyperlink" Target="https://itat.nic.in/files/uploads/categoryImage/1460007996.pdf" TargetMode="External"/><Relationship Id="rId160" Type="http://schemas.openxmlformats.org/officeDocument/2006/relationships/hyperlink" Target="https://indiankanoon.org/doc/27313841/" TargetMode="External"/><Relationship Id="rId165" Type="http://schemas.openxmlformats.org/officeDocument/2006/relationships/hyperlink" Target="https://indiankanoon.org/doc/189270327/?utm_source=chatgpt.com" TargetMode="External"/><Relationship Id="rId22" Type="http://schemas.openxmlformats.org/officeDocument/2006/relationships/hyperlink" Target="https://indiankanoon.org/doc/9678599/?utm_source=chatgpt.com" TargetMode="External"/><Relationship Id="rId27" Type="http://schemas.openxmlformats.org/officeDocument/2006/relationships/hyperlink" Target="https://indiankanoon.org/doc/16626780/?utm_source=chatgpt.com" TargetMode="External"/><Relationship Id="rId43" Type="http://schemas.openxmlformats.org/officeDocument/2006/relationships/hyperlink" Target="https://itatonline.org/digest/saudi-arabian-oil-company-in-re-2018-405-itr-83-aar/?utm_source=chatgpt.com" TargetMode="External"/><Relationship Id="rId48" Type="http://schemas.openxmlformats.org/officeDocument/2006/relationships/hyperlink" Target="https://itatonline.org/archives/ge-energy-parts-inc-vs-cit-delhi-high-court-law-on-what-constitutes-a-fixed-place-permanent-establishment-under-articles-51-to-53-of-india-usa-dtaa-explained-after-referring-to-all-judgements/" TargetMode="External"/><Relationship Id="rId64" Type="http://schemas.openxmlformats.org/officeDocument/2006/relationships/hyperlink" Target="https://www.pwc.in/assets/pdfs/news-alert-tax/2017/pwc_news_alert_12_july_2017_implementation_maintenance_services_taxable_as_fis.pdf?utm_source=chatgpt.com" TargetMode="External"/><Relationship Id="rId69" Type="http://schemas.openxmlformats.org/officeDocument/2006/relationships/hyperlink" Target="https://indiankanoon.org/doc/152659762/" TargetMode="External"/><Relationship Id="rId113" Type="http://schemas.openxmlformats.org/officeDocument/2006/relationships/hyperlink" Target="https://indiankanoon.org/doc/152793651/" TargetMode="External"/><Relationship Id="rId118" Type="http://schemas.openxmlformats.org/officeDocument/2006/relationships/hyperlink" Target="https://indiankanoon.org/doc/7448089/" TargetMode="External"/><Relationship Id="rId134" Type="http://schemas.openxmlformats.org/officeDocument/2006/relationships/hyperlink" Target="https://indiankanoon.org/doc/98656503/" TargetMode="External"/><Relationship Id="rId139" Type="http://schemas.openxmlformats.org/officeDocument/2006/relationships/hyperlink" Target="https://www.casemine.com/judgement/in/5af57bf4ff45bfa31c23a18a" TargetMode="External"/><Relationship Id="rId80" Type="http://schemas.openxmlformats.org/officeDocument/2006/relationships/hyperlink" Target="https://bcajonline.org/journal/2016-67-taxmann-com-138-delhi-trib-krishak-bharati-cooperative-ltd-vs-acit-a-ys-2010-11-2011-12-date-of-order-9th-march-2016/" TargetMode="External"/><Relationship Id="rId85" Type="http://schemas.openxmlformats.org/officeDocument/2006/relationships/hyperlink" Target="https://itatonline.org/archives/sumana-bandyopadhyay-vs-ddit-calcutta-high-court-s-52a-salary-of-a-non-resident-seafarer-for-services-rendered-outside-india-on-board-foreign-ships-accrues-outside-india-and-is-not-assessable-in/?utm_source=chatgpt.com" TargetMode="External"/><Relationship Id="rId150" Type="http://schemas.openxmlformats.org/officeDocument/2006/relationships/hyperlink" Target="https://taxguru.in/wp-content/uploads/2016/03/Ms.-Wipro-Ltd.-Vs-ITO-ITAT-Bangalore.pdf" TargetMode="External"/><Relationship Id="rId155" Type="http://schemas.openxmlformats.org/officeDocument/2006/relationships/hyperlink" Target="https://indiankanoon.org/doc/88078751/" TargetMode="External"/><Relationship Id="rId171" Type="http://schemas.openxmlformats.org/officeDocument/2006/relationships/header" Target="header1.xml"/><Relationship Id="rId176" Type="http://schemas.openxmlformats.org/officeDocument/2006/relationships/theme" Target="theme/theme1.xml"/><Relationship Id="rId12" Type="http://schemas.openxmlformats.org/officeDocument/2006/relationships/hyperlink" Target="https://www.incometaxindiaefiling.gov.in" TargetMode="External"/><Relationship Id="rId17" Type="http://schemas.openxmlformats.org/officeDocument/2006/relationships/hyperlink" Target="https://indiankanoon.org/doc/198109565/?utm_source=chatgpt.com" TargetMode="External"/><Relationship Id="rId33" Type="http://schemas.openxmlformats.org/officeDocument/2006/relationships/hyperlink" Target="https://itatonline.org/archives/cit-vs-halliburton-export-inc-delhi-high-court-s-91vi-though-in-infrasoft-220-taxman-273-del-the-impact-of-the-amendment-to-s-91vi-on-the-question-whether-consideration-received-for-sale/" TargetMode="External"/><Relationship Id="rId38" Type="http://schemas.openxmlformats.org/officeDocument/2006/relationships/hyperlink" Target="https://indiankanoon.org/doc/57215097/" TargetMode="External"/><Relationship Id="rId59" Type="http://schemas.openxmlformats.org/officeDocument/2006/relationships/hyperlink" Target="https://indiankanoon.org/doc/166083218/" TargetMode="External"/><Relationship Id="rId103" Type="http://schemas.openxmlformats.org/officeDocument/2006/relationships/hyperlink" Target="https://indiankanoon.org/doc/112303793/" TargetMode="External"/><Relationship Id="rId108" Type="http://schemas.openxmlformats.org/officeDocument/2006/relationships/hyperlink" Target="https://www.casemine.com/judgement/in/5a65cbac4a932633207779bf" TargetMode="External"/><Relationship Id="rId124" Type="http://schemas.openxmlformats.org/officeDocument/2006/relationships/hyperlink" Target="https://indiankanoon.org/doc/128045543/" TargetMode="External"/><Relationship Id="rId129" Type="http://schemas.openxmlformats.org/officeDocument/2006/relationships/hyperlink" Target="https://www.taxscan.in/no-capital-gain-dutch-co-sells-shares-indian-immovable-property-company-singapore-co-andhra-pradesh-hc/9636/" TargetMode="External"/><Relationship Id="rId54" Type="http://schemas.openxmlformats.org/officeDocument/2006/relationships/hyperlink" Target="https://www.latestlaws.com/judgements/delhi-hc/2017/january/2017-latest-caselaw-403-del" TargetMode="External"/><Relationship Id="rId70" Type="http://schemas.openxmlformats.org/officeDocument/2006/relationships/hyperlink" Target="https://indiankanoon.org/doc/173786534/" TargetMode="External"/><Relationship Id="rId75" Type="http://schemas.openxmlformats.org/officeDocument/2006/relationships/hyperlink" Target="https://www.taxmann.com/bookstore/bookshop/bookfiles/V153-P6.pdf" TargetMode="External"/><Relationship Id="rId91" Type="http://schemas.openxmlformats.org/officeDocument/2006/relationships/hyperlink" Target="https://www.casemine.com/judgement/in/5d31638c3321bc6e5935aa1a" TargetMode="External"/><Relationship Id="rId96" Type="http://schemas.openxmlformats.org/officeDocument/2006/relationships/hyperlink" Target="https://indiankanoon.org/doc/107575889/?utm_source=chatgpt.com" TargetMode="External"/><Relationship Id="rId140" Type="http://schemas.openxmlformats.org/officeDocument/2006/relationships/hyperlink" Target="https://indiankanoon.org/doc/52414037/" TargetMode="External"/><Relationship Id="rId145" Type="http://schemas.openxmlformats.org/officeDocument/2006/relationships/hyperlink" Target="https://indiankanoon.org/doc/99331954/?utm_source=chatgpt.com" TargetMode="External"/><Relationship Id="rId161" Type="http://schemas.openxmlformats.org/officeDocument/2006/relationships/hyperlink" Target="https://indiankanoon.org/doc/125326513/" TargetMode="External"/><Relationship Id="rId166" Type="http://schemas.openxmlformats.org/officeDocument/2006/relationships/hyperlink" Target="https://lextechsuite.com/Castleton-Investment-Ltd-Versus-Director-of-Income-Tax-International-Taxation-I-2015-09-30?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indiankanoon.org/doc/8820457/?utm_source=chatgpt.com" TargetMode="External"/><Relationship Id="rId28" Type="http://schemas.openxmlformats.org/officeDocument/2006/relationships/hyperlink" Target="https://indiankanoon.org/doc/160339780/?utm_source=chatgpt.com" TargetMode="External"/><Relationship Id="rId49" Type="http://schemas.openxmlformats.org/officeDocument/2006/relationships/hyperlink" Target="https://indiankanoon.org/doc/33553801/" TargetMode="External"/><Relationship Id="rId114" Type="http://schemas.openxmlformats.org/officeDocument/2006/relationships/hyperlink" Target="https://bcajonline.org/journal/2016-65-taxmann-com-247-aar-new-delhi-cummins-ltd-date-of-order-12-01-2016/" TargetMode="External"/><Relationship Id="rId119" Type="http://schemas.openxmlformats.org/officeDocument/2006/relationships/hyperlink" Target="https://indiankanoon.org/doc/34689739/" TargetMode="External"/><Relationship Id="rId10" Type="http://schemas.openxmlformats.org/officeDocument/2006/relationships/hyperlink" Target="https://www.incometaxindiaefiling.gov.in" TargetMode="External"/><Relationship Id="rId31" Type="http://schemas.openxmlformats.org/officeDocument/2006/relationships/hyperlink" Target="https://indiankanoon.org/doc/11591674/" TargetMode="External"/><Relationship Id="rId44" Type="http://schemas.openxmlformats.org/officeDocument/2006/relationships/hyperlink" Target="https://indiankanoon.org/doc/107575889/?utm_source=chatgpt.com" TargetMode="External"/><Relationship Id="rId52" Type="http://schemas.openxmlformats.org/officeDocument/2006/relationships/hyperlink" Target="https://indiankanoon.org/doc/152903020/" TargetMode="External"/><Relationship Id="rId60" Type="http://schemas.openxmlformats.org/officeDocument/2006/relationships/hyperlink" Target="https://www.taxscan.in/salary-paid-secondment-agreement-not-subject-tds-bombay-hc/7709/" TargetMode="External"/><Relationship Id="rId65" Type="http://schemas.openxmlformats.org/officeDocument/2006/relationships/hyperlink" Target="https://indiankanoon.org/doc/195686554/" TargetMode="External"/><Relationship Id="rId73" Type="http://schemas.openxmlformats.org/officeDocument/2006/relationships/hyperlink" Target="https://www.taxmann.com/bookstore/bookshop/bookfiles/V153-P6.pdf" TargetMode="External"/><Relationship Id="rId78" Type="http://schemas.openxmlformats.org/officeDocument/2006/relationships/hyperlink" Target="https://itatonline.org/digest/finnish-fund-for-industrial-co-operation-ltd-in-re-2018-402-itr-373-301-ctr-705-164-dtr-105-aar/" TargetMode="External"/><Relationship Id="rId81" Type="http://schemas.openxmlformats.org/officeDocument/2006/relationships/hyperlink" Target="https://indiankanoon.org/doc/128485294/" TargetMode="External"/><Relationship Id="rId86" Type="http://schemas.openxmlformats.org/officeDocument/2006/relationships/hyperlink" Target="https://itatonline.org/archives/sumana-bandyopadhyay-vs-ddit-calcutta-high-court-s-52a-salary-of-a-non-resident-seafarer-for-services-rendered-outside-india-on-board-foreign-ships-accrues-outside-india-and-is-not-assessable-in/" TargetMode="External"/><Relationship Id="rId94" Type="http://schemas.openxmlformats.org/officeDocument/2006/relationships/hyperlink" Target="https://indiankanoon.org/doc/6665974/" TargetMode="External"/><Relationship Id="rId99" Type="http://schemas.openxmlformats.org/officeDocument/2006/relationships/hyperlink" Target="https://www.casemine.com/judgement/in/5d3168bd3321bc7180e380b5" TargetMode="External"/><Relationship Id="rId101" Type="http://schemas.openxmlformats.org/officeDocument/2006/relationships/hyperlink" Target="https://indiankanoon.org/doc/33553801/" TargetMode="External"/><Relationship Id="rId122" Type="http://schemas.openxmlformats.org/officeDocument/2006/relationships/hyperlink" Target="https://indiankanoon.org/doc/173786534/" TargetMode="External"/><Relationship Id="rId130" Type="http://schemas.openxmlformats.org/officeDocument/2006/relationships/hyperlink" Target="https://itatonline.org/digest/finnish-fund-for-industrial-co-operation-ltd-in-re-2018-402-itr-373-301-ctr-705-164-dtr-105-aar/" TargetMode="External"/><Relationship Id="rId135" Type="http://schemas.openxmlformats.org/officeDocument/2006/relationships/hyperlink" Target="https://itatonline.org/archives/outotec-india-pvt-ltd-vs-acit-itat-delhi-articles-13-15-of-dtaa-law-on-whether-if-a-sum-cannot-be-assessed-as-fees-for-technical-services-under-the-make-available-clause-of-article-13-it-c/" TargetMode="External"/><Relationship Id="rId143" Type="http://schemas.openxmlformats.org/officeDocument/2006/relationships/hyperlink" Target="https://www.casemine.com/judgement/in/5d31638c3321bc6e5935aa1a" TargetMode="External"/><Relationship Id="rId148" Type="http://schemas.openxmlformats.org/officeDocument/2006/relationships/hyperlink" Target="https://www.casemine.com/judgement/in/5d31e3193321bc7f596f47f8" TargetMode="External"/><Relationship Id="rId151" Type="http://schemas.openxmlformats.org/officeDocument/2006/relationships/hyperlink" Target="https://indiankanoon.org/doc/27405052/?utm_source=chatgpt.com" TargetMode="External"/><Relationship Id="rId156" Type="http://schemas.openxmlformats.org/officeDocument/2006/relationships/hyperlink" Target="https://itatonline.org/archives/cit-vs-v-s-dempo-bombay-high-court-full-bench-s-172-195-shipping-companies-assessed-us-172-are-not-subject-to-tds-obligations-us-195/?utm_source=chatgpt.com" TargetMode="External"/><Relationship Id="rId164" Type="http://schemas.openxmlformats.org/officeDocument/2006/relationships/hyperlink" Target="https://indiankanoon.org/doc/124719254/" TargetMode="External"/><Relationship Id="rId169" Type="http://schemas.openxmlformats.org/officeDocument/2006/relationships/hyperlink" Target="https://indiankanoon.org/doc/83208312/?utm_source=chatgpt.com" TargetMode="External"/><Relationship Id="rId4" Type="http://schemas.openxmlformats.org/officeDocument/2006/relationships/settings" Target="settings.xml"/><Relationship Id="rId9" Type="http://schemas.openxmlformats.org/officeDocument/2006/relationships/hyperlink" Target="https://www.incometaxindiaefiling.gov.in" TargetMode="External"/><Relationship Id="rId172" Type="http://schemas.openxmlformats.org/officeDocument/2006/relationships/footer" Target="footer1.xml"/><Relationship Id="rId13" Type="http://schemas.openxmlformats.org/officeDocument/2006/relationships/hyperlink" Target="https://www.incometaxindiaefiling.gov.in" TargetMode="External"/><Relationship Id="rId18" Type="http://schemas.openxmlformats.org/officeDocument/2006/relationships/hyperlink" Target="https://indiankanoon.org/doc/24301668/?utm_source=chatgpt.com" TargetMode="External"/><Relationship Id="rId39" Type="http://schemas.openxmlformats.org/officeDocument/2006/relationships/hyperlink" Target="https://itatonline.org/archives/cit-vs-halliburton-export-inc-delhi-high-court-s-91vi-though-in-infrasoft-220-taxman-273-del-the-impact-of-the-amendment-to-s-91vi-on-the-question-whether-consideration-received-for-sale/" TargetMode="External"/><Relationship Id="rId109" Type="http://schemas.openxmlformats.org/officeDocument/2006/relationships/hyperlink" Target="https://indiankanoon.org/doc/33170077/" TargetMode="External"/><Relationship Id="rId34" Type="http://schemas.openxmlformats.org/officeDocument/2006/relationships/hyperlink" Target="https://indiankanoon.org/doc/91719322/" TargetMode="External"/><Relationship Id="rId50" Type="http://schemas.openxmlformats.org/officeDocument/2006/relationships/hyperlink" Target="https://www.casemine.com/judgement/in/57d322b6bc41685895109a50" TargetMode="External"/><Relationship Id="rId55" Type="http://schemas.openxmlformats.org/officeDocument/2006/relationships/hyperlink" Target="https://www.casemine.com/judgement/in/5e3edcf246571b7663abe1c0" TargetMode="External"/><Relationship Id="rId76" Type="http://schemas.openxmlformats.org/officeDocument/2006/relationships/hyperlink" Target="https://indiankanoon.org/doc/168896675/" TargetMode="External"/><Relationship Id="rId97" Type="http://schemas.openxmlformats.org/officeDocument/2006/relationships/hyperlink" Target="https://www.casemine.com/judgement/in/5d3163873321bc6e5935a5db" TargetMode="External"/><Relationship Id="rId104" Type="http://schemas.openxmlformats.org/officeDocument/2006/relationships/hyperlink" Target="https://indiankanoon.org/doc/152903020/" TargetMode="External"/><Relationship Id="rId120" Type="http://schemas.openxmlformats.org/officeDocument/2006/relationships/hyperlink" Target="https://indiankanoon.org/doc/92699736/" TargetMode="External"/><Relationship Id="rId125" Type="http://schemas.openxmlformats.org/officeDocument/2006/relationships/hyperlink" Target="https://www.taxmann.com/bookstore/bookshop/bookfiles/V153-P6.pdf" TargetMode="External"/><Relationship Id="rId141" Type="http://schemas.openxmlformats.org/officeDocument/2006/relationships/hyperlink" Target="https://itatonline.org/archives/dit-vs-oman-international-bank-bombay-high-court/" TargetMode="External"/><Relationship Id="rId146" Type="http://schemas.openxmlformats.org/officeDocument/2006/relationships/hyperlink" Target="https://indiankanoon.org/doc/6665974/" TargetMode="External"/><Relationship Id="rId167" Type="http://schemas.openxmlformats.org/officeDocument/2006/relationships/hyperlink" Target="https://indiankanoon.org/doc/189270327/" TargetMode="External"/><Relationship Id="rId7" Type="http://schemas.openxmlformats.org/officeDocument/2006/relationships/endnotes" Target="endnotes.xml"/><Relationship Id="rId71" Type="http://schemas.openxmlformats.org/officeDocument/2006/relationships/hyperlink" Target="https://www.itatorders.in/appeal/ita-1525-bang-2010-14-flughafen-zurich-ag-bangalore-ddit-international-taxation-bangalore" TargetMode="External"/><Relationship Id="rId92" Type="http://schemas.openxmlformats.org/officeDocument/2006/relationships/hyperlink" Target="https://itatonline.org/archives/reliance-infrastructure-ltd-vs-cit-bombay-high-court-s-40aii-foreign-taxes-are-not-hit-by-the-bar-in-s-40aii-and-are-deductible-on-the-real-income-theory-after-the-insertion-of-the-explana/" TargetMode="External"/><Relationship Id="rId162" Type="http://schemas.openxmlformats.org/officeDocument/2006/relationships/hyperlink" Target="https://indiankanoon.org/doc/26553333/" TargetMode="External"/><Relationship Id="rId2" Type="http://schemas.openxmlformats.org/officeDocument/2006/relationships/numbering" Target="numbering.xml"/><Relationship Id="rId29" Type="http://schemas.openxmlformats.org/officeDocument/2006/relationships/hyperlink" Target="https://www.casemine.com/judgement/in/5cbf2b804a932660115f8bef" TargetMode="External"/><Relationship Id="rId24" Type="http://schemas.openxmlformats.org/officeDocument/2006/relationships/hyperlink" Target="https://www.casemine.com/judgement/in/58117e712713e1794788d561?utm_source=chatgpt.com" TargetMode="External"/><Relationship Id="rId40" Type="http://schemas.openxmlformats.org/officeDocument/2006/relationships/hyperlink" Target="https://indiankanoon.org/doc/91719322/" TargetMode="External"/><Relationship Id="rId45" Type="http://schemas.openxmlformats.org/officeDocument/2006/relationships/hyperlink" Target="https://www.casemine.com/judgement/in/5d3163873321bc6e5935a5db" TargetMode="External"/><Relationship Id="rId66" Type="http://schemas.openxmlformats.org/officeDocument/2006/relationships/hyperlink" Target="https://indiankanoon.org/doc/7448089/" TargetMode="External"/><Relationship Id="rId87" Type="http://schemas.openxmlformats.org/officeDocument/2006/relationships/hyperlink" Target="https://www.casemine.com/judgement/in/5af57bf4ff45bfa31c23a18a" TargetMode="External"/><Relationship Id="rId110" Type="http://schemas.openxmlformats.org/officeDocument/2006/relationships/hyperlink" Target="https://indiankanoon.org/doc/49208257/" TargetMode="External"/><Relationship Id="rId115" Type="http://schemas.openxmlformats.org/officeDocument/2006/relationships/hyperlink" Target="https://assets.kpmg.com/content/dam/kpmg/pdf/2015/08/KPMG-Flash-News-Measurement-Technology-Ltd-1.pdf" TargetMode="External"/><Relationship Id="rId131" Type="http://schemas.openxmlformats.org/officeDocument/2006/relationships/hyperlink" Target="https://www.lawfinderlive.com/archivesc/865684.htm" TargetMode="External"/><Relationship Id="rId136" Type="http://schemas.openxmlformats.org/officeDocument/2006/relationships/hyperlink" Target="https://itatonline.org/archives/sumana-bandyopadhyay-vs-ddit-calcutta-high-court-s-52a-salary-of-a-non-resident-seafarer-for-services-rendered-outside-india-on-board-foreign-ships-accrues-outside-india-and-is-not-assessable-in/?utm_source=chatgpt.com" TargetMode="External"/><Relationship Id="rId157" Type="http://schemas.openxmlformats.org/officeDocument/2006/relationships/hyperlink" Target="https://itatonline.org/archives/cit-vs-v-s-dempo-bombay-high-court-full-bench-s-172-195-shipping-companies-assessed-us-172-are-not-subject-to-tds-obligations-us-195/?utm_source=chatgpt.com" TargetMode="External"/><Relationship Id="rId61" Type="http://schemas.openxmlformats.org/officeDocument/2006/relationships/hyperlink" Target="https://indiankanoon.org/doc/152793651/" TargetMode="External"/><Relationship Id="rId82" Type="http://schemas.openxmlformats.org/officeDocument/2006/relationships/hyperlink" Target="https://indiankanoon.org/doc/98656503/" TargetMode="External"/><Relationship Id="rId152" Type="http://schemas.openxmlformats.org/officeDocument/2006/relationships/hyperlink" Target="https://indiankanoon.org/doc/27405052/" TargetMode="External"/><Relationship Id="rId173" Type="http://schemas.openxmlformats.org/officeDocument/2006/relationships/header" Target="header2.xml"/><Relationship Id="rId19" Type="http://schemas.openxmlformats.org/officeDocument/2006/relationships/hyperlink" Target="https://indiankanoon.org/doc/124833498/?utm_source=chatgpt.com" TargetMode="External"/><Relationship Id="rId14" Type="http://schemas.openxmlformats.org/officeDocument/2006/relationships/hyperlink" Target="https://www.incometaxindiaefiling.gov.in" TargetMode="External"/><Relationship Id="rId30" Type="http://schemas.openxmlformats.org/officeDocument/2006/relationships/hyperlink" Target="https://indiankanoon.org/doc/23544710/?utm_source=chatgpt.com" TargetMode="External"/><Relationship Id="rId35" Type="http://schemas.openxmlformats.org/officeDocument/2006/relationships/hyperlink" Target="https://indiankanoon.org/doc/23803284/" TargetMode="External"/><Relationship Id="rId56" Type="http://schemas.openxmlformats.org/officeDocument/2006/relationships/hyperlink" Target="https://www.casemine.com/judgement/in/5a65cbac4a932633207779bf" TargetMode="External"/><Relationship Id="rId77" Type="http://schemas.openxmlformats.org/officeDocument/2006/relationships/hyperlink" Target="https://www.taxscan.in/no-capital-gain-dutch-co-sells-shares-indian-immovable-property-company-singapore-co-andhra-pradesh-hc/9636/" TargetMode="External"/><Relationship Id="rId100" Type="http://schemas.openxmlformats.org/officeDocument/2006/relationships/hyperlink" Target="https://itatonline.org/archives/ge-energy-parts-inc-vs-cit-delhi-high-court-law-on-what-constitutes-a-fixed-place-permanent-establishment-under-articles-51-to-53-of-india-usa-dtaa-explained-after-referring-to-all-judgements/" TargetMode="External"/><Relationship Id="rId105" Type="http://schemas.openxmlformats.org/officeDocument/2006/relationships/hyperlink" Target="https://www.taxscan.in/non-competent-fee-taxable-india-indo-uk-treaty-aar/24761/" TargetMode="External"/><Relationship Id="rId126" Type="http://schemas.openxmlformats.org/officeDocument/2006/relationships/hyperlink" Target="https://nishithdesai.com/generateHTML/9542/" TargetMode="External"/><Relationship Id="rId147" Type="http://schemas.openxmlformats.org/officeDocument/2006/relationships/hyperlink" Target="https://itat.nic.in/files/uploads/categoryImage/1460007996.pdf" TargetMode="External"/><Relationship Id="rId168" Type="http://schemas.openxmlformats.org/officeDocument/2006/relationships/hyperlink" Target="https://indiankanoon.org/doc/12939193/?utm_source=chatgpt.com" TargetMode="External"/><Relationship Id="rId8" Type="http://schemas.openxmlformats.org/officeDocument/2006/relationships/image" Target="media/image1.png"/><Relationship Id="rId51" Type="http://schemas.openxmlformats.org/officeDocument/2006/relationships/hyperlink" Target="https://indiankanoon.org/doc/112303793/" TargetMode="External"/><Relationship Id="rId72" Type="http://schemas.openxmlformats.org/officeDocument/2006/relationships/hyperlink" Target="https://indiankanoon.org/doc/128045543/" TargetMode="External"/><Relationship Id="rId93" Type="http://schemas.openxmlformats.org/officeDocument/2006/relationships/hyperlink" Target="https://indiankanoon.org/doc/99331954/?utm_source=chatgpt.com" TargetMode="External"/><Relationship Id="rId98" Type="http://schemas.openxmlformats.org/officeDocument/2006/relationships/hyperlink" Target="https://www.casemine.com/judgement/in/5e514fbb46571b56b1ea62f1" TargetMode="External"/><Relationship Id="rId121" Type="http://schemas.openxmlformats.org/officeDocument/2006/relationships/hyperlink" Target="https://indiankanoon.org/doc/152659762/" TargetMode="External"/><Relationship Id="rId142" Type="http://schemas.openxmlformats.org/officeDocument/2006/relationships/hyperlink" Target="https://www.casemine.com/judgement/in/5b2a2386833480de78142297" TargetMode="External"/><Relationship Id="rId163" Type="http://schemas.openxmlformats.org/officeDocument/2006/relationships/hyperlink" Target="https://www.casemine.com/judgement/in/5a65cbb94a9326332077b026" TargetMode="External"/><Relationship Id="rId3" Type="http://schemas.openxmlformats.org/officeDocument/2006/relationships/styles" Target="styles.xml"/><Relationship Id="rId25" Type="http://schemas.openxmlformats.org/officeDocument/2006/relationships/hyperlink" Target="https://indiankanoon.org/doc/548008/?utm_source=chatgpt.com" TargetMode="External"/><Relationship Id="rId46" Type="http://schemas.openxmlformats.org/officeDocument/2006/relationships/hyperlink" Target="https://www.casemine.com/judgement/in/5e514fbb46571b56b1ea62f1" TargetMode="External"/><Relationship Id="rId67" Type="http://schemas.openxmlformats.org/officeDocument/2006/relationships/hyperlink" Target="https://indiankanoon.org/doc/34689739/" TargetMode="External"/><Relationship Id="rId116" Type="http://schemas.openxmlformats.org/officeDocument/2006/relationships/hyperlink" Target="https://www.pwc.in/assets/pdfs/news-alert-tax/2017/pwc_news_alert_12_july_2017_implementation_maintenance_services_taxable_as_fis.pdf?utm_source=chatgpt.com" TargetMode="External"/><Relationship Id="rId137" Type="http://schemas.openxmlformats.org/officeDocument/2006/relationships/hyperlink" Target="https://itatonline.org/archives/sumana-bandyopadhyay-vs-ddit-calcutta-high-court-s-52a-salary-of-a-non-resident-seafarer-for-services-rendered-outside-india-on-board-foreign-ships-accrues-outside-india-and-is-not-assessable-in/?utm_source=chatgpt.com" TargetMode="External"/><Relationship Id="rId158" Type="http://schemas.openxmlformats.org/officeDocument/2006/relationships/hyperlink" Target="https://indiankanoon.org/doc/140047928/" TargetMode="External"/><Relationship Id="rId20" Type="http://schemas.openxmlformats.org/officeDocument/2006/relationships/hyperlink" Target="https://www.casemine.com/judgement/in/639a25f54759d33d6093e3e9?utm_source=chatgpt.com" TargetMode="External"/><Relationship Id="rId41" Type="http://schemas.openxmlformats.org/officeDocument/2006/relationships/hyperlink" Target="https://indiankanoon.org/doc/23803284/" TargetMode="External"/><Relationship Id="rId62" Type="http://schemas.openxmlformats.org/officeDocument/2006/relationships/hyperlink" Target="https://bcajonline.org/journal/2016-65-taxmann-com-247-aar-new-delhi-cummins-ltd-date-of-order-12-01-2016/" TargetMode="External"/><Relationship Id="rId83" Type="http://schemas.openxmlformats.org/officeDocument/2006/relationships/hyperlink" Target="https://itatonline.org/archives/outotec-india-pvt-ltd-vs-acit-itat-delhi-articles-13-15-of-dtaa-law-on-whether-if-a-sum-cannot-be-assessed-as-fees-for-technical-services-under-the-make-available-clause-of-article-13-it-c/" TargetMode="External"/><Relationship Id="rId88" Type="http://schemas.openxmlformats.org/officeDocument/2006/relationships/hyperlink" Target="https://indiankanoon.org/doc/52414037/" TargetMode="External"/><Relationship Id="rId111" Type="http://schemas.openxmlformats.org/officeDocument/2006/relationships/hyperlink" Target="https://indiankanoon.org/doc/166083218/" TargetMode="External"/><Relationship Id="rId132" Type="http://schemas.openxmlformats.org/officeDocument/2006/relationships/hyperlink" Target="https://bcajonline.org/journal/2016-67-taxmann-com-138-delhi-trib-krishak-bharati-cooperative-ltd-vs-acit-a-ys-2010-11-2011-12-date-of-order-9th-march-2016/" TargetMode="External"/><Relationship Id="rId153" Type="http://schemas.openxmlformats.org/officeDocument/2006/relationships/hyperlink" Target="https://indiankanoon.org/doc/192073142/" TargetMode="External"/><Relationship Id="rId174" Type="http://schemas.openxmlformats.org/officeDocument/2006/relationships/footer" Target="footer2.xml"/><Relationship Id="rId15" Type="http://schemas.openxmlformats.org/officeDocument/2006/relationships/hyperlink" Target="https://indiankanoon.org/doc/170205560/?utm_source=chatgpt.com" TargetMode="External"/><Relationship Id="rId36" Type="http://schemas.openxmlformats.org/officeDocument/2006/relationships/hyperlink" Target="https://itatonline.org/archives/nokia-networks-oy-vs-jcit-itat-delhi-special-bench-entire-law-explained-on-a-whether-a-subsidiary-of-a-foreign-company-constitutes-business-connection-and-or-fixed-permanent-establishment-a/" TargetMode="External"/><Relationship Id="rId57" Type="http://schemas.openxmlformats.org/officeDocument/2006/relationships/hyperlink" Target="https://indiankanoon.org/doc/33170077/" TargetMode="External"/><Relationship Id="rId106" Type="http://schemas.openxmlformats.org/officeDocument/2006/relationships/hyperlink" Target="https://www.latestlaws.com/judgements/delhi-hc/2017/january/2017-latest-caselaw-403-del" TargetMode="External"/><Relationship Id="rId127" Type="http://schemas.openxmlformats.org/officeDocument/2006/relationships/hyperlink" Target="https://www.taxmann.com/bookstore/bookshop/bookfiles/V153-P6.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83721-8D48-4A7D-8761-964D5101B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655</Pages>
  <Words>155625</Words>
  <Characters>887063</Characters>
  <Application>Microsoft Office Word</Application>
  <DocSecurity>0</DocSecurity>
  <Lines>7392</Lines>
  <Paragraphs>2081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2025-01-13T04:05:00Z</dcterms:created>
  <dcterms:modified xsi:type="dcterms:W3CDTF">2025-01-13T06:14:00Z</dcterms:modified>
</cp:coreProperties>
</file>