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BE5F1" w:themeColor="accent1" w:themeTint="33"/>
  <w:body>
    <w:sdt>
      <w:sdtPr>
        <w:rPr>
          <w:rFonts w:asciiTheme="majorHAnsi" w:eastAsiaTheme="majorEastAsia" w:hAnsiTheme="majorHAnsi" w:cstheme="majorBidi"/>
          <w:sz w:val="72"/>
          <w:szCs w:val="72"/>
        </w:rPr>
        <w:id w:val="-983081461"/>
        <w:docPartObj>
          <w:docPartGallery w:val="Cover Pages"/>
          <w:docPartUnique/>
        </w:docPartObj>
      </w:sdtPr>
      <w:sdtEndPr>
        <w:rPr>
          <w:rFonts w:ascii="Times New Roman" w:eastAsiaTheme="minorHAnsi" w:hAnsi="Times New Roman" w:cs="Times New Roman"/>
          <w:b/>
          <w:bCs/>
          <w:color w:val="475055"/>
          <w:sz w:val="22"/>
          <w:szCs w:val="22"/>
          <w:shd w:val="clear" w:color="auto" w:fill="FFFFFF"/>
          <w:lang w:eastAsia="en-US"/>
        </w:rPr>
      </w:sdtEndPr>
      <w:sdtContent>
        <w:p w:rsidR="00F807C1" w:rsidRDefault="00F807C1">
          <w:pPr>
            <w:pStyle w:val="NoSpacing"/>
            <w:rPr>
              <w:rFonts w:asciiTheme="majorHAnsi" w:eastAsiaTheme="majorEastAsia" w:hAnsiTheme="majorHAnsi" w:cstheme="majorBidi"/>
              <w:sz w:val="72"/>
              <w:szCs w:val="72"/>
            </w:rPr>
          </w:pPr>
        </w:p>
        <w:p w:rsidR="00F807C1" w:rsidRDefault="00F807C1">
          <w:pPr>
            <w:pStyle w:val="NoSpacing"/>
            <w:rPr>
              <w:rFonts w:asciiTheme="majorHAnsi" w:eastAsiaTheme="majorEastAsia" w:hAnsiTheme="majorHAnsi" w:cstheme="majorBidi"/>
              <w:sz w:val="72"/>
              <w:szCs w:val="72"/>
            </w:rPr>
          </w:pPr>
        </w:p>
        <w:p w:rsidR="00F807C1" w:rsidRDefault="00F807C1">
          <w:pPr>
            <w:pStyle w:val="NoSpacing"/>
            <w:rPr>
              <w:rFonts w:asciiTheme="majorHAnsi" w:eastAsiaTheme="majorEastAsia" w:hAnsiTheme="majorHAnsi" w:cstheme="majorBidi"/>
              <w:sz w:val="72"/>
              <w:szCs w:val="72"/>
            </w:rPr>
          </w:pPr>
        </w:p>
        <w:p w:rsidR="00F807C1" w:rsidRDefault="00F807C1">
          <w:pPr>
            <w:pStyle w:val="NoSpacing"/>
            <w:rPr>
              <w:rFonts w:asciiTheme="majorHAnsi" w:eastAsiaTheme="majorEastAsia" w:hAnsiTheme="majorHAnsi" w:cstheme="majorBidi"/>
              <w:sz w:val="72"/>
              <w:szCs w:val="72"/>
            </w:rPr>
          </w:pPr>
        </w:p>
        <w:p w:rsidR="00F807C1" w:rsidRDefault="00F807C1">
          <w:pPr>
            <w:pStyle w:val="NoSpacing"/>
            <w:rPr>
              <w:rFonts w:asciiTheme="majorHAnsi" w:eastAsiaTheme="majorEastAsia" w:hAnsiTheme="majorHAnsi" w:cstheme="majorBidi"/>
              <w:sz w:val="72"/>
              <w:szCs w:val="72"/>
            </w:rPr>
          </w:pPr>
          <w:r>
            <w:rPr>
              <w:noProof/>
              <w:lang w:eastAsia="en-US"/>
            </w:rPr>
            <mc:AlternateContent>
              <mc:Choice Requires="wps">
                <w:drawing>
                  <wp:anchor distT="0" distB="0" distL="114300" distR="114300" simplePos="0" relativeHeight="251663360" behindDoc="0" locked="0" layoutInCell="0" allowOverlap="1" wp14:anchorId="115CEF8D" wp14:editId="355EA4DA">
                    <wp:simplePos x="0" y="0"/>
                    <wp:positionH relativeFrom="page">
                      <wp:align>center</wp:align>
                    </wp:positionH>
                    <wp:positionV relativeFrom="page">
                      <wp:align>bottom</wp:align>
                    </wp:positionV>
                    <wp:extent cx="8161020" cy="817880"/>
                    <wp:effectExtent l="0" t="0" r="0" b="508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1788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id="Rectangle 2" o:spid="_x0000_s1026" style="position:absolute;margin-left:0;margin-top:0;width:642.6pt;height:64.4pt;z-index:251663360;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" o:allowincell="f" fillcolor="#4bacc6 [3208]" strokecolor="#4f81bd [3204]">
                    <w10:wrap anchorx="page" anchory="page"/>
                  </v:rect>
                </w:pict>
              </mc:Fallback>
            </mc:AlternateContent>
          </w:r>
          <w:r>
            <w:rPr>
              <w:noProof/>
              <w:lang w:eastAsia="en-US"/>
            </w:rPr>
            <mc:AlternateContent>
              <mc:Choice Requires="wps">
                <w:drawing>
                  <wp:anchor distT="0" distB="0" distL="114300" distR="114300" simplePos="0" relativeHeight="251666432" behindDoc="0" locked="0" layoutInCell="0" allowOverlap="1" wp14:anchorId="0AE7149E" wp14:editId="5E0EA792">
                    <wp:simplePos x="0" y="0"/>
                    <wp:positionH relativeFrom="leftMargin">
                      <wp:align>center</wp:align>
                    </wp:positionH>
                    <wp:positionV relativeFrom="page">
                      <wp:align>center</wp:align>
                    </wp:positionV>
                    <wp:extent cx="90805" cy="10556240"/>
                    <wp:effectExtent l="0" t="0" r="4445" b="508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5" o:spid="_x0000_s1026" style="position:absolute;margin-left:0;margin-top:0;width:7.15pt;height:831.2pt;z-index:251666432;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" o:allowincell="f" strokecolor="#4f81bd [3204]">
                    <w10:wrap anchorx="margin" anchory="page"/>
                  </v:rect>
                </w:pict>
              </mc:Fallback>
            </mc:AlternateContent>
          </w:r>
          <w:r>
            <w:rPr>
              <w:noProof/>
              <w:lang w:eastAsia="en-US"/>
            </w:rPr>
            <mc:AlternateContent>
              <mc:Choice Requires="wps">
                <w:drawing>
                  <wp:anchor distT="0" distB="0" distL="114300" distR="114300" simplePos="0" relativeHeight="251665408" behindDoc="0" locked="0" layoutInCell="0" allowOverlap="1" wp14:anchorId="733F7263" wp14:editId="641444D0">
                    <wp:simplePos x="0" y="0"/>
                    <wp:positionH relativeFrom="rightMargin">
                      <wp:align>center</wp:align>
                    </wp:positionH>
                    <wp:positionV relativeFrom="page">
                      <wp:align>center</wp:align>
                    </wp:positionV>
                    <wp:extent cx="90805" cy="10556240"/>
                    <wp:effectExtent l="0" t="0" r="4445" b="508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4" o:spid="_x0000_s1026" style="position:absolute;margin-left:0;margin-top:0;width:7.15pt;height:831.2pt;z-index:251665408;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" o:allowincell="f" strokecolor="#4f81bd [3204]">
                    <w10:wrap anchorx="margin" anchory="page"/>
                  </v:rect>
                </w:pict>
              </mc:Fallback>
            </mc:AlternateContent>
          </w:r>
          <w:r>
            <w:rPr>
              <w:noProof/>
              <w:lang w:eastAsia="en-US"/>
            </w:rPr>
            <mc:AlternateContent>
              <mc:Choice Requires="wps">
                <w:drawing>
                  <wp:anchor distT="0" distB="0" distL="114300" distR="114300" simplePos="0" relativeHeight="251664384" behindDoc="0" locked="0" layoutInCell="0" allowOverlap="1" wp14:anchorId="78A0BB59" wp14:editId="494032BA">
                    <wp:simplePos x="0" y="0"/>
                    <wp:positionH relativeFrom="page">
                      <wp:align>center</wp:align>
                    </wp:positionH>
                    <wp:positionV relativeFrom="topMargin">
                      <wp:align>top</wp:align>
                    </wp:positionV>
                    <wp:extent cx="8161020" cy="822960"/>
                    <wp:effectExtent l="0" t="0" r="0" b="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id="Rectangle 3" o:spid="_x0000_s1026" style="position:absolute;margin-left:0;margin-top:0;width:642.6pt;height:64.8pt;z-index:251664384;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" o:allowincell="f" fillcolor="#4bacc6 [3208]" strokecolor="#4f81bd [3204]">
                    <w10:wrap anchorx="page" anchory="margin"/>
                  </v:rect>
                </w:pict>
              </mc:Fallback>
            </mc:AlternateContent>
          </w:r>
          <w:r>
            <w:rPr>
              <w:rFonts w:asciiTheme="majorHAnsi" w:eastAsiaTheme="majorEastAsia" w:hAnsiTheme="majorHAnsi" w:cstheme="majorBidi"/>
              <w:sz w:val="72"/>
              <w:szCs w:val="72"/>
            </w:rPr>
            <w:t>Higher TDS/TCS Rate</w:t>
          </w:r>
        </w:p>
        <w:sdt>
          <w:sdtPr>
            <w:rPr>
              <w:rFonts w:ascii="Times New Roman" w:eastAsiaTheme="majorEastAsia" w:hAnsi="Times New Roman" w:cs="Times New Roman"/>
              <w:sz w:val="56"/>
              <w:szCs w:val="56"/>
            </w:rPr>
            <w:alias w:val="Title"/>
            <w:id w:val="14700071"/>
            <w:placeholder>
              <w:docPart w:val="E55CA55BF5614F8398645D2409DF2912"/>
            </w:placeholder>
            <w:dataBinding w:prefixMappings="xmlns:ns0='http://schemas.openxmlformats.org/package/2006/metadata/core-properties' xmlns:ns1='http://purl.org/dc/elements/1.1/'" w:xpath="/ns0:coreProperties[1]/ns1:title[1]" w:storeItemID="{6C3C8BC8-F283-45AE-878A-BAB7291924A1}"/>
            <w:text/>
          </w:sdtPr>
          <w:sdtContent>
            <w:p w:rsidR="00F807C1" w:rsidRPr="00F807C1" w:rsidRDefault="00F807C1">
              <w:pPr>
                <w:pStyle w:val="NoSpacing"/>
                <w:rPr>
                  <w:rFonts w:ascii="Times New Roman" w:eastAsiaTheme="majorEastAsia" w:hAnsi="Times New Roman" w:cs="Times New Roman"/>
                  <w:sz w:val="56"/>
                  <w:szCs w:val="56"/>
                </w:rPr>
              </w:pPr>
              <w:r w:rsidRPr="00F807C1">
                <w:rPr>
                  <w:rFonts w:ascii="Times New Roman" w:eastAsiaTheme="majorEastAsia" w:hAnsi="Times New Roman" w:cs="Times New Roman"/>
                  <w:sz w:val="56"/>
                  <w:szCs w:val="56"/>
                </w:rPr>
                <w:t>Section 206AB and Section 206CC</w:t>
              </w:r>
              <w:r>
                <w:rPr>
                  <w:rFonts w:ascii="Times New Roman" w:eastAsiaTheme="majorEastAsia" w:hAnsi="Times New Roman" w:cs="Times New Roman"/>
                  <w:sz w:val="56"/>
                  <w:szCs w:val="56"/>
                </w:rPr>
                <w:t>A</w:t>
              </w:r>
            </w:p>
          </w:sdtContent>
        </w:sdt>
        <w:p w:rsidR="00F807C1" w:rsidRDefault="00F807C1">
          <w:pPr>
            <w:pStyle w:val="NoSpacing"/>
            <w:rPr>
              <w:rFonts w:asciiTheme="majorHAnsi" w:eastAsiaTheme="majorEastAsia" w:hAnsiTheme="majorHAnsi" w:cstheme="majorBidi"/>
              <w:sz w:val="36"/>
              <w:szCs w:val="36"/>
            </w:rPr>
          </w:pPr>
        </w:p>
        <w:p w:rsidR="00F807C1" w:rsidRDefault="00F807C1">
          <w:pPr>
            <w:pStyle w:val="NoSpacing"/>
            <w:rPr>
              <w:rFonts w:asciiTheme="majorHAnsi" w:eastAsiaTheme="majorEastAsia" w:hAnsiTheme="majorHAnsi" w:cstheme="majorBidi"/>
              <w:sz w:val="36"/>
              <w:szCs w:val="36"/>
            </w:rPr>
          </w:pPr>
        </w:p>
        <w:p w:rsidR="00F807C1" w:rsidRDefault="00F807C1">
          <w:pPr>
            <w:pStyle w:val="NoSpacing"/>
            <w:rPr>
              <w:rFonts w:asciiTheme="majorHAnsi" w:eastAsiaTheme="majorEastAsia" w:hAnsiTheme="majorHAnsi" w:cstheme="majorBidi"/>
              <w:sz w:val="36"/>
              <w:szCs w:val="36"/>
            </w:rPr>
          </w:pPr>
        </w:p>
        <w:p w:rsidR="00F807C1" w:rsidRDefault="00F807C1">
          <w:pPr>
            <w:pStyle w:val="NoSpacing"/>
          </w:pPr>
        </w:p>
        <w:p w:rsidR="00F807C1" w:rsidRDefault="00F807C1">
          <w:pPr>
            <w:pStyle w:val="NoSpacing"/>
          </w:pPr>
        </w:p>
        <w:sdt>
          <w:sdtPr>
            <w:rPr>
              <w:rFonts w:ascii="Times New Roman" w:hAnsi="Times New Roman" w:cs="Times New Roman"/>
              <w:sz w:val="28"/>
              <w:szCs w:val="28"/>
            </w:rPr>
            <w:alias w:val="Author"/>
            <w:id w:val="14700094"/>
            <w:placeholder>
              <w:docPart w:val="C50573C8E08E4E11AC29232C3F7354A2"/>
            </w:placeholder>
            <w:dataBinding w:prefixMappings="xmlns:ns0='http://schemas.openxmlformats.org/package/2006/metadata/core-properties' xmlns:ns1='http://purl.org/dc/elements/1.1/'" w:xpath="/ns0:coreProperties[1]/ns1:creator[1]" w:storeItemID="{6C3C8BC8-F283-45AE-878A-BAB7291924A1}"/>
            <w:text/>
          </w:sdtPr>
          <w:sdtContent>
            <w:p w:rsidR="00F807C1" w:rsidRDefault="00F807C1">
              <w:pPr>
                <w:pStyle w:val="NoSpacing"/>
              </w:pPr>
              <w:r w:rsidRPr="00F807C1">
                <w:rPr>
                  <w:rFonts w:ascii="Times New Roman" w:hAnsi="Times New Roman" w:cs="Times New Roman"/>
                  <w:sz w:val="28"/>
                  <w:szCs w:val="28"/>
                </w:rPr>
                <w:t>CA RAJAT JAIN</w:t>
              </w:r>
            </w:p>
          </w:sdtContent>
        </w:sdt>
        <w:p w:rsidR="00F807C1" w:rsidRDefault="00F807C1"/>
        <w:p w:rsidR="00F807C1" w:rsidRDefault="00F807C1">
          <w:pPr>
            <w:rPr>
              <w:rFonts w:ascii="Times New Roman" w:hAnsi="Times New Roman" w:cs="Times New Roman"/>
              <w:color w:val="475055"/>
              <w:shd w:val="clear" w:color="auto" w:fill="FFFFFF"/>
            </w:rPr>
          </w:pPr>
          <w:r>
            <w:rPr>
              <w:rFonts w:ascii="Times New Roman" w:hAnsi="Times New Roman" w:cs="Times New Roman"/>
              <w:b/>
              <w:bCs/>
              <w:color w:val="475055"/>
              <w:shd w:val="clear" w:color="auto" w:fill="FFFFFF"/>
            </w:rPr>
            <w:br w:type="page"/>
          </w:r>
        </w:p>
      </w:sdtContent>
    </w:sdt>
    <w:p w:rsidR="00073139" w:rsidRDefault="00F71C1B" w:rsidP="00F71C1B">
      <w:pPr>
        <w:pStyle w:val="Heading1"/>
        <w:rPr>
          <w:rFonts w:ascii="Times New Roman" w:hAnsi="Times New Roman" w:cs="Times New Roman"/>
          <w:sz w:val="36"/>
          <w:szCs w:val="36"/>
          <w:u w:val="thick"/>
        </w:rPr>
      </w:pPr>
      <w:r w:rsidRPr="00F71C1B">
        <w:rPr>
          <w:rFonts w:ascii="Times New Roman" w:hAnsi="Times New Roman" w:cs="Times New Roman"/>
          <w:sz w:val="36"/>
          <w:szCs w:val="36"/>
          <w:u w:val="thick"/>
        </w:rPr>
        <w:lastRenderedPageBreak/>
        <w:t>Higher TDS/TCS Rate for Non-Filers of Income Tax Return</w:t>
      </w:r>
    </w:p>
    <w:p w:rsidR="00F71C1B" w:rsidRDefault="00F71C1B" w:rsidP="00F71C1B">
      <w:pPr>
        <w:rPr>
          <w:rFonts w:ascii="Times New Roman" w:hAnsi="Times New Roman" w:cs="Times New Roman"/>
        </w:rPr>
      </w:pPr>
    </w:p>
    <w:p w:rsidR="00F71C1B" w:rsidRDefault="00F71C1B" w:rsidP="00F71C1B">
      <w:pPr>
        <w:jc w:val="both"/>
        <w:rPr>
          <w:rFonts w:ascii="Times New Roman" w:hAnsi="Times New Roman" w:cs="Times New Roman"/>
          <w:b/>
          <w:sz w:val="24"/>
          <w:szCs w:val="24"/>
        </w:rPr>
      </w:pPr>
      <w:r w:rsidRPr="00F71C1B">
        <w:rPr>
          <w:rFonts w:ascii="Times New Roman" w:hAnsi="Times New Roman" w:cs="Times New Roman"/>
          <w:b/>
          <w:sz w:val="24"/>
          <w:szCs w:val="24"/>
        </w:rPr>
        <w:t>Section 206AB and 206CCA-Special provision for deduction of tax at source (TDS) and collection of tax at source</w:t>
      </w:r>
      <w:r>
        <w:rPr>
          <w:rFonts w:ascii="Times New Roman" w:hAnsi="Times New Roman" w:cs="Times New Roman"/>
          <w:b/>
          <w:sz w:val="24"/>
          <w:szCs w:val="24"/>
        </w:rPr>
        <w:t xml:space="preserve"> </w:t>
      </w:r>
      <w:r w:rsidRPr="00F71C1B">
        <w:rPr>
          <w:rFonts w:ascii="Times New Roman" w:hAnsi="Times New Roman" w:cs="Times New Roman"/>
          <w:b/>
          <w:sz w:val="24"/>
          <w:szCs w:val="24"/>
        </w:rPr>
        <w:t xml:space="preserve">(TCS) for non-filers if income tax return at </w:t>
      </w:r>
      <w:r w:rsidR="00F807C1">
        <w:rPr>
          <w:rFonts w:ascii="Times New Roman" w:hAnsi="Times New Roman" w:cs="Times New Roman"/>
          <w:b/>
          <w:sz w:val="24"/>
          <w:szCs w:val="24"/>
        </w:rPr>
        <w:t>h</w:t>
      </w:r>
      <w:r w:rsidRPr="00F71C1B">
        <w:rPr>
          <w:rFonts w:ascii="Times New Roman" w:hAnsi="Times New Roman" w:cs="Times New Roman"/>
          <w:b/>
          <w:sz w:val="24"/>
          <w:szCs w:val="24"/>
        </w:rPr>
        <w:t>igher rates.</w:t>
      </w:r>
    </w:p>
    <w:p w:rsidR="00F71C1B" w:rsidRDefault="00F71C1B" w:rsidP="00F71C1B">
      <w:pPr>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6FE185F8" wp14:editId="39DD7933">
                <wp:simplePos x="0" y="0"/>
                <wp:positionH relativeFrom="column">
                  <wp:posOffset>-609601</wp:posOffset>
                </wp:positionH>
                <wp:positionV relativeFrom="paragraph">
                  <wp:posOffset>55880</wp:posOffset>
                </wp:positionV>
                <wp:extent cx="7153275" cy="40005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7153275" cy="400050"/>
                        </a:xfrm>
                        <a:prstGeom prst="rect">
                          <a:avLst/>
                        </a:prstGeom>
                        <a:solidFill>
                          <a:schemeClr val="bg2">
                            <a:lumMod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71C1B" w:rsidRPr="00F71C1B" w:rsidRDefault="00F71C1B">
                            <w:pPr>
                              <w:rPr>
                                <w:rFonts w:ascii="Times New Roman" w:hAnsi="Times New Roman" w:cs="Times New Roman"/>
                                <w:b/>
                                <w:sz w:val="32"/>
                                <w:szCs w:val="32"/>
                              </w:rPr>
                            </w:pPr>
                            <w:r>
                              <w:rPr>
                                <w:rFonts w:ascii="Times New Roman" w:hAnsi="Times New Roman" w:cs="Times New Roman"/>
                                <w:b/>
                                <w:sz w:val="32"/>
                                <w:szCs w:val="32"/>
                              </w:rPr>
                              <w:t xml:space="preserve">         </w:t>
                            </w:r>
                            <w:r w:rsidRPr="00F71C1B">
                              <w:rPr>
                                <w:rFonts w:ascii="Times New Roman" w:hAnsi="Times New Roman" w:cs="Times New Roman"/>
                                <w:b/>
                                <w:sz w:val="32"/>
                                <w:szCs w:val="32"/>
                              </w:rPr>
                              <w:t>Section 206AB and 206CCA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8pt;margin-top:4.4pt;width:563.25pt;height:3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" fillcolor="#c4bc96 [2414]" stroked="f" strokeweight=".5pt">
                <v:textbox>
                  <w:txbxContent>
                    <w:p w:rsidR="00F71C1B" w:rsidRPr="00F71C1B" w:rsidRDefault="00F71C1B">
                      <w:pPr>
                        <w:rPr>
                          <w:rFonts w:ascii="Times New Roman" w:hAnsi="Times New Roman" w:cs="Times New Roman"/>
                          <w:b/>
                          <w:sz w:val="32"/>
                          <w:szCs w:val="32"/>
                        </w:rPr>
                      </w:pPr>
                      <w:r>
                        <w:rPr>
                          <w:rFonts w:ascii="Times New Roman" w:hAnsi="Times New Roman" w:cs="Times New Roman"/>
                          <w:b/>
                          <w:sz w:val="32"/>
                          <w:szCs w:val="32"/>
                        </w:rPr>
                        <w:t xml:space="preserve">         </w:t>
                      </w:r>
                      <w:r w:rsidRPr="00F71C1B">
                        <w:rPr>
                          <w:rFonts w:ascii="Times New Roman" w:hAnsi="Times New Roman" w:cs="Times New Roman"/>
                          <w:b/>
                          <w:sz w:val="32"/>
                          <w:szCs w:val="32"/>
                        </w:rPr>
                        <w:t>Section 206AB and 206CCA</w:t>
                      </w:r>
                    </w:p>
                  </w:txbxContent>
                </v:textbox>
              </v:shape>
            </w:pict>
          </mc:Fallback>
        </mc:AlternateContent>
      </w:r>
    </w:p>
    <w:p w:rsidR="00F71C1B" w:rsidRDefault="00F71C1B" w:rsidP="00F71C1B">
      <w:pPr>
        <w:jc w:val="both"/>
        <w:rPr>
          <w:rFonts w:ascii="Times New Roman" w:hAnsi="Times New Roman" w:cs="Times New Roman"/>
          <w:b/>
          <w:sz w:val="24"/>
          <w:szCs w:val="24"/>
        </w:rPr>
      </w:pPr>
    </w:p>
    <w:p w:rsidR="00F71C1B" w:rsidRDefault="00F71C1B" w:rsidP="00F71C1B">
      <w:pPr>
        <w:jc w:val="both"/>
        <w:rPr>
          <w:rFonts w:ascii="Times New Roman" w:hAnsi="Times New Roman" w:cs="Times New Roman"/>
          <w:sz w:val="24"/>
          <w:szCs w:val="24"/>
        </w:rPr>
      </w:pPr>
      <w:r>
        <w:rPr>
          <w:rFonts w:ascii="Times New Roman" w:hAnsi="Times New Roman" w:cs="Times New Roman"/>
          <w:sz w:val="24"/>
          <w:szCs w:val="24"/>
        </w:rPr>
        <w:t xml:space="preserve">The new section </w:t>
      </w:r>
      <w:r w:rsidRPr="00F807C1">
        <w:rPr>
          <w:rFonts w:ascii="Times New Roman" w:hAnsi="Times New Roman" w:cs="Times New Roman"/>
          <w:b/>
          <w:sz w:val="24"/>
          <w:szCs w:val="24"/>
        </w:rPr>
        <w:t>206AB and 206CCA</w:t>
      </w:r>
      <w:r>
        <w:rPr>
          <w:rFonts w:ascii="Times New Roman" w:hAnsi="Times New Roman" w:cs="Times New Roman"/>
          <w:sz w:val="24"/>
          <w:szCs w:val="24"/>
        </w:rPr>
        <w:t xml:space="preserve"> are proposed to be inserted in the Income Tax Act, 1961(“Act”) by the Finance Bill, 2021. The said section provides for higher rate of TDS/TCS to be applied if the transactions are done with the non-filers </w:t>
      </w:r>
      <w:r w:rsidR="00F807C1">
        <w:rPr>
          <w:rFonts w:ascii="Times New Roman" w:hAnsi="Times New Roman" w:cs="Times New Roman"/>
          <w:sz w:val="24"/>
          <w:szCs w:val="24"/>
        </w:rPr>
        <w:tab/>
      </w:r>
      <w:r>
        <w:rPr>
          <w:rFonts w:ascii="Times New Roman" w:hAnsi="Times New Roman" w:cs="Times New Roman"/>
          <w:sz w:val="24"/>
          <w:szCs w:val="24"/>
        </w:rPr>
        <w:t>of income tax return.</w:t>
      </w:r>
    </w:p>
    <w:p w:rsidR="00F71C1B" w:rsidRDefault="00F71C1B" w:rsidP="00F71C1B">
      <w:pPr>
        <w:jc w:val="both"/>
        <w:rPr>
          <w:rFonts w:ascii="Times New Roman" w:hAnsi="Times New Roman" w:cs="Times New Roman"/>
          <w:sz w:val="24"/>
          <w:szCs w:val="24"/>
        </w:rPr>
      </w:pPr>
      <w:r>
        <w:rPr>
          <w:rFonts w:ascii="Times New Roman" w:hAnsi="Times New Roman" w:cs="Times New Roman"/>
          <w:sz w:val="24"/>
          <w:szCs w:val="24"/>
        </w:rPr>
        <w:t xml:space="preserve">                            The said section has been inserted after </w:t>
      </w:r>
      <w:r w:rsidRPr="00C55FC9">
        <w:rPr>
          <w:rFonts w:ascii="Times New Roman" w:hAnsi="Times New Roman" w:cs="Times New Roman"/>
          <w:b/>
          <w:sz w:val="24"/>
          <w:szCs w:val="24"/>
        </w:rPr>
        <w:t>Section 206AA and Section 206CC</w:t>
      </w:r>
      <w:r>
        <w:rPr>
          <w:rFonts w:ascii="Times New Roman" w:hAnsi="Times New Roman" w:cs="Times New Roman"/>
          <w:sz w:val="24"/>
          <w:szCs w:val="24"/>
        </w:rPr>
        <w:t xml:space="preserve"> respectively of the Act which provides for higher rate of TDS/TCS for non-furnishing of </w:t>
      </w:r>
      <w:r w:rsidRPr="00F71C1B">
        <w:rPr>
          <w:rFonts w:ascii="Times New Roman" w:hAnsi="Times New Roman" w:cs="Times New Roman"/>
          <w:b/>
          <w:sz w:val="24"/>
          <w:szCs w:val="24"/>
        </w:rPr>
        <w:t>Permanent Account Number (“PAN”)</w:t>
      </w:r>
      <w:r>
        <w:rPr>
          <w:rFonts w:ascii="Times New Roman" w:hAnsi="Times New Roman" w:cs="Times New Roman"/>
          <w:sz w:val="24"/>
          <w:szCs w:val="24"/>
        </w:rPr>
        <w:t>.</w:t>
      </w:r>
    </w:p>
    <w:p w:rsidR="00F71C1B" w:rsidRDefault="00C55FC9" w:rsidP="00F71C1B">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007F67FB" wp14:editId="32C4C27B">
                <wp:simplePos x="0" y="0"/>
                <wp:positionH relativeFrom="column">
                  <wp:posOffset>-609600</wp:posOffset>
                </wp:positionH>
                <wp:positionV relativeFrom="paragraph">
                  <wp:posOffset>40640</wp:posOffset>
                </wp:positionV>
                <wp:extent cx="7153275" cy="3524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7153275" cy="352425"/>
                        </a:xfrm>
                        <a:prstGeom prst="rect">
                          <a:avLst/>
                        </a:prstGeom>
                        <a:solidFill>
                          <a:schemeClr val="bg2">
                            <a:lumMod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55FC9" w:rsidRPr="00C55FC9" w:rsidRDefault="00C55FC9">
                            <w:pPr>
                              <w:rPr>
                                <w:rFonts w:ascii="Times New Roman" w:hAnsi="Times New Roman" w:cs="Times New Roman"/>
                                <w:b/>
                                <w:sz w:val="28"/>
                                <w:szCs w:val="28"/>
                              </w:rPr>
                            </w:pPr>
                            <w:r>
                              <w:rPr>
                                <w:rFonts w:ascii="Times New Roman" w:hAnsi="Times New Roman" w:cs="Times New Roman"/>
                                <w:b/>
                                <w:sz w:val="28"/>
                                <w:szCs w:val="28"/>
                              </w:rPr>
                              <w:t xml:space="preserve">         </w:t>
                            </w:r>
                            <w:r w:rsidRPr="00C55FC9">
                              <w:rPr>
                                <w:rFonts w:ascii="Times New Roman" w:hAnsi="Times New Roman" w:cs="Times New Roman"/>
                                <w:b/>
                                <w:sz w:val="28"/>
                                <w:szCs w:val="28"/>
                              </w:rPr>
                              <w:t>Tax Rate under section 206AA and 206CC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27" type="#_x0000_t202" style="position:absolute;left:0;text-align:left;margin-left:-48pt;margin-top:3.2pt;width:563.25pt;height:27.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" fillcolor="#c4bc96 [2414]" stroked="f" strokeweight=".5pt">
                <v:textbox>
                  <w:txbxContent>
                    <w:p w:rsidR="00C55FC9" w:rsidRPr="00C55FC9" w:rsidRDefault="00C55FC9">
                      <w:pPr>
                        <w:rPr>
                          <w:rFonts w:ascii="Times New Roman" w:hAnsi="Times New Roman" w:cs="Times New Roman"/>
                          <w:b/>
                          <w:sz w:val="28"/>
                          <w:szCs w:val="28"/>
                        </w:rPr>
                      </w:pPr>
                      <w:r>
                        <w:rPr>
                          <w:rFonts w:ascii="Times New Roman" w:hAnsi="Times New Roman" w:cs="Times New Roman"/>
                          <w:b/>
                          <w:sz w:val="28"/>
                          <w:szCs w:val="28"/>
                        </w:rPr>
                        <w:t xml:space="preserve">         </w:t>
                      </w:r>
                      <w:r w:rsidRPr="00C55FC9">
                        <w:rPr>
                          <w:rFonts w:ascii="Times New Roman" w:hAnsi="Times New Roman" w:cs="Times New Roman"/>
                          <w:b/>
                          <w:sz w:val="28"/>
                          <w:szCs w:val="28"/>
                        </w:rPr>
                        <w:t>Tax Rate under section 206AA and 206CC</w:t>
                      </w:r>
                    </w:p>
                  </w:txbxContent>
                </v:textbox>
              </v:shape>
            </w:pict>
          </mc:Fallback>
        </mc:AlternateContent>
      </w:r>
    </w:p>
    <w:p w:rsidR="00F71C1B" w:rsidRDefault="00F71C1B" w:rsidP="00F71C1B">
      <w:pPr>
        <w:jc w:val="both"/>
        <w:rPr>
          <w:rFonts w:ascii="Times New Roman" w:hAnsi="Times New Roman" w:cs="Times New Roman"/>
          <w:sz w:val="24"/>
          <w:szCs w:val="24"/>
        </w:rPr>
      </w:pPr>
    </w:p>
    <w:p w:rsidR="00C55FC9" w:rsidRDefault="00F807C1" w:rsidP="00D33623">
      <w:pPr>
        <w:spacing w:line="360" w:lineRule="auto"/>
        <w:jc w:val="both"/>
        <w:rPr>
          <w:rFonts w:ascii="Times New Roman" w:hAnsi="Times New Roman" w:cs="Times New Roman"/>
          <w:sz w:val="24"/>
          <w:szCs w:val="24"/>
        </w:rPr>
      </w:pPr>
      <w:r>
        <w:rPr>
          <w:rFonts w:ascii="Times New Roman" w:hAnsi="Times New Roman" w:cs="Times New Roman"/>
          <w:sz w:val="24"/>
          <w:szCs w:val="24"/>
        </w:rPr>
        <w:t>Section 206AA</w:t>
      </w:r>
      <w:r w:rsidR="00C55FC9">
        <w:rPr>
          <w:rFonts w:ascii="Times New Roman" w:hAnsi="Times New Roman" w:cs="Times New Roman"/>
          <w:sz w:val="24"/>
          <w:szCs w:val="24"/>
        </w:rPr>
        <w:t xml:space="preserve"> and Section 206CC are applicable in case where the person fails to furnish the PAN, in which case the person who is responsible for deducting/collecting the tax, as the case maybe, is required to apply the tax rate at higher of the following:-</w:t>
      </w:r>
    </w:p>
    <w:tbl>
      <w:tblPr>
        <w:tblStyle w:val="LightGrid"/>
        <w:tblW w:w="0" w:type="auto"/>
        <w:tblLook w:val="04A0" w:firstRow="1" w:lastRow="0" w:firstColumn="1" w:lastColumn="0" w:noHBand="0" w:noVBand="1"/>
      </w:tblPr>
      <w:tblGrid>
        <w:gridCol w:w="4788"/>
        <w:gridCol w:w="4788"/>
      </w:tblGrid>
      <w:tr w:rsidR="00C55FC9" w:rsidTr="00D336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C55FC9" w:rsidRDefault="00D33623" w:rsidP="00F71C1B">
            <w:pPr>
              <w:jc w:val="both"/>
              <w:rPr>
                <w:rFonts w:ascii="Times New Roman" w:hAnsi="Times New Roman" w:cs="Times New Roman"/>
                <w:sz w:val="24"/>
                <w:szCs w:val="24"/>
              </w:rPr>
            </w:pPr>
            <w:r>
              <w:rPr>
                <w:rFonts w:ascii="Times New Roman" w:hAnsi="Times New Roman" w:cs="Times New Roman"/>
                <w:sz w:val="24"/>
                <w:szCs w:val="24"/>
              </w:rPr>
              <w:t xml:space="preserve">           </w:t>
            </w:r>
            <w:r w:rsidR="00C55FC9">
              <w:rPr>
                <w:rFonts w:ascii="Times New Roman" w:hAnsi="Times New Roman" w:cs="Times New Roman"/>
                <w:sz w:val="24"/>
                <w:szCs w:val="24"/>
              </w:rPr>
              <w:t>Tax is required to be deducted</w:t>
            </w:r>
          </w:p>
        </w:tc>
        <w:tc>
          <w:tcPr>
            <w:tcW w:w="4788" w:type="dxa"/>
          </w:tcPr>
          <w:p w:rsidR="00C55FC9" w:rsidRDefault="00D33623" w:rsidP="00F71C1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00C55FC9">
              <w:rPr>
                <w:rFonts w:ascii="Times New Roman" w:hAnsi="Times New Roman" w:cs="Times New Roman"/>
                <w:sz w:val="24"/>
                <w:szCs w:val="24"/>
              </w:rPr>
              <w:t>Tax is required to be collected</w:t>
            </w:r>
          </w:p>
        </w:tc>
      </w:tr>
      <w:tr w:rsidR="00C55FC9" w:rsidTr="00D336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C55FC9" w:rsidRPr="00C55FC9" w:rsidRDefault="00C55FC9" w:rsidP="00C55FC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At the rate specified in the relevant provision of this Act;</w:t>
            </w:r>
          </w:p>
        </w:tc>
        <w:tc>
          <w:tcPr>
            <w:tcW w:w="4788" w:type="dxa"/>
          </w:tcPr>
          <w:p w:rsidR="00C55FC9" w:rsidRPr="00C55FC9" w:rsidRDefault="00C55FC9" w:rsidP="00C55FC9">
            <w:pPr>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55FC9">
              <w:rPr>
                <w:rFonts w:ascii="Times New Roman" w:hAnsi="Times New Roman" w:cs="Times New Roman"/>
                <w:sz w:val="24"/>
                <w:szCs w:val="24"/>
              </w:rPr>
              <w:t xml:space="preserve"> At twice the rate specified in the           relevant provision of this act;</w:t>
            </w:r>
          </w:p>
        </w:tc>
      </w:tr>
      <w:tr w:rsidR="00C55FC9" w:rsidTr="00D336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C55FC9" w:rsidRPr="00C55FC9" w:rsidRDefault="00C55FC9" w:rsidP="00C55FC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At the rate in force;</w:t>
            </w:r>
          </w:p>
        </w:tc>
        <w:tc>
          <w:tcPr>
            <w:tcW w:w="4788" w:type="dxa"/>
          </w:tcPr>
          <w:p w:rsidR="00C55FC9" w:rsidRPr="00C55FC9" w:rsidRDefault="00C55FC9" w:rsidP="00C55FC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Pr="00C55FC9">
              <w:rPr>
                <w:rFonts w:ascii="Times New Roman" w:hAnsi="Times New Roman" w:cs="Times New Roman"/>
                <w:sz w:val="24"/>
                <w:szCs w:val="24"/>
              </w:rPr>
              <w:t xml:space="preserve">   At the rate of 5%</w:t>
            </w:r>
          </w:p>
        </w:tc>
      </w:tr>
      <w:tr w:rsidR="00C55FC9" w:rsidTr="00D336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C55FC9" w:rsidRPr="00C55FC9" w:rsidRDefault="00C55FC9" w:rsidP="00C55FC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At the rate of 20%</w:t>
            </w:r>
          </w:p>
        </w:tc>
        <w:tc>
          <w:tcPr>
            <w:tcW w:w="4788" w:type="dxa"/>
          </w:tcPr>
          <w:p w:rsidR="00C55FC9" w:rsidRDefault="00C55FC9" w:rsidP="00F71C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rsidR="00D33623" w:rsidRDefault="00D33623" w:rsidP="00F71C1B">
      <w:pPr>
        <w:jc w:val="both"/>
        <w:rPr>
          <w:rFonts w:ascii="Times New Roman" w:hAnsi="Times New Roman" w:cs="Times New Roman"/>
          <w:sz w:val="24"/>
          <w:szCs w:val="24"/>
        </w:rPr>
      </w:pPr>
    </w:p>
    <w:p w:rsidR="00D33623" w:rsidRDefault="00D33623" w:rsidP="00D33623">
      <w:pPr>
        <w:spacing w:line="360" w:lineRule="auto"/>
        <w:jc w:val="both"/>
        <w:rPr>
          <w:rFonts w:ascii="Times New Roman" w:hAnsi="Times New Roman" w:cs="Times New Roman"/>
          <w:sz w:val="24"/>
          <w:szCs w:val="24"/>
        </w:rPr>
      </w:pPr>
      <w:r>
        <w:rPr>
          <w:rFonts w:ascii="Times New Roman" w:hAnsi="Times New Roman" w:cs="Times New Roman"/>
          <w:sz w:val="24"/>
          <w:szCs w:val="24"/>
        </w:rPr>
        <w:t>The purpose of these sections was to encourage the person to obtain the PAN. Further, in line with the above section, section 206AB and section 206CCA have been proposed in the Finance Bill, 2021.</w:t>
      </w:r>
    </w:p>
    <w:p w:rsidR="00D33623" w:rsidRDefault="00D33623" w:rsidP="00F71C1B">
      <w:pPr>
        <w:jc w:val="both"/>
        <w:rPr>
          <w:rFonts w:ascii="Times New Roman" w:hAnsi="Times New Roman" w:cs="Times New Roman"/>
          <w:sz w:val="24"/>
          <w:szCs w:val="24"/>
        </w:rPr>
      </w:pPr>
    </w:p>
    <w:p w:rsidR="00D33623" w:rsidRDefault="00D33623" w:rsidP="00F71C1B">
      <w:pPr>
        <w:jc w:val="both"/>
        <w:rPr>
          <w:rFonts w:ascii="Times New Roman" w:hAnsi="Times New Roman" w:cs="Times New Roman"/>
          <w:sz w:val="24"/>
          <w:szCs w:val="24"/>
        </w:rPr>
      </w:pPr>
    </w:p>
    <w:p w:rsidR="00D33623" w:rsidRDefault="00D33623" w:rsidP="00F71C1B">
      <w:pPr>
        <w:jc w:val="both"/>
        <w:rPr>
          <w:rFonts w:ascii="Times New Roman" w:hAnsi="Times New Roman" w:cs="Times New Roman"/>
          <w:sz w:val="24"/>
          <w:szCs w:val="24"/>
        </w:rPr>
      </w:pPr>
    </w:p>
    <w:p w:rsidR="00F807C1" w:rsidRDefault="00F807C1" w:rsidP="00F71C1B">
      <w:pPr>
        <w:jc w:val="both"/>
        <w:rPr>
          <w:rFonts w:ascii="Times New Roman" w:hAnsi="Times New Roman" w:cs="Times New Roman"/>
          <w:sz w:val="24"/>
          <w:szCs w:val="24"/>
        </w:rPr>
      </w:pPr>
      <w:bookmarkStart w:id="0" w:name="_GoBack"/>
      <w:bookmarkEnd w:id="0"/>
    </w:p>
    <w:p w:rsidR="00D33623" w:rsidRDefault="00D33623" w:rsidP="00F71C1B">
      <w:pPr>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1312" behindDoc="0" locked="0" layoutInCell="1" allowOverlap="1" wp14:anchorId="4165A84D" wp14:editId="73F6591D">
                <wp:simplePos x="0" y="0"/>
                <wp:positionH relativeFrom="column">
                  <wp:posOffset>-609600</wp:posOffset>
                </wp:positionH>
                <wp:positionV relativeFrom="paragraph">
                  <wp:posOffset>430530</wp:posOffset>
                </wp:positionV>
                <wp:extent cx="7153275" cy="45720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7153275" cy="457200"/>
                        </a:xfrm>
                        <a:prstGeom prst="rect">
                          <a:avLst/>
                        </a:prstGeom>
                        <a:solidFill>
                          <a:schemeClr val="bg2">
                            <a:lumMod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33623" w:rsidRPr="00D33623" w:rsidRDefault="00D33623">
                            <w:pPr>
                              <w:rPr>
                                <w:rFonts w:ascii="Times New Roman" w:hAnsi="Times New Roman" w:cs="Times New Roman"/>
                                <w:b/>
                                <w:sz w:val="28"/>
                                <w:szCs w:val="28"/>
                              </w:rPr>
                            </w:pPr>
                            <w:r>
                              <w:rPr>
                                <w:rFonts w:ascii="Times New Roman" w:hAnsi="Times New Roman" w:cs="Times New Roman"/>
                                <w:b/>
                                <w:sz w:val="28"/>
                                <w:szCs w:val="28"/>
                              </w:rPr>
                              <w:t xml:space="preserve">         Applicability of Section 206A</w:t>
                            </w:r>
                            <w:r w:rsidRPr="00D33623">
                              <w:rPr>
                                <w:rFonts w:ascii="Times New Roman" w:hAnsi="Times New Roman" w:cs="Times New Roman"/>
                                <w:b/>
                                <w:sz w:val="28"/>
                                <w:szCs w:val="28"/>
                              </w:rPr>
                              <w:t>B and 206CCA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28" type="#_x0000_t202" style="position:absolute;left:0;text-align:left;margin-left:-48pt;margin-top:33.9pt;width:563.25pt;height:3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" fillcolor="#c4bc96 [2414]" stroked="f" strokeweight=".5pt">
                <v:textbox>
                  <w:txbxContent>
                    <w:p w:rsidR="00D33623" w:rsidRPr="00D33623" w:rsidRDefault="00D33623">
                      <w:pPr>
                        <w:rPr>
                          <w:rFonts w:ascii="Times New Roman" w:hAnsi="Times New Roman" w:cs="Times New Roman"/>
                          <w:b/>
                          <w:sz w:val="28"/>
                          <w:szCs w:val="28"/>
                        </w:rPr>
                      </w:pPr>
                      <w:r>
                        <w:rPr>
                          <w:rFonts w:ascii="Times New Roman" w:hAnsi="Times New Roman" w:cs="Times New Roman"/>
                          <w:b/>
                          <w:sz w:val="28"/>
                          <w:szCs w:val="28"/>
                        </w:rPr>
                        <w:t xml:space="preserve">         Applicability of Section 206A</w:t>
                      </w:r>
                      <w:r w:rsidRPr="00D33623">
                        <w:rPr>
                          <w:rFonts w:ascii="Times New Roman" w:hAnsi="Times New Roman" w:cs="Times New Roman"/>
                          <w:b/>
                          <w:sz w:val="28"/>
                          <w:szCs w:val="28"/>
                        </w:rPr>
                        <w:t>B and 206CCA</w:t>
                      </w:r>
                    </w:p>
                  </w:txbxContent>
                </v:textbox>
              </v:shape>
            </w:pict>
          </mc:Fallback>
        </mc:AlternateContent>
      </w:r>
    </w:p>
    <w:p w:rsidR="00D33623" w:rsidRPr="00D33623" w:rsidRDefault="00D33623" w:rsidP="00D33623">
      <w:pPr>
        <w:rPr>
          <w:rFonts w:ascii="Times New Roman" w:hAnsi="Times New Roman" w:cs="Times New Roman"/>
          <w:sz w:val="24"/>
          <w:szCs w:val="24"/>
        </w:rPr>
      </w:pPr>
    </w:p>
    <w:p w:rsidR="00D33623" w:rsidRDefault="00D33623" w:rsidP="00D33623">
      <w:pPr>
        <w:rPr>
          <w:rFonts w:ascii="Times New Roman" w:hAnsi="Times New Roman" w:cs="Times New Roman"/>
          <w:sz w:val="24"/>
          <w:szCs w:val="24"/>
        </w:rPr>
      </w:pPr>
    </w:p>
    <w:p w:rsidR="00C55FC9" w:rsidRDefault="00D33623" w:rsidP="00D33623">
      <w:pPr>
        <w:jc w:val="both"/>
        <w:rPr>
          <w:rFonts w:ascii="Times New Roman" w:hAnsi="Times New Roman" w:cs="Times New Roman"/>
          <w:sz w:val="24"/>
          <w:szCs w:val="24"/>
        </w:rPr>
      </w:pPr>
      <w:r>
        <w:rPr>
          <w:rFonts w:ascii="Times New Roman" w:hAnsi="Times New Roman" w:cs="Times New Roman"/>
          <w:sz w:val="24"/>
          <w:szCs w:val="24"/>
        </w:rPr>
        <w:t xml:space="preserve">Section 206AB is applicable to the </w:t>
      </w:r>
      <w:r w:rsidRPr="00D33623">
        <w:rPr>
          <w:rFonts w:ascii="Times New Roman" w:hAnsi="Times New Roman" w:cs="Times New Roman"/>
          <w:b/>
          <w:sz w:val="24"/>
          <w:szCs w:val="24"/>
        </w:rPr>
        <w:t>specified person</w:t>
      </w:r>
      <w:r>
        <w:rPr>
          <w:rFonts w:ascii="Times New Roman" w:hAnsi="Times New Roman" w:cs="Times New Roman"/>
          <w:sz w:val="24"/>
          <w:szCs w:val="24"/>
        </w:rPr>
        <w:t xml:space="preserve"> as defined in the provision. The provision of sub section (1) of section 206AB provides for TDS rate to be applied if the amount is paid or credited to a specified person being higher of the below rates:-</w:t>
      </w:r>
    </w:p>
    <w:p w:rsidR="00D33623" w:rsidRDefault="00D33623" w:rsidP="00D33623">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At twice the rate specified in the relevant provision of the Act; or</w:t>
      </w:r>
    </w:p>
    <w:p w:rsidR="00D33623" w:rsidRDefault="00D33623" w:rsidP="00D33623">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At twice the rate or rates in force; or</w:t>
      </w:r>
    </w:p>
    <w:p w:rsidR="00D33623" w:rsidRDefault="00D33623" w:rsidP="00D33623">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At the rate of 5%.</w:t>
      </w:r>
    </w:p>
    <w:p w:rsidR="00D33623" w:rsidRDefault="00D33623" w:rsidP="00D33623">
      <w:pPr>
        <w:rPr>
          <w:rFonts w:ascii="Times New Roman" w:hAnsi="Times New Roman" w:cs="Times New Roman"/>
          <w:sz w:val="24"/>
          <w:szCs w:val="24"/>
        </w:rPr>
      </w:pPr>
      <w:r>
        <w:rPr>
          <w:rFonts w:ascii="Times New Roman" w:hAnsi="Times New Roman" w:cs="Times New Roman"/>
          <w:sz w:val="24"/>
          <w:szCs w:val="24"/>
        </w:rPr>
        <w:t>The provision of sub section (1) of section 206AB does not apply in case where tax is required to be deducted under section 192,192A, 194B, 194BB, 194LBC or 194N.</w:t>
      </w:r>
    </w:p>
    <w:p w:rsidR="00D33623" w:rsidRDefault="00D33623" w:rsidP="007108C9">
      <w:pPr>
        <w:jc w:val="both"/>
        <w:rPr>
          <w:rFonts w:ascii="Times New Roman" w:hAnsi="Times New Roman" w:cs="Times New Roman"/>
          <w:b/>
          <w:sz w:val="24"/>
          <w:szCs w:val="24"/>
        </w:rPr>
      </w:pPr>
      <w:r w:rsidRPr="007108C9">
        <w:rPr>
          <w:rFonts w:ascii="Times New Roman" w:hAnsi="Times New Roman" w:cs="Times New Roman"/>
          <w:b/>
          <w:sz w:val="24"/>
          <w:szCs w:val="24"/>
        </w:rPr>
        <w:t>Further, sub section (2) of section 206AB provides that where both the section 206AA and 206AB are applicable i.e. the specified person has not submitted the PAN as well as not filed the return; the tax shall be deducted at the higher rate among both the section i.e. TDS is required to be deducted at the higher rates among section 206AA a</w:t>
      </w:r>
      <w:r w:rsidR="007108C9" w:rsidRPr="007108C9">
        <w:rPr>
          <w:rFonts w:ascii="Times New Roman" w:hAnsi="Times New Roman" w:cs="Times New Roman"/>
          <w:b/>
          <w:sz w:val="24"/>
          <w:szCs w:val="24"/>
        </w:rPr>
        <w:t>n</w:t>
      </w:r>
      <w:r w:rsidRPr="007108C9">
        <w:rPr>
          <w:rFonts w:ascii="Times New Roman" w:hAnsi="Times New Roman" w:cs="Times New Roman"/>
          <w:b/>
          <w:sz w:val="24"/>
          <w:szCs w:val="24"/>
        </w:rPr>
        <w:t>d 206AB</w:t>
      </w:r>
      <w:r w:rsidR="007108C9" w:rsidRPr="007108C9">
        <w:rPr>
          <w:rFonts w:ascii="Times New Roman" w:hAnsi="Times New Roman" w:cs="Times New Roman"/>
          <w:b/>
          <w:sz w:val="24"/>
          <w:szCs w:val="24"/>
        </w:rPr>
        <w:t>.</w:t>
      </w:r>
    </w:p>
    <w:p w:rsidR="007108C9" w:rsidRDefault="007108C9" w:rsidP="007108C9">
      <w:pPr>
        <w:jc w:val="both"/>
        <w:rPr>
          <w:rFonts w:ascii="Times New Roman" w:hAnsi="Times New Roman" w:cs="Times New Roman"/>
          <w:sz w:val="24"/>
          <w:szCs w:val="24"/>
        </w:rPr>
      </w:pPr>
      <w:r>
        <w:rPr>
          <w:rFonts w:ascii="Times New Roman" w:hAnsi="Times New Roman" w:cs="Times New Roman"/>
          <w:sz w:val="24"/>
          <w:szCs w:val="24"/>
        </w:rPr>
        <w:t xml:space="preserve">The term </w:t>
      </w:r>
      <w:r w:rsidRPr="007108C9">
        <w:rPr>
          <w:rFonts w:ascii="Times New Roman" w:hAnsi="Times New Roman" w:cs="Times New Roman"/>
          <w:b/>
          <w:sz w:val="24"/>
          <w:szCs w:val="24"/>
        </w:rPr>
        <w:t>specified person</w:t>
      </w:r>
      <w:r>
        <w:rPr>
          <w:rFonts w:ascii="Times New Roman" w:hAnsi="Times New Roman" w:cs="Times New Roman"/>
          <w:sz w:val="24"/>
          <w:szCs w:val="24"/>
        </w:rPr>
        <w:t xml:space="preserve"> is defined in sub section (3) of section 206AB who satisfies the following conditions:-</w:t>
      </w:r>
    </w:p>
    <w:p w:rsidR="007108C9" w:rsidRDefault="007108C9" w:rsidP="007108C9">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A person who has </w:t>
      </w:r>
      <w:r w:rsidRPr="007108C9">
        <w:rPr>
          <w:rFonts w:ascii="Times New Roman" w:hAnsi="Times New Roman" w:cs="Times New Roman"/>
          <w:b/>
          <w:sz w:val="24"/>
          <w:szCs w:val="24"/>
        </w:rPr>
        <w:t>not filed</w:t>
      </w:r>
      <w:r>
        <w:rPr>
          <w:rFonts w:ascii="Times New Roman" w:hAnsi="Times New Roman" w:cs="Times New Roman"/>
          <w:sz w:val="24"/>
          <w:szCs w:val="24"/>
        </w:rPr>
        <w:t xml:space="preserve"> the income tax return for </w:t>
      </w:r>
      <w:r w:rsidRPr="007108C9">
        <w:rPr>
          <w:rFonts w:ascii="Times New Roman" w:hAnsi="Times New Roman" w:cs="Times New Roman"/>
          <w:b/>
          <w:sz w:val="24"/>
          <w:szCs w:val="24"/>
        </w:rPr>
        <w:t>Two previous years</w:t>
      </w:r>
      <w:r>
        <w:rPr>
          <w:rFonts w:ascii="Times New Roman" w:hAnsi="Times New Roman" w:cs="Times New Roman"/>
          <w:sz w:val="24"/>
          <w:szCs w:val="24"/>
        </w:rPr>
        <w:t xml:space="preserve"> immediately prior to the previous year in which tax is required to be deducted;</w:t>
      </w:r>
    </w:p>
    <w:p w:rsidR="007108C9" w:rsidRDefault="007108C9" w:rsidP="007108C9">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The </w:t>
      </w:r>
      <w:r w:rsidRPr="007108C9">
        <w:rPr>
          <w:rFonts w:ascii="Times New Roman" w:hAnsi="Times New Roman" w:cs="Times New Roman"/>
          <w:b/>
          <w:sz w:val="24"/>
          <w:szCs w:val="24"/>
        </w:rPr>
        <w:t>time limit</w:t>
      </w:r>
      <w:r>
        <w:rPr>
          <w:rFonts w:ascii="Times New Roman" w:hAnsi="Times New Roman" w:cs="Times New Roman"/>
          <w:sz w:val="24"/>
          <w:szCs w:val="24"/>
        </w:rPr>
        <w:t xml:space="preserve"> of filing of return of income under </w:t>
      </w:r>
      <w:r w:rsidRPr="007108C9">
        <w:rPr>
          <w:rFonts w:ascii="Times New Roman" w:hAnsi="Times New Roman" w:cs="Times New Roman"/>
          <w:b/>
          <w:sz w:val="24"/>
          <w:szCs w:val="24"/>
        </w:rPr>
        <w:t>sub section</w:t>
      </w:r>
      <w:r>
        <w:rPr>
          <w:rFonts w:ascii="Times New Roman" w:hAnsi="Times New Roman" w:cs="Times New Roman"/>
          <w:sz w:val="24"/>
          <w:szCs w:val="24"/>
        </w:rPr>
        <w:t xml:space="preserve"> </w:t>
      </w:r>
      <w:r w:rsidRPr="007108C9">
        <w:rPr>
          <w:rFonts w:ascii="Times New Roman" w:hAnsi="Times New Roman" w:cs="Times New Roman"/>
          <w:b/>
          <w:sz w:val="24"/>
          <w:szCs w:val="24"/>
        </w:rPr>
        <w:t>(1) of section 139</w:t>
      </w:r>
      <w:r>
        <w:rPr>
          <w:rFonts w:ascii="Times New Roman" w:hAnsi="Times New Roman" w:cs="Times New Roman"/>
          <w:sz w:val="24"/>
          <w:szCs w:val="24"/>
        </w:rPr>
        <w:t xml:space="preserve"> is expired; and</w:t>
      </w:r>
    </w:p>
    <w:p w:rsidR="007108C9" w:rsidRDefault="007108C9" w:rsidP="007108C9">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The aggregate tax deducted at source or tax collected at source, as the case may be is </w:t>
      </w:r>
      <w:proofErr w:type="spellStart"/>
      <w:r w:rsidRPr="007108C9">
        <w:rPr>
          <w:rFonts w:ascii="Times New Roman" w:hAnsi="Times New Roman" w:cs="Times New Roman"/>
          <w:b/>
          <w:sz w:val="24"/>
          <w:szCs w:val="24"/>
        </w:rPr>
        <w:t>Rs</w:t>
      </w:r>
      <w:proofErr w:type="spellEnd"/>
      <w:r w:rsidRPr="007108C9">
        <w:rPr>
          <w:rFonts w:ascii="Times New Roman" w:hAnsi="Times New Roman" w:cs="Times New Roman"/>
          <w:b/>
          <w:sz w:val="24"/>
          <w:szCs w:val="24"/>
        </w:rPr>
        <w:t>. 50,000</w:t>
      </w:r>
      <w:r>
        <w:rPr>
          <w:rFonts w:ascii="Times New Roman" w:hAnsi="Times New Roman" w:cs="Times New Roman"/>
          <w:sz w:val="24"/>
          <w:szCs w:val="24"/>
        </w:rPr>
        <w:t xml:space="preserve"> or more in each of the </w:t>
      </w:r>
      <w:r w:rsidRPr="007108C9">
        <w:rPr>
          <w:rFonts w:ascii="Times New Roman" w:hAnsi="Times New Roman" w:cs="Times New Roman"/>
          <w:b/>
          <w:sz w:val="24"/>
          <w:szCs w:val="24"/>
        </w:rPr>
        <w:t>two previous years</w:t>
      </w:r>
      <w:r>
        <w:rPr>
          <w:rFonts w:ascii="Times New Roman" w:hAnsi="Times New Roman" w:cs="Times New Roman"/>
          <w:sz w:val="24"/>
          <w:szCs w:val="24"/>
        </w:rPr>
        <w:t>.</w:t>
      </w:r>
    </w:p>
    <w:p w:rsidR="007108C9" w:rsidRDefault="007108C9" w:rsidP="007108C9">
      <w:pPr>
        <w:ind w:left="360"/>
        <w:jc w:val="both"/>
        <w:rPr>
          <w:rFonts w:ascii="Times New Roman" w:hAnsi="Times New Roman" w:cs="Times New Roman"/>
          <w:b/>
          <w:sz w:val="24"/>
          <w:szCs w:val="24"/>
          <w:u w:val="single"/>
        </w:rPr>
      </w:pPr>
      <w:r w:rsidRPr="007108C9">
        <w:rPr>
          <w:rFonts w:ascii="Times New Roman" w:hAnsi="Times New Roman" w:cs="Times New Roman"/>
          <w:b/>
          <w:sz w:val="24"/>
          <w:szCs w:val="24"/>
          <w:u w:val="single"/>
        </w:rPr>
        <w:t xml:space="preserve">The non-resident who does not have the permanent establishment is excluded from the scope of </w:t>
      </w:r>
      <w:r w:rsidRPr="007108C9">
        <w:rPr>
          <w:rFonts w:ascii="Times New Roman" w:hAnsi="Times New Roman" w:cs="Times New Roman"/>
          <w:b/>
          <w:sz w:val="24"/>
          <w:szCs w:val="24"/>
          <w:u w:val="single"/>
        </w:rPr>
        <w:tab/>
        <w:t xml:space="preserve">specified person. </w:t>
      </w:r>
    </w:p>
    <w:p w:rsidR="007108C9" w:rsidRDefault="007108C9" w:rsidP="007108C9">
      <w:pPr>
        <w:ind w:left="360"/>
        <w:jc w:val="both"/>
        <w:rPr>
          <w:rFonts w:ascii="Times New Roman" w:hAnsi="Times New Roman" w:cs="Times New Roman"/>
          <w:sz w:val="24"/>
          <w:szCs w:val="24"/>
        </w:rPr>
      </w:pPr>
      <w:r>
        <w:rPr>
          <w:rFonts w:ascii="Times New Roman" w:hAnsi="Times New Roman" w:cs="Times New Roman"/>
          <w:sz w:val="24"/>
          <w:szCs w:val="24"/>
        </w:rPr>
        <w:t>Similarly, section 206CCA is proposed to be inserted which provides for TCS rates were tax is required to be collected from the specified person being higher of the below rates:-</w:t>
      </w:r>
    </w:p>
    <w:p w:rsidR="007108C9" w:rsidRDefault="007108C9" w:rsidP="007108C9">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At twice the rate specified in the relevant provision of the act; or</w:t>
      </w:r>
    </w:p>
    <w:p w:rsidR="00F807C1" w:rsidRDefault="007108C9" w:rsidP="00F807C1">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At the rate of 5%</w:t>
      </w:r>
    </w:p>
    <w:p w:rsidR="00F807C1" w:rsidRPr="00F807C1" w:rsidRDefault="00F807C1" w:rsidP="00F807C1">
      <w:pPr>
        <w:jc w:val="both"/>
        <w:rPr>
          <w:rFonts w:ascii="Times New Roman" w:hAnsi="Times New Roman" w:cs="Times New Roman"/>
          <w:sz w:val="24"/>
          <w:szCs w:val="24"/>
        </w:rPr>
      </w:pPr>
      <w:r w:rsidRPr="00F807C1">
        <w:rPr>
          <w:rFonts w:ascii="Times New Roman" w:hAnsi="Times New Roman" w:cs="Times New Roman"/>
          <w:color w:val="475055"/>
          <w:shd w:val="clear" w:color="auto" w:fill="FFFFFF"/>
        </w:rPr>
        <w:t xml:space="preserve">  </w:t>
      </w:r>
      <w:r w:rsidRPr="00F807C1">
        <w:rPr>
          <w:rFonts w:ascii="Times New Roman" w:hAnsi="Times New Roman" w:cs="Times New Roman"/>
          <w:color w:val="475055"/>
          <w:shd w:val="clear" w:color="auto" w:fill="FFFFFF"/>
        </w:rPr>
        <w:t xml:space="preserve">Further, the sub-sections (2) &amp; (3) of section 206CCA are similar to the provision of sub-sections (2) </w:t>
      </w:r>
      <w:r w:rsidRPr="00F807C1">
        <w:rPr>
          <w:rFonts w:ascii="Times New Roman" w:hAnsi="Times New Roman" w:cs="Times New Roman"/>
          <w:color w:val="475055"/>
          <w:shd w:val="clear" w:color="auto" w:fill="FFFFFF"/>
        </w:rPr>
        <w:t xml:space="preserve">        </w:t>
      </w:r>
      <w:r w:rsidRPr="00F807C1">
        <w:rPr>
          <w:rFonts w:ascii="Times New Roman" w:hAnsi="Times New Roman" w:cs="Times New Roman"/>
          <w:color w:val="475055"/>
          <w:shd w:val="clear" w:color="auto" w:fill="FFFFFF"/>
        </w:rPr>
        <w:t>&amp; (3) of section 206AB as explained above. However, while comparing the provision of section 206CC and 206CCA, the impact on the assesse is same as earlier since the rates under both the sections are same and there is no adverse impact on the rate of TCS under the proposed section 206CCA.</w:t>
      </w:r>
    </w:p>
    <w:sectPr w:rsidR="00F807C1" w:rsidRPr="00F807C1" w:rsidSect="00F807C1">
      <w:footerReference w:type="default" r:id="rId8"/>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30A" w:rsidRDefault="00DA230A" w:rsidP="00F807C1">
      <w:pPr>
        <w:spacing w:after="0" w:line="240" w:lineRule="auto"/>
      </w:pPr>
      <w:r>
        <w:separator/>
      </w:r>
    </w:p>
  </w:endnote>
  <w:endnote w:type="continuationSeparator" w:id="0">
    <w:p w:rsidR="00DA230A" w:rsidRDefault="00DA230A" w:rsidP="00F80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7C1" w:rsidRPr="00F807C1" w:rsidRDefault="00F807C1" w:rsidP="00F807C1">
    <w:pPr>
      <w:pStyle w:val="Footer"/>
      <w:pBdr>
        <w:top w:val="thinThickSmallGap" w:sz="24" w:space="1" w:color="622423" w:themeColor="accent2" w:themeShade="7F"/>
      </w:pBdr>
      <w:jc w:val="both"/>
      <w:rPr>
        <w:rFonts w:asciiTheme="majorHAnsi" w:eastAsiaTheme="majorEastAsia" w:hAnsiTheme="majorHAnsi" w:cstheme="majorBidi"/>
      </w:rPr>
    </w:pPr>
    <w:r w:rsidRPr="00F807C1">
      <w:rPr>
        <w:rFonts w:asciiTheme="majorHAnsi" w:eastAsiaTheme="majorEastAsia" w:hAnsiTheme="majorHAnsi" w:cstheme="majorBidi"/>
      </w:rPr>
      <w:t xml:space="preserve">CA RAJAT </w:t>
    </w:r>
    <w:r>
      <w:rPr>
        <w:rFonts w:asciiTheme="majorHAnsi" w:eastAsiaTheme="majorEastAsia" w:hAnsiTheme="majorHAnsi" w:cstheme="majorBidi"/>
      </w:rPr>
      <w:t>JAIN</w:t>
    </w:r>
    <w:r w:rsidRPr="00F807C1">
      <w:rPr>
        <w:rFonts w:asciiTheme="majorHAnsi" w:eastAsiaTheme="majorEastAsia" w:hAnsiTheme="majorHAnsi" w:cstheme="majorBidi"/>
      </w:rPr>
      <w:ptab w:relativeTo="margin" w:alignment="right" w:leader="none"/>
    </w:r>
    <w:r w:rsidRPr="00F807C1">
      <w:rPr>
        <w:rFonts w:asciiTheme="majorHAnsi" w:eastAsiaTheme="majorEastAsia" w:hAnsiTheme="majorHAnsi" w:cstheme="majorBidi"/>
      </w:rPr>
      <w:t xml:space="preserve">Page </w:t>
    </w:r>
    <w:r w:rsidRPr="00F807C1">
      <w:rPr>
        <w:rFonts w:eastAsiaTheme="minorEastAsia"/>
      </w:rPr>
      <w:fldChar w:fldCharType="begin"/>
    </w:r>
    <w:r w:rsidRPr="00F807C1">
      <w:instrText xml:space="preserve"> PAGE   \* MERGEFORMAT </w:instrText>
    </w:r>
    <w:r w:rsidRPr="00F807C1">
      <w:rPr>
        <w:rFonts w:eastAsiaTheme="minorEastAsia"/>
      </w:rPr>
      <w:fldChar w:fldCharType="separate"/>
    </w:r>
    <w:r w:rsidRPr="00F807C1">
      <w:rPr>
        <w:rFonts w:asciiTheme="majorHAnsi" w:eastAsiaTheme="majorEastAsia" w:hAnsiTheme="majorHAnsi" w:cstheme="majorBidi"/>
        <w:noProof/>
      </w:rPr>
      <w:t>1</w:t>
    </w:r>
    <w:r w:rsidRPr="00F807C1">
      <w:rPr>
        <w:rFonts w:asciiTheme="majorHAnsi" w:eastAsiaTheme="majorEastAsia" w:hAnsiTheme="majorHAnsi" w:cstheme="majorBidi"/>
        <w:noProof/>
      </w:rPr>
      <w:fldChar w:fldCharType="end"/>
    </w:r>
  </w:p>
  <w:p w:rsidR="00F807C1" w:rsidRPr="00F807C1" w:rsidRDefault="00F807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30A" w:rsidRDefault="00DA230A" w:rsidP="00F807C1">
      <w:pPr>
        <w:spacing w:after="0" w:line="240" w:lineRule="auto"/>
      </w:pPr>
      <w:r>
        <w:separator/>
      </w:r>
    </w:p>
  </w:footnote>
  <w:footnote w:type="continuationSeparator" w:id="0">
    <w:p w:rsidR="00DA230A" w:rsidRDefault="00DA230A" w:rsidP="00F807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21029"/>
    <w:multiLevelType w:val="hybridMultilevel"/>
    <w:tmpl w:val="584EF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243FFC"/>
    <w:multiLevelType w:val="hybridMultilevel"/>
    <w:tmpl w:val="D2522FCA"/>
    <w:lvl w:ilvl="0" w:tplc="806071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0650B7"/>
    <w:multiLevelType w:val="hybridMultilevel"/>
    <w:tmpl w:val="71C638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88947DE"/>
    <w:multiLevelType w:val="hybridMultilevel"/>
    <w:tmpl w:val="CFC43EF4"/>
    <w:lvl w:ilvl="0" w:tplc="B254EE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C82A94"/>
    <w:multiLevelType w:val="hybridMultilevel"/>
    <w:tmpl w:val="657CAEAC"/>
    <w:lvl w:ilvl="0" w:tplc="B3D0BA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95B5ABE"/>
    <w:multiLevelType w:val="hybridMultilevel"/>
    <w:tmpl w:val="9A505766"/>
    <w:lvl w:ilvl="0" w:tplc="B9DE0A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FA7EDB"/>
    <w:multiLevelType w:val="hybridMultilevel"/>
    <w:tmpl w:val="E3C2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93814AC"/>
    <w:multiLevelType w:val="hybridMultilevel"/>
    <w:tmpl w:val="2744B170"/>
    <w:lvl w:ilvl="0" w:tplc="AB00A5E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1"/>
  </w:num>
  <w:num w:numId="5">
    <w:abstractNumId w:val="4"/>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F6B"/>
    <w:rsid w:val="00073139"/>
    <w:rsid w:val="00114F6B"/>
    <w:rsid w:val="007108C9"/>
    <w:rsid w:val="00C55FC9"/>
    <w:rsid w:val="00D33623"/>
    <w:rsid w:val="00DA230A"/>
    <w:rsid w:val="00F71C1B"/>
    <w:rsid w:val="00F807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71C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1C1B"/>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C55F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55FC9"/>
    <w:pPr>
      <w:ind w:left="720"/>
      <w:contextualSpacing/>
    </w:pPr>
  </w:style>
  <w:style w:type="table" w:styleId="LightShading">
    <w:name w:val="Light Shading"/>
    <w:basedOn w:val="TableNormal"/>
    <w:uiPriority w:val="60"/>
    <w:rsid w:val="00C55FC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C55FC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2">
    <w:name w:val="Light Grid Accent 2"/>
    <w:basedOn w:val="TableNormal"/>
    <w:uiPriority w:val="62"/>
    <w:rsid w:val="00C55FC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5">
    <w:name w:val="Light Grid Accent 5"/>
    <w:basedOn w:val="TableNormal"/>
    <w:uiPriority w:val="62"/>
    <w:rsid w:val="00C55FC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Shading2-Accent5">
    <w:name w:val="Medium Shading 2 Accent 5"/>
    <w:basedOn w:val="TableNormal"/>
    <w:uiPriority w:val="64"/>
    <w:rsid w:val="00C55FC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rsid w:val="00C55FC9"/>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
    <w:name w:val="Light Grid"/>
    <w:basedOn w:val="TableNormal"/>
    <w:uiPriority w:val="62"/>
    <w:rsid w:val="00D33623"/>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Header">
    <w:name w:val="header"/>
    <w:basedOn w:val="Normal"/>
    <w:link w:val="HeaderChar"/>
    <w:uiPriority w:val="99"/>
    <w:unhideWhenUsed/>
    <w:rsid w:val="00F807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07C1"/>
  </w:style>
  <w:style w:type="paragraph" w:styleId="Footer">
    <w:name w:val="footer"/>
    <w:basedOn w:val="Normal"/>
    <w:link w:val="FooterChar"/>
    <w:uiPriority w:val="99"/>
    <w:unhideWhenUsed/>
    <w:rsid w:val="00F807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07C1"/>
  </w:style>
  <w:style w:type="paragraph" w:styleId="BalloonText">
    <w:name w:val="Balloon Text"/>
    <w:basedOn w:val="Normal"/>
    <w:link w:val="BalloonTextChar"/>
    <w:uiPriority w:val="99"/>
    <w:semiHidden/>
    <w:unhideWhenUsed/>
    <w:rsid w:val="00F807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07C1"/>
    <w:rPr>
      <w:rFonts w:ascii="Tahoma" w:hAnsi="Tahoma" w:cs="Tahoma"/>
      <w:sz w:val="16"/>
      <w:szCs w:val="16"/>
    </w:rPr>
  </w:style>
  <w:style w:type="paragraph" w:styleId="NoSpacing">
    <w:name w:val="No Spacing"/>
    <w:link w:val="NoSpacingChar"/>
    <w:uiPriority w:val="1"/>
    <w:qFormat/>
    <w:rsid w:val="00F807C1"/>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F807C1"/>
    <w:rPr>
      <w:rFonts w:eastAsiaTheme="minorEastAsia"/>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71C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1C1B"/>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C55F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55FC9"/>
    <w:pPr>
      <w:ind w:left="720"/>
      <w:contextualSpacing/>
    </w:pPr>
  </w:style>
  <w:style w:type="table" w:styleId="LightShading">
    <w:name w:val="Light Shading"/>
    <w:basedOn w:val="TableNormal"/>
    <w:uiPriority w:val="60"/>
    <w:rsid w:val="00C55FC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C55FC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2">
    <w:name w:val="Light Grid Accent 2"/>
    <w:basedOn w:val="TableNormal"/>
    <w:uiPriority w:val="62"/>
    <w:rsid w:val="00C55FC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5">
    <w:name w:val="Light Grid Accent 5"/>
    <w:basedOn w:val="TableNormal"/>
    <w:uiPriority w:val="62"/>
    <w:rsid w:val="00C55FC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Shading2-Accent5">
    <w:name w:val="Medium Shading 2 Accent 5"/>
    <w:basedOn w:val="TableNormal"/>
    <w:uiPriority w:val="64"/>
    <w:rsid w:val="00C55FC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rsid w:val="00C55FC9"/>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
    <w:name w:val="Light Grid"/>
    <w:basedOn w:val="TableNormal"/>
    <w:uiPriority w:val="62"/>
    <w:rsid w:val="00D33623"/>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Header">
    <w:name w:val="header"/>
    <w:basedOn w:val="Normal"/>
    <w:link w:val="HeaderChar"/>
    <w:uiPriority w:val="99"/>
    <w:unhideWhenUsed/>
    <w:rsid w:val="00F807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07C1"/>
  </w:style>
  <w:style w:type="paragraph" w:styleId="Footer">
    <w:name w:val="footer"/>
    <w:basedOn w:val="Normal"/>
    <w:link w:val="FooterChar"/>
    <w:uiPriority w:val="99"/>
    <w:unhideWhenUsed/>
    <w:rsid w:val="00F807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07C1"/>
  </w:style>
  <w:style w:type="paragraph" w:styleId="BalloonText">
    <w:name w:val="Balloon Text"/>
    <w:basedOn w:val="Normal"/>
    <w:link w:val="BalloonTextChar"/>
    <w:uiPriority w:val="99"/>
    <w:semiHidden/>
    <w:unhideWhenUsed/>
    <w:rsid w:val="00F807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07C1"/>
    <w:rPr>
      <w:rFonts w:ascii="Tahoma" w:hAnsi="Tahoma" w:cs="Tahoma"/>
      <w:sz w:val="16"/>
      <w:szCs w:val="16"/>
    </w:rPr>
  </w:style>
  <w:style w:type="paragraph" w:styleId="NoSpacing">
    <w:name w:val="No Spacing"/>
    <w:link w:val="NoSpacingChar"/>
    <w:uiPriority w:val="1"/>
    <w:qFormat/>
    <w:rsid w:val="00F807C1"/>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F807C1"/>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55CA55BF5614F8398645D2409DF2912"/>
        <w:category>
          <w:name w:val="General"/>
          <w:gallery w:val="placeholder"/>
        </w:category>
        <w:types>
          <w:type w:val="bbPlcHdr"/>
        </w:types>
        <w:behaviors>
          <w:behavior w:val="content"/>
        </w:behaviors>
        <w:guid w:val="{669AC0BA-05BB-4FF0-A2A3-7D53C3571EFD}"/>
      </w:docPartPr>
      <w:docPartBody>
        <w:p w:rsidR="00000000" w:rsidRDefault="00DE51CC" w:rsidP="00DE51CC">
          <w:pPr>
            <w:pStyle w:val="E55CA55BF5614F8398645D2409DF2912"/>
          </w:pPr>
          <w:r>
            <w:rPr>
              <w:rFonts w:asciiTheme="majorHAnsi" w:eastAsiaTheme="majorEastAsia" w:hAnsiTheme="majorHAnsi" w:cstheme="majorBidi"/>
              <w:sz w:val="72"/>
              <w:szCs w:val="72"/>
            </w:rPr>
            <w:t>[Type the document title]</w:t>
          </w:r>
        </w:p>
      </w:docPartBody>
    </w:docPart>
    <w:docPart>
      <w:docPartPr>
        <w:name w:val="C50573C8E08E4E11AC29232C3F7354A2"/>
        <w:category>
          <w:name w:val="General"/>
          <w:gallery w:val="placeholder"/>
        </w:category>
        <w:types>
          <w:type w:val="bbPlcHdr"/>
        </w:types>
        <w:behaviors>
          <w:behavior w:val="content"/>
        </w:behaviors>
        <w:guid w:val="{4573C394-C209-4DB9-9E0E-E90E594BE921}"/>
      </w:docPartPr>
      <w:docPartBody>
        <w:p w:rsidR="00000000" w:rsidRDefault="00DE51CC" w:rsidP="00DE51CC">
          <w:pPr>
            <w:pStyle w:val="C50573C8E08E4E11AC29232C3F7354A2"/>
          </w:pPr>
          <w:r>
            <w:t>[Type the 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1CC"/>
    <w:rsid w:val="006F32BF"/>
    <w:rsid w:val="00DE5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65AF29DB3BD49229B2D8A07B00DB791">
    <w:name w:val="B65AF29DB3BD49229B2D8A07B00DB791"/>
    <w:rsid w:val="00DE51CC"/>
  </w:style>
  <w:style w:type="paragraph" w:customStyle="1" w:styleId="F1FA39FD955F48B3A97C769C3A42C69A">
    <w:name w:val="F1FA39FD955F48B3A97C769C3A42C69A"/>
    <w:rsid w:val="00DE51CC"/>
  </w:style>
  <w:style w:type="paragraph" w:customStyle="1" w:styleId="5C4D994BF0594273BC9C144AED327C2C">
    <w:name w:val="5C4D994BF0594273BC9C144AED327C2C"/>
    <w:rsid w:val="00DE51CC"/>
  </w:style>
  <w:style w:type="paragraph" w:customStyle="1" w:styleId="B1E4ACF002C544E88A827EBFD9FA9140">
    <w:name w:val="B1E4ACF002C544E88A827EBFD9FA9140"/>
    <w:rsid w:val="00DE51CC"/>
  </w:style>
  <w:style w:type="paragraph" w:customStyle="1" w:styleId="C3AAEE7C694D4A409C03E00046319578">
    <w:name w:val="C3AAEE7C694D4A409C03E00046319578"/>
    <w:rsid w:val="00DE51CC"/>
  </w:style>
  <w:style w:type="paragraph" w:customStyle="1" w:styleId="D8B0FD39B6CA44A0AE9B5F2B69AA36A6">
    <w:name w:val="D8B0FD39B6CA44A0AE9B5F2B69AA36A6"/>
    <w:rsid w:val="00DE51CC"/>
  </w:style>
  <w:style w:type="paragraph" w:customStyle="1" w:styleId="E55CA55BF5614F8398645D2409DF2912">
    <w:name w:val="E55CA55BF5614F8398645D2409DF2912"/>
    <w:rsid w:val="00DE51CC"/>
  </w:style>
  <w:style w:type="paragraph" w:customStyle="1" w:styleId="CF6816D9C158465A97C58D8863077F09">
    <w:name w:val="CF6816D9C158465A97C58D8863077F09"/>
    <w:rsid w:val="00DE51CC"/>
  </w:style>
  <w:style w:type="paragraph" w:customStyle="1" w:styleId="DEA25875C5FB4F8B83C8360E972AC489">
    <w:name w:val="DEA25875C5FB4F8B83C8360E972AC489"/>
    <w:rsid w:val="00DE51CC"/>
  </w:style>
  <w:style w:type="paragraph" w:customStyle="1" w:styleId="95A58ADBA4BA4F59924E06FDFEE138B4">
    <w:name w:val="95A58ADBA4BA4F59924E06FDFEE138B4"/>
    <w:rsid w:val="00DE51CC"/>
  </w:style>
  <w:style w:type="paragraph" w:customStyle="1" w:styleId="C50573C8E08E4E11AC29232C3F7354A2">
    <w:name w:val="C50573C8E08E4E11AC29232C3F7354A2"/>
    <w:rsid w:val="00DE51C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65AF29DB3BD49229B2D8A07B00DB791">
    <w:name w:val="B65AF29DB3BD49229B2D8A07B00DB791"/>
    <w:rsid w:val="00DE51CC"/>
  </w:style>
  <w:style w:type="paragraph" w:customStyle="1" w:styleId="F1FA39FD955F48B3A97C769C3A42C69A">
    <w:name w:val="F1FA39FD955F48B3A97C769C3A42C69A"/>
    <w:rsid w:val="00DE51CC"/>
  </w:style>
  <w:style w:type="paragraph" w:customStyle="1" w:styleId="5C4D994BF0594273BC9C144AED327C2C">
    <w:name w:val="5C4D994BF0594273BC9C144AED327C2C"/>
    <w:rsid w:val="00DE51CC"/>
  </w:style>
  <w:style w:type="paragraph" w:customStyle="1" w:styleId="B1E4ACF002C544E88A827EBFD9FA9140">
    <w:name w:val="B1E4ACF002C544E88A827EBFD9FA9140"/>
    <w:rsid w:val="00DE51CC"/>
  </w:style>
  <w:style w:type="paragraph" w:customStyle="1" w:styleId="C3AAEE7C694D4A409C03E00046319578">
    <w:name w:val="C3AAEE7C694D4A409C03E00046319578"/>
    <w:rsid w:val="00DE51CC"/>
  </w:style>
  <w:style w:type="paragraph" w:customStyle="1" w:styleId="D8B0FD39B6CA44A0AE9B5F2B69AA36A6">
    <w:name w:val="D8B0FD39B6CA44A0AE9B5F2B69AA36A6"/>
    <w:rsid w:val="00DE51CC"/>
  </w:style>
  <w:style w:type="paragraph" w:customStyle="1" w:styleId="E55CA55BF5614F8398645D2409DF2912">
    <w:name w:val="E55CA55BF5614F8398645D2409DF2912"/>
    <w:rsid w:val="00DE51CC"/>
  </w:style>
  <w:style w:type="paragraph" w:customStyle="1" w:styleId="CF6816D9C158465A97C58D8863077F09">
    <w:name w:val="CF6816D9C158465A97C58D8863077F09"/>
    <w:rsid w:val="00DE51CC"/>
  </w:style>
  <w:style w:type="paragraph" w:customStyle="1" w:styleId="DEA25875C5FB4F8B83C8360E972AC489">
    <w:name w:val="DEA25875C5FB4F8B83C8360E972AC489"/>
    <w:rsid w:val="00DE51CC"/>
  </w:style>
  <w:style w:type="paragraph" w:customStyle="1" w:styleId="95A58ADBA4BA4F59924E06FDFEE138B4">
    <w:name w:val="95A58ADBA4BA4F59924E06FDFEE138B4"/>
    <w:rsid w:val="00DE51CC"/>
  </w:style>
  <w:style w:type="paragraph" w:customStyle="1" w:styleId="C50573C8E08E4E11AC29232C3F7354A2">
    <w:name w:val="C50573C8E08E4E11AC29232C3F7354A2"/>
    <w:rsid w:val="00DE51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560</Words>
  <Characters>3194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206AB and Section 206CCA</dc:title>
  <dc:subject>For </dc:subject>
  <dc:creator>CA RAJAT JAIN</dc:creator>
  <cp:keywords/>
  <dc:description/>
  <cp:lastModifiedBy>000</cp:lastModifiedBy>
  <cp:revision>2</cp:revision>
  <dcterms:created xsi:type="dcterms:W3CDTF">2021-02-10T15:00:00Z</dcterms:created>
  <dcterms:modified xsi:type="dcterms:W3CDTF">2021-02-10T15:51:00Z</dcterms:modified>
</cp:coreProperties>
</file>