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DAC" w:rsidRPr="003119BC" w:rsidRDefault="00266DAC" w:rsidP="00391D4E">
      <w:pPr>
        <w:jc w:val="center"/>
      </w:pPr>
      <w:r w:rsidRPr="003119BC">
        <w:t>ITAT DELHI</w:t>
      </w:r>
    </w:p>
    <w:p w:rsidR="00C02227" w:rsidRDefault="00C02227" w:rsidP="00391D4E">
      <w:pPr>
        <w:jc w:val="center"/>
      </w:pPr>
      <w:r>
        <w:t>SUMMARY OF SOME OF IMPORTANT CASES DECIDED BY ITAT DELHI</w:t>
      </w:r>
    </w:p>
    <w:p w:rsidR="00266DAC" w:rsidRPr="003119BC" w:rsidRDefault="00C02227" w:rsidP="00391D4E">
      <w:pPr>
        <w:jc w:val="center"/>
      </w:pPr>
      <w:r>
        <w:t>DURING</w:t>
      </w:r>
      <w:bookmarkStart w:id="0" w:name="_GoBack"/>
      <w:bookmarkEnd w:id="0"/>
      <w:r w:rsidR="00391D4E">
        <w:t xml:space="preserve"> </w:t>
      </w:r>
      <w:r w:rsidR="00C3576B">
        <w:t>MARCH</w:t>
      </w:r>
      <w:r w:rsidR="00266DAC" w:rsidRPr="003119BC">
        <w:t xml:space="preserve"> 20</w:t>
      </w:r>
      <w:r w:rsidR="00266DAC">
        <w:t>20</w:t>
      </w:r>
      <w:r w:rsidR="00266DAC" w:rsidRPr="003119BC">
        <w:t xml:space="preserve"> </w:t>
      </w:r>
    </w:p>
    <w:p w:rsidR="00266DAC" w:rsidRPr="003119BC" w:rsidRDefault="00391D4E" w:rsidP="00391D4E">
      <w:pPr>
        <w:jc w:val="center"/>
      </w:pPr>
      <w:r>
        <w:t>TABLE</w:t>
      </w:r>
    </w:p>
    <w:tbl>
      <w:tblPr>
        <w:tblStyle w:val="TableGrid"/>
        <w:tblW w:w="11250" w:type="dxa"/>
        <w:tblInd w:w="-882" w:type="dxa"/>
        <w:tblLayout w:type="fixed"/>
        <w:tblLook w:val="04A0"/>
      </w:tblPr>
      <w:tblGrid>
        <w:gridCol w:w="720"/>
        <w:gridCol w:w="2211"/>
        <w:gridCol w:w="3881"/>
        <w:gridCol w:w="3088"/>
        <w:gridCol w:w="1350"/>
      </w:tblGrid>
      <w:tr w:rsidR="00266DAC" w:rsidRPr="003119BC" w:rsidTr="00266DAC">
        <w:tc>
          <w:tcPr>
            <w:tcW w:w="720" w:type="dxa"/>
          </w:tcPr>
          <w:p w:rsidR="00266DAC" w:rsidRPr="00391D4E" w:rsidRDefault="00266DAC" w:rsidP="00391D4E">
            <w:pPr>
              <w:jc w:val="both"/>
              <w:rPr>
                <w:b/>
              </w:rPr>
            </w:pPr>
            <w:r w:rsidRPr="00391D4E">
              <w:rPr>
                <w:b/>
              </w:rPr>
              <w:t>S.NO.</w:t>
            </w:r>
          </w:p>
        </w:tc>
        <w:tc>
          <w:tcPr>
            <w:tcW w:w="2211" w:type="dxa"/>
          </w:tcPr>
          <w:p w:rsidR="00266DAC" w:rsidRPr="00391D4E" w:rsidRDefault="00266DAC" w:rsidP="00391D4E">
            <w:pPr>
              <w:jc w:val="both"/>
              <w:rPr>
                <w:b/>
              </w:rPr>
            </w:pPr>
            <w:r w:rsidRPr="00391D4E">
              <w:rPr>
                <w:b/>
              </w:rPr>
              <w:t>TITLE  AND ITA No.</w:t>
            </w:r>
          </w:p>
        </w:tc>
        <w:tc>
          <w:tcPr>
            <w:tcW w:w="3881" w:type="dxa"/>
          </w:tcPr>
          <w:p w:rsidR="00266DAC" w:rsidRPr="00391D4E" w:rsidRDefault="00266DAC" w:rsidP="00391D4E">
            <w:pPr>
              <w:jc w:val="both"/>
              <w:rPr>
                <w:b/>
              </w:rPr>
            </w:pPr>
            <w:r w:rsidRPr="00391D4E">
              <w:rPr>
                <w:b/>
              </w:rPr>
              <w:t>ISSUE</w:t>
            </w:r>
          </w:p>
        </w:tc>
        <w:tc>
          <w:tcPr>
            <w:tcW w:w="3088" w:type="dxa"/>
          </w:tcPr>
          <w:p w:rsidR="00266DAC" w:rsidRPr="00391D4E" w:rsidRDefault="00266DAC" w:rsidP="00391D4E">
            <w:pPr>
              <w:jc w:val="both"/>
              <w:rPr>
                <w:b/>
              </w:rPr>
            </w:pPr>
            <w:r w:rsidRPr="00391D4E">
              <w:rPr>
                <w:b/>
              </w:rPr>
              <w:t>ORDER</w:t>
            </w:r>
          </w:p>
        </w:tc>
        <w:tc>
          <w:tcPr>
            <w:tcW w:w="1350" w:type="dxa"/>
          </w:tcPr>
          <w:p w:rsidR="00266DAC" w:rsidRPr="00391D4E" w:rsidRDefault="00266DAC" w:rsidP="00391D4E">
            <w:pPr>
              <w:jc w:val="both"/>
              <w:rPr>
                <w:b/>
              </w:rPr>
            </w:pPr>
            <w:r w:rsidRPr="00391D4E">
              <w:rPr>
                <w:b/>
              </w:rPr>
              <w:t>Favouring</w:t>
            </w:r>
          </w:p>
        </w:tc>
      </w:tr>
      <w:tr w:rsidR="00266DAC" w:rsidRPr="003119BC" w:rsidTr="00266DAC">
        <w:tc>
          <w:tcPr>
            <w:tcW w:w="720" w:type="dxa"/>
          </w:tcPr>
          <w:p w:rsidR="00266DAC" w:rsidRPr="00266DAC" w:rsidRDefault="00C3576B" w:rsidP="00391D4E">
            <w:pPr>
              <w:jc w:val="both"/>
            </w:pPr>
            <w:r>
              <w:t>1</w:t>
            </w:r>
          </w:p>
        </w:tc>
        <w:tc>
          <w:tcPr>
            <w:tcW w:w="2211" w:type="dxa"/>
          </w:tcPr>
          <w:p w:rsidR="00867723" w:rsidRDefault="00867723" w:rsidP="00391D4E">
            <w:pPr>
              <w:pStyle w:val="Default"/>
              <w:jc w:val="both"/>
              <w:rPr>
                <w:sz w:val="22"/>
                <w:szCs w:val="22"/>
              </w:rPr>
            </w:pPr>
            <w:r>
              <w:rPr>
                <w:b/>
                <w:bCs/>
                <w:sz w:val="22"/>
                <w:szCs w:val="22"/>
              </w:rPr>
              <w:t xml:space="preserve">ACIT v. Indiabulls Real Estate Ltd. (ITA No. 6602/D/16) (11/03/2020) (ITAT, Delhi) </w:t>
            </w:r>
          </w:p>
          <w:p w:rsidR="00266DAC" w:rsidRPr="003119BC" w:rsidRDefault="00266DAC" w:rsidP="00391D4E">
            <w:pPr>
              <w:jc w:val="both"/>
            </w:pPr>
          </w:p>
        </w:tc>
        <w:tc>
          <w:tcPr>
            <w:tcW w:w="3881" w:type="dxa"/>
          </w:tcPr>
          <w:p w:rsidR="00266DAC" w:rsidRPr="003119BC" w:rsidRDefault="00DD4DEA" w:rsidP="00986EC6">
            <w:pPr>
              <w:jc w:val="both"/>
            </w:pPr>
            <w:r>
              <w:t xml:space="preserve">Whether AO is under obligation to record his dis-satisfaction in assessment order </w:t>
            </w:r>
            <w:r w:rsidR="00986EC6">
              <w:t>for</w:t>
            </w:r>
            <w:r>
              <w:t xml:space="preserve"> invoking provision of section 14A in regard to </w:t>
            </w:r>
            <w:r w:rsidR="00986EC6">
              <w:t xml:space="preserve">appropriateness of </w:t>
            </w:r>
            <w:r>
              <w:t>expenditure incurred to earn exempt income?</w:t>
            </w:r>
          </w:p>
        </w:tc>
        <w:tc>
          <w:tcPr>
            <w:tcW w:w="3088" w:type="dxa"/>
          </w:tcPr>
          <w:p w:rsidR="00266DAC" w:rsidRPr="003119BC" w:rsidRDefault="00DD4DEA" w:rsidP="00986EC6">
            <w:pPr>
              <w:jc w:val="both"/>
            </w:pPr>
            <w:r>
              <w:t xml:space="preserve">Yes, under the provisions of section 14A(2) AO is under obligation to record his satisfaction as to the incorrect </w:t>
            </w:r>
            <w:r w:rsidR="00986EC6">
              <w:t>claim</w:t>
            </w:r>
            <w:r>
              <w:t xml:space="preserve">, if the AO fails to record then the addition so made shall be invalid and required to be deleted.  </w:t>
            </w:r>
          </w:p>
        </w:tc>
        <w:tc>
          <w:tcPr>
            <w:tcW w:w="1350" w:type="dxa"/>
          </w:tcPr>
          <w:p w:rsidR="00266DAC" w:rsidRPr="003119BC" w:rsidRDefault="00EB7859" w:rsidP="00391D4E">
            <w:pPr>
              <w:jc w:val="both"/>
            </w:pPr>
            <w:r>
              <w:t>A</w:t>
            </w:r>
          </w:p>
        </w:tc>
      </w:tr>
      <w:tr w:rsidR="00EB7859" w:rsidRPr="003119BC" w:rsidTr="00266DAC">
        <w:tc>
          <w:tcPr>
            <w:tcW w:w="720" w:type="dxa"/>
          </w:tcPr>
          <w:p w:rsidR="00EB7859" w:rsidRDefault="0082075A" w:rsidP="00391D4E">
            <w:pPr>
              <w:jc w:val="both"/>
            </w:pPr>
            <w:r>
              <w:t>2</w:t>
            </w:r>
          </w:p>
        </w:tc>
        <w:tc>
          <w:tcPr>
            <w:tcW w:w="2211" w:type="dxa"/>
          </w:tcPr>
          <w:p w:rsidR="0082075A" w:rsidRDefault="0082075A" w:rsidP="00391D4E">
            <w:pPr>
              <w:pStyle w:val="Default"/>
              <w:jc w:val="both"/>
              <w:rPr>
                <w:sz w:val="22"/>
                <w:szCs w:val="22"/>
              </w:rPr>
            </w:pPr>
            <w:r>
              <w:rPr>
                <w:b/>
                <w:bCs/>
                <w:sz w:val="22"/>
                <w:szCs w:val="22"/>
              </w:rPr>
              <w:t xml:space="preserve">ACIT v. Indiabulls Real Estate Ltd. (ITA No. 6602/D/16) (11/03/2020) (ITAT, Delhi) </w:t>
            </w:r>
          </w:p>
          <w:p w:rsidR="00EB7859" w:rsidRDefault="00EB7859" w:rsidP="00391D4E">
            <w:pPr>
              <w:jc w:val="both"/>
            </w:pPr>
          </w:p>
        </w:tc>
        <w:tc>
          <w:tcPr>
            <w:tcW w:w="3881" w:type="dxa"/>
          </w:tcPr>
          <w:p w:rsidR="00EB7859" w:rsidRDefault="0082075A" w:rsidP="00391D4E">
            <w:pPr>
              <w:jc w:val="both"/>
            </w:pPr>
            <w:r>
              <w:t>Whether software is depreciable @ 60%</w:t>
            </w:r>
          </w:p>
        </w:tc>
        <w:tc>
          <w:tcPr>
            <w:tcW w:w="3088" w:type="dxa"/>
          </w:tcPr>
          <w:p w:rsidR="00EB7859" w:rsidRDefault="0082075A" w:rsidP="00391D4E">
            <w:pPr>
              <w:jc w:val="both"/>
            </w:pPr>
            <w:r>
              <w:t>Yes, Software is intergral part of the computer and is eligible for the higher rate of depreciation i.e. 60%</w:t>
            </w:r>
          </w:p>
        </w:tc>
        <w:tc>
          <w:tcPr>
            <w:tcW w:w="1350" w:type="dxa"/>
          </w:tcPr>
          <w:p w:rsidR="00EB7859" w:rsidRDefault="00EB7859" w:rsidP="00391D4E">
            <w:pPr>
              <w:jc w:val="both"/>
            </w:pPr>
            <w:r>
              <w:t>A</w:t>
            </w:r>
          </w:p>
        </w:tc>
      </w:tr>
      <w:tr w:rsidR="00EB7859" w:rsidRPr="003119BC" w:rsidTr="00266DAC">
        <w:tc>
          <w:tcPr>
            <w:tcW w:w="720" w:type="dxa"/>
          </w:tcPr>
          <w:p w:rsidR="00EB7859" w:rsidRDefault="0082075A" w:rsidP="00391D4E">
            <w:pPr>
              <w:jc w:val="both"/>
            </w:pPr>
            <w:r>
              <w:t>3</w:t>
            </w:r>
          </w:p>
        </w:tc>
        <w:tc>
          <w:tcPr>
            <w:tcW w:w="2211" w:type="dxa"/>
          </w:tcPr>
          <w:p w:rsidR="0082075A" w:rsidRDefault="0082075A" w:rsidP="00391D4E">
            <w:pPr>
              <w:pStyle w:val="Default"/>
              <w:jc w:val="both"/>
              <w:rPr>
                <w:sz w:val="22"/>
                <w:szCs w:val="22"/>
              </w:rPr>
            </w:pPr>
            <w:r>
              <w:rPr>
                <w:b/>
                <w:bCs/>
                <w:sz w:val="22"/>
                <w:szCs w:val="22"/>
              </w:rPr>
              <w:t xml:space="preserve">ACIT v. Indiabulls Real Estate Ltd. (ITA No. 6602/D/16) (11/03/2020) (ITAT, Delhi) </w:t>
            </w:r>
          </w:p>
          <w:p w:rsidR="00EB7859" w:rsidRDefault="00EB7859" w:rsidP="00391D4E">
            <w:pPr>
              <w:jc w:val="both"/>
            </w:pPr>
          </w:p>
        </w:tc>
        <w:tc>
          <w:tcPr>
            <w:tcW w:w="3881" w:type="dxa"/>
          </w:tcPr>
          <w:p w:rsidR="00EB7859" w:rsidRDefault="0082075A" w:rsidP="00391D4E">
            <w:pPr>
              <w:jc w:val="both"/>
            </w:pPr>
            <w:r>
              <w:t>Whether the discount given on ESOP is deductible u/s 37 and if yes in what manner?</w:t>
            </w:r>
          </w:p>
        </w:tc>
        <w:tc>
          <w:tcPr>
            <w:tcW w:w="3088" w:type="dxa"/>
          </w:tcPr>
          <w:p w:rsidR="00EB7859" w:rsidRDefault="0082075A" w:rsidP="00986EC6">
            <w:pPr>
              <w:jc w:val="both"/>
            </w:pPr>
            <w:r>
              <w:t xml:space="preserve">Yes, </w:t>
            </w:r>
            <w:r w:rsidR="004A0C0F">
              <w:t xml:space="preserve">since </w:t>
            </w:r>
            <w:r>
              <w:t xml:space="preserve">ESOP </w:t>
            </w:r>
            <w:r w:rsidR="004A0C0F">
              <w:t xml:space="preserve">discount cost </w:t>
            </w:r>
            <w:r>
              <w:t xml:space="preserve">is an employment cost to the Company and thus is a business expenditure deductible u/s 37. The deduction shall be </w:t>
            </w:r>
            <w:r w:rsidR="00986EC6">
              <w:t xml:space="preserve">claimed in </w:t>
            </w:r>
            <w:r w:rsidR="004A0C0F">
              <w:t>SLM method over the vesting period of ESOP.</w:t>
            </w:r>
          </w:p>
        </w:tc>
        <w:tc>
          <w:tcPr>
            <w:tcW w:w="1350" w:type="dxa"/>
          </w:tcPr>
          <w:p w:rsidR="00EB7859" w:rsidRDefault="00EB7859" w:rsidP="00391D4E">
            <w:pPr>
              <w:jc w:val="both"/>
            </w:pPr>
            <w:r>
              <w:t>A</w:t>
            </w:r>
          </w:p>
        </w:tc>
      </w:tr>
      <w:tr w:rsidR="00EB7859" w:rsidRPr="003119BC" w:rsidTr="00266DAC">
        <w:tc>
          <w:tcPr>
            <w:tcW w:w="720" w:type="dxa"/>
          </w:tcPr>
          <w:p w:rsidR="00EB7859" w:rsidRDefault="004A0C0F" w:rsidP="00391D4E">
            <w:pPr>
              <w:jc w:val="both"/>
            </w:pPr>
            <w:r>
              <w:t>4</w:t>
            </w:r>
          </w:p>
        </w:tc>
        <w:tc>
          <w:tcPr>
            <w:tcW w:w="2211" w:type="dxa"/>
          </w:tcPr>
          <w:p w:rsidR="00E319EC" w:rsidRDefault="00E319EC" w:rsidP="00391D4E">
            <w:pPr>
              <w:pStyle w:val="Default"/>
              <w:jc w:val="both"/>
              <w:rPr>
                <w:sz w:val="22"/>
                <w:szCs w:val="22"/>
              </w:rPr>
            </w:pPr>
            <w:r>
              <w:rPr>
                <w:b/>
                <w:bCs/>
                <w:sz w:val="22"/>
                <w:szCs w:val="22"/>
              </w:rPr>
              <w:t xml:space="preserve">DCIT vs. Hind Industries Ltd. (ITA No. 3535/D/2016) (A.Y 2011-12) Dtd 18.03.2020 </w:t>
            </w:r>
          </w:p>
          <w:p w:rsidR="00EB7859" w:rsidRDefault="00EB7859" w:rsidP="00391D4E">
            <w:pPr>
              <w:jc w:val="both"/>
            </w:pPr>
          </w:p>
        </w:tc>
        <w:tc>
          <w:tcPr>
            <w:tcW w:w="3881" w:type="dxa"/>
          </w:tcPr>
          <w:p w:rsidR="00EB7859" w:rsidRDefault="00E319EC" w:rsidP="00391D4E">
            <w:pPr>
              <w:jc w:val="both"/>
            </w:pPr>
            <w:r>
              <w:t>Whether provisions of Section 14A are applicable if no exempt income is received or receivable during the year?</w:t>
            </w:r>
          </w:p>
        </w:tc>
        <w:tc>
          <w:tcPr>
            <w:tcW w:w="3088" w:type="dxa"/>
          </w:tcPr>
          <w:p w:rsidR="00EB7859" w:rsidRDefault="00E319EC" w:rsidP="00391D4E">
            <w:pPr>
              <w:jc w:val="both"/>
            </w:pPr>
            <w:r>
              <w:t>No, Provisions of section 14A are not invokable if no exempt income is received or receivable found during the year.</w:t>
            </w:r>
          </w:p>
        </w:tc>
        <w:tc>
          <w:tcPr>
            <w:tcW w:w="1350" w:type="dxa"/>
          </w:tcPr>
          <w:p w:rsidR="00EB7859" w:rsidRDefault="001147E2" w:rsidP="00391D4E">
            <w:pPr>
              <w:jc w:val="both"/>
            </w:pPr>
            <w:r>
              <w:t>A</w:t>
            </w:r>
          </w:p>
        </w:tc>
      </w:tr>
      <w:tr w:rsidR="001147E2" w:rsidRPr="003119BC" w:rsidTr="00266DAC">
        <w:tc>
          <w:tcPr>
            <w:tcW w:w="720" w:type="dxa"/>
          </w:tcPr>
          <w:p w:rsidR="001147E2" w:rsidRDefault="00E319EC" w:rsidP="00391D4E">
            <w:pPr>
              <w:jc w:val="both"/>
            </w:pPr>
            <w:r>
              <w:t>5</w:t>
            </w:r>
          </w:p>
        </w:tc>
        <w:tc>
          <w:tcPr>
            <w:tcW w:w="2211" w:type="dxa"/>
          </w:tcPr>
          <w:p w:rsidR="00054973" w:rsidRDefault="00054973" w:rsidP="00391D4E">
            <w:pPr>
              <w:pStyle w:val="Default"/>
              <w:jc w:val="both"/>
              <w:rPr>
                <w:sz w:val="22"/>
                <w:szCs w:val="22"/>
              </w:rPr>
            </w:pPr>
            <w:r>
              <w:rPr>
                <w:b/>
                <w:bCs/>
                <w:sz w:val="22"/>
                <w:szCs w:val="22"/>
              </w:rPr>
              <w:t xml:space="preserve">Sumesh Kumar vs ITO (ITA No. 5207/D/2017) (A.Y 2014-15) Dtd 05.03.2020 </w:t>
            </w:r>
          </w:p>
          <w:p w:rsidR="001147E2" w:rsidRDefault="001147E2" w:rsidP="00391D4E">
            <w:pPr>
              <w:pStyle w:val="Default"/>
              <w:jc w:val="both"/>
            </w:pPr>
          </w:p>
          <w:p w:rsidR="003726F8" w:rsidRDefault="003726F8" w:rsidP="00391D4E">
            <w:pPr>
              <w:pStyle w:val="Default"/>
              <w:jc w:val="both"/>
            </w:pPr>
          </w:p>
          <w:p w:rsidR="003726F8" w:rsidRDefault="003726F8" w:rsidP="00391D4E">
            <w:pPr>
              <w:pStyle w:val="Default"/>
              <w:jc w:val="both"/>
            </w:pPr>
          </w:p>
        </w:tc>
        <w:tc>
          <w:tcPr>
            <w:tcW w:w="3881" w:type="dxa"/>
          </w:tcPr>
          <w:p w:rsidR="001147E2" w:rsidRPr="00054973" w:rsidRDefault="00054973" w:rsidP="00391D4E">
            <w:pPr>
              <w:jc w:val="both"/>
              <w:rPr>
                <w:lang w:val="en-IN"/>
              </w:rPr>
            </w:pPr>
            <w:r>
              <w:rPr>
                <w:lang w:val="en-IN"/>
              </w:rPr>
              <w:t>Whether interest received on agricultural land under Land Acquisition Act is taxable u/s 45.</w:t>
            </w:r>
          </w:p>
        </w:tc>
        <w:tc>
          <w:tcPr>
            <w:tcW w:w="3088" w:type="dxa"/>
          </w:tcPr>
          <w:p w:rsidR="001147E2" w:rsidRDefault="00054973" w:rsidP="00986EC6">
            <w:pPr>
              <w:jc w:val="both"/>
            </w:pPr>
            <w:r>
              <w:t xml:space="preserve">No, Since the interest is in form of enhanced compensation and thus partakes the character of sale consideration and </w:t>
            </w:r>
            <w:r w:rsidR="00986EC6">
              <w:t xml:space="preserve">also </w:t>
            </w:r>
            <w:r>
              <w:t xml:space="preserve">no capital gain tax is payable of transfer of Agriculture land </w:t>
            </w:r>
            <w:r w:rsidR="00986EC6">
              <w:t>hence such</w:t>
            </w:r>
            <w:r>
              <w:t xml:space="preserve"> </w:t>
            </w:r>
            <w:r w:rsidR="00986EC6">
              <w:t>interest</w:t>
            </w:r>
            <w:r>
              <w:t xml:space="preserve"> is not taxable.</w:t>
            </w:r>
          </w:p>
        </w:tc>
        <w:tc>
          <w:tcPr>
            <w:tcW w:w="1350" w:type="dxa"/>
          </w:tcPr>
          <w:p w:rsidR="001147E2" w:rsidRDefault="000F5D22" w:rsidP="00391D4E">
            <w:pPr>
              <w:jc w:val="both"/>
            </w:pPr>
            <w:r>
              <w:t>A</w:t>
            </w:r>
          </w:p>
        </w:tc>
      </w:tr>
      <w:tr w:rsidR="000F5D22" w:rsidRPr="003119BC" w:rsidTr="00266DAC">
        <w:tc>
          <w:tcPr>
            <w:tcW w:w="720" w:type="dxa"/>
          </w:tcPr>
          <w:p w:rsidR="000F5D22" w:rsidRDefault="00054973" w:rsidP="00391D4E">
            <w:pPr>
              <w:jc w:val="both"/>
            </w:pPr>
            <w:r>
              <w:t>6</w:t>
            </w:r>
          </w:p>
        </w:tc>
        <w:tc>
          <w:tcPr>
            <w:tcW w:w="2211" w:type="dxa"/>
          </w:tcPr>
          <w:p w:rsidR="003726F8" w:rsidRDefault="003726F8" w:rsidP="00391D4E">
            <w:pPr>
              <w:pStyle w:val="Default"/>
              <w:jc w:val="both"/>
              <w:rPr>
                <w:sz w:val="22"/>
                <w:szCs w:val="22"/>
              </w:rPr>
            </w:pPr>
            <w:r>
              <w:rPr>
                <w:b/>
                <w:bCs/>
                <w:sz w:val="22"/>
                <w:szCs w:val="22"/>
              </w:rPr>
              <w:t xml:space="preserve">Ramphal Hooda v. ITO [ITA No. </w:t>
            </w:r>
            <w:r>
              <w:rPr>
                <w:b/>
                <w:bCs/>
                <w:sz w:val="22"/>
                <w:szCs w:val="22"/>
              </w:rPr>
              <w:lastRenderedPageBreak/>
              <w:t xml:space="preserve">8478/Del./2019] [Dated: 02.03.2020] </w:t>
            </w:r>
          </w:p>
          <w:p w:rsidR="000F5D22" w:rsidRDefault="000F5D22" w:rsidP="00391D4E">
            <w:pPr>
              <w:jc w:val="both"/>
            </w:pPr>
          </w:p>
        </w:tc>
        <w:tc>
          <w:tcPr>
            <w:tcW w:w="3881" w:type="dxa"/>
          </w:tcPr>
          <w:p w:rsidR="000F5D22" w:rsidRDefault="003726F8" w:rsidP="00391D4E">
            <w:pPr>
              <w:jc w:val="both"/>
            </w:pPr>
            <w:r>
              <w:lastRenderedPageBreak/>
              <w:t xml:space="preserve">Whether investment in buying new property in name of wife is eligible for </w:t>
            </w:r>
            <w:r>
              <w:lastRenderedPageBreak/>
              <w:t>exemption u/s 54/54F?</w:t>
            </w:r>
          </w:p>
        </w:tc>
        <w:tc>
          <w:tcPr>
            <w:tcW w:w="3088" w:type="dxa"/>
          </w:tcPr>
          <w:p w:rsidR="000F5D22" w:rsidRDefault="003726F8" w:rsidP="00391D4E">
            <w:pPr>
              <w:jc w:val="both"/>
            </w:pPr>
            <w:r>
              <w:lastRenderedPageBreak/>
              <w:t xml:space="preserve">Yes, In view of the binding decision of Hon’ble DHC the </w:t>
            </w:r>
            <w:r>
              <w:lastRenderedPageBreak/>
              <w:t>exemption is available.</w:t>
            </w:r>
          </w:p>
        </w:tc>
        <w:tc>
          <w:tcPr>
            <w:tcW w:w="1350" w:type="dxa"/>
          </w:tcPr>
          <w:p w:rsidR="000F5D22" w:rsidRDefault="000F5D22" w:rsidP="00391D4E">
            <w:pPr>
              <w:jc w:val="both"/>
            </w:pPr>
            <w:r>
              <w:lastRenderedPageBreak/>
              <w:t>A</w:t>
            </w:r>
          </w:p>
        </w:tc>
      </w:tr>
      <w:tr w:rsidR="000F5D22" w:rsidRPr="003119BC" w:rsidTr="00266DAC">
        <w:tc>
          <w:tcPr>
            <w:tcW w:w="720" w:type="dxa"/>
          </w:tcPr>
          <w:p w:rsidR="000F5D22" w:rsidRDefault="003726F8" w:rsidP="00391D4E">
            <w:pPr>
              <w:jc w:val="both"/>
            </w:pPr>
            <w:r>
              <w:lastRenderedPageBreak/>
              <w:t>7</w:t>
            </w:r>
          </w:p>
        </w:tc>
        <w:tc>
          <w:tcPr>
            <w:tcW w:w="2211" w:type="dxa"/>
          </w:tcPr>
          <w:p w:rsidR="003726F8" w:rsidRDefault="003726F8" w:rsidP="00391D4E">
            <w:pPr>
              <w:pStyle w:val="Default"/>
              <w:jc w:val="both"/>
              <w:rPr>
                <w:sz w:val="22"/>
                <w:szCs w:val="22"/>
              </w:rPr>
            </w:pPr>
            <w:r>
              <w:rPr>
                <w:b/>
                <w:bCs/>
                <w:sz w:val="22"/>
                <w:szCs w:val="22"/>
              </w:rPr>
              <w:t xml:space="preserve">Mr. Deepak Bhardwaj v. ITO (ITA No.4684/Del/2016) (20/03/20) (ITAT, Delhi) </w:t>
            </w:r>
          </w:p>
          <w:p w:rsidR="000F5D22" w:rsidRDefault="000F5D22" w:rsidP="00391D4E">
            <w:pPr>
              <w:jc w:val="both"/>
            </w:pPr>
          </w:p>
        </w:tc>
        <w:tc>
          <w:tcPr>
            <w:tcW w:w="3881" w:type="dxa"/>
          </w:tcPr>
          <w:p w:rsidR="000F5D22" w:rsidRDefault="003726F8" w:rsidP="00391D4E">
            <w:pPr>
              <w:jc w:val="both"/>
            </w:pPr>
            <w:r>
              <w:t>Whether the tax on unutilized portion of LTCG towards constructing new property to avail exemption u/s 54/54F is imposed in the year of arising of capital gain or in the year in which the 3 years period expires?</w:t>
            </w:r>
          </w:p>
        </w:tc>
        <w:tc>
          <w:tcPr>
            <w:tcW w:w="3088" w:type="dxa"/>
          </w:tcPr>
          <w:p w:rsidR="000F5D22" w:rsidRDefault="003726F8" w:rsidP="00986EC6">
            <w:pPr>
              <w:jc w:val="both"/>
            </w:pPr>
            <w:r>
              <w:t>The tax on unutilized portion is taxable in the year in which the 3 year period granted for construction expires and not in the year of capital gain.</w:t>
            </w:r>
          </w:p>
        </w:tc>
        <w:tc>
          <w:tcPr>
            <w:tcW w:w="1350" w:type="dxa"/>
          </w:tcPr>
          <w:p w:rsidR="000F5D22" w:rsidRDefault="00E0662F" w:rsidP="00391D4E">
            <w:pPr>
              <w:jc w:val="both"/>
            </w:pPr>
            <w:r>
              <w:t>A</w:t>
            </w:r>
          </w:p>
        </w:tc>
      </w:tr>
      <w:tr w:rsidR="00E0662F" w:rsidRPr="003119BC" w:rsidTr="00266DAC">
        <w:tc>
          <w:tcPr>
            <w:tcW w:w="720" w:type="dxa"/>
          </w:tcPr>
          <w:p w:rsidR="00E0662F" w:rsidRDefault="003726F8" w:rsidP="00391D4E">
            <w:pPr>
              <w:jc w:val="both"/>
            </w:pPr>
            <w:r>
              <w:t>8</w:t>
            </w:r>
          </w:p>
        </w:tc>
        <w:tc>
          <w:tcPr>
            <w:tcW w:w="2211" w:type="dxa"/>
          </w:tcPr>
          <w:p w:rsidR="001C10A7" w:rsidRDefault="001C10A7" w:rsidP="00391D4E">
            <w:pPr>
              <w:pStyle w:val="Default"/>
              <w:jc w:val="both"/>
              <w:rPr>
                <w:sz w:val="22"/>
                <w:szCs w:val="22"/>
              </w:rPr>
            </w:pPr>
            <w:r>
              <w:rPr>
                <w:b/>
                <w:bCs/>
                <w:sz w:val="22"/>
                <w:szCs w:val="22"/>
              </w:rPr>
              <w:t xml:space="preserve">Shri Riaz Munshi v. ACIT (ITA.No.8314/Del./2018) (11/03/20) (ITAT, Delhi) </w:t>
            </w:r>
          </w:p>
          <w:p w:rsidR="00E0662F" w:rsidRDefault="00E0662F" w:rsidP="00391D4E">
            <w:pPr>
              <w:jc w:val="both"/>
            </w:pPr>
          </w:p>
        </w:tc>
        <w:tc>
          <w:tcPr>
            <w:tcW w:w="3881" w:type="dxa"/>
          </w:tcPr>
          <w:p w:rsidR="00E0662F" w:rsidRDefault="001C10A7" w:rsidP="00391D4E">
            <w:pPr>
              <w:jc w:val="both"/>
            </w:pPr>
            <w:r>
              <w:t>Whether the LTCG earned on penny stock is exempt u/s 10(38) in view of no adverse material found and assessee being a regular investor?</w:t>
            </w:r>
          </w:p>
        </w:tc>
        <w:tc>
          <w:tcPr>
            <w:tcW w:w="3088" w:type="dxa"/>
          </w:tcPr>
          <w:p w:rsidR="00E0662F" w:rsidRDefault="001C10A7" w:rsidP="00391D4E">
            <w:pPr>
              <w:jc w:val="both"/>
            </w:pPr>
            <w:r>
              <w:t>Yes, LTCG is exempt if no specific adverse material is available on record and assessee is a regular investor in share market.</w:t>
            </w:r>
          </w:p>
        </w:tc>
        <w:tc>
          <w:tcPr>
            <w:tcW w:w="1350" w:type="dxa"/>
          </w:tcPr>
          <w:p w:rsidR="00E0662F" w:rsidRDefault="00697D56" w:rsidP="00391D4E">
            <w:pPr>
              <w:jc w:val="both"/>
            </w:pPr>
            <w:r>
              <w:t>A</w:t>
            </w:r>
          </w:p>
        </w:tc>
      </w:tr>
      <w:tr w:rsidR="00697D56" w:rsidRPr="003119BC" w:rsidTr="00266DAC">
        <w:tc>
          <w:tcPr>
            <w:tcW w:w="720" w:type="dxa"/>
          </w:tcPr>
          <w:p w:rsidR="00697D56" w:rsidRDefault="001C10A7" w:rsidP="00391D4E">
            <w:pPr>
              <w:jc w:val="both"/>
            </w:pPr>
            <w:r>
              <w:t>9</w:t>
            </w:r>
          </w:p>
        </w:tc>
        <w:tc>
          <w:tcPr>
            <w:tcW w:w="2211" w:type="dxa"/>
          </w:tcPr>
          <w:p w:rsidR="001C10A7" w:rsidRDefault="001C10A7" w:rsidP="00391D4E">
            <w:pPr>
              <w:pStyle w:val="Default"/>
              <w:jc w:val="both"/>
              <w:rPr>
                <w:sz w:val="22"/>
                <w:szCs w:val="22"/>
              </w:rPr>
            </w:pPr>
            <w:r>
              <w:rPr>
                <w:b/>
                <w:bCs/>
                <w:sz w:val="22"/>
                <w:szCs w:val="22"/>
              </w:rPr>
              <w:t xml:space="preserve">Navkaar Traders v. ITO [ITA No. 194/Del./2020] Dated 17.03.2020 </w:t>
            </w:r>
          </w:p>
          <w:p w:rsidR="00697D56" w:rsidRPr="00205C52" w:rsidRDefault="00697D56" w:rsidP="00391D4E">
            <w:pPr>
              <w:jc w:val="both"/>
            </w:pPr>
          </w:p>
        </w:tc>
        <w:tc>
          <w:tcPr>
            <w:tcW w:w="3881" w:type="dxa"/>
          </w:tcPr>
          <w:p w:rsidR="00697D56" w:rsidRDefault="001C10A7" w:rsidP="00391D4E">
            <w:pPr>
              <w:jc w:val="both"/>
            </w:pPr>
            <w:r>
              <w:t xml:space="preserve">Whether </w:t>
            </w:r>
            <w:r w:rsidR="0066150E">
              <w:t xml:space="preserve">the cash deposited </w:t>
            </w:r>
            <w:r w:rsidR="00986EC6">
              <w:t>out of cash sale declared u/s 44AD</w:t>
            </w:r>
            <w:r w:rsidR="0066150E">
              <w:t xml:space="preserve"> is taxable u/s 68 as undisclosed income.</w:t>
            </w:r>
          </w:p>
        </w:tc>
        <w:tc>
          <w:tcPr>
            <w:tcW w:w="3088" w:type="dxa"/>
          </w:tcPr>
          <w:p w:rsidR="00697D56" w:rsidRDefault="0066150E" w:rsidP="00391D4E">
            <w:pPr>
              <w:jc w:val="both"/>
            </w:pPr>
            <w:r>
              <w:t xml:space="preserve">No, since the cash sale has been declared as sale u/s 44AD, VAT returns, Stock register etc. the genuineness of the cash sale is established.  </w:t>
            </w:r>
          </w:p>
        </w:tc>
        <w:tc>
          <w:tcPr>
            <w:tcW w:w="1350" w:type="dxa"/>
          </w:tcPr>
          <w:p w:rsidR="00697D56" w:rsidRDefault="00205C52" w:rsidP="00391D4E">
            <w:pPr>
              <w:jc w:val="both"/>
            </w:pPr>
            <w:r>
              <w:t>A</w:t>
            </w:r>
          </w:p>
        </w:tc>
      </w:tr>
      <w:tr w:rsidR="00205C52" w:rsidRPr="003119BC" w:rsidTr="00266DAC">
        <w:tc>
          <w:tcPr>
            <w:tcW w:w="720" w:type="dxa"/>
          </w:tcPr>
          <w:p w:rsidR="00205C52" w:rsidRDefault="0066150E" w:rsidP="00391D4E">
            <w:pPr>
              <w:jc w:val="both"/>
            </w:pPr>
            <w:r>
              <w:t>10</w:t>
            </w:r>
          </w:p>
        </w:tc>
        <w:tc>
          <w:tcPr>
            <w:tcW w:w="2211" w:type="dxa"/>
          </w:tcPr>
          <w:p w:rsidR="0066150E" w:rsidRDefault="0066150E" w:rsidP="00391D4E">
            <w:pPr>
              <w:pStyle w:val="Default"/>
              <w:jc w:val="both"/>
              <w:rPr>
                <w:sz w:val="22"/>
                <w:szCs w:val="22"/>
              </w:rPr>
            </w:pPr>
            <w:r>
              <w:rPr>
                <w:b/>
                <w:bCs/>
                <w:sz w:val="22"/>
                <w:szCs w:val="22"/>
              </w:rPr>
              <w:t xml:space="preserve">Meenu Kapoor vs The ACIT (ITA No. 8333/Del/2019)(AY 2016-17) </w:t>
            </w:r>
          </w:p>
          <w:p w:rsidR="00205C52" w:rsidRPr="00205C52" w:rsidRDefault="00205C52" w:rsidP="00391D4E">
            <w:pPr>
              <w:jc w:val="both"/>
            </w:pPr>
          </w:p>
        </w:tc>
        <w:tc>
          <w:tcPr>
            <w:tcW w:w="3881" w:type="dxa"/>
          </w:tcPr>
          <w:p w:rsidR="00205C52" w:rsidRDefault="000F03F4" w:rsidP="00391D4E">
            <w:pPr>
              <w:jc w:val="both"/>
            </w:pPr>
            <w:r>
              <w:t>Where the assessee discharges his initial burden to prove the identity, credit worthiness of lenders/creditors  and genuineness of the transaction the addition u/s 68 of loans taken is sustainable?</w:t>
            </w:r>
          </w:p>
        </w:tc>
        <w:tc>
          <w:tcPr>
            <w:tcW w:w="3088" w:type="dxa"/>
          </w:tcPr>
          <w:p w:rsidR="00205C52" w:rsidRDefault="000F03F4" w:rsidP="00391D4E">
            <w:pPr>
              <w:jc w:val="both"/>
            </w:pPr>
            <w:r>
              <w:t xml:space="preserve">No, since the aseessee has discharged his burden and AO did not carried any further investigation to disprove the claim of assesee the addition </w:t>
            </w:r>
            <w:r w:rsidR="00D554C3">
              <w:t>made is bad in law and thus addition is deleted.</w:t>
            </w:r>
          </w:p>
        </w:tc>
        <w:tc>
          <w:tcPr>
            <w:tcW w:w="1350" w:type="dxa"/>
          </w:tcPr>
          <w:p w:rsidR="00205C52" w:rsidRDefault="00587F06" w:rsidP="00391D4E">
            <w:pPr>
              <w:jc w:val="both"/>
            </w:pPr>
            <w:r>
              <w:t>A</w:t>
            </w:r>
          </w:p>
        </w:tc>
      </w:tr>
      <w:tr w:rsidR="00587F06" w:rsidRPr="003119BC" w:rsidTr="00266DAC">
        <w:tc>
          <w:tcPr>
            <w:tcW w:w="720" w:type="dxa"/>
          </w:tcPr>
          <w:p w:rsidR="00587F06" w:rsidRDefault="00D554C3" w:rsidP="00391D4E">
            <w:pPr>
              <w:jc w:val="both"/>
            </w:pPr>
            <w:r>
              <w:t>11</w:t>
            </w:r>
          </w:p>
        </w:tc>
        <w:tc>
          <w:tcPr>
            <w:tcW w:w="2211" w:type="dxa"/>
          </w:tcPr>
          <w:p w:rsidR="00D554C3" w:rsidRDefault="00D554C3" w:rsidP="00391D4E">
            <w:pPr>
              <w:pStyle w:val="Default"/>
              <w:jc w:val="both"/>
              <w:rPr>
                <w:sz w:val="22"/>
                <w:szCs w:val="22"/>
              </w:rPr>
            </w:pPr>
            <w:r>
              <w:rPr>
                <w:b/>
                <w:bCs/>
                <w:sz w:val="22"/>
                <w:szCs w:val="22"/>
              </w:rPr>
              <w:t xml:space="preserve">DCIT vs Isha Decor Solutions India Pvt Ltd (ITA No. 2366/DEL/2016) (A.Y 2011-12) </w:t>
            </w:r>
          </w:p>
          <w:p w:rsidR="00587F06" w:rsidRDefault="00587F06" w:rsidP="00391D4E">
            <w:pPr>
              <w:jc w:val="both"/>
            </w:pPr>
          </w:p>
        </w:tc>
        <w:tc>
          <w:tcPr>
            <w:tcW w:w="3881" w:type="dxa"/>
          </w:tcPr>
          <w:p w:rsidR="00587F06" w:rsidRDefault="00D554C3" w:rsidP="00391D4E">
            <w:pPr>
              <w:jc w:val="both"/>
            </w:pPr>
            <w:r>
              <w:t xml:space="preserve">Whether the addition of creditors u/s 68 for want of confirmation is sustainable? </w:t>
            </w:r>
          </w:p>
        </w:tc>
        <w:tc>
          <w:tcPr>
            <w:tcW w:w="3088" w:type="dxa"/>
          </w:tcPr>
          <w:p w:rsidR="00A60B29" w:rsidRDefault="00D554C3" w:rsidP="00391D4E">
            <w:pPr>
              <w:jc w:val="both"/>
            </w:pPr>
            <w:r>
              <w:t>No, since the asseessee is an agent of the reputed branded manufacturer and transaction between two of them is regular in nature, such kind of credits do not come in preview of Section 68</w:t>
            </w:r>
            <w:r w:rsidR="00EF5AD3">
              <w:t>.</w:t>
            </w:r>
          </w:p>
        </w:tc>
        <w:tc>
          <w:tcPr>
            <w:tcW w:w="1350" w:type="dxa"/>
          </w:tcPr>
          <w:p w:rsidR="00587F06" w:rsidRDefault="00D554C3" w:rsidP="00391D4E">
            <w:pPr>
              <w:jc w:val="both"/>
            </w:pPr>
            <w:r>
              <w:t>A</w:t>
            </w:r>
          </w:p>
        </w:tc>
      </w:tr>
      <w:tr w:rsidR="00A60B29" w:rsidRPr="003119BC" w:rsidTr="00266DAC">
        <w:tc>
          <w:tcPr>
            <w:tcW w:w="720" w:type="dxa"/>
          </w:tcPr>
          <w:p w:rsidR="00A60B29" w:rsidRDefault="00A60B29" w:rsidP="00391D4E">
            <w:pPr>
              <w:jc w:val="both"/>
            </w:pPr>
            <w:r>
              <w:t>12</w:t>
            </w:r>
          </w:p>
        </w:tc>
        <w:tc>
          <w:tcPr>
            <w:tcW w:w="2211" w:type="dxa"/>
          </w:tcPr>
          <w:p w:rsidR="00A60B29" w:rsidRDefault="005618B6" w:rsidP="00391D4E">
            <w:pPr>
              <w:jc w:val="both"/>
            </w:pPr>
            <w:r>
              <w:rPr>
                <w:b/>
                <w:bCs/>
              </w:rPr>
              <w:t>Shri Kundan Lal Sachdev, ITA No.1589/DEL/2018, Assessment Year 2013-14</w:t>
            </w:r>
          </w:p>
        </w:tc>
        <w:tc>
          <w:tcPr>
            <w:tcW w:w="3881" w:type="dxa"/>
          </w:tcPr>
          <w:p w:rsidR="00A60B29" w:rsidRDefault="005618B6" w:rsidP="00391D4E">
            <w:pPr>
              <w:jc w:val="both"/>
            </w:pPr>
            <w:r>
              <w:t>Where the N</w:t>
            </w:r>
            <w:r w:rsidR="00EF5AD3">
              <w:t xml:space="preserve">otices u/s 133(6) were returned as </w:t>
            </w:r>
            <w:r>
              <w:t>unserved and lender filed a low income return the interest free loan taken is taxable u/s 68 being unexplained cash credit?</w:t>
            </w:r>
          </w:p>
        </w:tc>
        <w:tc>
          <w:tcPr>
            <w:tcW w:w="3088" w:type="dxa"/>
          </w:tcPr>
          <w:p w:rsidR="00A60B29" w:rsidRDefault="005618B6" w:rsidP="00EF5AD3">
            <w:pPr>
              <w:jc w:val="both"/>
            </w:pPr>
            <w:r>
              <w:t>No, Since the assessee after confronting with unservicing of the notice filed the requisite documents i.e. confirmation, bank statement, ITR etc.,  the lender replied to the notice through e</w:t>
            </w:r>
            <w:r w:rsidR="00EF5AD3">
              <w:t>-</w:t>
            </w:r>
            <w:r>
              <w:t>mail, loan was   repaid within 6 months and the lender company has sufficient net worth the genuineness of the transaction is proved.</w:t>
            </w:r>
          </w:p>
        </w:tc>
        <w:tc>
          <w:tcPr>
            <w:tcW w:w="1350" w:type="dxa"/>
          </w:tcPr>
          <w:p w:rsidR="00A60B29" w:rsidRDefault="004647F6" w:rsidP="00391D4E">
            <w:pPr>
              <w:jc w:val="both"/>
            </w:pPr>
            <w:r>
              <w:t>A</w:t>
            </w:r>
          </w:p>
        </w:tc>
      </w:tr>
      <w:tr w:rsidR="004647F6" w:rsidRPr="003119BC" w:rsidTr="00266DAC">
        <w:tc>
          <w:tcPr>
            <w:tcW w:w="720" w:type="dxa"/>
          </w:tcPr>
          <w:p w:rsidR="004647F6" w:rsidRDefault="004647F6" w:rsidP="00391D4E">
            <w:pPr>
              <w:jc w:val="both"/>
            </w:pPr>
            <w:r>
              <w:t>13</w:t>
            </w:r>
          </w:p>
        </w:tc>
        <w:tc>
          <w:tcPr>
            <w:tcW w:w="2211" w:type="dxa"/>
          </w:tcPr>
          <w:p w:rsidR="005618B6" w:rsidRDefault="005618B6" w:rsidP="00391D4E">
            <w:pPr>
              <w:pStyle w:val="Default"/>
              <w:jc w:val="both"/>
              <w:rPr>
                <w:sz w:val="22"/>
                <w:szCs w:val="22"/>
              </w:rPr>
            </w:pPr>
            <w:r>
              <w:rPr>
                <w:b/>
                <w:bCs/>
                <w:sz w:val="22"/>
                <w:szCs w:val="22"/>
              </w:rPr>
              <w:t xml:space="preserve">Sanjay Jain v. ITO (ITA </w:t>
            </w:r>
            <w:r>
              <w:rPr>
                <w:b/>
                <w:bCs/>
                <w:sz w:val="22"/>
                <w:szCs w:val="22"/>
              </w:rPr>
              <w:lastRenderedPageBreak/>
              <w:t xml:space="preserve">No.3314/Del/2019) (06/03/20) (ITAT, Delhi) </w:t>
            </w:r>
          </w:p>
          <w:p w:rsidR="004647F6" w:rsidRDefault="004647F6" w:rsidP="00391D4E">
            <w:pPr>
              <w:jc w:val="both"/>
            </w:pPr>
          </w:p>
        </w:tc>
        <w:tc>
          <w:tcPr>
            <w:tcW w:w="3881" w:type="dxa"/>
          </w:tcPr>
          <w:p w:rsidR="004647F6" w:rsidRDefault="009715EC" w:rsidP="00391D4E">
            <w:pPr>
              <w:jc w:val="both"/>
            </w:pPr>
            <w:r>
              <w:lastRenderedPageBreak/>
              <w:t xml:space="preserve">Where the assessee suppressed the turnover and thus declared a turnover </w:t>
            </w:r>
            <w:r>
              <w:lastRenderedPageBreak/>
              <w:t xml:space="preserve">less than cash deposited, the entire excess deposit is taxable as undisclosed Income? </w:t>
            </w:r>
          </w:p>
        </w:tc>
        <w:tc>
          <w:tcPr>
            <w:tcW w:w="3088" w:type="dxa"/>
          </w:tcPr>
          <w:p w:rsidR="004647F6" w:rsidRDefault="009715EC" w:rsidP="00391D4E">
            <w:pPr>
              <w:jc w:val="both"/>
            </w:pPr>
            <w:r>
              <w:lastRenderedPageBreak/>
              <w:t>No, the pattern of the assesse</w:t>
            </w:r>
            <w:r w:rsidR="00EF5AD3">
              <w:t>e</w:t>
            </w:r>
            <w:r>
              <w:t xml:space="preserve"> bank transactions revealed </w:t>
            </w:r>
            <w:r>
              <w:lastRenderedPageBreak/>
              <w:t xml:space="preserve">there are regular cash withdrawals which have not been considered while framing assessment, thus either peak credit or profit ratio on declared turnover should be applied to determine the taxable profit on such suppressed sale. Here the peak credit is applied. </w:t>
            </w:r>
          </w:p>
        </w:tc>
        <w:tc>
          <w:tcPr>
            <w:tcW w:w="1350" w:type="dxa"/>
          </w:tcPr>
          <w:p w:rsidR="004647F6" w:rsidRDefault="00874DF5" w:rsidP="00391D4E">
            <w:pPr>
              <w:jc w:val="both"/>
            </w:pPr>
            <w:r>
              <w:lastRenderedPageBreak/>
              <w:t>A</w:t>
            </w:r>
          </w:p>
        </w:tc>
      </w:tr>
      <w:tr w:rsidR="00874DF5" w:rsidRPr="003119BC" w:rsidTr="00266DAC">
        <w:tc>
          <w:tcPr>
            <w:tcW w:w="720" w:type="dxa"/>
          </w:tcPr>
          <w:p w:rsidR="00874DF5" w:rsidRDefault="00874DF5" w:rsidP="00391D4E">
            <w:pPr>
              <w:jc w:val="both"/>
            </w:pPr>
            <w:r>
              <w:lastRenderedPageBreak/>
              <w:t>14</w:t>
            </w:r>
          </w:p>
        </w:tc>
        <w:tc>
          <w:tcPr>
            <w:tcW w:w="2211" w:type="dxa"/>
          </w:tcPr>
          <w:p w:rsidR="00E166CA" w:rsidRDefault="00E166CA" w:rsidP="00391D4E">
            <w:pPr>
              <w:pStyle w:val="Default"/>
              <w:jc w:val="both"/>
              <w:rPr>
                <w:b/>
                <w:bCs/>
                <w:sz w:val="22"/>
                <w:szCs w:val="22"/>
              </w:rPr>
            </w:pPr>
            <w:r>
              <w:rPr>
                <w:b/>
                <w:bCs/>
                <w:sz w:val="22"/>
                <w:szCs w:val="22"/>
              </w:rPr>
              <w:t xml:space="preserve">Shimbhu Dyal v. ITO [ITA No. 6117/Del./2018] [Dated: 25.02.2020] </w:t>
            </w:r>
          </w:p>
          <w:p w:rsidR="005005D7" w:rsidRDefault="005005D7" w:rsidP="00391D4E">
            <w:pPr>
              <w:pStyle w:val="Default"/>
              <w:jc w:val="both"/>
              <w:rPr>
                <w:b/>
                <w:bCs/>
                <w:sz w:val="22"/>
                <w:szCs w:val="22"/>
              </w:rPr>
            </w:pPr>
          </w:p>
          <w:p w:rsidR="005005D7" w:rsidRDefault="005005D7" w:rsidP="00391D4E">
            <w:pPr>
              <w:pStyle w:val="Default"/>
              <w:jc w:val="both"/>
              <w:rPr>
                <w:b/>
                <w:bCs/>
                <w:sz w:val="22"/>
                <w:szCs w:val="22"/>
              </w:rPr>
            </w:pPr>
            <w:r>
              <w:rPr>
                <w:b/>
                <w:bCs/>
                <w:sz w:val="22"/>
                <w:szCs w:val="22"/>
              </w:rPr>
              <w:t xml:space="preserve">And </w:t>
            </w:r>
          </w:p>
          <w:p w:rsidR="005005D7" w:rsidRDefault="005005D7" w:rsidP="00391D4E">
            <w:pPr>
              <w:pStyle w:val="Default"/>
              <w:jc w:val="both"/>
            </w:pPr>
          </w:p>
          <w:p w:rsidR="005005D7" w:rsidRDefault="005005D7" w:rsidP="00391D4E">
            <w:pPr>
              <w:pStyle w:val="Default"/>
              <w:jc w:val="both"/>
              <w:rPr>
                <w:sz w:val="22"/>
                <w:szCs w:val="22"/>
              </w:rPr>
            </w:pPr>
            <w:r>
              <w:rPr>
                <w:b/>
                <w:bCs/>
                <w:sz w:val="22"/>
                <w:szCs w:val="22"/>
              </w:rPr>
              <w:t xml:space="preserve">Bothra Financial Services vs ITO (ITA No. 2023/D/2019) (A.Y 2015-16) Dtd 02.03.2020 </w:t>
            </w:r>
          </w:p>
          <w:p w:rsidR="005005D7" w:rsidRDefault="005005D7" w:rsidP="00391D4E">
            <w:pPr>
              <w:pStyle w:val="Default"/>
              <w:jc w:val="both"/>
              <w:rPr>
                <w:sz w:val="22"/>
                <w:szCs w:val="22"/>
              </w:rPr>
            </w:pPr>
          </w:p>
          <w:p w:rsidR="00874DF5" w:rsidRDefault="00874DF5" w:rsidP="00391D4E">
            <w:pPr>
              <w:jc w:val="both"/>
            </w:pPr>
          </w:p>
        </w:tc>
        <w:tc>
          <w:tcPr>
            <w:tcW w:w="3881" w:type="dxa"/>
          </w:tcPr>
          <w:p w:rsidR="00874DF5" w:rsidRDefault="00E166CA" w:rsidP="00391D4E">
            <w:pPr>
              <w:jc w:val="both"/>
            </w:pPr>
            <w:r>
              <w:t>Whether the assessment order passed by AO by converting the limited scrutiny into comprehensive scrutiny without taking previous approval of prescribed higher authority is valid</w:t>
            </w:r>
            <w:r w:rsidR="00EF5AD3">
              <w:t>?</w:t>
            </w:r>
          </w:p>
        </w:tc>
        <w:tc>
          <w:tcPr>
            <w:tcW w:w="3088" w:type="dxa"/>
          </w:tcPr>
          <w:p w:rsidR="00874DF5" w:rsidRDefault="00E166CA" w:rsidP="00391D4E">
            <w:pPr>
              <w:jc w:val="both"/>
            </w:pPr>
            <w:r>
              <w:t xml:space="preserve">No, The AO is bound </w:t>
            </w:r>
            <w:r w:rsidR="005005D7">
              <w:t xml:space="preserve">in terms of circular no. 7/2014 </w:t>
            </w:r>
            <w:r>
              <w:t xml:space="preserve">to take the approval from higher authority for converting the case from limited scrutiny to comprehensive scrutiny and if </w:t>
            </w:r>
            <w:r w:rsidR="005005D7">
              <w:t xml:space="preserve">no such approval is taken </w:t>
            </w:r>
            <w:r>
              <w:t>the a</w:t>
            </w:r>
            <w:r w:rsidR="005005D7">
              <w:t>dditions made on points which were not in limited scrutiny scope are</w:t>
            </w:r>
            <w:r>
              <w:t xml:space="preserve"> bad in law and void ab initio. </w:t>
            </w:r>
          </w:p>
        </w:tc>
        <w:tc>
          <w:tcPr>
            <w:tcW w:w="1350" w:type="dxa"/>
          </w:tcPr>
          <w:p w:rsidR="00874DF5" w:rsidRDefault="00D272D1" w:rsidP="00391D4E">
            <w:pPr>
              <w:jc w:val="both"/>
            </w:pPr>
            <w:r>
              <w:t>A</w:t>
            </w:r>
          </w:p>
        </w:tc>
      </w:tr>
      <w:tr w:rsidR="00D272D1" w:rsidRPr="003119BC" w:rsidTr="00266DAC">
        <w:tc>
          <w:tcPr>
            <w:tcW w:w="720" w:type="dxa"/>
          </w:tcPr>
          <w:p w:rsidR="00D272D1" w:rsidRDefault="00D272D1" w:rsidP="00391D4E">
            <w:pPr>
              <w:jc w:val="both"/>
            </w:pPr>
            <w:r>
              <w:t>15</w:t>
            </w:r>
          </w:p>
        </w:tc>
        <w:tc>
          <w:tcPr>
            <w:tcW w:w="2211" w:type="dxa"/>
          </w:tcPr>
          <w:p w:rsidR="0021759C" w:rsidRDefault="0021759C" w:rsidP="00391D4E">
            <w:pPr>
              <w:pStyle w:val="Default"/>
              <w:jc w:val="both"/>
              <w:rPr>
                <w:sz w:val="22"/>
                <w:szCs w:val="22"/>
              </w:rPr>
            </w:pPr>
            <w:r>
              <w:rPr>
                <w:b/>
                <w:bCs/>
                <w:sz w:val="22"/>
                <w:szCs w:val="22"/>
              </w:rPr>
              <w:t xml:space="preserve">Pee Empro Exports Pvt.Ltd. v. ACIT (ITA No.6589/Del/2019) (20/03/20) (ITAT, Delhi) </w:t>
            </w:r>
          </w:p>
          <w:p w:rsidR="00D272D1" w:rsidRDefault="00D272D1" w:rsidP="00391D4E">
            <w:pPr>
              <w:jc w:val="both"/>
            </w:pPr>
          </w:p>
        </w:tc>
        <w:tc>
          <w:tcPr>
            <w:tcW w:w="3881" w:type="dxa"/>
          </w:tcPr>
          <w:p w:rsidR="00434278" w:rsidRDefault="0021759C" w:rsidP="00391D4E">
            <w:pPr>
              <w:jc w:val="both"/>
            </w:pPr>
            <w:r>
              <w:t>Whe</w:t>
            </w:r>
            <w:r w:rsidR="002D4B8E">
              <w:t xml:space="preserve">ther the addition made by </w:t>
            </w:r>
            <w:r>
              <w:t xml:space="preserve">the AO </w:t>
            </w:r>
            <w:r w:rsidR="002D4B8E">
              <w:t xml:space="preserve">by increasing closing stock value by applying certain formula is valid in a case where the assessee follows the method of valuation regularly and from many years? </w:t>
            </w:r>
          </w:p>
        </w:tc>
        <w:tc>
          <w:tcPr>
            <w:tcW w:w="3088" w:type="dxa"/>
          </w:tcPr>
          <w:p w:rsidR="00434278" w:rsidRDefault="002D4B8E" w:rsidP="00391D4E">
            <w:pPr>
              <w:jc w:val="both"/>
            </w:pPr>
            <w:r>
              <w:t>The assessee failed to explain the basis of calculation of valuation of WIP and thus the method applied by the AO is just, however it is required to apply the method adopted by AO on opening stock too.</w:t>
            </w:r>
          </w:p>
          <w:p w:rsidR="002D4B8E" w:rsidRDefault="002D4B8E" w:rsidP="00391D4E">
            <w:pPr>
              <w:jc w:val="both"/>
            </w:pPr>
          </w:p>
        </w:tc>
        <w:tc>
          <w:tcPr>
            <w:tcW w:w="1350" w:type="dxa"/>
          </w:tcPr>
          <w:p w:rsidR="00D272D1" w:rsidRDefault="00434278" w:rsidP="00391D4E">
            <w:pPr>
              <w:jc w:val="both"/>
            </w:pPr>
            <w:r>
              <w:t>A</w:t>
            </w:r>
          </w:p>
        </w:tc>
      </w:tr>
      <w:tr w:rsidR="00434278" w:rsidRPr="003119BC" w:rsidTr="00266DAC">
        <w:tc>
          <w:tcPr>
            <w:tcW w:w="720" w:type="dxa"/>
          </w:tcPr>
          <w:p w:rsidR="00434278" w:rsidRDefault="00434278" w:rsidP="00391D4E">
            <w:pPr>
              <w:jc w:val="both"/>
            </w:pPr>
            <w:r>
              <w:t>16</w:t>
            </w:r>
          </w:p>
        </w:tc>
        <w:tc>
          <w:tcPr>
            <w:tcW w:w="2211" w:type="dxa"/>
          </w:tcPr>
          <w:p w:rsidR="00FB59F1" w:rsidRDefault="00FB59F1" w:rsidP="00391D4E">
            <w:pPr>
              <w:pStyle w:val="Default"/>
              <w:jc w:val="both"/>
              <w:rPr>
                <w:sz w:val="22"/>
                <w:szCs w:val="22"/>
              </w:rPr>
            </w:pPr>
            <w:r>
              <w:rPr>
                <w:b/>
                <w:bCs/>
                <w:sz w:val="22"/>
                <w:szCs w:val="22"/>
              </w:rPr>
              <w:t xml:space="preserve">Bhagwan Swroop Pathak vs ITO (ITA No. 2754/DEL/2019) (A.Y 2010-11) Dtd 05.03.2020 </w:t>
            </w:r>
          </w:p>
          <w:p w:rsidR="00434278" w:rsidRDefault="00434278" w:rsidP="00391D4E">
            <w:pPr>
              <w:jc w:val="both"/>
            </w:pPr>
          </w:p>
        </w:tc>
        <w:tc>
          <w:tcPr>
            <w:tcW w:w="3881" w:type="dxa"/>
          </w:tcPr>
          <w:p w:rsidR="00434278" w:rsidRDefault="00D77476" w:rsidP="00391D4E">
            <w:pPr>
              <w:jc w:val="both"/>
            </w:pPr>
            <w:r>
              <w:t>Whether the exemption u/s 54 shall be allowed if the assessee has not filed original ITR and assessment is made u/s 147?</w:t>
            </w:r>
          </w:p>
        </w:tc>
        <w:tc>
          <w:tcPr>
            <w:tcW w:w="3088" w:type="dxa"/>
          </w:tcPr>
          <w:p w:rsidR="001B3BCD" w:rsidRDefault="00D77476" w:rsidP="00EF5AD3">
            <w:pPr>
              <w:jc w:val="both"/>
            </w:pPr>
            <w:r>
              <w:t xml:space="preserve">Yes, AO is duty bound to allow the exemption u/s 54 even if the assessee has not filed original ITR and thus did not claim the exemption, but once the scrutiny is undertaken it </w:t>
            </w:r>
            <w:r w:rsidR="00EF5AD3">
              <w:t xml:space="preserve">become </w:t>
            </w:r>
            <w:r>
              <w:t xml:space="preserve">no ground for AO to </w:t>
            </w:r>
            <w:r w:rsidR="00EF5AD3">
              <w:t>disallow</w:t>
            </w:r>
            <w:r>
              <w:t xml:space="preserve"> the exemption u/s 54 stating the assesee himself never  claimed the exemption.</w:t>
            </w:r>
          </w:p>
        </w:tc>
        <w:tc>
          <w:tcPr>
            <w:tcW w:w="1350" w:type="dxa"/>
          </w:tcPr>
          <w:p w:rsidR="00434278" w:rsidRDefault="001B3BCD" w:rsidP="00391D4E">
            <w:pPr>
              <w:jc w:val="both"/>
            </w:pPr>
            <w:r>
              <w:t>A</w:t>
            </w:r>
          </w:p>
        </w:tc>
      </w:tr>
      <w:tr w:rsidR="001B3BCD" w:rsidRPr="003119BC" w:rsidTr="00266DAC">
        <w:tc>
          <w:tcPr>
            <w:tcW w:w="720" w:type="dxa"/>
          </w:tcPr>
          <w:p w:rsidR="001B3BCD" w:rsidRDefault="001B3BCD" w:rsidP="00391D4E">
            <w:pPr>
              <w:jc w:val="both"/>
            </w:pPr>
            <w:r>
              <w:t>17</w:t>
            </w:r>
          </w:p>
        </w:tc>
        <w:tc>
          <w:tcPr>
            <w:tcW w:w="2211" w:type="dxa"/>
          </w:tcPr>
          <w:p w:rsidR="00D77476" w:rsidRDefault="00D77476" w:rsidP="00391D4E">
            <w:pPr>
              <w:pStyle w:val="Default"/>
              <w:jc w:val="both"/>
              <w:rPr>
                <w:sz w:val="22"/>
                <w:szCs w:val="22"/>
              </w:rPr>
            </w:pPr>
            <w:r>
              <w:rPr>
                <w:b/>
                <w:bCs/>
                <w:sz w:val="22"/>
                <w:szCs w:val="22"/>
              </w:rPr>
              <w:t xml:space="preserve">Bhagwan Swroop Pathak vs ITO (ITA No. 2754/DEL/2019) (A.Y 2010-11) Dtd 05.03.2020 </w:t>
            </w:r>
          </w:p>
          <w:p w:rsidR="001B3BCD" w:rsidRDefault="001B3BCD" w:rsidP="00391D4E">
            <w:pPr>
              <w:jc w:val="both"/>
            </w:pPr>
          </w:p>
        </w:tc>
        <w:tc>
          <w:tcPr>
            <w:tcW w:w="3881" w:type="dxa"/>
          </w:tcPr>
          <w:p w:rsidR="001B3BCD" w:rsidRDefault="005618B6" w:rsidP="00391D4E">
            <w:pPr>
              <w:jc w:val="both"/>
            </w:pPr>
            <w:r>
              <w:lastRenderedPageBreak/>
              <w:t>Whe</w:t>
            </w:r>
            <w:r w:rsidR="00D77476">
              <w:t>ther exemption u/s 54 is available if the property is purchased by the assessee in son’s name?</w:t>
            </w:r>
          </w:p>
        </w:tc>
        <w:tc>
          <w:tcPr>
            <w:tcW w:w="3088" w:type="dxa"/>
          </w:tcPr>
          <w:p w:rsidR="001B3BCD" w:rsidRDefault="00D77476" w:rsidP="00391D4E">
            <w:pPr>
              <w:jc w:val="both"/>
            </w:pPr>
            <w:r>
              <w:t xml:space="preserve">Yes, in view of the decision held by the Hon’ble DHC in CIT(A) Vs. Kamal Vahal 351 ITR 4 the exemption is available as the Son has a direct relation with </w:t>
            </w:r>
            <w:r>
              <w:lastRenderedPageBreak/>
              <w:t>the assessee.</w:t>
            </w:r>
          </w:p>
        </w:tc>
        <w:tc>
          <w:tcPr>
            <w:tcW w:w="1350" w:type="dxa"/>
          </w:tcPr>
          <w:p w:rsidR="001B3BCD" w:rsidRDefault="00D07CA1" w:rsidP="00391D4E">
            <w:pPr>
              <w:jc w:val="both"/>
            </w:pPr>
            <w:r>
              <w:lastRenderedPageBreak/>
              <w:t>A</w:t>
            </w:r>
          </w:p>
        </w:tc>
      </w:tr>
      <w:tr w:rsidR="00D07CA1" w:rsidRPr="003119BC" w:rsidTr="00266DAC">
        <w:tc>
          <w:tcPr>
            <w:tcW w:w="720" w:type="dxa"/>
          </w:tcPr>
          <w:p w:rsidR="00D07CA1" w:rsidRDefault="00D07CA1" w:rsidP="00391D4E">
            <w:pPr>
              <w:jc w:val="both"/>
            </w:pPr>
            <w:r>
              <w:lastRenderedPageBreak/>
              <w:t>18</w:t>
            </w:r>
          </w:p>
        </w:tc>
        <w:tc>
          <w:tcPr>
            <w:tcW w:w="2211" w:type="dxa"/>
          </w:tcPr>
          <w:p w:rsidR="002644F3" w:rsidRDefault="002644F3" w:rsidP="00391D4E">
            <w:pPr>
              <w:pStyle w:val="Default"/>
              <w:jc w:val="both"/>
              <w:rPr>
                <w:sz w:val="22"/>
                <w:szCs w:val="22"/>
              </w:rPr>
            </w:pPr>
            <w:r>
              <w:rPr>
                <w:b/>
                <w:bCs/>
                <w:sz w:val="22"/>
                <w:szCs w:val="22"/>
              </w:rPr>
              <w:t xml:space="preserve">Harish Tyagi v. ITO (ITA No. 3849/D/19) (19/03/2020) (ITAT, Delhi) </w:t>
            </w:r>
          </w:p>
          <w:p w:rsidR="00D07CA1" w:rsidRDefault="00D07CA1" w:rsidP="00391D4E">
            <w:pPr>
              <w:jc w:val="both"/>
            </w:pPr>
          </w:p>
        </w:tc>
        <w:tc>
          <w:tcPr>
            <w:tcW w:w="3881" w:type="dxa"/>
          </w:tcPr>
          <w:p w:rsidR="00D07CA1" w:rsidRDefault="008B18AA" w:rsidP="00391D4E">
            <w:pPr>
              <w:jc w:val="both"/>
            </w:pPr>
            <w:r>
              <w:t xml:space="preserve">Whether a mere suspicion without any additional information is sufficient to re-open the assessment u/s 147 in regard to cash deposited in bank? </w:t>
            </w:r>
          </w:p>
        </w:tc>
        <w:tc>
          <w:tcPr>
            <w:tcW w:w="3088" w:type="dxa"/>
          </w:tcPr>
          <w:p w:rsidR="00D07CA1" w:rsidRDefault="008B18AA" w:rsidP="00391D4E">
            <w:pPr>
              <w:jc w:val="both"/>
            </w:pPr>
            <w:r>
              <w:t>No, The AO is bound to make further investigation and obtain sufficient and material to form belief that income has escaped assessment, a mere suspicion is not enough to re-open the case.</w:t>
            </w:r>
          </w:p>
        </w:tc>
        <w:tc>
          <w:tcPr>
            <w:tcW w:w="1350" w:type="dxa"/>
          </w:tcPr>
          <w:p w:rsidR="00D07CA1" w:rsidRDefault="008A6B6B" w:rsidP="00391D4E">
            <w:pPr>
              <w:jc w:val="both"/>
            </w:pPr>
            <w:r>
              <w:t>A</w:t>
            </w:r>
          </w:p>
        </w:tc>
      </w:tr>
      <w:tr w:rsidR="008A6B6B" w:rsidRPr="003119BC" w:rsidTr="00266DAC">
        <w:tc>
          <w:tcPr>
            <w:tcW w:w="720" w:type="dxa"/>
          </w:tcPr>
          <w:p w:rsidR="008A6B6B" w:rsidRDefault="008A6B6B" w:rsidP="00391D4E">
            <w:pPr>
              <w:jc w:val="both"/>
            </w:pPr>
            <w:r>
              <w:t>19</w:t>
            </w:r>
          </w:p>
        </w:tc>
        <w:tc>
          <w:tcPr>
            <w:tcW w:w="2211" w:type="dxa"/>
          </w:tcPr>
          <w:p w:rsidR="008B18AA" w:rsidRDefault="008B18AA" w:rsidP="00391D4E">
            <w:pPr>
              <w:pStyle w:val="Default"/>
              <w:jc w:val="both"/>
              <w:rPr>
                <w:sz w:val="22"/>
                <w:szCs w:val="22"/>
              </w:rPr>
            </w:pPr>
            <w:r>
              <w:rPr>
                <w:b/>
                <w:bCs/>
                <w:sz w:val="22"/>
                <w:szCs w:val="22"/>
              </w:rPr>
              <w:t xml:space="preserve">M/s Sunray Cotspin (P) Ltd. Vs Pr. CIT (ITA no. 5239/Del/2019)(AY 2014-15) </w:t>
            </w:r>
          </w:p>
          <w:p w:rsidR="008A6B6B" w:rsidRDefault="008A6B6B" w:rsidP="00391D4E">
            <w:pPr>
              <w:jc w:val="both"/>
            </w:pPr>
          </w:p>
        </w:tc>
        <w:tc>
          <w:tcPr>
            <w:tcW w:w="3881" w:type="dxa"/>
          </w:tcPr>
          <w:p w:rsidR="008A6B6B" w:rsidRDefault="008B18AA" w:rsidP="00391D4E">
            <w:pPr>
              <w:jc w:val="both"/>
            </w:pPr>
            <w:r>
              <w:t>Whether the invoking of provisions of Section 63 are valid where the assessement has been framed after due enquiry by the AO?</w:t>
            </w:r>
          </w:p>
        </w:tc>
        <w:tc>
          <w:tcPr>
            <w:tcW w:w="3088" w:type="dxa"/>
          </w:tcPr>
          <w:p w:rsidR="008A6B6B" w:rsidRDefault="008B18AA" w:rsidP="00391D4E">
            <w:pPr>
              <w:jc w:val="both"/>
            </w:pPr>
            <w:r>
              <w:t>No, in the instant case it is found that AO has passed the order after due enquiry on the issue and has taken the ‘possible view’ therefore invok</w:t>
            </w:r>
            <w:r w:rsidR="00EE45B3">
              <w:t>ing of Section 63 is</w:t>
            </w:r>
            <w:r>
              <w:t xml:space="preserve"> mere substitution of opinion and thus </w:t>
            </w:r>
            <w:r w:rsidR="00EE45B3">
              <w:t>not allowed.</w:t>
            </w:r>
            <w:r>
              <w:t xml:space="preserve"> </w:t>
            </w:r>
          </w:p>
        </w:tc>
        <w:tc>
          <w:tcPr>
            <w:tcW w:w="1350" w:type="dxa"/>
          </w:tcPr>
          <w:p w:rsidR="008A6B6B" w:rsidRDefault="0041185E" w:rsidP="00391D4E">
            <w:pPr>
              <w:jc w:val="both"/>
            </w:pPr>
            <w:r>
              <w:t>A</w:t>
            </w:r>
          </w:p>
        </w:tc>
      </w:tr>
      <w:tr w:rsidR="0041185E" w:rsidRPr="003119BC" w:rsidTr="00266DAC">
        <w:tc>
          <w:tcPr>
            <w:tcW w:w="720" w:type="dxa"/>
          </w:tcPr>
          <w:p w:rsidR="0041185E" w:rsidRDefault="0041185E" w:rsidP="00391D4E">
            <w:pPr>
              <w:jc w:val="both"/>
            </w:pPr>
            <w:r>
              <w:t>20</w:t>
            </w:r>
          </w:p>
        </w:tc>
        <w:tc>
          <w:tcPr>
            <w:tcW w:w="2211" w:type="dxa"/>
          </w:tcPr>
          <w:p w:rsidR="00EE45B3" w:rsidRDefault="00EE45B3" w:rsidP="00391D4E">
            <w:pPr>
              <w:pStyle w:val="Default"/>
              <w:jc w:val="both"/>
              <w:rPr>
                <w:sz w:val="22"/>
                <w:szCs w:val="22"/>
              </w:rPr>
            </w:pPr>
            <w:r>
              <w:rPr>
                <w:b/>
                <w:bCs/>
                <w:sz w:val="22"/>
                <w:szCs w:val="22"/>
              </w:rPr>
              <w:t xml:space="preserve">Arihant Technology Pvt. Ltd. vs Pr. CIT (ITA No.5473/Del/2019)(AY 2009-10) </w:t>
            </w:r>
          </w:p>
          <w:p w:rsidR="0041185E" w:rsidRDefault="0041185E" w:rsidP="00391D4E">
            <w:pPr>
              <w:jc w:val="both"/>
            </w:pPr>
          </w:p>
        </w:tc>
        <w:tc>
          <w:tcPr>
            <w:tcW w:w="3881" w:type="dxa"/>
          </w:tcPr>
          <w:p w:rsidR="0041185E" w:rsidRDefault="00EE45B3" w:rsidP="00391D4E">
            <w:pPr>
              <w:jc w:val="both"/>
            </w:pPr>
            <w:r>
              <w:t>Whether the proceedings u/s 263 are valid where the PCIT is not satisfied with manner of investigation and enquiry conducted by the AO</w:t>
            </w:r>
            <w:r w:rsidR="00391D4E">
              <w:t>?</w:t>
            </w:r>
          </w:p>
        </w:tc>
        <w:tc>
          <w:tcPr>
            <w:tcW w:w="3088" w:type="dxa"/>
          </w:tcPr>
          <w:p w:rsidR="0041185E" w:rsidRDefault="00EE45B3" w:rsidP="00391D4E">
            <w:pPr>
              <w:jc w:val="both"/>
            </w:pPr>
            <w:r>
              <w:t>No, The AO has made due prima facie enquiries and the assessee has properly replied and submitted requisite information and evidences in regard to such enquiry and on such basis AO took a possible view</w:t>
            </w:r>
            <w:r w:rsidR="00FB530F">
              <w:t xml:space="preserve">, therefore initiating proceedings u/s 263 holding that manner of enquiry </w:t>
            </w:r>
            <w:r w:rsidR="00EF5AD3">
              <w:t xml:space="preserve">was </w:t>
            </w:r>
            <w:r w:rsidR="00FB530F">
              <w:t>not appropriate is not valid.</w:t>
            </w:r>
          </w:p>
        </w:tc>
        <w:tc>
          <w:tcPr>
            <w:tcW w:w="1350" w:type="dxa"/>
          </w:tcPr>
          <w:p w:rsidR="0041185E" w:rsidRDefault="002C1184" w:rsidP="00391D4E">
            <w:pPr>
              <w:jc w:val="both"/>
            </w:pPr>
            <w:r>
              <w:t>A</w:t>
            </w:r>
          </w:p>
        </w:tc>
      </w:tr>
      <w:tr w:rsidR="002C1184" w:rsidRPr="003119BC" w:rsidTr="00266DAC">
        <w:tc>
          <w:tcPr>
            <w:tcW w:w="720" w:type="dxa"/>
          </w:tcPr>
          <w:p w:rsidR="002C1184" w:rsidRDefault="002C1184" w:rsidP="00391D4E">
            <w:pPr>
              <w:jc w:val="both"/>
            </w:pPr>
            <w:r>
              <w:t>21</w:t>
            </w:r>
          </w:p>
        </w:tc>
        <w:tc>
          <w:tcPr>
            <w:tcW w:w="2211" w:type="dxa"/>
          </w:tcPr>
          <w:p w:rsidR="00391D4E" w:rsidRDefault="00391D4E" w:rsidP="00391D4E">
            <w:pPr>
              <w:pStyle w:val="Default"/>
              <w:jc w:val="both"/>
              <w:rPr>
                <w:sz w:val="22"/>
                <w:szCs w:val="22"/>
              </w:rPr>
            </w:pPr>
            <w:r>
              <w:rPr>
                <w:b/>
                <w:bCs/>
                <w:sz w:val="22"/>
                <w:szCs w:val="22"/>
              </w:rPr>
              <w:t xml:space="preserve">M/s. JCDecaux SA v. ACIT (ITA No. 1630/D/15)(20/03/20) (ITAT, Delhi) </w:t>
            </w:r>
          </w:p>
          <w:p w:rsidR="002C1184" w:rsidRDefault="002C1184" w:rsidP="00391D4E">
            <w:pPr>
              <w:pStyle w:val="Default"/>
              <w:jc w:val="both"/>
            </w:pPr>
          </w:p>
        </w:tc>
        <w:tc>
          <w:tcPr>
            <w:tcW w:w="3881" w:type="dxa"/>
          </w:tcPr>
          <w:p w:rsidR="002C1184" w:rsidRDefault="00391D4E" w:rsidP="00391D4E">
            <w:pPr>
              <w:jc w:val="both"/>
            </w:pPr>
            <w:r>
              <w:t>Whether Cess and surcharged are included in the tax rates specified in the DTAAs?</w:t>
            </w:r>
          </w:p>
        </w:tc>
        <w:tc>
          <w:tcPr>
            <w:tcW w:w="3088" w:type="dxa"/>
          </w:tcPr>
          <w:p w:rsidR="002C1184" w:rsidRDefault="00391D4E" w:rsidP="00391D4E">
            <w:pPr>
              <w:jc w:val="both"/>
            </w:pPr>
            <w:r>
              <w:t xml:space="preserve">Yes, the tax rates prescribed under DTAAs are inclusive of cess and surcharge. </w:t>
            </w:r>
          </w:p>
        </w:tc>
        <w:tc>
          <w:tcPr>
            <w:tcW w:w="1350" w:type="dxa"/>
          </w:tcPr>
          <w:p w:rsidR="002C1184" w:rsidRDefault="00D50265" w:rsidP="00391D4E">
            <w:pPr>
              <w:jc w:val="both"/>
            </w:pPr>
            <w:r>
              <w:t>A</w:t>
            </w:r>
          </w:p>
        </w:tc>
      </w:tr>
    </w:tbl>
    <w:p w:rsidR="00A67BA9" w:rsidRDefault="00A67BA9" w:rsidP="00391D4E">
      <w:pPr>
        <w:jc w:val="both"/>
      </w:pPr>
    </w:p>
    <w:p w:rsidR="00215A94" w:rsidRDefault="00215A94" w:rsidP="00391D4E">
      <w:pPr>
        <w:jc w:val="both"/>
      </w:pPr>
    </w:p>
    <w:p w:rsidR="00215A94" w:rsidRDefault="00215A94" w:rsidP="00391D4E">
      <w:pPr>
        <w:jc w:val="both"/>
      </w:pPr>
      <w:r>
        <w:t>CA Manish Uppal</w:t>
      </w:r>
    </w:p>
    <w:p w:rsidR="00215A94" w:rsidRDefault="00215A94" w:rsidP="00391D4E">
      <w:pPr>
        <w:jc w:val="both"/>
      </w:pPr>
      <w:r>
        <w:t>9312234903</w:t>
      </w:r>
    </w:p>
    <w:sectPr w:rsidR="00215A94" w:rsidSect="00F44B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266DAC"/>
    <w:rsid w:val="00054973"/>
    <w:rsid w:val="000C2925"/>
    <w:rsid w:val="000F03F4"/>
    <w:rsid w:val="000F5D22"/>
    <w:rsid w:val="001147E2"/>
    <w:rsid w:val="0017258D"/>
    <w:rsid w:val="001B3BCD"/>
    <w:rsid w:val="001C10A7"/>
    <w:rsid w:val="00205C52"/>
    <w:rsid w:val="00215A94"/>
    <w:rsid w:val="0021759C"/>
    <w:rsid w:val="002644F3"/>
    <w:rsid w:val="00266DAC"/>
    <w:rsid w:val="00295DAF"/>
    <w:rsid w:val="002C1184"/>
    <w:rsid w:val="002D4B8E"/>
    <w:rsid w:val="002E64EC"/>
    <w:rsid w:val="003726F8"/>
    <w:rsid w:val="00391D4E"/>
    <w:rsid w:val="0041185E"/>
    <w:rsid w:val="00434278"/>
    <w:rsid w:val="004647F6"/>
    <w:rsid w:val="004A0C0F"/>
    <w:rsid w:val="005005D7"/>
    <w:rsid w:val="005618B6"/>
    <w:rsid w:val="00587F06"/>
    <w:rsid w:val="005B4B0E"/>
    <w:rsid w:val="0066150E"/>
    <w:rsid w:val="00697D56"/>
    <w:rsid w:val="006A5067"/>
    <w:rsid w:val="00751674"/>
    <w:rsid w:val="007B13F4"/>
    <w:rsid w:val="0082075A"/>
    <w:rsid w:val="00867723"/>
    <w:rsid w:val="00874DF5"/>
    <w:rsid w:val="008A6B6B"/>
    <w:rsid w:val="008B18AA"/>
    <w:rsid w:val="009715EC"/>
    <w:rsid w:val="00986EC6"/>
    <w:rsid w:val="00A60B29"/>
    <w:rsid w:val="00A67BA9"/>
    <w:rsid w:val="00B10CA9"/>
    <w:rsid w:val="00B17D3D"/>
    <w:rsid w:val="00C02227"/>
    <w:rsid w:val="00C3576B"/>
    <w:rsid w:val="00CD3248"/>
    <w:rsid w:val="00D07CA1"/>
    <w:rsid w:val="00D272D1"/>
    <w:rsid w:val="00D50265"/>
    <w:rsid w:val="00D55198"/>
    <w:rsid w:val="00D554C3"/>
    <w:rsid w:val="00D77476"/>
    <w:rsid w:val="00D849AF"/>
    <w:rsid w:val="00DD4DEA"/>
    <w:rsid w:val="00E0662F"/>
    <w:rsid w:val="00E166CA"/>
    <w:rsid w:val="00E319EC"/>
    <w:rsid w:val="00E87E9E"/>
    <w:rsid w:val="00EB0F5C"/>
    <w:rsid w:val="00EB7859"/>
    <w:rsid w:val="00EE45B3"/>
    <w:rsid w:val="00EF5AD3"/>
    <w:rsid w:val="00F44B2B"/>
    <w:rsid w:val="00F46D2A"/>
    <w:rsid w:val="00FB530F"/>
    <w:rsid w:val="00FB59F1"/>
    <w:rsid w:val="00FE72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DA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6DA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67723"/>
    <w:pPr>
      <w:autoSpaceDE w:val="0"/>
      <w:autoSpaceDN w:val="0"/>
      <w:adjustRightInd w:val="0"/>
      <w:spacing w:after="0" w:line="240" w:lineRule="auto"/>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DA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6DA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265AF-6158-4230-B525-27FE53C65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4</Pages>
  <Words>1329</Words>
  <Characters>7577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Hp</cp:lastModifiedBy>
  <cp:revision>14</cp:revision>
  <dcterms:created xsi:type="dcterms:W3CDTF">2020-07-27T09:30:00Z</dcterms:created>
  <dcterms:modified xsi:type="dcterms:W3CDTF">2020-07-28T08:34:00Z</dcterms:modified>
</cp:coreProperties>
</file>