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D0" w:rsidRPr="00A75E31" w:rsidRDefault="00C5419B" w:rsidP="00A75E31">
      <w:pPr>
        <w:jc w:val="both"/>
        <w:rPr>
          <w:rFonts w:cstheme="minorHAnsi"/>
          <w:b/>
          <w:sz w:val="20"/>
          <w:szCs w:val="20"/>
          <w:u w:val="single"/>
          <w:lang w:val="en-US"/>
        </w:rPr>
      </w:pPr>
      <w:r w:rsidRPr="00A75E31">
        <w:rPr>
          <w:rFonts w:cstheme="minorHAnsi"/>
          <w:b/>
          <w:sz w:val="20"/>
          <w:szCs w:val="20"/>
          <w:u w:val="single"/>
          <w:lang w:val="en-US"/>
        </w:rPr>
        <w:t>Income form Let out house property</w:t>
      </w:r>
    </w:p>
    <w:tbl>
      <w:tblPr>
        <w:tblStyle w:val="TableGrid"/>
        <w:tblW w:w="0" w:type="auto"/>
        <w:tblLook w:val="04A0" w:firstRow="1" w:lastRow="0" w:firstColumn="1" w:lastColumn="0" w:noHBand="0" w:noVBand="1"/>
      </w:tblPr>
      <w:tblGrid>
        <w:gridCol w:w="9242"/>
      </w:tblGrid>
      <w:tr w:rsidR="00F04C6D" w:rsidRPr="00F04C6D" w:rsidTr="00C8339D">
        <w:tc>
          <w:tcPr>
            <w:tcW w:w="9242" w:type="dxa"/>
          </w:tcPr>
          <w:p w:rsidR="00F04C6D" w:rsidRPr="00F04C6D" w:rsidRDefault="00F04C6D" w:rsidP="00A75E31">
            <w:pPr>
              <w:autoSpaceDE w:val="0"/>
              <w:autoSpaceDN w:val="0"/>
              <w:adjustRightInd w:val="0"/>
              <w:jc w:val="both"/>
              <w:rPr>
                <w:rFonts w:cstheme="minorHAnsi"/>
                <w:b/>
                <w:bCs/>
                <w:sz w:val="20"/>
                <w:szCs w:val="20"/>
              </w:rPr>
            </w:pPr>
            <w:r w:rsidRPr="00F04C6D">
              <w:rPr>
                <w:rFonts w:cstheme="minorHAnsi"/>
                <w:b/>
                <w:bCs/>
                <w:sz w:val="20"/>
                <w:szCs w:val="20"/>
              </w:rPr>
              <w:t>COMPUTATION OF INCOME FROM HOUSE PROPERTY</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b/>
                <w:bCs/>
                <w:sz w:val="20"/>
                <w:szCs w:val="20"/>
              </w:rPr>
              <w:t xml:space="preserve">GROSS ANNUAL VALUE </w:t>
            </w:r>
            <w:r w:rsidRPr="00F04C6D">
              <w:rPr>
                <w:rFonts w:cstheme="minorHAnsi"/>
                <w:sz w:val="20"/>
                <w:szCs w:val="20"/>
              </w:rPr>
              <w:t>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Less: Municipal Taxes paid during the year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b/>
                <w:bCs/>
                <w:sz w:val="20"/>
                <w:szCs w:val="20"/>
              </w:rPr>
              <w:t xml:space="preserve">NET ANNUAL VALUE </w:t>
            </w:r>
            <w:r w:rsidRPr="00F04C6D">
              <w:rPr>
                <w:rFonts w:cstheme="minorHAnsi"/>
                <w:sz w:val="20"/>
                <w:szCs w:val="20"/>
              </w:rPr>
              <w:t>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Less: Standard Deduction @ 30% of NAV u/s 24(a)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Less: Interest on Loan u/s 24(b)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Add: Recovery of Unrealized Rent u/s 25 AA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b/>
                <w:bCs/>
                <w:sz w:val="20"/>
                <w:szCs w:val="20"/>
              </w:rPr>
              <w:t xml:space="preserve">Income from House Property before considering Arrears of Rent </w:t>
            </w:r>
            <w:r w:rsidRPr="00F04C6D">
              <w:rPr>
                <w:rFonts w:cstheme="minorHAnsi"/>
                <w:sz w:val="20"/>
                <w:szCs w:val="20"/>
              </w:rPr>
              <w:t>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Add: Arrears of Rent Received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Less: Deduction u/s 25B: 30% of Arrears Received xx</w:t>
            </w:r>
          </w:p>
        </w:tc>
      </w:tr>
      <w:tr w:rsidR="00F04C6D" w:rsidRPr="00F04C6D" w:rsidTr="00C8339D">
        <w:tc>
          <w:tcPr>
            <w:tcW w:w="9242" w:type="dxa"/>
          </w:tcPr>
          <w:p w:rsidR="00F04C6D" w:rsidRPr="00F04C6D" w:rsidRDefault="00F04C6D" w:rsidP="00A75E31">
            <w:pPr>
              <w:autoSpaceDE w:val="0"/>
              <w:autoSpaceDN w:val="0"/>
              <w:adjustRightInd w:val="0"/>
              <w:jc w:val="both"/>
              <w:rPr>
                <w:rFonts w:cstheme="minorHAnsi"/>
                <w:sz w:val="20"/>
                <w:szCs w:val="20"/>
                <w:lang w:val="en-US"/>
              </w:rPr>
            </w:pPr>
            <w:r w:rsidRPr="00F04C6D">
              <w:rPr>
                <w:rFonts w:cstheme="minorHAnsi"/>
                <w:b/>
                <w:bCs/>
                <w:sz w:val="20"/>
                <w:szCs w:val="20"/>
              </w:rPr>
              <w:t>NET INCOME FROM HOUSE PROPERTY xx</w:t>
            </w:r>
          </w:p>
        </w:tc>
      </w:tr>
    </w:tbl>
    <w:p w:rsidR="00A75E31" w:rsidRDefault="00A75E31" w:rsidP="00A75E31">
      <w:pPr>
        <w:jc w:val="both"/>
        <w:rPr>
          <w:rFonts w:cstheme="minorHAnsi"/>
          <w:b/>
          <w:sz w:val="20"/>
          <w:szCs w:val="20"/>
          <w:lang w:val="en-US"/>
        </w:rPr>
      </w:pPr>
    </w:p>
    <w:p w:rsidR="00F04C6D" w:rsidRPr="00A75E31" w:rsidRDefault="00F04C6D" w:rsidP="00A75E31">
      <w:pPr>
        <w:jc w:val="both"/>
        <w:rPr>
          <w:rFonts w:cstheme="minorHAnsi"/>
          <w:b/>
          <w:sz w:val="20"/>
          <w:szCs w:val="20"/>
          <w:u w:val="single"/>
          <w:lang w:val="en-US"/>
        </w:rPr>
      </w:pPr>
      <w:r w:rsidRPr="00A75E31">
        <w:rPr>
          <w:rFonts w:cstheme="minorHAnsi"/>
          <w:b/>
          <w:sz w:val="20"/>
          <w:szCs w:val="20"/>
          <w:u w:val="single"/>
          <w:lang w:val="en-US"/>
        </w:rPr>
        <w:t>Income form Self occupied property</w:t>
      </w:r>
    </w:p>
    <w:tbl>
      <w:tblPr>
        <w:tblStyle w:val="TableGrid"/>
        <w:tblW w:w="0" w:type="auto"/>
        <w:tblLook w:val="04A0" w:firstRow="1" w:lastRow="0" w:firstColumn="1" w:lastColumn="0" w:noHBand="0" w:noVBand="1"/>
      </w:tblPr>
      <w:tblGrid>
        <w:gridCol w:w="9242"/>
      </w:tblGrid>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Gross Annual Value Nil</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i/>
                <w:sz w:val="20"/>
                <w:szCs w:val="20"/>
              </w:rPr>
            </w:pPr>
            <w:r w:rsidRPr="00F04C6D">
              <w:rPr>
                <w:rFonts w:cstheme="minorHAnsi"/>
                <w:i/>
                <w:sz w:val="20"/>
                <w:szCs w:val="20"/>
              </w:rPr>
              <w:t>Less: Municipal tax Nil</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Net Annual Value Nil</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i/>
                <w:sz w:val="20"/>
                <w:szCs w:val="20"/>
              </w:rPr>
            </w:pPr>
            <w:r w:rsidRPr="00F04C6D">
              <w:rPr>
                <w:rFonts w:cstheme="minorHAnsi"/>
                <w:i/>
                <w:sz w:val="20"/>
                <w:szCs w:val="20"/>
              </w:rPr>
              <w:t>Standard deduction Nil</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b/>
                <w:i/>
                <w:sz w:val="20"/>
                <w:szCs w:val="20"/>
              </w:rPr>
            </w:pPr>
            <w:r w:rsidRPr="00F04C6D">
              <w:rPr>
                <w:rFonts w:cstheme="minorHAnsi"/>
                <w:b/>
                <w:i/>
                <w:sz w:val="20"/>
                <w:szCs w:val="20"/>
              </w:rPr>
              <w:t>Interest on borrowed capital Deductible</w:t>
            </w:r>
          </w:p>
        </w:tc>
      </w:tr>
      <w:tr w:rsidR="00F04C6D" w:rsidRPr="00F04C6D" w:rsidTr="00F04C6D">
        <w:tc>
          <w:tcPr>
            <w:tcW w:w="9242" w:type="dxa"/>
          </w:tcPr>
          <w:p w:rsidR="00F04C6D" w:rsidRPr="00F04C6D" w:rsidRDefault="00F04C6D" w:rsidP="00A75E31">
            <w:pPr>
              <w:jc w:val="both"/>
              <w:rPr>
                <w:rFonts w:cstheme="minorHAnsi"/>
                <w:b/>
                <w:sz w:val="20"/>
                <w:szCs w:val="20"/>
              </w:rPr>
            </w:pPr>
            <w:r w:rsidRPr="00F04C6D">
              <w:rPr>
                <w:rFonts w:cstheme="minorHAnsi"/>
                <w:b/>
                <w:sz w:val="20"/>
                <w:szCs w:val="20"/>
              </w:rPr>
              <w:t>Income from one self-occupied house property xxxx</w:t>
            </w:r>
          </w:p>
        </w:tc>
      </w:tr>
    </w:tbl>
    <w:p w:rsidR="00F04C6D" w:rsidRPr="00F04C6D" w:rsidRDefault="00F04C6D" w:rsidP="00A75E31">
      <w:pPr>
        <w:autoSpaceDE w:val="0"/>
        <w:autoSpaceDN w:val="0"/>
        <w:adjustRightInd w:val="0"/>
        <w:spacing w:after="0" w:line="240" w:lineRule="auto"/>
        <w:jc w:val="both"/>
        <w:rPr>
          <w:rFonts w:cstheme="minorHAnsi"/>
          <w:b/>
          <w:bCs/>
          <w:sz w:val="20"/>
          <w:szCs w:val="20"/>
        </w:rPr>
      </w:pPr>
    </w:p>
    <w:p w:rsidR="00F04C6D" w:rsidRPr="00A75E31" w:rsidRDefault="00F04C6D" w:rsidP="00A75E31">
      <w:pPr>
        <w:autoSpaceDE w:val="0"/>
        <w:autoSpaceDN w:val="0"/>
        <w:adjustRightInd w:val="0"/>
        <w:spacing w:after="0" w:line="240" w:lineRule="auto"/>
        <w:jc w:val="both"/>
        <w:rPr>
          <w:rFonts w:cstheme="minorHAnsi"/>
          <w:b/>
          <w:bCs/>
          <w:sz w:val="20"/>
          <w:szCs w:val="20"/>
          <w:u w:val="single"/>
        </w:rPr>
      </w:pPr>
      <w:r w:rsidRPr="00A75E31">
        <w:rPr>
          <w:rFonts w:cstheme="minorHAnsi"/>
          <w:b/>
          <w:bCs/>
          <w:sz w:val="20"/>
          <w:szCs w:val="20"/>
          <w:u w:val="single"/>
        </w:rPr>
        <w:t>Standard Deduction u/s 24(a)</w:t>
      </w:r>
    </w:p>
    <w:p w:rsidR="00F04C6D" w:rsidRPr="00F04C6D" w:rsidRDefault="00F04C6D" w:rsidP="00A75E31">
      <w:pPr>
        <w:autoSpaceDE w:val="0"/>
        <w:autoSpaceDN w:val="0"/>
        <w:adjustRightInd w:val="0"/>
        <w:spacing w:after="0" w:line="240" w:lineRule="auto"/>
        <w:jc w:val="both"/>
        <w:rPr>
          <w:rFonts w:cstheme="minorHAnsi"/>
          <w:sz w:val="20"/>
          <w:szCs w:val="20"/>
        </w:rPr>
      </w:pPr>
      <w:r w:rsidRPr="00F04C6D">
        <w:rPr>
          <w:rFonts w:cstheme="minorHAnsi"/>
          <w:sz w:val="20"/>
          <w:szCs w:val="20"/>
        </w:rPr>
        <w:t>Standard deduction of 30% of NAV (Net Annual Value) shall be allowed to the assessee in respect of (i) maintenance charges, (ii) repairs, (iii) collection charges, (iv) electricity, (v) fire insurance premium, (vi)ground rent, and (vii) depreciation.</w:t>
      </w:r>
    </w:p>
    <w:p w:rsidR="00F04C6D" w:rsidRPr="00F04C6D" w:rsidRDefault="00F04C6D" w:rsidP="00A75E31">
      <w:pPr>
        <w:autoSpaceDE w:val="0"/>
        <w:autoSpaceDN w:val="0"/>
        <w:adjustRightInd w:val="0"/>
        <w:spacing w:after="0" w:line="240" w:lineRule="auto"/>
        <w:jc w:val="both"/>
        <w:rPr>
          <w:rFonts w:cstheme="minorHAnsi"/>
          <w:sz w:val="20"/>
          <w:szCs w:val="20"/>
        </w:rPr>
      </w:pPr>
    </w:p>
    <w:p w:rsidR="00F04C6D" w:rsidRPr="00A75E31" w:rsidRDefault="00F04C6D" w:rsidP="00A75E31">
      <w:pPr>
        <w:autoSpaceDE w:val="0"/>
        <w:autoSpaceDN w:val="0"/>
        <w:adjustRightInd w:val="0"/>
        <w:spacing w:after="0" w:line="240" w:lineRule="auto"/>
        <w:jc w:val="both"/>
        <w:rPr>
          <w:rFonts w:cstheme="minorHAnsi"/>
          <w:b/>
          <w:bCs/>
          <w:sz w:val="20"/>
          <w:szCs w:val="20"/>
          <w:u w:val="single"/>
        </w:rPr>
      </w:pPr>
      <w:r w:rsidRPr="00A75E31">
        <w:rPr>
          <w:rFonts w:cstheme="minorHAnsi"/>
          <w:b/>
          <w:bCs/>
          <w:sz w:val="20"/>
          <w:szCs w:val="20"/>
          <w:u w:val="single"/>
        </w:rPr>
        <w:t>Interest on Loan u/s 24(b)</w:t>
      </w:r>
      <w:r w:rsidR="001A0F44">
        <w:rPr>
          <w:rFonts w:cstheme="minorHAnsi"/>
          <w:b/>
          <w:bCs/>
          <w:sz w:val="20"/>
          <w:szCs w:val="20"/>
          <w:u w:val="single"/>
        </w:rPr>
        <w:t xml:space="preserve"> On Accrual basis</w:t>
      </w:r>
    </w:p>
    <w:p w:rsidR="00F04C6D" w:rsidRPr="00F04C6D" w:rsidRDefault="00F04C6D" w:rsidP="00A75E31">
      <w:pPr>
        <w:autoSpaceDE w:val="0"/>
        <w:autoSpaceDN w:val="0"/>
        <w:adjustRightInd w:val="0"/>
        <w:spacing w:after="0" w:line="240" w:lineRule="auto"/>
        <w:jc w:val="both"/>
        <w:rPr>
          <w:rFonts w:cstheme="minorHAnsi"/>
          <w:sz w:val="20"/>
          <w:szCs w:val="20"/>
          <w:lang w:val="en-US"/>
        </w:rPr>
      </w:pPr>
      <w:r w:rsidRPr="00F04C6D">
        <w:rPr>
          <w:rFonts w:cstheme="minorHAnsi"/>
          <w:sz w:val="20"/>
          <w:szCs w:val="20"/>
          <w:lang w:val="en-US"/>
        </w:rPr>
        <w:t xml:space="preserve"> Interest on Interest: Interest on unpaid interest shall not be allowed as a deduction.</w:t>
      </w:r>
    </w:p>
    <w:p w:rsidR="00F04C6D" w:rsidRPr="00F04C6D" w:rsidRDefault="00F04C6D" w:rsidP="00A75E31">
      <w:pPr>
        <w:autoSpaceDE w:val="0"/>
        <w:autoSpaceDN w:val="0"/>
        <w:adjustRightInd w:val="0"/>
        <w:spacing w:after="0" w:line="240" w:lineRule="auto"/>
        <w:jc w:val="both"/>
        <w:rPr>
          <w:rFonts w:cstheme="minorHAnsi"/>
          <w:sz w:val="20"/>
          <w:szCs w:val="20"/>
          <w:lang w:val="en-US"/>
        </w:rPr>
      </w:pPr>
      <w:r w:rsidRPr="00F04C6D">
        <w:rPr>
          <w:rFonts w:cstheme="minorHAnsi"/>
          <w:sz w:val="20"/>
          <w:szCs w:val="20"/>
          <w:lang w:val="en-US"/>
        </w:rPr>
        <w:t xml:space="preserve"> Brokerage: Any brokerage or commission paid for acquiring the loan will not be allowed as a deduction.</w:t>
      </w:r>
    </w:p>
    <w:p w:rsidR="00F04C6D" w:rsidRPr="00F04C6D" w:rsidRDefault="00F04C6D" w:rsidP="0073587C">
      <w:pPr>
        <w:autoSpaceDE w:val="0"/>
        <w:autoSpaceDN w:val="0"/>
        <w:adjustRightInd w:val="0"/>
        <w:spacing w:after="0" w:line="240" w:lineRule="auto"/>
        <w:jc w:val="both"/>
        <w:rPr>
          <w:rFonts w:cstheme="minorHAnsi"/>
          <w:sz w:val="20"/>
          <w:szCs w:val="20"/>
          <w:lang w:val="en-US"/>
        </w:rPr>
      </w:pPr>
      <w:r w:rsidRPr="00F04C6D">
        <w:rPr>
          <w:rFonts w:cstheme="minorHAnsi"/>
          <w:sz w:val="20"/>
          <w:szCs w:val="20"/>
          <w:lang w:val="en-US"/>
        </w:rPr>
        <w:t xml:space="preserve"> Prior Period Interest: Prior Period Interest shall be allowed in five equal installments commencing from</w:t>
      </w:r>
      <w:r w:rsidR="0073587C">
        <w:rPr>
          <w:rFonts w:cstheme="minorHAnsi"/>
          <w:sz w:val="20"/>
          <w:szCs w:val="20"/>
          <w:lang w:val="en-US"/>
        </w:rPr>
        <w:t xml:space="preserve"> </w:t>
      </w:r>
      <w:r w:rsidRPr="00F04C6D">
        <w:rPr>
          <w:rFonts w:cstheme="minorHAnsi"/>
          <w:sz w:val="20"/>
          <w:szCs w:val="20"/>
          <w:lang w:val="en-US"/>
        </w:rPr>
        <w:t>the financial year in which the property was acquired or construction was completed.</w:t>
      </w:r>
    </w:p>
    <w:p w:rsidR="00F04C6D" w:rsidRDefault="00F04C6D" w:rsidP="00A75E31">
      <w:pPr>
        <w:autoSpaceDE w:val="0"/>
        <w:autoSpaceDN w:val="0"/>
        <w:adjustRightInd w:val="0"/>
        <w:spacing w:after="0" w:line="240" w:lineRule="auto"/>
        <w:jc w:val="both"/>
        <w:rPr>
          <w:rFonts w:cstheme="minorHAnsi"/>
          <w:sz w:val="20"/>
          <w:szCs w:val="20"/>
          <w:lang w:val="en-US"/>
        </w:rPr>
      </w:pPr>
      <w:r w:rsidRPr="00F04C6D">
        <w:rPr>
          <w:rFonts w:cstheme="minorHAnsi"/>
          <w:sz w:val="20"/>
          <w:szCs w:val="20"/>
          <w:lang w:val="en-US"/>
        </w:rPr>
        <w:t>Interest on any fresh loan taken to repay the existing loan  shall be allowed as a deduction.</w:t>
      </w:r>
    </w:p>
    <w:p w:rsidR="008222B7" w:rsidRDefault="008222B7" w:rsidP="00A75E31">
      <w:pPr>
        <w:autoSpaceDE w:val="0"/>
        <w:autoSpaceDN w:val="0"/>
        <w:adjustRightInd w:val="0"/>
        <w:spacing w:after="0" w:line="240" w:lineRule="auto"/>
        <w:jc w:val="both"/>
        <w:rPr>
          <w:rFonts w:cstheme="minorHAnsi"/>
          <w:sz w:val="20"/>
          <w:szCs w:val="20"/>
          <w:lang w:val="en-US"/>
        </w:rPr>
      </w:pPr>
    </w:p>
    <w:p w:rsidR="008222B7" w:rsidRPr="00F04C6D" w:rsidRDefault="008222B7" w:rsidP="00A75E31">
      <w:pPr>
        <w:autoSpaceDE w:val="0"/>
        <w:autoSpaceDN w:val="0"/>
        <w:adjustRightInd w:val="0"/>
        <w:spacing w:after="0" w:line="240" w:lineRule="auto"/>
        <w:jc w:val="both"/>
        <w:rPr>
          <w:rFonts w:cstheme="minorHAnsi"/>
          <w:sz w:val="20"/>
          <w:szCs w:val="20"/>
          <w:lang w:val="en-US"/>
        </w:rPr>
      </w:pPr>
      <w:r>
        <w:rPr>
          <w:rFonts w:cstheme="minorHAnsi"/>
          <w:sz w:val="20"/>
          <w:szCs w:val="20"/>
          <w:lang w:val="en-US"/>
        </w:rPr>
        <w:t>In case of self oocupied property</w:t>
      </w:r>
      <w:bookmarkStart w:id="0" w:name="_GoBack"/>
      <w:bookmarkEnd w:id="0"/>
      <w:r>
        <w:rPr>
          <w:rFonts w:cstheme="minorHAnsi"/>
          <w:sz w:val="20"/>
          <w:szCs w:val="20"/>
          <w:lang w:val="en-US"/>
        </w:rPr>
        <w:t>, no interest certificate flat 30000</w:t>
      </w:r>
    </w:p>
    <w:p w:rsidR="00F04C6D" w:rsidRPr="00F04C6D" w:rsidRDefault="00F04C6D" w:rsidP="00A75E31">
      <w:pPr>
        <w:autoSpaceDE w:val="0"/>
        <w:autoSpaceDN w:val="0"/>
        <w:adjustRightInd w:val="0"/>
        <w:spacing w:after="0" w:line="240" w:lineRule="auto"/>
        <w:jc w:val="both"/>
        <w:rPr>
          <w:rFonts w:cstheme="minorHAnsi"/>
          <w:b/>
          <w:bCs/>
          <w:color w:val="FFFFFF"/>
          <w:sz w:val="20"/>
          <w:szCs w:val="20"/>
        </w:rPr>
      </w:pPr>
      <w:r w:rsidRPr="00F04C6D">
        <w:rPr>
          <w:rFonts w:cstheme="minorHAnsi"/>
          <w:b/>
          <w:bCs/>
          <w:color w:val="FFFFFF"/>
          <w:sz w:val="20"/>
          <w:szCs w:val="20"/>
        </w:rPr>
        <w:t>RECEIPT OF ARREARS OF RENT [SECTION 25B]</w:t>
      </w:r>
    </w:p>
    <w:p w:rsidR="00F04C6D" w:rsidRPr="00A75E31" w:rsidRDefault="00F04C6D" w:rsidP="00A75E31">
      <w:pPr>
        <w:autoSpaceDE w:val="0"/>
        <w:autoSpaceDN w:val="0"/>
        <w:adjustRightInd w:val="0"/>
        <w:spacing w:after="0" w:line="240" w:lineRule="auto"/>
        <w:jc w:val="both"/>
        <w:rPr>
          <w:rFonts w:cstheme="minorHAnsi"/>
          <w:b/>
          <w:bCs/>
          <w:sz w:val="20"/>
          <w:szCs w:val="20"/>
          <w:u w:val="single"/>
        </w:rPr>
      </w:pPr>
      <w:r w:rsidRPr="00A75E31">
        <w:rPr>
          <w:rFonts w:cstheme="minorHAnsi"/>
          <w:b/>
          <w:bCs/>
          <w:sz w:val="20"/>
          <w:szCs w:val="20"/>
          <w:u w:val="single"/>
        </w:rPr>
        <w:t>RECEIPT OF ARREARS OF RENT [SECTION 25B]</w:t>
      </w:r>
    </w:p>
    <w:p w:rsidR="00F04C6D" w:rsidRPr="00F04C6D" w:rsidRDefault="00F04C6D" w:rsidP="00A75E31">
      <w:pPr>
        <w:autoSpaceDE w:val="0"/>
        <w:autoSpaceDN w:val="0"/>
        <w:adjustRightInd w:val="0"/>
        <w:spacing w:after="0" w:line="240" w:lineRule="auto"/>
        <w:jc w:val="both"/>
        <w:rPr>
          <w:rFonts w:cstheme="minorHAnsi"/>
          <w:bCs/>
          <w:sz w:val="20"/>
          <w:szCs w:val="20"/>
        </w:rPr>
      </w:pPr>
      <w:r w:rsidRPr="00F04C6D">
        <w:rPr>
          <w:rFonts w:cstheme="minorHAnsi"/>
          <w:bCs/>
          <w:sz w:val="20"/>
          <w:szCs w:val="20"/>
        </w:rPr>
        <w:t>A standard deduction of 30% of the amount of arrears received will be allowed as deduction.</w:t>
      </w:r>
    </w:p>
    <w:p w:rsidR="00F04C6D" w:rsidRPr="00F04C6D" w:rsidRDefault="00F04C6D" w:rsidP="00A75E31">
      <w:pPr>
        <w:autoSpaceDE w:val="0"/>
        <w:autoSpaceDN w:val="0"/>
        <w:adjustRightInd w:val="0"/>
        <w:spacing w:after="0" w:line="240" w:lineRule="auto"/>
        <w:jc w:val="both"/>
        <w:rPr>
          <w:rFonts w:cstheme="minorHAnsi"/>
          <w:sz w:val="20"/>
          <w:szCs w:val="20"/>
          <w:lang w:val="en-US"/>
        </w:rPr>
      </w:pPr>
      <w:r w:rsidRPr="00F04C6D">
        <w:rPr>
          <w:rFonts w:cstheme="minorHAnsi"/>
          <w:b/>
          <w:bCs/>
          <w:sz w:val="20"/>
          <w:szCs w:val="20"/>
        </w:rPr>
        <w:t xml:space="preserve"> </w:t>
      </w:r>
      <w:r w:rsidRPr="00F04C6D">
        <w:rPr>
          <w:rFonts w:cstheme="minorHAnsi"/>
          <w:b/>
          <w:bCs/>
          <w:color w:val="FFFFFF"/>
          <w:sz w:val="20"/>
          <w:szCs w:val="20"/>
        </w:rPr>
        <w:t>OF ARREARS OF RET [SECTION 25B]</w:t>
      </w:r>
    </w:p>
    <w:p w:rsidR="00F04C6D" w:rsidRPr="00F04C6D" w:rsidRDefault="00F04C6D" w:rsidP="00A75E31">
      <w:pPr>
        <w:autoSpaceDE w:val="0"/>
        <w:autoSpaceDN w:val="0"/>
        <w:adjustRightInd w:val="0"/>
        <w:spacing w:after="0" w:line="240" w:lineRule="auto"/>
        <w:jc w:val="both"/>
        <w:rPr>
          <w:rFonts w:cstheme="minorHAnsi"/>
          <w:b/>
          <w:bCs/>
          <w:sz w:val="20"/>
          <w:szCs w:val="20"/>
        </w:rPr>
      </w:pPr>
    </w:p>
    <w:tbl>
      <w:tblPr>
        <w:tblStyle w:val="TableGrid"/>
        <w:tblW w:w="0" w:type="auto"/>
        <w:tblLook w:val="04A0" w:firstRow="1" w:lastRow="0" w:firstColumn="1" w:lastColumn="0" w:noHBand="0" w:noVBand="1"/>
      </w:tblPr>
      <w:tblGrid>
        <w:gridCol w:w="9242"/>
      </w:tblGrid>
      <w:tr w:rsidR="00F04C6D" w:rsidRPr="00F04C6D" w:rsidTr="00F04C6D">
        <w:tc>
          <w:tcPr>
            <w:tcW w:w="9242" w:type="dxa"/>
          </w:tcPr>
          <w:p w:rsidR="00F04C6D" w:rsidRPr="00F04C6D" w:rsidRDefault="00F04C6D" w:rsidP="00A75E31">
            <w:pPr>
              <w:autoSpaceDE w:val="0"/>
              <w:autoSpaceDN w:val="0"/>
              <w:adjustRightInd w:val="0"/>
              <w:jc w:val="both"/>
              <w:rPr>
                <w:rFonts w:cstheme="minorHAnsi"/>
                <w:b/>
                <w:bCs/>
                <w:sz w:val="20"/>
                <w:szCs w:val="20"/>
              </w:rPr>
            </w:pPr>
            <w:r w:rsidRPr="00F04C6D">
              <w:rPr>
                <w:rFonts w:cstheme="minorHAnsi"/>
                <w:b/>
                <w:bCs/>
                <w:sz w:val="20"/>
                <w:szCs w:val="20"/>
              </w:rPr>
              <w:t>COMPUTATION OF GROSS ANNUAL VALUE</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1. Municipal Value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2. Fair Rental Value or Notional Rental Value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3. Higher of (1) and (2)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4. Standard Rent (if applicable)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 xml:space="preserve">5. </w:t>
            </w:r>
            <w:r w:rsidRPr="00F04C6D">
              <w:rPr>
                <w:rFonts w:cstheme="minorHAnsi"/>
                <w:b/>
                <w:bCs/>
                <w:sz w:val="20"/>
                <w:szCs w:val="20"/>
              </w:rPr>
              <w:t>Reasonable Expected Rent</w:t>
            </w:r>
            <w:r w:rsidRPr="00F04C6D">
              <w:rPr>
                <w:rFonts w:cstheme="minorHAnsi"/>
                <w:sz w:val="20"/>
                <w:szCs w:val="20"/>
              </w:rPr>
              <w:t>= Lower of Step (3) and (4)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6. Annual Rent (total rent assuming the property to be let out throughout the Previous Year)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 xml:space="preserve">7. </w:t>
            </w:r>
            <w:r w:rsidRPr="00F04C6D">
              <w:rPr>
                <w:rFonts w:cstheme="minorHAnsi"/>
                <w:b/>
                <w:bCs/>
                <w:sz w:val="20"/>
                <w:szCs w:val="20"/>
              </w:rPr>
              <w:t xml:space="preserve">Deduct: </w:t>
            </w:r>
            <w:r w:rsidRPr="00F04C6D">
              <w:rPr>
                <w:rFonts w:cstheme="minorHAnsi"/>
                <w:sz w:val="20"/>
                <w:szCs w:val="20"/>
              </w:rPr>
              <w:t>Unrealized Rent as per Rule 4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 xml:space="preserve">8. </w:t>
            </w:r>
            <w:r w:rsidRPr="00F04C6D">
              <w:rPr>
                <w:rFonts w:cstheme="minorHAnsi"/>
                <w:b/>
                <w:bCs/>
                <w:sz w:val="20"/>
                <w:szCs w:val="20"/>
              </w:rPr>
              <w:t xml:space="preserve">Actual Rent= Step (6) – (7) </w:t>
            </w:r>
            <w:r w:rsidRPr="00F04C6D">
              <w:rPr>
                <w:rFonts w:cstheme="minorHAnsi"/>
                <w:sz w:val="20"/>
                <w:szCs w:val="20"/>
              </w:rPr>
              <w:t>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 xml:space="preserve">9. </w:t>
            </w:r>
            <w:r w:rsidRPr="00F04C6D">
              <w:rPr>
                <w:rFonts w:cstheme="minorHAnsi"/>
                <w:b/>
                <w:bCs/>
                <w:sz w:val="20"/>
                <w:szCs w:val="20"/>
              </w:rPr>
              <w:t xml:space="preserve">Higher of Reasonable Expected Rent (Step 5) &amp; Actual Rent (Step 8) </w:t>
            </w:r>
            <w:r w:rsidRPr="00F04C6D">
              <w:rPr>
                <w:rFonts w:cstheme="minorHAnsi"/>
                <w:sz w:val="20"/>
                <w:szCs w:val="20"/>
              </w:rPr>
              <w:t>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rPr>
            </w:pPr>
            <w:r w:rsidRPr="00F04C6D">
              <w:rPr>
                <w:rFonts w:cstheme="minorHAnsi"/>
                <w:sz w:val="20"/>
                <w:szCs w:val="20"/>
              </w:rPr>
              <w:t xml:space="preserve">10. </w:t>
            </w:r>
            <w:r w:rsidRPr="00F04C6D">
              <w:rPr>
                <w:rFonts w:cstheme="minorHAnsi"/>
                <w:b/>
                <w:bCs/>
                <w:sz w:val="20"/>
                <w:szCs w:val="20"/>
              </w:rPr>
              <w:t xml:space="preserve">Deduct: </w:t>
            </w:r>
            <w:r w:rsidRPr="00F04C6D">
              <w:rPr>
                <w:rFonts w:cstheme="minorHAnsi"/>
                <w:sz w:val="20"/>
                <w:szCs w:val="20"/>
              </w:rPr>
              <w:t>Vacancy Allowance (proportionately on the basis of Annual Rent in Step 6) xx</w:t>
            </w:r>
          </w:p>
        </w:tc>
      </w:tr>
      <w:tr w:rsidR="00F04C6D" w:rsidRPr="00F04C6D" w:rsidTr="00F04C6D">
        <w:tc>
          <w:tcPr>
            <w:tcW w:w="9242" w:type="dxa"/>
          </w:tcPr>
          <w:p w:rsidR="00F04C6D" w:rsidRPr="00F04C6D" w:rsidRDefault="00F04C6D" w:rsidP="00A75E31">
            <w:pPr>
              <w:autoSpaceDE w:val="0"/>
              <w:autoSpaceDN w:val="0"/>
              <w:adjustRightInd w:val="0"/>
              <w:jc w:val="both"/>
              <w:rPr>
                <w:rFonts w:cstheme="minorHAnsi"/>
                <w:sz w:val="20"/>
                <w:szCs w:val="20"/>
                <w:lang w:val="en-US"/>
              </w:rPr>
            </w:pPr>
            <w:r w:rsidRPr="00F04C6D">
              <w:rPr>
                <w:rFonts w:cstheme="minorHAnsi"/>
                <w:sz w:val="20"/>
                <w:szCs w:val="20"/>
              </w:rPr>
              <w:t xml:space="preserve">11. </w:t>
            </w:r>
            <w:r w:rsidRPr="00F04C6D">
              <w:rPr>
                <w:rFonts w:cstheme="minorHAnsi"/>
                <w:b/>
                <w:bCs/>
                <w:sz w:val="20"/>
                <w:szCs w:val="20"/>
              </w:rPr>
              <w:t>GROSS ANNUAL VALUE xx</w:t>
            </w:r>
          </w:p>
        </w:tc>
      </w:tr>
    </w:tbl>
    <w:p w:rsidR="00F04C6D" w:rsidRPr="00F04C6D" w:rsidRDefault="00F04C6D" w:rsidP="00F04C6D">
      <w:pPr>
        <w:autoSpaceDE w:val="0"/>
        <w:autoSpaceDN w:val="0"/>
        <w:adjustRightInd w:val="0"/>
        <w:spacing w:after="0" w:line="240" w:lineRule="auto"/>
        <w:rPr>
          <w:lang w:val="en-US"/>
        </w:rPr>
      </w:pPr>
    </w:p>
    <w:sectPr w:rsidR="00F04C6D" w:rsidRPr="00F04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9B"/>
    <w:rsid w:val="001A0F44"/>
    <w:rsid w:val="0073587C"/>
    <w:rsid w:val="008222B7"/>
    <w:rsid w:val="009B59D0"/>
    <w:rsid w:val="00A75E31"/>
    <w:rsid w:val="00C5419B"/>
    <w:rsid w:val="00F04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EMEA\O651004</dc:creator>
  <cp:lastModifiedBy>EMEA\O651004</cp:lastModifiedBy>
  <cp:revision>4</cp:revision>
  <dcterms:created xsi:type="dcterms:W3CDTF">2017-05-10T09:15:00Z</dcterms:created>
  <dcterms:modified xsi:type="dcterms:W3CDTF">2017-05-18T10:05:00Z</dcterms:modified>
</cp:coreProperties>
</file>