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41D34" w14:textId="77777777" w:rsidR="0051140E" w:rsidRPr="00B67E9A" w:rsidRDefault="0051140E" w:rsidP="0051140E">
      <w:pPr>
        <w:spacing w:after="0"/>
        <w:jc w:val="both"/>
        <w:rPr>
          <w:rFonts w:cstheme="minorHAnsi"/>
          <w:sz w:val="24"/>
          <w:szCs w:val="24"/>
          <w:u w:val="single"/>
        </w:rPr>
      </w:pPr>
    </w:p>
    <w:p w14:paraId="5BF14AA7" w14:textId="77777777" w:rsidR="0051140E" w:rsidRPr="00B67E9A" w:rsidRDefault="0051140E" w:rsidP="0051140E">
      <w:pPr>
        <w:shd w:val="clear" w:color="auto" w:fill="FFFFFF"/>
        <w:spacing w:after="80" w:line="240" w:lineRule="auto"/>
        <w:ind w:left="60" w:right="60"/>
        <w:jc w:val="both"/>
        <w:rPr>
          <w:rFonts w:eastAsia="Times New Roman" w:cstheme="minorHAnsi"/>
          <w:sz w:val="24"/>
          <w:szCs w:val="24"/>
          <w:lang w:eastAsia="en-IN" w:bidi="hi-IN"/>
        </w:rPr>
      </w:pPr>
      <w:r w:rsidRPr="00B67E9A">
        <w:rPr>
          <w:rFonts w:eastAsia="Times New Roman" w:cstheme="minorHAnsi"/>
          <w:b/>
          <w:bCs/>
          <w:sz w:val="24"/>
          <w:szCs w:val="24"/>
          <w:highlight w:val="yellow"/>
          <w:lang w:eastAsia="en-IN" w:bidi="hi-IN"/>
        </w:rPr>
        <w:t xml:space="preserve">Quoting of </w:t>
      </w:r>
      <w:proofErr w:type="spellStart"/>
      <w:r w:rsidRPr="00B67E9A">
        <w:rPr>
          <w:rFonts w:eastAsia="Times New Roman" w:cstheme="minorHAnsi"/>
          <w:b/>
          <w:bCs/>
          <w:sz w:val="24"/>
          <w:szCs w:val="24"/>
          <w:highlight w:val="yellow"/>
          <w:lang w:eastAsia="en-IN" w:bidi="hi-IN"/>
        </w:rPr>
        <w:t>Aadhaar</w:t>
      </w:r>
      <w:proofErr w:type="spellEnd"/>
      <w:r w:rsidRPr="00B67E9A">
        <w:rPr>
          <w:rFonts w:eastAsia="Times New Roman" w:cstheme="minorHAnsi"/>
          <w:b/>
          <w:bCs/>
          <w:sz w:val="24"/>
          <w:szCs w:val="24"/>
          <w:highlight w:val="yellow"/>
          <w:lang w:eastAsia="en-IN" w:bidi="hi-IN"/>
        </w:rPr>
        <w:t xml:space="preserve"> number- Section 139AA of Income Tax Act, 1961</w:t>
      </w:r>
    </w:p>
    <w:p w14:paraId="52C9BEAF" w14:textId="77777777" w:rsidR="0051140E" w:rsidRPr="00B67E9A" w:rsidRDefault="0051140E" w:rsidP="0051140E">
      <w:pPr>
        <w:shd w:val="clear" w:color="auto" w:fill="FFFFFF"/>
        <w:spacing w:after="80" w:line="240" w:lineRule="auto"/>
        <w:ind w:left="60" w:right="60"/>
        <w:jc w:val="both"/>
        <w:rPr>
          <w:rFonts w:eastAsia="Times New Roman" w:cstheme="minorHAnsi"/>
          <w:sz w:val="24"/>
          <w:szCs w:val="24"/>
          <w:lang w:eastAsia="en-IN" w:bidi="hi-IN"/>
        </w:rPr>
      </w:pPr>
    </w:p>
    <w:p w14:paraId="20A52D7F" w14:textId="77777777" w:rsidR="0051140E" w:rsidRPr="0051140E" w:rsidRDefault="0051140E" w:rsidP="0051140E">
      <w:pPr>
        <w:shd w:val="clear" w:color="auto" w:fill="FFFFFF"/>
        <w:spacing w:after="80" w:line="240" w:lineRule="auto"/>
        <w:ind w:left="60" w:right="60"/>
        <w:jc w:val="both"/>
        <w:rPr>
          <w:rFonts w:eastAsia="Times New Roman" w:cstheme="minorHAnsi"/>
          <w:sz w:val="24"/>
          <w:szCs w:val="24"/>
          <w:lang w:eastAsia="en-IN" w:bidi="hi-IN"/>
        </w:rPr>
      </w:pPr>
      <w:r w:rsidRPr="0051140E">
        <w:rPr>
          <w:rFonts w:eastAsia="Times New Roman" w:cstheme="minorHAnsi"/>
          <w:sz w:val="24"/>
          <w:szCs w:val="24"/>
          <w:lang w:eastAsia="en-IN" w:bidi="hi-IN"/>
        </w:rPr>
        <w:t xml:space="preserve">(1) Every person </w:t>
      </w:r>
      <w:commentRangeStart w:id="0"/>
      <w:r w:rsidRPr="0051140E">
        <w:rPr>
          <w:rFonts w:eastAsia="Times New Roman" w:cstheme="minorHAnsi"/>
          <w:sz w:val="24"/>
          <w:szCs w:val="24"/>
          <w:u w:val="single"/>
          <w:lang w:eastAsia="en-IN" w:bidi="hi-IN"/>
        </w:rPr>
        <w:t>who is eligible</w:t>
      </w:r>
      <w:r w:rsidRPr="0051140E">
        <w:rPr>
          <w:rFonts w:eastAsia="Times New Roman" w:cstheme="minorHAnsi"/>
          <w:sz w:val="24"/>
          <w:szCs w:val="24"/>
          <w:lang w:eastAsia="en-IN" w:bidi="hi-IN"/>
        </w:rPr>
        <w:t xml:space="preserve"> </w:t>
      </w:r>
      <w:commentRangeEnd w:id="0"/>
      <w:r w:rsidRPr="00B67E9A">
        <w:rPr>
          <w:rStyle w:val="CommentReference"/>
          <w:rFonts w:cstheme="minorHAnsi"/>
          <w:sz w:val="24"/>
          <w:szCs w:val="24"/>
        </w:rPr>
        <w:commentReference w:id="0"/>
      </w:r>
      <w:r w:rsidRPr="0051140E">
        <w:rPr>
          <w:rFonts w:eastAsia="Times New Roman" w:cstheme="minorHAnsi"/>
          <w:sz w:val="24"/>
          <w:szCs w:val="24"/>
          <w:lang w:eastAsia="en-IN" w:bidi="hi-IN"/>
        </w:rPr>
        <w:t xml:space="preserve">to obtain </w:t>
      </w:r>
      <w:proofErr w:type="spellStart"/>
      <w:r w:rsidRPr="0051140E">
        <w:rPr>
          <w:rFonts w:eastAsia="Times New Roman" w:cstheme="minorHAnsi"/>
          <w:sz w:val="24"/>
          <w:szCs w:val="24"/>
          <w:lang w:eastAsia="en-IN" w:bidi="hi-IN"/>
        </w:rPr>
        <w:t>Aadhaar</w:t>
      </w:r>
      <w:proofErr w:type="spellEnd"/>
      <w:r w:rsidRPr="0051140E">
        <w:rPr>
          <w:rFonts w:eastAsia="Times New Roman" w:cstheme="minorHAnsi"/>
          <w:sz w:val="24"/>
          <w:szCs w:val="24"/>
          <w:lang w:eastAsia="en-IN" w:bidi="hi-IN"/>
        </w:rPr>
        <w:t xml:space="preserve"> number shall, on or after the 1st day of July, 2017, quote </w:t>
      </w:r>
      <w:proofErr w:type="spellStart"/>
      <w:r w:rsidRPr="0051140E">
        <w:rPr>
          <w:rFonts w:eastAsia="Times New Roman" w:cstheme="minorHAnsi"/>
          <w:sz w:val="24"/>
          <w:szCs w:val="24"/>
          <w:lang w:eastAsia="en-IN" w:bidi="hi-IN"/>
        </w:rPr>
        <w:t>Aadhaar</w:t>
      </w:r>
      <w:proofErr w:type="spellEnd"/>
      <w:r w:rsidRPr="0051140E">
        <w:rPr>
          <w:rFonts w:eastAsia="Times New Roman" w:cstheme="minorHAnsi"/>
          <w:sz w:val="24"/>
          <w:szCs w:val="24"/>
          <w:lang w:eastAsia="en-IN" w:bidi="hi-IN"/>
        </w:rPr>
        <w:t xml:space="preserve"> number—</w:t>
      </w:r>
    </w:p>
    <w:tbl>
      <w:tblPr>
        <w:tblW w:w="0" w:type="auto"/>
        <w:tblCellSpacing w:w="15"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750"/>
        <w:gridCol w:w="115"/>
        <w:gridCol w:w="6763"/>
      </w:tblGrid>
      <w:tr w:rsidR="00B67E9A" w:rsidRPr="00B67E9A" w14:paraId="76FC0AFF" w14:textId="77777777" w:rsidTr="0051140E">
        <w:trPr>
          <w:tblCellSpacing w:w="15" w:type="dxa"/>
        </w:trPr>
        <w:tc>
          <w:tcPr>
            <w:tcW w:w="705" w:type="dxa"/>
            <w:shd w:val="clear" w:color="auto" w:fill="FFFFFF"/>
            <w:noWrap/>
            <w:hideMark/>
          </w:tcPr>
          <w:p w14:paraId="7BCF2684" w14:textId="77777777" w:rsidR="0051140E" w:rsidRPr="0051140E" w:rsidRDefault="0051140E" w:rsidP="0051140E">
            <w:pPr>
              <w:spacing w:after="0" w:line="240" w:lineRule="auto"/>
              <w:jc w:val="both"/>
              <w:rPr>
                <w:rFonts w:eastAsia="Times New Roman" w:cstheme="minorHAnsi"/>
                <w:sz w:val="24"/>
                <w:szCs w:val="24"/>
                <w:lang w:eastAsia="en-IN" w:bidi="hi-IN"/>
              </w:rPr>
            </w:pPr>
            <w:r w:rsidRPr="0051140E">
              <w:rPr>
                <w:rFonts w:eastAsia="Times New Roman" w:cstheme="minorHAnsi"/>
                <w:sz w:val="24"/>
                <w:szCs w:val="24"/>
                <w:lang w:eastAsia="en-IN" w:bidi="hi-IN"/>
              </w:rPr>
              <w:t>(</w:t>
            </w:r>
            <w:proofErr w:type="spellStart"/>
            <w:r w:rsidRPr="0051140E">
              <w:rPr>
                <w:rFonts w:eastAsia="Times New Roman" w:cstheme="minorHAnsi"/>
                <w:sz w:val="24"/>
                <w:szCs w:val="24"/>
                <w:lang w:eastAsia="en-IN" w:bidi="hi-IN"/>
              </w:rPr>
              <w:t>i</w:t>
            </w:r>
            <w:proofErr w:type="spellEnd"/>
            <w:r w:rsidRPr="0051140E">
              <w:rPr>
                <w:rFonts w:eastAsia="Times New Roman" w:cstheme="minorHAnsi"/>
                <w:sz w:val="24"/>
                <w:szCs w:val="24"/>
                <w:lang w:eastAsia="en-IN" w:bidi="hi-IN"/>
              </w:rPr>
              <w:t>)</w:t>
            </w:r>
          </w:p>
        </w:tc>
        <w:tc>
          <w:tcPr>
            <w:tcW w:w="0" w:type="auto"/>
            <w:shd w:val="clear" w:color="auto" w:fill="FFFFFF"/>
            <w:hideMark/>
          </w:tcPr>
          <w:p w14:paraId="55059DCC" w14:textId="77777777" w:rsidR="0051140E" w:rsidRPr="0051140E" w:rsidRDefault="0051140E" w:rsidP="0051140E">
            <w:pPr>
              <w:spacing w:after="0" w:line="240" w:lineRule="auto"/>
              <w:jc w:val="both"/>
              <w:rPr>
                <w:rFonts w:eastAsia="Times New Roman" w:cstheme="minorHAnsi"/>
                <w:sz w:val="24"/>
                <w:szCs w:val="24"/>
                <w:lang w:eastAsia="en-IN" w:bidi="hi-IN"/>
              </w:rPr>
            </w:pPr>
            <w:r w:rsidRPr="0051140E">
              <w:rPr>
                <w:rFonts w:eastAsia="Times New Roman" w:cstheme="minorHAnsi"/>
                <w:sz w:val="24"/>
                <w:szCs w:val="24"/>
                <w:lang w:eastAsia="en-IN" w:bidi="hi-IN"/>
              </w:rPr>
              <w:t> </w:t>
            </w:r>
          </w:p>
        </w:tc>
        <w:tc>
          <w:tcPr>
            <w:tcW w:w="0" w:type="auto"/>
            <w:shd w:val="clear" w:color="auto" w:fill="FFFFFF"/>
            <w:hideMark/>
          </w:tcPr>
          <w:p w14:paraId="53838116" w14:textId="77777777" w:rsidR="0051140E" w:rsidRPr="0051140E" w:rsidRDefault="0051140E" w:rsidP="0051140E">
            <w:pPr>
              <w:spacing w:after="0" w:line="240" w:lineRule="auto"/>
              <w:jc w:val="both"/>
              <w:rPr>
                <w:rFonts w:eastAsia="Times New Roman" w:cstheme="minorHAnsi"/>
                <w:sz w:val="24"/>
                <w:szCs w:val="24"/>
                <w:lang w:eastAsia="en-IN" w:bidi="hi-IN"/>
              </w:rPr>
            </w:pPr>
            <w:r w:rsidRPr="0051140E">
              <w:rPr>
                <w:rFonts w:eastAsia="Times New Roman" w:cstheme="minorHAnsi"/>
                <w:sz w:val="24"/>
                <w:szCs w:val="24"/>
                <w:lang w:eastAsia="en-IN" w:bidi="hi-IN"/>
              </w:rPr>
              <w:t>in the application form for allotment of permanent account number;</w:t>
            </w:r>
          </w:p>
        </w:tc>
      </w:tr>
      <w:tr w:rsidR="00B67E9A" w:rsidRPr="00B67E9A" w14:paraId="27186EB5" w14:textId="77777777" w:rsidTr="0051140E">
        <w:trPr>
          <w:tblCellSpacing w:w="15" w:type="dxa"/>
        </w:trPr>
        <w:tc>
          <w:tcPr>
            <w:tcW w:w="705" w:type="dxa"/>
            <w:shd w:val="clear" w:color="auto" w:fill="FFFFFF"/>
            <w:noWrap/>
            <w:hideMark/>
          </w:tcPr>
          <w:p w14:paraId="3E3EC8F4" w14:textId="77777777" w:rsidR="0051140E" w:rsidRPr="0051140E" w:rsidRDefault="0051140E" w:rsidP="0051140E">
            <w:pPr>
              <w:spacing w:after="0" w:line="240" w:lineRule="auto"/>
              <w:jc w:val="both"/>
              <w:rPr>
                <w:rFonts w:eastAsia="Times New Roman" w:cstheme="minorHAnsi"/>
                <w:sz w:val="24"/>
                <w:szCs w:val="24"/>
                <w:lang w:eastAsia="en-IN" w:bidi="hi-IN"/>
              </w:rPr>
            </w:pPr>
            <w:r w:rsidRPr="0051140E">
              <w:rPr>
                <w:rFonts w:eastAsia="Times New Roman" w:cstheme="minorHAnsi"/>
                <w:sz w:val="24"/>
                <w:szCs w:val="24"/>
                <w:lang w:eastAsia="en-IN" w:bidi="hi-IN"/>
              </w:rPr>
              <w:t>(ii)</w:t>
            </w:r>
          </w:p>
        </w:tc>
        <w:tc>
          <w:tcPr>
            <w:tcW w:w="0" w:type="auto"/>
            <w:shd w:val="clear" w:color="auto" w:fill="FFFFFF"/>
            <w:hideMark/>
          </w:tcPr>
          <w:p w14:paraId="09B01D46" w14:textId="77777777" w:rsidR="0051140E" w:rsidRPr="0051140E" w:rsidRDefault="0051140E" w:rsidP="0051140E">
            <w:pPr>
              <w:spacing w:after="0" w:line="240" w:lineRule="auto"/>
              <w:jc w:val="both"/>
              <w:rPr>
                <w:rFonts w:eastAsia="Times New Roman" w:cstheme="minorHAnsi"/>
                <w:sz w:val="24"/>
                <w:szCs w:val="24"/>
                <w:lang w:eastAsia="en-IN" w:bidi="hi-IN"/>
              </w:rPr>
            </w:pPr>
            <w:r w:rsidRPr="0051140E">
              <w:rPr>
                <w:rFonts w:eastAsia="Times New Roman" w:cstheme="minorHAnsi"/>
                <w:sz w:val="24"/>
                <w:szCs w:val="24"/>
                <w:lang w:eastAsia="en-IN" w:bidi="hi-IN"/>
              </w:rPr>
              <w:t> </w:t>
            </w:r>
          </w:p>
        </w:tc>
        <w:tc>
          <w:tcPr>
            <w:tcW w:w="0" w:type="auto"/>
            <w:shd w:val="clear" w:color="auto" w:fill="FFFFFF"/>
            <w:hideMark/>
          </w:tcPr>
          <w:p w14:paraId="445FB7BC" w14:textId="77777777" w:rsidR="0051140E" w:rsidRPr="0051140E" w:rsidRDefault="0051140E" w:rsidP="0051140E">
            <w:pPr>
              <w:spacing w:after="0" w:line="240" w:lineRule="auto"/>
              <w:jc w:val="both"/>
              <w:rPr>
                <w:rFonts w:eastAsia="Times New Roman" w:cstheme="minorHAnsi"/>
                <w:sz w:val="24"/>
                <w:szCs w:val="24"/>
                <w:lang w:eastAsia="en-IN" w:bidi="hi-IN"/>
              </w:rPr>
            </w:pPr>
            <w:r w:rsidRPr="0051140E">
              <w:rPr>
                <w:rFonts w:eastAsia="Times New Roman" w:cstheme="minorHAnsi"/>
                <w:sz w:val="24"/>
                <w:szCs w:val="24"/>
                <w:lang w:eastAsia="en-IN" w:bidi="hi-IN"/>
              </w:rPr>
              <w:t>in the return of income:</w:t>
            </w:r>
          </w:p>
        </w:tc>
      </w:tr>
    </w:tbl>
    <w:p w14:paraId="6F5BCD33" w14:textId="77777777" w:rsidR="0051140E" w:rsidRPr="0051140E" w:rsidRDefault="0051140E" w:rsidP="0051140E">
      <w:pPr>
        <w:shd w:val="clear" w:color="auto" w:fill="FFFFFF"/>
        <w:spacing w:after="80" w:line="240" w:lineRule="auto"/>
        <w:ind w:left="60" w:right="60"/>
        <w:jc w:val="both"/>
        <w:rPr>
          <w:rFonts w:eastAsia="Times New Roman" w:cstheme="minorHAnsi"/>
          <w:sz w:val="24"/>
          <w:szCs w:val="24"/>
          <w:lang w:eastAsia="en-IN" w:bidi="hi-IN"/>
        </w:rPr>
      </w:pPr>
      <w:r w:rsidRPr="0051140E">
        <w:rPr>
          <w:rFonts w:eastAsia="Times New Roman" w:cstheme="minorHAnsi"/>
          <w:b/>
          <w:bCs/>
          <w:sz w:val="24"/>
          <w:szCs w:val="24"/>
          <w:lang w:eastAsia="en-IN" w:bidi="hi-IN"/>
        </w:rPr>
        <w:t>Provided</w:t>
      </w:r>
      <w:r w:rsidRPr="00B67E9A">
        <w:rPr>
          <w:rFonts w:eastAsia="Times New Roman" w:cstheme="minorHAnsi"/>
          <w:sz w:val="24"/>
          <w:szCs w:val="24"/>
          <w:lang w:eastAsia="en-IN" w:bidi="hi-IN"/>
        </w:rPr>
        <w:t> </w:t>
      </w:r>
      <w:r w:rsidRPr="0051140E">
        <w:rPr>
          <w:rFonts w:eastAsia="Times New Roman" w:cstheme="minorHAnsi"/>
          <w:sz w:val="24"/>
          <w:szCs w:val="24"/>
          <w:lang w:eastAsia="en-IN" w:bidi="hi-IN"/>
        </w:rPr>
        <w:t xml:space="preserve">that where the person does not possess the </w:t>
      </w:r>
      <w:proofErr w:type="spellStart"/>
      <w:r w:rsidRPr="0051140E">
        <w:rPr>
          <w:rFonts w:eastAsia="Times New Roman" w:cstheme="minorHAnsi"/>
          <w:sz w:val="24"/>
          <w:szCs w:val="24"/>
          <w:lang w:eastAsia="en-IN" w:bidi="hi-IN"/>
        </w:rPr>
        <w:t>Aadhaar</w:t>
      </w:r>
      <w:proofErr w:type="spellEnd"/>
      <w:r w:rsidRPr="0051140E">
        <w:rPr>
          <w:rFonts w:eastAsia="Times New Roman" w:cstheme="minorHAnsi"/>
          <w:sz w:val="24"/>
          <w:szCs w:val="24"/>
          <w:lang w:eastAsia="en-IN" w:bidi="hi-IN"/>
        </w:rPr>
        <w:t xml:space="preserve"> Number, the Enrolment ID of </w:t>
      </w:r>
      <w:proofErr w:type="spellStart"/>
      <w:r w:rsidRPr="0051140E">
        <w:rPr>
          <w:rFonts w:eastAsia="Times New Roman" w:cstheme="minorHAnsi"/>
          <w:sz w:val="24"/>
          <w:szCs w:val="24"/>
          <w:lang w:eastAsia="en-IN" w:bidi="hi-IN"/>
        </w:rPr>
        <w:t>Aadhaar</w:t>
      </w:r>
      <w:proofErr w:type="spellEnd"/>
      <w:r w:rsidRPr="0051140E">
        <w:rPr>
          <w:rFonts w:eastAsia="Times New Roman" w:cstheme="minorHAnsi"/>
          <w:sz w:val="24"/>
          <w:szCs w:val="24"/>
          <w:lang w:eastAsia="en-IN" w:bidi="hi-IN"/>
        </w:rPr>
        <w:t xml:space="preserve"> application form issued to him at the time of enrolment shall be quoted in the application for permanent account number or, as the case may be, in the return of income furnished by him.</w:t>
      </w:r>
    </w:p>
    <w:p w14:paraId="2FDC0741" w14:textId="77777777" w:rsidR="0051140E" w:rsidRPr="0051140E" w:rsidRDefault="0051140E" w:rsidP="0051140E">
      <w:pPr>
        <w:shd w:val="clear" w:color="auto" w:fill="FFFFFF"/>
        <w:spacing w:after="80" w:line="240" w:lineRule="auto"/>
        <w:ind w:left="60" w:right="60"/>
        <w:jc w:val="both"/>
        <w:rPr>
          <w:rFonts w:eastAsia="Times New Roman" w:cstheme="minorHAnsi"/>
          <w:sz w:val="24"/>
          <w:szCs w:val="24"/>
          <w:lang w:eastAsia="en-IN" w:bidi="hi-IN"/>
        </w:rPr>
      </w:pPr>
      <w:r w:rsidRPr="0051140E">
        <w:rPr>
          <w:rFonts w:eastAsia="Times New Roman" w:cstheme="minorHAnsi"/>
          <w:sz w:val="24"/>
          <w:szCs w:val="24"/>
          <w:lang w:eastAsia="en-IN" w:bidi="hi-IN"/>
        </w:rPr>
        <w:t xml:space="preserve">(2) Every person who has been allotted permanent account number as on the 1st day of July, 2017, and who is eligible to obtain </w:t>
      </w:r>
      <w:proofErr w:type="spellStart"/>
      <w:r w:rsidRPr="0051140E">
        <w:rPr>
          <w:rFonts w:eastAsia="Times New Roman" w:cstheme="minorHAnsi"/>
          <w:sz w:val="24"/>
          <w:szCs w:val="24"/>
          <w:lang w:eastAsia="en-IN" w:bidi="hi-IN"/>
        </w:rPr>
        <w:t>Aadhaar</w:t>
      </w:r>
      <w:proofErr w:type="spellEnd"/>
      <w:r w:rsidRPr="0051140E">
        <w:rPr>
          <w:rFonts w:eastAsia="Times New Roman" w:cstheme="minorHAnsi"/>
          <w:sz w:val="24"/>
          <w:szCs w:val="24"/>
          <w:lang w:eastAsia="en-IN" w:bidi="hi-IN"/>
        </w:rPr>
        <w:t xml:space="preserve"> number, shall intimate his </w:t>
      </w:r>
      <w:proofErr w:type="spellStart"/>
      <w:r w:rsidRPr="0051140E">
        <w:rPr>
          <w:rFonts w:eastAsia="Times New Roman" w:cstheme="minorHAnsi"/>
          <w:sz w:val="24"/>
          <w:szCs w:val="24"/>
          <w:lang w:eastAsia="en-IN" w:bidi="hi-IN"/>
        </w:rPr>
        <w:t>Aadhaar</w:t>
      </w:r>
      <w:proofErr w:type="spellEnd"/>
      <w:r w:rsidRPr="0051140E">
        <w:rPr>
          <w:rFonts w:eastAsia="Times New Roman" w:cstheme="minorHAnsi"/>
          <w:sz w:val="24"/>
          <w:szCs w:val="24"/>
          <w:lang w:eastAsia="en-IN" w:bidi="hi-IN"/>
        </w:rPr>
        <w:t xml:space="preserve"> number to such authority in such form and manner as may be prescribed, on or before a date to be notified by the Central Government in the Official Gazette:</w:t>
      </w:r>
    </w:p>
    <w:p w14:paraId="270F077B" w14:textId="77777777" w:rsidR="0051140E" w:rsidRPr="0051140E" w:rsidRDefault="0051140E" w:rsidP="0051140E">
      <w:pPr>
        <w:shd w:val="clear" w:color="auto" w:fill="FFFFFF"/>
        <w:spacing w:after="80" w:line="240" w:lineRule="auto"/>
        <w:ind w:left="60" w:right="60"/>
        <w:jc w:val="both"/>
        <w:rPr>
          <w:rFonts w:eastAsia="Times New Roman" w:cstheme="minorHAnsi"/>
          <w:sz w:val="24"/>
          <w:szCs w:val="24"/>
          <w:lang w:eastAsia="en-IN" w:bidi="hi-IN"/>
        </w:rPr>
      </w:pPr>
      <w:r w:rsidRPr="0051140E">
        <w:rPr>
          <w:rFonts w:eastAsia="Times New Roman" w:cstheme="minorHAnsi"/>
          <w:b/>
          <w:bCs/>
          <w:sz w:val="24"/>
          <w:szCs w:val="24"/>
          <w:lang w:eastAsia="en-IN" w:bidi="hi-IN"/>
        </w:rPr>
        <w:t>Provided</w:t>
      </w:r>
      <w:r w:rsidRPr="00B67E9A">
        <w:rPr>
          <w:rFonts w:eastAsia="Times New Roman" w:cstheme="minorHAnsi"/>
          <w:sz w:val="24"/>
          <w:szCs w:val="24"/>
          <w:lang w:eastAsia="en-IN" w:bidi="hi-IN"/>
        </w:rPr>
        <w:t> </w:t>
      </w:r>
      <w:r w:rsidRPr="0051140E">
        <w:rPr>
          <w:rFonts w:eastAsia="Times New Roman" w:cstheme="minorHAnsi"/>
          <w:sz w:val="24"/>
          <w:szCs w:val="24"/>
          <w:lang w:eastAsia="en-IN" w:bidi="hi-IN"/>
        </w:rPr>
        <w:t xml:space="preserve">that in case of failure to intimate the </w:t>
      </w:r>
      <w:proofErr w:type="spellStart"/>
      <w:r w:rsidRPr="0051140E">
        <w:rPr>
          <w:rFonts w:eastAsia="Times New Roman" w:cstheme="minorHAnsi"/>
          <w:sz w:val="24"/>
          <w:szCs w:val="24"/>
          <w:lang w:eastAsia="en-IN" w:bidi="hi-IN"/>
        </w:rPr>
        <w:t>Aadhaar</w:t>
      </w:r>
      <w:proofErr w:type="spellEnd"/>
      <w:r w:rsidRPr="0051140E">
        <w:rPr>
          <w:rFonts w:eastAsia="Times New Roman" w:cstheme="minorHAnsi"/>
          <w:sz w:val="24"/>
          <w:szCs w:val="24"/>
          <w:lang w:eastAsia="en-IN" w:bidi="hi-IN"/>
        </w:rPr>
        <w:t xml:space="preserve"> number, the permanent account number allotted to the person shall be deemed to be invalid and the other provisions of this Act shall apply, as if the person had not applied for allotment of permanent account number.</w:t>
      </w:r>
    </w:p>
    <w:p w14:paraId="069EBC60" w14:textId="77777777" w:rsidR="0051140E" w:rsidRPr="0051140E" w:rsidRDefault="0051140E" w:rsidP="0051140E">
      <w:pPr>
        <w:shd w:val="clear" w:color="auto" w:fill="FFFFFF"/>
        <w:spacing w:after="80" w:line="240" w:lineRule="auto"/>
        <w:ind w:left="60" w:right="60"/>
        <w:jc w:val="both"/>
        <w:rPr>
          <w:rFonts w:eastAsia="Times New Roman" w:cstheme="minorHAnsi"/>
          <w:sz w:val="24"/>
          <w:szCs w:val="24"/>
          <w:u w:val="single"/>
          <w:lang w:eastAsia="en-IN" w:bidi="hi-IN"/>
        </w:rPr>
      </w:pPr>
      <w:commentRangeStart w:id="1"/>
      <w:r w:rsidRPr="0051140E">
        <w:rPr>
          <w:rFonts w:eastAsia="Times New Roman" w:cstheme="minorHAnsi"/>
          <w:sz w:val="24"/>
          <w:szCs w:val="24"/>
          <w:u w:val="single"/>
          <w:lang w:eastAsia="en-IN" w:bidi="hi-IN"/>
        </w:rPr>
        <w:t>(3) The provisions of this section shall not apply to such person or class or classes of persons or any State or part of any State, as may be notified by the Central Government in this behalf, in the Official Gazette.</w:t>
      </w:r>
      <w:commentRangeEnd w:id="1"/>
      <w:r w:rsidRPr="00B67E9A">
        <w:rPr>
          <w:rStyle w:val="CommentReference"/>
          <w:rFonts w:cstheme="minorHAnsi"/>
          <w:sz w:val="24"/>
          <w:szCs w:val="24"/>
        </w:rPr>
        <w:commentReference w:id="1"/>
      </w:r>
    </w:p>
    <w:p w14:paraId="12AD5551" w14:textId="77777777" w:rsidR="0051140E" w:rsidRPr="0051140E" w:rsidRDefault="0051140E" w:rsidP="0051140E">
      <w:pPr>
        <w:shd w:val="clear" w:color="auto" w:fill="FFFFFF"/>
        <w:spacing w:after="80" w:line="240" w:lineRule="auto"/>
        <w:ind w:left="60" w:right="60"/>
        <w:jc w:val="both"/>
        <w:rPr>
          <w:rFonts w:eastAsia="Times New Roman" w:cstheme="minorHAnsi"/>
          <w:sz w:val="24"/>
          <w:szCs w:val="24"/>
          <w:lang w:eastAsia="en-IN" w:bidi="hi-IN"/>
        </w:rPr>
      </w:pPr>
      <w:r w:rsidRPr="0051140E">
        <w:rPr>
          <w:rFonts w:eastAsia="Times New Roman" w:cstheme="minorHAnsi"/>
          <w:sz w:val="24"/>
          <w:szCs w:val="24"/>
          <w:lang w:eastAsia="en-IN" w:bidi="hi-IN"/>
        </w:rPr>
        <w:t>Explanation.—</w:t>
      </w:r>
      <w:proofErr w:type="gramStart"/>
      <w:r w:rsidRPr="0051140E">
        <w:rPr>
          <w:rFonts w:eastAsia="Times New Roman" w:cstheme="minorHAnsi"/>
          <w:sz w:val="24"/>
          <w:szCs w:val="24"/>
          <w:lang w:eastAsia="en-IN" w:bidi="hi-IN"/>
        </w:rPr>
        <w:t>For</w:t>
      </w:r>
      <w:proofErr w:type="gramEnd"/>
      <w:r w:rsidRPr="0051140E">
        <w:rPr>
          <w:rFonts w:eastAsia="Times New Roman" w:cstheme="minorHAnsi"/>
          <w:sz w:val="24"/>
          <w:szCs w:val="24"/>
          <w:lang w:eastAsia="en-IN" w:bidi="hi-IN"/>
        </w:rPr>
        <w:t xml:space="preserve"> the purposes of this section, the expressions—</w:t>
      </w:r>
    </w:p>
    <w:tbl>
      <w:tblPr>
        <w:tblW w:w="0" w:type="auto"/>
        <w:tblCellSpacing w:w="15"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750"/>
        <w:gridCol w:w="115"/>
        <w:gridCol w:w="8133"/>
      </w:tblGrid>
      <w:tr w:rsidR="00B67E9A" w:rsidRPr="00B67E9A" w14:paraId="09616DF9" w14:textId="77777777" w:rsidTr="0051140E">
        <w:trPr>
          <w:tblCellSpacing w:w="15" w:type="dxa"/>
        </w:trPr>
        <w:tc>
          <w:tcPr>
            <w:tcW w:w="705" w:type="dxa"/>
            <w:shd w:val="clear" w:color="auto" w:fill="FFFFFF"/>
            <w:noWrap/>
            <w:hideMark/>
          </w:tcPr>
          <w:p w14:paraId="1EAEBEDF" w14:textId="77777777" w:rsidR="0051140E" w:rsidRPr="0051140E" w:rsidRDefault="0051140E" w:rsidP="0051140E">
            <w:pPr>
              <w:spacing w:after="0" w:line="240" w:lineRule="auto"/>
              <w:jc w:val="both"/>
              <w:rPr>
                <w:rFonts w:eastAsia="Times New Roman" w:cstheme="minorHAnsi"/>
                <w:sz w:val="24"/>
                <w:szCs w:val="24"/>
                <w:lang w:eastAsia="en-IN" w:bidi="hi-IN"/>
              </w:rPr>
            </w:pPr>
            <w:r w:rsidRPr="0051140E">
              <w:rPr>
                <w:rFonts w:eastAsia="Times New Roman" w:cstheme="minorHAnsi"/>
                <w:sz w:val="24"/>
                <w:szCs w:val="24"/>
                <w:lang w:eastAsia="en-IN" w:bidi="hi-IN"/>
              </w:rPr>
              <w:t>(</w:t>
            </w:r>
            <w:proofErr w:type="spellStart"/>
            <w:r w:rsidRPr="0051140E">
              <w:rPr>
                <w:rFonts w:eastAsia="Times New Roman" w:cstheme="minorHAnsi"/>
                <w:sz w:val="24"/>
                <w:szCs w:val="24"/>
                <w:lang w:eastAsia="en-IN" w:bidi="hi-IN"/>
              </w:rPr>
              <w:t>i</w:t>
            </w:r>
            <w:proofErr w:type="spellEnd"/>
            <w:r w:rsidRPr="0051140E">
              <w:rPr>
                <w:rFonts w:eastAsia="Times New Roman" w:cstheme="minorHAnsi"/>
                <w:sz w:val="24"/>
                <w:szCs w:val="24"/>
                <w:lang w:eastAsia="en-IN" w:bidi="hi-IN"/>
              </w:rPr>
              <w:t>)</w:t>
            </w:r>
          </w:p>
        </w:tc>
        <w:tc>
          <w:tcPr>
            <w:tcW w:w="0" w:type="auto"/>
            <w:shd w:val="clear" w:color="auto" w:fill="FFFFFF"/>
            <w:hideMark/>
          </w:tcPr>
          <w:p w14:paraId="30DD3E90" w14:textId="77777777" w:rsidR="0051140E" w:rsidRPr="0051140E" w:rsidRDefault="0051140E" w:rsidP="0051140E">
            <w:pPr>
              <w:spacing w:after="0" w:line="240" w:lineRule="auto"/>
              <w:jc w:val="both"/>
              <w:rPr>
                <w:rFonts w:eastAsia="Times New Roman" w:cstheme="minorHAnsi"/>
                <w:sz w:val="24"/>
                <w:szCs w:val="24"/>
                <w:lang w:eastAsia="en-IN" w:bidi="hi-IN"/>
              </w:rPr>
            </w:pPr>
            <w:r w:rsidRPr="0051140E">
              <w:rPr>
                <w:rFonts w:eastAsia="Times New Roman" w:cstheme="minorHAnsi"/>
                <w:sz w:val="24"/>
                <w:szCs w:val="24"/>
                <w:lang w:eastAsia="en-IN" w:bidi="hi-IN"/>
              </w:rPr>
              <w:t> </w:t>
            </w:r>
          </w:p>
        </w:tc>
        <w:tc>
          <w:tcPr>
            <w:tcW w:w="0" w:type="auto"/>
            <w:shd w:val="clear" w:color="auto" w:fill="FFFFFF"/>
            <w:hideMark/>
          </w:tcPr>
          <w:p w14:paraId="32B5F414" w14:textId="77777777" w:rsidR="0051140E" w:rsidRPr="0051140E" w:rsidRDefault="0051140E" w:rsidP="0051140E">
            <w:pPr>
              <w:spacing w:after="0" w:line="240" w:lineRule="auto"/>
              <w:jc w:val="both"/>
              <w:rPr>
                <w:rFonts w:eastAsia="Times New Roman" w:cstheme="minorHAnsi"/>
                <w:sz w:val="24"/>
                <w:szCs w:val="24"/>
                <w:lang w:eastAsia="en-IN" w:bidi="hi-IN"/>
              </w:rPr>
            </w:pPr>
            <w:r w:rsidRPr="0051140E">
              <w:rPr>
                <w:rFonts w:eastAsia="Times New Roman" w:cstheme="minorHAnsi"/>
                <w:sz w:val="24"/>
                <w:szCs w:val="24"/>
                <w:lang w:eastAsia="en-IN" w:bidi="hi-IN"/>
              </w:rPr>
              <w:t>"</w:t>
            </w:r>
            <w:proofErr w:type="spellStart"/>
            <w:r w:rsidRPr="0051140E">
              <w:rPr>
                <w:rFonts w:eastAsia="Times New Roman" w:cstheme="minorHAnsi"/>
                <w:sz w:val="24"/>
                <w:szCs w:val="24"/>
                <w:lang w:eastAsia="en-IN" w:bidi="hi-IN"/>
              </w:rPr>
              <w:t>Aadhaar</w:t>
            </w:r>
            <w:proofErr w:type="spellEnd"/>
            <w:r w:rsidRPr="0051140E">
              <w:rPr>
                <w:rFonts w:eastAsia="Times New Roman" w:cstheme="minorHAnsi"/>
                <w:sz w:val="24"/>
                <w:szCs w:val="24"/>
                <w:lang w:eastAsia="en-IN" w:bidi="hi-IN"/>
              </w:rPr>
              <w:t xml:space="preserve"> number", "Enrolment" and "resident" shall have the same meanings respectively assigned to them in clauses (a), (m) and (v) of section 2 of the </w:t>
            </w:r>
            <w:proofErr w:type="spellStart"/>
            <w:r w:rsidRPr="0051140E">
              <w:rPr>
                <w:rFonts w:eastAsia="Times New Roman" w:cstheme="minorHAnsi"/>
                <w:sz w:val="24"/>
                <w:szCs w:val="24"/>
                <w:lang w:eastAsia="en-IN" w:bidi="hi-IN"/>
              </w:rPr>
              <w:t>Aadhaar</w:t>
            </w:r>
            <w:proofErr w:type="spellEnd"/>
            <w:r w:rsidRPr="0051140E">
              <w:rPr>
                <w:rFonts w:eastAsia="Times New Roman" w:cstheme="minorHAnsi"/>
                <w:sz w:val="24"/>
                <w:szCs w:val="24"/>
                <w:lang w:eastAsia="en-IN" w:bidi="hi-IN"/>
              </w:rPr>
              <w:t xml:space="preserve"> (Targeted Delivery of Financial and other Subsidies, Benefits and Services) Act, 2016 (18 of 2016);</w:t>
            </w:r>
          </w:p>
        </w:tc>
      </w:tr>
      <w:tr w:rsidR="00B67E9A" w:rsidRPr="00B67E9A" w14:paraId="556C39F0" w14:textId="77777777" w:rsidTr="0051140E">
        <w:trPr>
          <w:tblCellSpacing w:w="15" w:type="dxa"/>
        </w:trPr>
        <w:tc>
          <w:tcPr>
            <w:tcW w:w="705" w:type="dxa"/>
            <w:shd w:val="clear" w:color="auto" w:fill="FFFFFF"/>
            <w:noWrap/>
            <w:hideMark/>
          </w:tcPr>
          <w:p w14:paraId="79C4A09A" w14:textId="77777777" w:rsidR="0051140E" w:rsidRPr="0051140E" w:rsidRDefault="0051140E" w:rsidP="0051140E">
            <w:pPr>
              <w:spacing w:after="0" w:line="240" w:lineRule="auto"/>
              <w:jc w:val="both"/>
              <w:rPr>
                <w:rFonts w:eastAsia="Times New Roman" w:cstheme="minorHAnsi"/>
                <w:sz w:val="24"/>
                <w:szCs w:val="24"/>
                <w:lang w:eastAsia="en-IN" w:bidi="hi-IN"/>
              </w:rPr>
            </w:pPr>
            <w:r w:rsidRPr="0051140E">
              <w:rPr>
                <w:rFonts w:eastAsia="Times New Roman" w:cstheme="minorHAnsi"/>
                <w:sz w:val="24"/>
                <w:szCs w:val="24"/>
                <w:lang w:eastAsia="en-IN" w:bidi="hi-IN"/>
              </w:rPr>
              <w:t>(ii)</w:t>
            </w:r>
          </w:p>
        </w:tc>
        <w:tc>
          <w:tcPr>
            <w:tcW w:w="0" w:type="auto"/>
            <w:shd w:val="clear" w:color="auto" w:fill="FFFFFF"/>
            <w:hideMark/>
          </w:tcPr>
          <w:p w14:paraId="0752282A" w14:textId="77777777" w:rsidR="0051140E" w:rsidRPr="0051140E" w:rsidRDefault="0051140E" w:rsidP="0051140E">
            <w:pPr>
              <w:spacing w:after="0" w:line="240" w:lineRule="auto"/>
              <w:jc w:val="both"/>
              <w:rPr>
                <w:rFonts w:eastAsia="Times New Roman" w:cstheme="minorHAnsi"/>
                <w:sz w:val="24"/>
                <w:szCs w:val="24"/>
                <w:lang w:eastAsia="en-IN" w:bidi="hi-IN"/>
              </w:rPr>
            </w:pPr>
            <w:r w:rsidRPr="0051140E">
              <w:rPr>
                <w:rFonts w:eastAsia="Times New Roman" w:cstheme="minorHAnsi"/>
                <w:sz w:val="24"/>
                <w:szCs w:val="24"/>
                <w:lang w:eastAsia="en-IN" w:bidi="hi-IN"/>
              </w:rPr>
              <w:t> </w:t>
            </w:r>
          </w:p>
        </w:tc>
        <w:tc>
          <w:tcPr>
            <w:tcW w:w="0" w:type="auto"/>
            <w:shd w:val="clear" w:color="auto" w:fill="FFFFFF"/>
            <w:hideMark/>
          </w:tcPr>
          <w:p w14:paraId="75DB7C3E" w14:textId="77777777" w:rsidR="0051140E" w:rsidRPr="00B67E9A" w:rsidRDefault="0051140E" w:rsidP="0051140E">
            <w:pPr>
              <w:spacing w:after="0" w:line="240" w:lineRule="auto"/>
              <w:jc w:val="both"/>
              <w:rPr>
                <w:rFonts w:eastAsia="Times New Roman" w:cstheme="minorHAnsi"/>
                <w:b/>
                <w:bCs/>
                <w:sz w:val="24"/>
                <w:szCs w:val="24"/>
                <w:lang w:eastAsia="en-IN" w:bidi="hi-IN"/>
              </w:rPr>
            </w:pPr>
            <w:r w:rsidRPr="0051140E">
              <w:rPr>
                <w:rFonts w:eastAsia="Times New Roman" w:cstheme="minorHAnsi"/>
                <w:sz w:val="24"/>
                <w:szCs w:val="24"/>
                <w:lang w:eastAsia="en-IN" w:bidi="hi-IN"/>
              </w:rPr>
              <w:t>"Enrolment ID" means a 28 digit Enrolment Identification Number issued to a resident at the time of enrolment.</w:t>
            </w:r>
            <w:r w:rsidRPr="0051140E">
              <w:rPr>
                <w:rFonts w:eastAsia="Times New Roman" w:cstheme="minorHAnsi"/>
                <w:b/>
                <w:bCs/>
                <w:sz w:val="24"/>
                <w:szCs w:val="24"/>
                <w:lang w:eastAsia="en-IN" w:bidi="hi-IN"/>
              </w:rPr>
              <w:t>]</w:t>
            </w:r>
          </w:p>
          <w:p w14:paraId="003A3E14" w14:textId="77777777" w:rsidR="0051140E" w:rsidRPr="0051140E" w:rsidRDefault="0051140E" w:rsidP="0051140E">
            <w:pPr>
              <w:spacing w:after="0" w:line="240" w:lineRule="auto"/>
              <w:jc w:val="both"/>
              <w:rPr>
                <w:rFonts w:eastAsia="Times New Roman" w:cstheme="minorHAnsi"/>
                <w:sz w:val="24"/>
                <w:szCs w:val="24"/>
                <w:lang w:eastAsia="en-IN" w:bidi="hi-IN"/>
              </w:rPr>
            </w:pPr>
          </w:p>
        </w:tc>
      </w:tr>
    </w:tbl>
    <w:p w14:paraId="33F7A0A1" w14:textId="77777777" w:rsidR="0051140E" w:rsidRPr="00B67E9A" w:rsidRDefault="0051140E" w:rsidP="0051140E">
      <w:pPr>
        <w:spacing w:after="0"/>
        <w:jc w:val="both"/>
        <w:rPr>
          <w:rFonts w:cstheme="minorHAnsi"/>
          <w:sz w:val="24"/>
          <w:szCs w:val="24"/>
        </w:rPr>
      </w:pPr>
      <w:r w:rsidRPr="00B67E9A">
        <w:rPr>
          <w:rFonts w:cstheme="minorHAnsi"/>
          <w:b/>
          <w:bCs/>
          <w:sz w:val="24"/>
          <w:szCs w:val="24"/>
          <w:highlight w:val="yellow"/>
          <w:u w:val="single"/>
        </w:rPr>
        <w:t xml:space="preserve">Notification No. 37/2017 New Delhi, the 11th May, 2017 </w:t>
      </w:r>
      <w:proofErr w:type="gramStart"/>
      <w:r w:rsidRPr="00B67E9A">
        <w:rPr>
          <w:rFonts w:cstheme="minorHAnsi"/>
          <w:b/>
          <w:bCs/>
          <w:sz w:val="24"/>
          <w:szCs w:val="24"/>
          <w:highlight w:val="yellow"/>
          <w:u w:val="single"/>
        </w:rPr>
        <w:t>Under</w:t>
      </w:r>
      <w:proofErr w:type="gramEnd"/>
      <w:r w:rsidRPr="00B67E9A">
        <w:rPr>
          <w:rFonts w:cstheme="minorHAnsi"/>
          <w:b/>
          <w:bCs/>
          <w:sz w:val="24"/>
          <w:szCs w:val="24"/>
          <w:highlight w:val="yellow"/>
          <w:u w:val="single"/>
        </w:rPr>
        <w:t xml:space="preserve"> section 139AA of IT Act</w:t>
      </w:r>
      <w:r w:rsidRPr="00B67E9A">
        <w:rPr>
          <w:rFonts w:cstheme="minorHAnsi"/>
          <w:sz w:val="24"/>
          <w:szCs w:val="24"/>
        </w:rPr>
        <w:t xml:space="preserve"> </w:t>
      </w:r>
    </w:p>
    <w:p w14:paraId="3DDA0CB1" w14:textId="77777777" w:rsidR="0051140E" w:rsidRPr="00B67E9A" w:rsidRDefault="0051140E" w:rsidP="0051140E">
      <w:pPr>
        <w:spacing w:after="0"/>
        <w:jc w:val="both"/>
        <w:rPr>
          <w:rFonts w:cstheme="minorHAnsi"/>
          <w:sz w:val="24"/>
          <w:szCs w:val="24"/>
        </w:rPr>
      </w:pPr>
    </w:p>
    <w:p w14:paraId="7125B1B9" w14:textId="77777777" w:rsidR="0051140E" w:rsidRPr="00B67E9A" w:rsidRDefault="0051140E" w:rsidP="0051140E">
      <w:pPr>
        <w:spacing w:after="0"/>
        <w:jc w:val="both"/>
        <w:rPr>
          <w:rFonts w:cstheme="minorHAnsi"/>
          <w:sz w:val="24"/>
          <w:szCs w:val="24"/>
        </w:rPr>
      </w:pPr>
      <w:r w:rsidRPr="00B67E9A">
        <w:rPr>
          <w:rFonts w:cstheme="minorHAnsi"/>
          <w:sz w:val="24"/>
          <w:szCs w:val="24"/>
        </w:rPr>
        <w:t xml:space="preserve">Central Government notifies the provisions shall not apply to an individual who does not possess the </w:t>
      </w:r>
      <w:proofErr w:type="spellStart"/>
      <w:r w:rsidRPr="00B67E9A">
        <w:rPr>
          <w:rFonts w:cstheme="minorHAnsi"/>
          <w:sz w:val="24"/>
          <w:szCs w:val="24"/>
        </w:rPr>
        <w:t>Aadhaar</w:t>
      </w:r>
      <w:proofErr w:type="spellEnd"/>
      <w:r w:rsidRPr="00B67E9A">
        <w:rPr>
          <w:rFonts w:cstheme="minorHAnsi"/>
          <w:sz w:val="24"/>
          <w:szCs w:val="24"/>
        </w:rPr>
        <w:t xml:space="preserve"> number or the Enrolment ID </w:t>
      </w:r>
    </w:p>
    <w:p w14:paraId="4E1FF4BA" w14:textId="77777777" w:rsidR="0051140E" w:rsidRPr="00B67E9A" w:rsidRDefault="0051140E" w:rsidP="0051140E">
      <w:pPr>
        <w:spacing w:after="0"/>
        <w:jc w:val="both"/>
        <w:rPr>
          <w:rFonts w:cstheme="minorHAnsi"/>
          <w:sz w:val="24"/>
          <w:szCs w:val="24"/>
        </w:rPr>
      </w:pPr>
    </w:p>
    <w:p w14:paraId="3AFC5A6A" w14:textId="77777777" w:rsidR="0051140E" w:rsidRPr="00B67E9A" w:rsidRDefault="0051140E" w:rsidP="0051140E">
      <w:pPr>
        <w:spacing w:after="0"/>
        <w:jc w:val="both"/>
        <w:rPr>
          <w:rFonts w:cstheme="minorHAnsi"/>
          <w:sz w:val="24"/>
          <w:szCs w:val="24"/>
        </w:rPr>
      </w:pPr>
      <w:r w:rsidRPr="00B67E9A">
        <w:rPr>
          <w:rFonts w:cstheme="minorHAnsi"/>
          <w:sz w:val="24"/>
          <w:szCs w:val="24"/>
        </w:rPr>
        <w:t>S.O. 1513 (E)</w:t>
      </w:r>
      <w:proofErr w:type="gramStart"/>
      <w:r w:rsidRPr="00B67E9A">
        <w:rPr>
          <w:rFonts w:cstheme="minorHAnsi"/>
          <w:sz w:val="24"/>
          <w:szCs w:val="24"/>
        </w:rPr>
        <w:t>.-</w:t>
      </w:r>
      <w:proofErr w:type="gramEnd"/>
      <w:r w:rsidRPr="00B67E9A">
        <w:rPr>
          <w:rFonts w:cstheme="minorHAnsi"/>
          <w:sz w:val="24"/>
          <w:szCs w:val="24"/>
        </w:rPr>
        <w:t xml:space="preserve"> In exercise of the powers conferred by sub-section (3) of section 139AA of the Income-tax Act, 1961 (43 of 1961), the Central Government hereby notifies that the provisions of section 139AA shall not apply to</w:t>
      </w:r>
    </w:p>
    <w:p w14:paraId="7E255BFC" w14:textId="77777777" w:rsidR="0051140E" w:rsidRPr="00B67E9A" w:rsidRDefault="0051140E" w:rsidP="0051140E">
      <w:pPr>
        <w:spacing w:after="0"/>
        <w:jc w:val="both"/>
        <w:rPr>
          <w:rFonts w:cstheme="minorHAnsi"/>
          <w:sz w:val="24"/>
          <w:szCs w:val="24"/>
        </w:rPr>
      </w:pPr>
      <w:r w:rsidRPr="00B67E9A">
        <w:rPr>
          <w:rFonts w:cstheme="minorHAnsi"/>
          <w:sz w:val="24"/>
          <w:szCs w:val="24"/>
        </w:rPr>
        <w:t xml:space="preserve"> </w:t>
      </w:r>
      <w:proofErr w:type="gramStart"/>
      <w:r w:rsidRPr="00B67E9A">
        <w:rPr>
          <w:rFonts w:cstheme="minorHAnsi"/>
          <w:sz w:val="24"/>
          <w:szCs w:val="24"/>
        </w:rPr>
        <w:t>an</w:t>
      </w:r>
      <w:proofErr w:type="gramEnd"/>
      <w:r w:rsidRPr="00B67E9A">
        <w:rPr>
          <w:rFonts w:cstheme="minorHAnsi"/>
          <w:sz w:val="24"/>
          <w:szCs w:val="24"/>
        </w:rPr>
        <w:t xml:space="preserve"> individual who does not possess the </w:t>
      </w:r>
      <w:proofErr w:type="spellStart"/>
      <w:r w:rsidRPr="00B67E9A">
        <w:rPr>
          <w:rFonts w:cstheme="minorHAnsi"/>
          <w:sz w:val="24"/>
          <w:szCs w:val="24"/>
        </w:rPr>
        <w:t>Aadhaar</w:t>
      </w:r>
      <w:proofErr w:type="spellEnd"/>
      <w:r w:rsidRPr="00B67E9A">
        <w:rPr>
          <w:rFonts w:cstheme="minorHAnsi"/>
          <w:sz w:val="24"/>
          <w:szCs w:val="24"/>
        </w:rPr>
        <w:t xml:space="preserve"> number or the Enrolment ID </w:t>
      </w:r>
    </w:p>
    <w:p w14:paraId="7A46DDAF" w14:textId="77777777" w:rsidR="0051140E" w:rsidRPr="00B67E9A" w:rsidRDefault="0051140E" w:rsidP="0051140E">
      <w:pPr>
        <w:spacing w:after="0"/>
        <w:jc w:val="both"/>
        <w:rPr>
          <w:rFonts w:cstheme="minorHAnsi"/>
          <w:sz w:val="24"/>
          <w:szCs w:val="24"/>
        </w:rPr>
      </w:pPr>
      <w:proofErr w:type="gramStart"/>
      <w:r w:rsidRPr="00B67E9A">
        <w:rPr>
          <w:rFonts w:cstheme="minorHAnsi"/>
          <w:sz w:val="24"/>
          <w:szCs w:val="24"/>
        </w:rPr>
        <w:t>and</w:t>
      </w:r>
      <w:proofErr w:type="gramEnd"/>
      <w:r w:rsidRPr="00B67E9A">
        <w:rPr>
          <w:rFonts w:cstheme="minorHAnsi"/>
          <w:sz w:val="24"/>
          <w:szCs w:val="24"/>
        </w:rPr>
        <w:t xml:space="preserve"> </w:t>
      </w:r>
    </w:p>
    <w:p w14:paraId="0BB38E9E" w14:textId="77777777" w:rsidR="0051140E" w:rsidRPr="00B67E9A" w:rsidRDefault="0051140E" w:rsidP="0051140E">
      <w:pPr>
        <w:spacing w:after="0"/>
        <w:jc w:val="both"/>
        <w:rPr>
          <w:rFonts w:cstheme="minorHAnsi"/>
          <w:sz w:val="24"/>
          <w:szCs w:val="24"/>
        </w:rPr>
      </w:pPr>
      <w:proofErr w:type="gramStart"/>
      <w:r w:rsidRPr="00B67E9A">
        <w:rPr>
          <w:rFonts w:cstheme="minorHAnsi"/>
          <w:sz w:val="24"/>
          <w:szCs w:val="24"/>
        </w:rPr>
        <w:t>is</w:t>
      </w:r>
      <w:proofErr w:type="gramEnd"/>
      <w:r w:rsidRPr="00B67E9A">
        <w:rPr>
          <w:rFonts w:cstheme="minorHAnsi"/>
          <w:sz w:val="24"/>
          <w:szCs w:val="24"/>
        </w:rPr>
        <w:t>:- (</w:t>
      </w:r>
      <w:proofErr w:type="spellStart"/>
      <w:r w:rsidRPr="00B67E9A">
        <w:rPr>
          <w:rFonts w:cstheme="minorHAnsi"/>
          <w:sz w:val="24"/>
          <w:szCs w:val="24"/>
        </w:rPr>
        <w:t>i</w:t>
      </w:r>
      <w:proofErr w:type="spellEnd"/>
      <w:r w:rsidRPr="00B67E9A">
        <w:rPr>
          <w:rFonts w:cstheme="minorHAnsi"/>
          <w:sz w:val="24"/>
          <w:szCs w:val="24"/>
        </w:rPr>
        <w:t xml:space="preserve">) residing in the States of Assam, Jammu and Kashmir and Meghalaya; </w:t>
      </w:r>
    </w:p>
    <w:p w14:paraId="0273099C" w14:textId="77777777" w:rsidR="0051140E" w:rsidRPr="00B67E9A" w:rsidRDefault="0051140E" w:rsidP="0051140E">
      <w:pPr>
        <w:spacing w:after="0"/>
        <w:jc w:val="both"/>
        <w:rPr>
          <w:rFonts w:cstheme="minorHAnsi"/>
          <w:sz w:val="24"/>
          <w:szCs w:val="24"/>
        </w:rPr>
      </w:pPr>
      <w:r w:rsidRPr="00B67E9A">
        <w:rPr>
          <w:rFonts w:cstheme="minorHAnsi"/>
          <w:sz w:val="24"/>
          <w:szCs w:val="24"/>
        </w:rPr>
        <w:t xml:space="preserve">(ii) </w:t>
      </w:r>
      <w:proofErr w:type="gramStart"/>
      <w:r w:rsidRPr="00B67E9A">
        <w:rPr>
          <w:rFonts w:cstheme="minorHAnsi"/>
          <w:sz w:val="24"/>
          <w:szCs w:val="24"/>
        </w:rPr>
        <w:t>a</w:t>
      </w:r>
      <w:proofErr w:type="gramEnd"/>
      <w:r w:rsidRPr="00B67E9A">
        <w:rPr>
          <w:rFonts w:cstheme="minorHAnsi"/>
          <w:sz w:val="24"/>
          <w:szCs w:val="24"/>
        </w:rPr>
        <w:t xml:space="preserve"> non-resident as per the Income-tax Act, 1961; </w:t>
      </w:r>
    </w:p>
    <w:p w14:paraId="124460B8" w14:textId="77777777" w:rsidR="0051140E" w:rsidRPr="00B67E9A" w:rsidRDefault="0051140E" w:rsidP="0051140E">
      <w:pPr>
        <w:spacing w:after="0"/>
        <w:jc w:val="both"/>
        <w:rPr>
          <w:rFonts w:cstheme="minorHAnsi"/>
          <w:sz w:val="24"/>
          <w:szCs w:val="24"/>
        </w:rPr>
      </w:pPr>
      <w:r w:rsidRPr="00B67E9A">
        <w:rPr>
          <w:rFonts w:cstheme="minorHAnsi"/>
          <w:sz w:val="24"/>
          <w:szCs w:val="24"/>
        </w:rPr>
        <w:t xml:space="preserve">(iii) </w:t>
      </w:r>
      <w:proofErr w:type="gramStart"/>
      <w:r w:rsidRPr="00B67E9A">
        <w:rPr>
          <w:rFonts w:cstheme="minorHAnsi"/>
          <w:sz w:val="24"/>
          <w:szCs w:val="24"/>
        </w:rPr>
        <w:t>of</w:t>
      </w:r>
      <w:proofErr w:type="gramEnd"/>
      <w:r w:rsidRPr="00B67E9A">
        <w:rPr>
          <w:rFonts w:cstheme="minorHAnsi"/>
          <w:sz w:val="24"/>
          <w:szCs w:val="24"/>
        </w:rPr>
        <w:t xml:space="preserve"> the age of eighty years or more at any time during the previous year; </w:t>
      </w:r>
    </w:p>
    <w:p w14:paraId="643F2B6A" w14:textId="77777777" w:rsidR="0051140E" w:rsidRPr="00B67E9A" w:rsidRDefault="0051140E" w:rsidP="0051140E">
      <w:pPr>
        <w:spacing w:after="0"/>
        <w:jc w:val="both"/>
        <w:rPr>
          <w:rFonts w:cstheme="minorHAnsi"/>
          <w:sz w:val="24"/>
          <w:szCs w:val="24"/>
        </w:rPr>
      </w:pPr>
      <w:r w:rsidRPr="00B67E9A">
        <w:rPr>
          <w:rFonts w:cstheme="minorHAnsi"/>
          <w:sz w:val="24"/>
          <w:szCs w:val="24"/>
        </w:rPr>
        <w:t xml:space="preserve">(iv) </w:t>
      </w:r>
      <w:proofErr w:type="gramStart"/>
      <w:r w:rsidRPr="00B67E9A">
        <w:rPr>
          <w:rFonts w:cstheme="minorHAnsi"/>
          <w:sz w:val="24"/>
          <w:szCs w:val="24"/>
        </w:rPr>
        <w:t>not</w:t>
      </w:r>
      <w:proofErr w:type="gramEnd"/>
      <w:r w:rsidRPr="00B67E9A">
        <w:rPr>
          <w:rFonts w:cstheme="minorHAnsi"/>
          <w:sz w:val="24"/>
          <w:szCs w:val="24"/>
        </w:rPr>
        <w:t xml:space="preserve"> a citizen of India. </w:t>
      </w:r>
    </w:p>
    <w:p w14:paraId="667177AB" w14:textId="77777777" w:rsidR="008C1400" w:rsidRPr="00B67E9A" w:rsidRDefault="008C1400" w:rsidP="008C1400">
      <w:pPr>
        <w:spacing w:after="0"/>
        <w:jc w:val="both"/>
        <w:rPr>
          <w:rFonts w:cstheme="minorHAnsi"/>
          <w:sz w:val="24"/>
          <w:szCs w:val="24"/>
        </w:rPr>
      </w:pPr>
      <w:r w:rsidRPr="00B67E9A">
        <w:rPr>
          <w:rFonts w:cstheme="minorHAnsi"/>
          <w:sz w:val="24"/>
          <w:szCs w:val="24"/>
        </w:rPr>
        <w:t>2. This notification shall come into force with effect from the 1st day of July, 2017</w:t>
      </w:r>
    </w:p>
    <w:p w14:paraId="2A08C61F" w14:textId="77777777" w:rsidR="008C1400" w:rsidRPr="00B67E9A" w:rsidRDefault="008C1400" w:rsidP="0051140E">
      <w:pPr>
        <w:spacing w:after="0"/>
        <w:jc w:val="both"/>
        <w:rPr>
          <w:rFonts w:cstheme="minorHAnsi"/>
          <w:sz w:val="24"/>
          <w:szCs w:val="24"/>
          <w:highlight w:val="yellow"/>
        </w:rPr>
      </w:pPr>
    </w:p>
    <w:p w14:paraId="2DA5556D" w14:textId="77777777" w:rsidR="008C1400" w:rsidRPr="00B67E9A" w:rsidRDefault="008C1400" w:rsidP="0051140E">
      <w:pPr>
        <w:spacing w:after="0"/>
        <w:jc w:val="both"/>
        <w:rPr>
          <w:rFonts w:cstheme="minorHAnsi"/>
          <w:sz w:val="24"/>
          <w:szCs w:val="24"/>
          <w:highlight w:val="yellow"/>
        </w:rPr>
      </w:pPr>
    </w:p>
    <w:p w14:paraId="3ACAF8FC" w14:textId="77777777" w:rsidR="0051140E" w:rsidRPr="00B67E9A" w:rsidRDefault="0051140E" w:rsidP="0051140E">
      <w:pPr>
        <w:spacing w:after="0"/>
        <w:jc w:val="both"/>
        <w:rPr>
          <w:rFonts w:cstheme="minorHAnsi"/>
          <w:sz w:val="24"/>
          <w:szCs w:val="24"/>
          <w:u w:val="single"/>
        </w:rPr>
      </w:pPr>
      <w:r w:rsidRPr="00B67E9A">
        <w:rPr>
          <w:rFonts w:cstheme="minorHAnsi"/>
          <w:sz w:val="24"/>
          <w:szCs w:val="24"/>
          <w:highlight w:val="yellow"/>
        </w:rPr>
        <w:t>Section 2(v) of THE AADHAAR (TARGETED DELIVERY OF FINANCIAL AND OTHER SUBSIDIES, BENEFITS AND SERVICES) ACT, 2016 with effect from March 26, 2016.</w:t>
      </w:r>
    </w:p>
    <w:p w14:paraId="17BEB2D7" w14:textId="77777777" w:rsidR="0051140E" w:rsidRPr="00B67E9A" w:rsidRDefault="0051140E" w:rsidP="0051140E">
      <w:pPr>
        <w:spacing w:after="0"/>
        <w:jc w:val="both"/>
        <w:rPr>
          <w:rFonts w:cstheme="minorHAnsi"/>
          <w:sz w:val="24"/>
          <w:szCs w:val="24"/>
        </w:rPr>
      </w:pPr>
    </w:p>
    <w:p w14:paraId="09DFAD0A" w14:textId="77777777" w:rsidR="0051140E" w:rsidRPr="00B67E9A" w:rsidRDefault="0051140E" w:rsidP="0051140E">
      <w:pPr>
        <w:spacing w:after="0"/>
        <w:jc w:val="both"/>
        <w:rPr>
          <w:rFonts w:cstheme="minorHAnsi"/>
          <w:sz w:val="24"/>
          <w:szCs w:val="24"/>
          <w:u w:val="single"/>
        </w:rPr>
      </w:pPr>
      <w:r w:rsidRPr="00B67E9A">
        <w:rPr>
          <w:rFonts w:cstheme="minorHAnsi"/>
          <w:sz w:val="24"/>
          <w:szCs w:val="24"/>
        </w:rPr>
        <w:t xml:space="preserve">(v) “resident” means </w:t>
      </w:r>
      <w:r w:rsidRPr="00B67E9A">
        <w:rPr>
          <w:rFonts w:cstheme="minorHAnsi"/>
          <w:sz w:val="24"/>
          <w:szCs w:val="24"/>
          <w:u w:val="single"/>
        </w:rPr>
        <w:t>an individual</w:t>
      </w:r>
      <w:r w:rsidRPr="00B67E9A">
        <w:rPr>
          <w:rFonts w:cstheme="minorHAnsi"/>
          <w:sz w:val="24"/>
          <w:szCs w:val="24"/>
        </w:rPr>
        <w:t xml:space="preserve"> who has </w:t>
      </w:r>
      <w:r w:rsidRPr="00B67E9A">
        <w:rPr>
          <w:rFonts w:cstheme="minorHAnsi"/>
          <w:sz w:val="24"/>
          <w:szCs w:val="24"/>
          <w:u w:val="single"/>
        </w:rPr>
        <w:t>resided in India</w:t>
      </w:r>
      <w:r w:rsidRPr="00B67E9A">
        <w:rPr>
          <w:rFonts w:cstheme="minorHAnsi"/>
          <w:sz w:val="24"/>
          <w:szCs w:val="24"/>
        </w:rPr>
        <w:t xml:space="preserve"> for a period or periods </w:t>
      </w:r>
      <w:r w:rsidRPr="00B67E9A">
        <w:rPr>
          <w:rFonts w:cstheme="minorHAnsi"/>
          <w:sz w:val="24"/>
          <w:szCs w:val="24"/>
          <w:u w:val="single"/>
        </w:rPr>
        <w:t>amounting in all</w:t>
      </w:r>
      <w:r w:rsidRPr="00B67E9A">
        <w:rPr>
          <w:rFonts w:cstheme="minorHAnsi"/>
          <w:sz w:val="24"/>
          <w:szCs w:val="24"/>
        </w:rPr>
        <w:t xml:space="preserve"> to </w:t>
      </w:r>
      <w:r w:rsidRPr="00B67E9A">
        <w:rPr>
          <w:rFonts w:cstheme="minorHAnsi"/>
          <w:sz w:val="24"/>
          <w:szCs w:val="24"/>
          <w:u w:val="single"/>
        </w:rPr>
        <w:t>one hundred and eighty-two days or more</w:t>
      </w:r>
      <w:r w:rsidRPr="00B67E9A">
        <w:rPr>
          <w:rFonts w:cstheme="minorHAnsi"/>
          <w:sz w:val="24"/>
          <w:szCs w:val="24"/>
        </w:rPr>
        <w:t xml:space="preserve"> in the </w:t>
      </w:r>
      <w:r w:rsidRPr="00B67E9A">
        <w:rPr>
          <w:rFonts w:cstheme="minorHAnsi"/>
          <w:sz w:val="24"/>
          <w:szCs w:val="24"/>
          <w:u w:val="single"/>
        </w:rPr>
        <w:t>twelve months</w:t>
      </w:r>
      <w:r w:rsidRPr="00B67E9A">
        <w:rPr>
          <w:rFonts w:cstheme="minorHAnsi"/>
          <w:sz w:val="24"/>
          <w:szCs w:val="24"/>
        </w:rPr>
        <w:t xml:space="preserve"> immediately </w:t>
      </w:r>
      <w:r w:rsidRPr="00B67E9A">
        <w:rPr>
          <w:rFonts w:cstheme="minorHAnsi"/>
          <w:sz w:val="24"/>
          <w:szCs w:val="24"/>
          <w:u w:val="single"/>
        </w:rPr>
        <w:t>preceding the date of application for enrolment;</w:t>
      </w:r>
    </w:p>
    <w:p w14:paraId="64FDFE52" w14:textId="77777777" w:rsidR="0051140E" w:rsidRPr="00B67E9A" w:rsidRDefault="0051140E" w:rsidP="0051140E">
      <w:pPr>
        <w:spacing w:after="0"/>
        <w:jc w:val="both"/>
        <w:rPr>
          <w:rFonts w:cstheme="minorHAnsi"/>
          <w:sz w:val="24"/>
          <w:szCs w:val="24"/>
        </w:rPr>
      </w:pPr>
    </w:p>
    <w:p w14:paraId="7F1277A3" w14:textId="77777777" w:rsidR="008C1400" w:rsidRPr="00B67E9A" w:rsidRDefault="008C1400" w:rsidP="0051140E">
      <w:pPr>
        <w:spacing w:after="0"/>
        <w:jc w:val="both"/>
        <w:rPr>
          <w:rFonts w:cstheme="minorHAnsi"/>
          <w:sz w:val="24"/>
          <w:szCs w:val="24"/>
        </w:rPr>
      </w:pPr>
      <w:r w:rsidRPr="00B67E9A">
        <w:rPr>
          <w:rFonts w:cstheme="minorHAnsi"/>
          <w:sz w:val="24"/>
          <w:szCs w:val="24"/>
        </w:rPr>
        <w:t xml:space="preserve">EVERY INDIVIDUL, WHO RESIDED IN INDIA FOR 182 DAYS OR MORE IN 12 MONTHS IMMEDIATELY PRECEDING THE DATE OF APPLICATION FOR ENROLMENT OF ADHHAR, IS ELIGIBLE TO GET ADHAAR. </w:t>
      </w:r>
    </w:p>
    <w:p w14:paraId="02849EFB" w14:textId="77777777" w:rsidR="008C1400" w:rsidRPr="00B67E9A" w:rsidRDefault="008C1400" w:rsidP="0051140E">
      <w:pPr>
        <w:spacing w:after="0"/>
        <w:jc w:val="both"/>
        <w:rPr>
          <w:rFonts w:cstheme="minorHAnsi"/>
          <w:sz w:val="24"/>
          <w:szCs w:val="24"/>
        </w:rPr>
      </w:pPr>
    </w:p>
    <w:p w14:paraId="34D3B2EA" w14:textId="77777777" w:rsidR="00B67E9A" w:rsidRDefault="00B67E9A" w:rsidP="00B67E9A">
      <w:pPr>
        <w:spacing w:after="0"/>
        <w:jc w:val="center"/>
        <w:rPr>
          <w:rFonts w:cstheme="minorHAnsi"/>
          <w:sz w:val="24"/>
          <w:szCs w:val="24"/>
        </w:rPr>
      </w:pPr>
      <w:r w:rsidRPr="00B67E9A">
        <w:rPr>
          <w:rFonts w:cstheme="minorHAnsi"/>
          <w:sz w:val="24"/>
          <w:szCs w:val="24"/>
          <w:highlight w:val="yellow"/>
        </w:rPr>
        <w:t xml:space="preserve">CONCLUSION AFTER COMBINED READING OF SECTION 139AA OF THE INCOME TAX ACT, 1961, NOTIFICATION NO 37/2017 </w:t>
      </w:r>
      <w:r>
        <w:rPr>
          <w:rFonts w:cstheme="minorHAnsi"/>
          <w:sz w:val="24"/>
          <w:szCs w:val="24"/>
          <w:highlight w:val="yellow"/>
        </w:rPr>
        <w:t>DATED 11.05.2017 ISSUED BY DEPARTMENT OF REVENUE</w:t>
      </w:r>
      <w:r w:rsidRPr="00B67E9A">
        <w:rPr>
          <w:rFonts w:cstheme="minorHAnsi"/>
          <w:sz w:val="24"/>
          <w:szCs w:val="24"/>
          <w:highlight w:val="yellow"/>
        </w:rPr>
        <w:t xml:space="preserve"> &amp; PROVISIONS OF ADHAAR ACT, 2016.</w:t>
      </w:r>
    </w:p>
    <w:p w14:paraId="38838989" w14:textId="77777777" w:rsidR="00B67E9A" w:rsidRDefault="00B67E9A" w:rsidP="00B67E9A">
      <w:pPr>
        <w:spacing w:after="0"/>
        <w:jc w:val="center"/>
        <w:rPr>
          <w:rFonts w:cstheme="minorHAnsi"/>
          <w:sz w:val="24"/>
          <w:szCs w:val="24"/>
        </w:rPr>
      </w:pPr>
    </w:p>
    <w:p w14:paraId="29402509" w14:textId="77777777" w:rsidR="008C1400" w:rsidRPr="00B67E9A" w:rsidRDefault="008C1400" w:rsidP="0051140E">
      <w:pPr>
        <w:spacing w:after="0"/>
        <w:jc w:val="both"/>
        <w:rPr>
          <w:rFonts w:cstheme="minorHAnsi"/>
          <w:sz w:val="24"/>
          <w:szCs w:val="24"/>
        </w:rPr>
      </w:pPr>
      <w:r w:rsidRPr="00B67E9A">
        <w:rPr>
          <w:rFonts w:cstheme="minorHAnsi"/>
          <w:sz w:val="24"/>
          <w:szCs w:val="24"/>
        </w:rPr>
        <w:t xml:space="preserve">QUOTING OF ADHAR IN </w:t>
      </w:r>
      <w:proofErr w:type="gramStart"/>
      <w:r w:rsidRPr="00B67E9A">
        <w:rPr>
          <w:rFonts w:cstheme="minorHAnsi"/>
          <w:sz w:val="24"/>
          <w:szCs w:val="24"/>
        </w:rPr>
        <w:t>PAN &amp;</w:t>
      </w:r>
      <w:proofErr w:type="gramEnd"/>
      <w:r w:rsidRPr="00B67E9A">
        <w:rPr>
          <w:rFonts w:cstheme="minorHAnsi"/>
          <w:sz w:val="24"/>
          <w:szCs w:val="24"/>
        </w:rPr>
        <w:t xml:space="preserve"> INCOME TAX RETURN IS MANDATORY FROM 01.07.2017 ONWARDS</w:t>
      </w:r>
      <w:r w:rsidR="00B67E9A" w:rsidRPr="00B67E9A">
        <w:rPr>
          <w:rFonts w:cstheme="minorHAnsi"/>
          <w:sz w:val="24"/>
          <w:szCs w:val="24"/>
        </w:rPr>
        <w:t xml:space="preserve"> FOR:-</w:t>
      </w:r>
    </w:p>
    <w:p w14:paraId="1CD9A310" w14:textId="77777777" w:rsidR="008C1400" w:rsidRPr="00B67E9A" w:rsidRDefault="008C1400" w:rsidP="0051140E">
      <w:pPr>
        <w:spacing w:after="0"/>
        <w:jc w:val="both"/>
        <w:rPr>
          <w:rFonts w:cstheme="minorHAnsi"/>
          <w:sz w:val="24"/>
          <w:szCs w:val="24"/>
        </w:rPr>
      </w:pPr>
    </w:p>
    <w:p w14:paraId="645159A7" w14:textId="77777777" w:rsidR="008C1400" w:rsidRPr="00B67E9A" w:rsidRDefault="00B67E9A" w:rsidP="008C1400">
      <w:pPr>
        <w:pStyle w:val="ListParagraph"/>
        <w:numPr>
          <w:ilvl w:val="0"/>
          <w:numId w:val="1"/>
        </w:numPr>
        <w:spacing w:after="0"/>
        <w:jc w:val="both"/>
        <w:rPr>
          <w:rFonts w:cstheme="minorHAnsi"/>
          <w:sz w:val="24"/>
          <w:szCs w:val="24"/>
        </w:rPr>
      </w:pPr>
      <w:r w:rsidRPr="00B67E9A">
        <w:rPr>
          <w:rFonts w:cstheme="minorHAnsi"/>
          <w:sz w:val="24"/>
          <w:szCs w:val="24"/>
        </w:rPr>
        <w:t xml:space="preserve">EVERY INDIVIDUAL </w:t>
      </w:r>
      <w:r w:rsidR="008C1400" w:rsidRPr="00B67E9A">
        <w:rPr>
          <w:rFonts w:cstheme="minorHAnsi"/>
          <w:sz w:val="24"/>
          <w:szCs w:val="24"/>
        </w:rPr>
        <w:t xml:space="preserve">WHO POSSESS AADHAR CARD OR ENROLMENT NUMBER ON 01.07.2017. </w:t>
      </w:r>
    </w:p>
    <w:p w14:paraId="1FE94864" w14:textId="77777777" w:rsidR="00B67E9A" w:rsidRPr="00B67E9A" w:rsidRDefault="00B67E9A" w:rsidP="008C1400">
      <w:pPr>
        <w:pStyle w:val="ListParagraph"/>
        <w:numPr>
          <w:ilvl w:val="0"/>
          <w:numId w:val="1"/>
        </w:numPr>
        <w:spacing w:after="0"/>
        <w:jc w:val="both"/>
        <w:rPr>
          <w:rFonts w:cstheme="minorHAnsi"/>
          <w:sz w:val="24"/>
          <w:szCs w:val="24"/>
        </w:rPr>
      </w:pPr>
      <w:r w:rsidRPr="00B67E9A">
        <w:rPr>
          <w:rFonts w:cstheme="minorHAnsi"/>
          <w:sz w:val="24"/>
          <w:szCs w:val="24"/>
        </w:rPr>
        <w:t xml:space="preserve">EVERY PERSON WHO IS ELIGIBLE U/S 3(1) OF </w:t>
      </w:r>
      <w:r w:rsidRPr="00B67E9A">
        <w:rPr>
          <w:rFonts w:cstheme="minorHAnsi"/>
          <w:sz w:val="24"/>
          <w:szCs w:val="24"/>
        </w:rPr>
        <w:t>THE AADHAAR (TARGETED DELIVERY OF FINANCIAL AND OTHER SUBSIDIES, BENEFITS AND SERVICES) ACT, 2016</w:t>
      </w:r>
      <w:r>
        <w:rPr>
          <w:rFonts w:cstheme="minorHAnsi"/>
          <w:sz w:val="24"/>
          <w:szCs w:val="24"/>
        </w:rPr>
        <w:t xml:space="preserve"> </w:t>
      </w:r>
      <w:r w:rsidRPr="00B67E9A">
        <w:rPr>
          <w:rFonts w:cstheme="minorHAnsi"/>
          <w:sz w:val="24"/>
          <w:szCs w:val="24"/>
        </w:rPr>
        <w:t xml:space="preserve">TO GET AADHAR CARD. </w:t>
      </w:r>
    </w:p>
    <w:p w14:paraId="538AED4F" w14:textId="77777777" w:rsidR="008C1400" w:rsidRPr="00B67E9A" w:rsidRDefault="008C1400" w:rsidP="008C1400">
      <w:pPr>
        <w:pStyle w:val="ListParagraph"/>
        <w:numPr>
          <w:ilvl w:val="0"/>
          <w:numId w:val="1"/>
        </w:numPr>
        <w:spacing w:after="0"/>
        <w:jc w:val="both"/>
        <w:rPr>
          <w:rFonts w:cstheme="minorHAnsi"/>
          <w:sz w:val="24"/>
          <w:szCs w:val="24"/>
        </w:rPr>
      </w:pPr>
      <w:r w:rsidRPr="00B67E9A">
        <w:rPr>
          <w:rFonts w:cstheme="minorHAnsi"/>
          <w:sz w:val="24"/>
          <w:szCs w:val="24"/>
        </w:rPr>
        <w:t>INDIVIDUALS WHO ARE RESIDING IN STATE OF ASAM, J&amp;K &amp; MEGHALYA</w:t>
      </w:r>
      <w:r w:rsidR="00B67E9A" w:rsidRPr="00B67E9A">
        <w:rPr>
          <w:rFonts w:cstheme="minorHAnsi"/>
          <w:sz w:val="24"/>
          <w:szCs w:val="24"/>
        </w:rPr>
        <w:t xml:space="preserve"> OR </w:t>
      </w:r>
      <w:r w:rsidRPr="00B67E9A">
        <w:rPr>
          <w:rFonts w:cstheme="minorHAnsi"/>
          <w:sz w:val="24"/>
          <w:szCs w:val="24"/>
        </w:rPr>
        <w:t xml:space="preserve">WHO ARE NON </w:t>
      </w:r>
      <w:r w:rsidR="00B67E9A" w:rsidRPr="00B67E9A">
        <w:rPr>
          <w:rFonts w:cstheme="minorHAnsi"/>
          <w:sz w:val="24"/>
          <w:szCs w:val="24"/>
        </w:rPr>
        <w:t xml:space="preserve">RESIDENT AS PER INCOME TAX ACT OR </w:t>
      </w:r>
      <w:r w:rsidRPr="00B67E9A">
        <w:rPr>
          <w:rFonts w:cstheme="minorHAnsi"/>
          <w:sz w:val="24"/>
          <w:szCs w:val="24"/>
        </w:rPr>
        <w:t>WHO ARE EQUAL TO OR MORE THAN 80 YEARS OF AGE  ANY DAY OF PREVIOUS YEAR OR NOT A CITIZEN OF INDIA</w:t>
      </w:r>
      <w:r w:rsidR="00B67E9A">
        <w:rPr>
          <w:rFonts w:cstheme="minorHAnsi"/>
          <w:sz w:val="24"/>
          <w:szCs w:val="24"/>
        </w:rPr>
        <w:t xml:space="preserve"> &amp;</w:t>
      </w:r>
      <w:r w:rsidR="00B67E9A" w:rsidRPr="00B67E9A">
        <w:rPr>
          <w:rFonts w:cstheme="minorHAnsi"/>
          <w:sz w:val="24"/>
          <w:szCs w:val="24"/>
        </w:rPr>
        <w:t xml:space="preserve"> HAVE A ADHAR CARD OR ENROLMENT NUMBER. </w:t>
      </w:r>
      <w:bookmarkStart w:id="2" w:name="_GoBack"/>
      <w:bookmarkEnd w:id="2"/>
    </w:p>
    <w:p w14:paraId="13BEC665" w14:textId="77777777" w:rsidR="0051140E" w:rsidRPr="00B67E9A" w:rsidRDefault="0051140E" w:rsidP="0051140E">
      <w:pPr>
        <w:spacing w:after="0"/>
        <w:jc w:val="both"/>
        <w:rPr>
          <w:rFonts w:cstheme="minorHAnsi"/>
          <w:sz w:val="24"/>
          <w:szCs w:val="24"/>
        </w:rPr>
      </w:pPr>
    </w:p>
    <w:p w14:paraId="18CDCA3D" w14:textId="77777777" w:rsidR="0051140E" w:rsidRPr="00B67E9A" w:rsidRDefault="0051140E" w:rsidP="0051140E">
      <w:pPr>
        <w:spacing w:after="0"/>
        <w:jc w:val="both"/>
        <w:rPr>
          <w:rFonts w:cstheme="minorHAnsi"/>
          <w:sz w:val="24"/>
          <w:szCs w:val="24"/>
          <w:u w:val="single"/>
        </w:rPr>
      </w:pPr>
    </w:p>
    <w:sectPr w:rsidR="0051140E" w:rsidRPr="00B67E9A" w:rsidSect="008C1400">
      <w:pgSz w:w="11906" w:h="16838"/>
      <w:pgMar w:top="567" w:right="1440" w:bottom="567"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WPE" w:date="2017-05-15T15:33:00Z" w:initials="S">
    <w:p w14:paraId="764D9EDD" w14:textId="77777777" w:rsidR="0051140E" w:rsidRDefault="0051140E">
      <w:pPr>
        <w:pStyle w:val="CommentText"/>
      </w:pPr>
      <w:r>
        <w:rPr>
          <w:rStyle w:val="CommentReference"/>
        </w:rPr>
        <w:annotationRef/>
      </w:r>
      <w:r>
        <w:t xml:space="preserve">Every resident as defined in section 2(v) of </w:t>
      </w:r>
      <w:proofErr w:type="spellStart"/>
      <w:r>
        <w:t>Adhar</w:t>
      </w:r>
      <w:proofErr w:type="spellEnd"/>
      <w:r>
        <w:t xml:space="preserve"> Act, 2016is eligible to get </w:t>
      </w:r>
      <w:proofErr w:type="spellStart"/>
      <w:r>
        <w:t>Adhar</w:t>
      </w:r>
      <w:proofErr w:type="spellEnd"/>
      <w:r>
        <w:t xml:space="preserve"> Section 3(1) of </w:t>
      </w:r>
      <w:proofErr w:type="spellStart"/>
      <w:r>
        <w:t>Adhar</w:t>
      </w:r>
      <w:proofErr w:type="spellEnd"/>
      <w:r>
        <w:t xml:space="preserve"> Act 2016</w:t>
      </w:r>
    </w:p>
  </w:comment>
  <w:comment w:id="1" w:author="SWPE" w:date="2017-05-15T15:36:00Z" w:initials="S">
    <w:p w14:paraId="1AD474FB" w14:textId="77777777" w:rsidR="0051140E" w:rsidRDefault="0051140E">
      <w:pPr>
        <w:pStyle w:val="CommentText"/>
      </w:pPr>
      <w:r>
        <w:rPr>
          <w:rStyle w:val="CommentReference"/>
        </w:rPr>
        <w:annotationRef/>
      </w:r>
      <w:r>
        <w:t xml:space="preserve">CBDT Notification 37/2017 dated 11.05.2017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4D9EDD" w15:done="0"/>
  <w15:commentEx w15:paraId="1AD474F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16C86"/>
    <w:multiLevelType w:val="hybridMultilevel"/>
    <w:tmpl w:val="B824CCEA"/>
    <w:lvl w:ilvl="0" w:tplc="D91492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WPE">
    <w15:presenceInfo w15:providerId="None" w15:userId="SW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DB"/>
    <w:rsid w:val="0051140E"/>
    <w:rsid w:val="007A3B46"/>
    <w:rsid w:val="008C1400"/>
    <w:rsid w:val="00B67E9A"/>
    <w:rsid w:val="00DF64D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0DE9"/>
  <w15:chartTrackingRefBased/>
  <w15:docId w15:val="{4C42D44F-549A-4F83-86A8-3D07D3AF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140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semiHidden/>
    <w:unhideWhenUsed/>
    <w:rsid w:val="0051140E"/>
    <w:rPr>
      <w:color w:val="0000FF"/>
      <w:u w:val="single"/>
    </w:rPr>
  </w:style>
  <w:style w:type="character" w:customStyle="1" w:styleId="apple-converted-space">
    <w:name w:val="apple-converted-space"/>
    <w:basedOn w:val="DefaultParagraphFont"/>
    <w:rsid w:val="0051140E"/>
  </w:style>
  <w:style w:type="character" w:styleId="CommentReference">
    <w:name w:val="annotation reference"/>
    <w:basedOn w:val="DefaultParagraphFont"/>
    <w:uiPriority w:val="99"/>
    <w:semiHidden/>
    <w:unhideWhenUsed/>
    <w:rsid w:val="0051140E"/>
    <w:rPr>
      <w:sz w:val="16"/>
      <w:szCs w:val="16"/>
    </w:rPr>
  </w:style>
  <w:style w:type="paragraph" w:styleId="CommentText">
    <w:name w:val="annotation text"/>
    <w:basedOn w:val="Normal"/>
    <w:link w:val="CommentTextChar"/>
    <w:uiPriority w:val="99"/>
    <w:semiHidden/>
    <w:unhideWhenUsed/>
    <w:rsid w:val="0051140E"/>
    <w:pPr>
      <w:spacing w:line="240" w:lineRule="auto"/>
    </w:pPr>
    <w:rPr>
      <w:sz w:val="20"/>
      <w:szCs w:val="20"/>
    </w:rPr>
  </w:style>
  <w:style w:type="character" w:customStyle="1" w:styleId="CommentTextChar">
    <w:name w:val="Comment Text Char"/>
    <w:basedOn w:val="DefaultParagraphFont"/>
    <w:link w:val="CommentText"/>
    <w:uiPriority w:val="99"/>
    <w:semiHidden/>
    <w:rsid w:val="0051140E"/>
    <w:rPr>
      <w:sz w:val="20"/>
      <w:szCs w:val="20"/>
    </w:rPr>
  </w:style>
  <w:style w:type="paragraph" w:styleId="CommentSubject">
    <w:name w:val="annotation subject"/>
    <w:basedOn w:val="CommentText"/>
    <w:next w:val="CommentText"/>
    <w:link w:val="CommentSubjectChar"/>
    <w:uiPriority w:val="99"/>
    <w:semiHidden/>
    <w:unhideWhenUsed/>
    <w:rsid w:val="0051140E"/>
    <w:rPr>
      <w:b/>
      <w:bCs/>
    </w:rPr>
  </w:style>
  <w:style w:type="character" w:customStyle="1" w:styleId="CommentSubjectChar">
    <w:name w:val="Comment Subject Char"/>
    <w:basedOn w:val="CommentTextChar"/>
    <w:link w:val="CommentSubject"/>
    <w:uiPriority w:val="99"/>
    <w:semiHidden/>
    <w:rsid w:val="0051140E"/>
    <w:rPr>
      <w:b/>
      <w:bCs/>
      <w:sz w:val="20"/>
      <w:szCs w:val="20"/>
    </w:rPr>
  </w:style>
  <w:style w:type="paragraph" w:styleId="BalloonText">
    <w:name w:val="Balloon Text"/>
    <w:basedOn w:val="Normal"/>
    <w:link w:val="BalloonTextChar"/>
    <w:uiPriority w:val="99"/>
    <w:semiHidden/>
    <w:unhideWhenUsed/>
    <w:rsid w:val="00511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40E"/>
    <w:rPr>
      <w:rFonts w:ascii="Segoe UI" w:hAnsi="Segoe UI" w:cs="Segoe UI"/>
      <w:sz w:val="18"/>
      <w:szCs w:val="18"/>
    </w:rPr>
  </w:style>
  <w:style w:type="paragraph" w:styleId="ListParagraph">
    <w:name w:val="List Paragraph"/>
    <w:basedOn w:val="Normal"/>
    <w:uiPriority w:val="34"/>
    <w:qFormat/>
    <w:rsid w:val="008C1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7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SWPE</dc:creator>
  <cp:keywords/>
  <dc:description/>
  <cp:lastModifiedBy>SWPE</cp:lastModifiedBy>
  <cp:revision>1</cp:revision>
  <dcterms:created xsi:type="dcterms:W3CDTF">2017-05-15T09:22:00Z</dcterms:created>
  <dcterms:modified xsi:type="dcterms:W3CDTF">2017-05-15T10:32:00Z</dcterms:modified>
</cp:coreProperties>
</file>