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F4" w:rsidRDefault="004C525B" w:rsidP="001A2EF4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4C525B">
        <w:rPr>
          <w:rFonts w:ascii="Arial" w:hAnsi="Arial" w:cs="Arial"/>
          <w:b/>
          <w:sz w:val="24"/>
        </w:rPr>
        <w:t xml:space="preserve">Exemption of </w:t>
      </w:r>
      <w:r w:rsidR="00282A2D" w:rsidRPr="001A2EF4">
        <w:rPr>
          <w:rFonts w:ascii="Arial" w:hAnsi="Arial" w:cs="Arial"/>
          <w:b/>
          <w:sz w:val="24"/>
        </w:rPr>
        <w:t>House Rent Allowance (‘HRA’</w:t>
      </w:r>
      <w:r w:rsidR="001A2EF4">
        <w:rPr>
          <w:rFonts w:ascii="Arial" w:hAnsi="Arial" w:cs="Arial"/>
          <w:b/>
          <w:sz w:val="24"/>
        </w:rPr>
        <w:t>)</w:t>
      </w:r>
    </w:p>
    <w:p w:rsidR="001A2EF4" w:rsidRDefault="00282A2D" w:rsidP="001A2EF4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proofErr w:type="gramStart"/>
      <w:r w:rsidRPr="001A2EF4">
        <w:rPr>
          <w:rFonts w:ascii="Arial" w:hAnsi="Arial" w:cs="Arial"/>
          <w:b/>
          <w:sz w:val="24"/>
        </w:rPr>
        <w:t>under</w:t>
      </w:r>
      <w:proofErr w:type="gramEnd"/>
      <w:r w:rsidRPr="001A2EF4">
        <w:rPr>
          <w:rFonts w:ascii="Arial" w:hAnsi="Arial" w:cs="Arial"/>
          <w:b/>
          <w:sz w:val="24"/>
        </w:rPr>
        <w:t xml:space="preserve"> section 10(13A) of the Income tax Act, 1961</w:t>
      </w:r>
      <w:r w:rsidR="001A2EF4" w:rsidRPr="001A2EF4">
        <w:rPr>
          <w:rFonts w:ascii="Arial" w:hAnsi="Arial" w:cs="Arial"/>
          <w:b/>
          <w:sz w:val="24"/>
        </w:rPr>
        <w:t xml:space="preserve"> (‘the Act’)</w:t>
      </w:r>
    </w:p>
    <w:p w:rsidR="001A2EF4" w:rsidRPr="001A2EF4" w:rsidRDefault="001A2EF4" w:rsidP="001A2EF4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282A2D" w:rsidRPr="00C1741E" w:rsidRDefault="00282A2D" w:rsidP="001A2EF4">
      <w:pPr>
        <w:jc w:val="both"/>
        <w:rPr>
          <w:rFonts w:ascii="Arial" w:hAnsi="Arial" w:cs="Arial"/>
        </w:rPr>
      </w:pPr>
      <w:r w:rsidRPr="00C1741E">
        <w:rPr>
          <w:rFonts w:ascii="Arial" w:hAnsi="Arial" w:cs="Arial"/>
        </w:rPr>
        <w:t xml:space="preserve">HRA is a taxable receipt, however section 10(13A) of the Act, grants exemptions is </w:t>
      </w:r>
      <w:r w:rsidR="001A2EF4" w:rsidRPr="00C1741E">
        <w:rPr>
          <w:rFonts w:ascii="Arial" w:hAnsi="Arial" w:cs="Arial"/>
        </w:rPr>
        <w:t>respect</w:t>
      </w:r>
      <w:r w:rsidR="006C2F5E">
        <w:rPr>
          <w:rFonts w:ascii="Arial" w:hAnsi="Arial" w:cs="Arial"/>
        </w:rPr>
        <w:t xml:space="preserve"> of any </w:t>
      </w:r>
      <w:r w:rsidRPr="00C1741E">
        <w:rPr>
          <w:rFonts w:ascii="Arial" w:hAnsi="Arial" w:cs="Arial"/>
        </w:rPr>
        <w:t>HRA received by an employee from his employers, but certain conditions must be satisfied for this purpose.</w:t>
      </w:r>
    </w:p>
    <w:p w:rsidR="00282A2D" w:rsidRPr="00976D0F" w:rsidRDefault="00282A2D" w:rsidP="001A2EF4">
      <w:pPr>
        <w:pStyle w:val="ListParagraph"/>
        <w:numPr>
          <w:ilvl w:val="0"/>
          <w:numId w:val="2"/>
        </w:numPr>
        <w:ind w:left="426"/>
        <w:jc w:val="both"/>
        <w:rPr>
          <w:rFonts w:ascii="Arial" w:hAnsi="Arial" w:cs="Arial"/>
          <w:b/>
        </w:rPr>
      </w:pPr>
      <w:r w:rsidRPr="00976D0F">
        <w:rPr>
          <w:rFonts w:ascii="Arial" w:hAnsi="Arial" w:cs="Arial"/>
          <w:b/>
        </w:rPr>
        <w:t>Conditions to be satisfied:</w:t>
      </w:r>
    </w:p>
    <w:p w:rsidR="00282A2D" w:rsidRPr="00C1741E" w:rsidRDefault="00C1741E" w:rsidP="001A2EF4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C1741E">
        <w:rPr>
          <w:rFonts w:ascii="Arial" w:hAnsi="Arial" w:cs="Arial"/>
        </w:rPr>
        <w:t>The allowance must be specifically granted to the employee by his employer</w:t>
      </w:r>
    </w:p>
    <w:p w:rsidR="00C1741E" w:rsidRPr="00C1741E" w:rsidRDefault="00C1741E" w:rsidP="001A2EF4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C1741E">
        <w:rPr>
          <w:rFonts w:ascii="Arial" w:hAnsi="Arial" w:cs="Arial"/>
        </w:rPr>
        <w:t>The employee must have actually incurred expenditure on payment of rent</w:t>
      </w:r>
    </w:p>
    <w:p w:rsidR="00C1741E" w:rsidRDefault="00C1741E" w:rsidP="001A2EF4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C1741E">
        <w:rPr>
          <w:rFonts w:ascii="Arial" w:hAnsi="Arial" w:cs="Arial"/>
        </w:rPr>
        <w:t>The residential accommodation occupied by the employee should not be owned by him</w:t>
      </w:r>
    </w:p>
    <w:p w:rsidR="00976D0F" w:rsidRPr="00976D0F" w:rsidRDefault="00976D0F" w:rsidP="001A2EF4">
      <w:pPr>
        <w:pStyle w:val="ListParagraph"/>
        <w:ind w:left="1080"/>
        <w:jc w:val="both"/>
        <w:rPr>
          <w:rFonts w:ascii="Arial" w:hAnsi="Arial" w:cs="Arial"/>
          <w:sz w:val="8"/>
        </w:rPr>
      </w:pPr>
    </w:p>
    <w:p w:rsidR="00C1741E" w:rsidRPr="00976D0F" w:rsidRDefault="00976D0F" w:rsidP="001A2EF4">
      <w:pPr>
        <w:pStyle w:val="ListParagraph"/>
        <w:numPr>
          <w:ilvl w:val="0"/>
          <w:numId w:val="2"/>
        </w:numPr>
        <w:ind w:left="426"/>
        <w:jc w:val="both"/>
        <w:rPr>
          <w:rFonts w:ascii="Arial" w:hAnsi="Arial" w:cs="Arial"/>
          <w:b/>
        </w:rPr>
      </w:pPr>
      <w:r w:rsidRPr="00976D0F">
        <w:rPr>
          <w:rFonts w:ascii="Arial" w:hAnsi="Arial" w:cs="Arial"/>
          <w:b/>
        </w:rPr>
        <w:t>Working</w:t>
      </w:r>
      <w:r w:rsidR="00C1741E" w:rsidRPr="00976D0F">
        <w:rPr>
          <w:rFonts w:ascii="Arial" w:hAnsi="Arial" w:cs="Arial"/>
          <w:b/>
        </w:rPr>
        <w:t xml:space="preserve"> of exemption</w:t>
      </w:r>
    </w:p>
    <w:p w:rsidR="00C1741E" w:rsidRPr="00C1741E" w:rsidRDefault="00976D0F" w:rsidP="001A2EF4">
      <w:pPr>
        <w:jc w:val="both"/>
        <w:rPr>
          <w:rFonts w:ascii="Arial" w:hAnsi="Arial" w:cs="Arial"/>
        </w:rPr>
      </w:pPr>
      <w:r w:rsidRPr="00976D0F">
        <w:rPr>
          <w:rFonts w:ascii="Arial" w:hAnsi="Arial" w:cs="Arial"/>
          <w:noProof/>
        </w:rPr>
        <w:drawing>
          <wp:inline distT="0" distB="0" distL="0" distR="0">
            <wp:extent cx="5731510" cy="4069005"/>
            <wp:effectExtent l="0" t="0" r="2540" b="0"/>
            <wp:docPr id="4" name="Object 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336768" cy="5918580"/>
                      <a:chOff x="457200" y="714356"/>
                      <a:chExt cx="8336768" cy="5918580"/>
                    </a:xfrm>
                  </a:grpSpPr>
                  <a:sp>
                    <a:nvSpPr>
                      <a:cNvPr id="3" name="Content Placeholder 2"/>
                      <a:cNvSpPr>
                        <a:spLocks noGrp="1"/>
                      </a:cNvSpPr>
                    </a:nvSpPr>
                    <a:spPr>
                      <a:xfrm>
                        <a:off x="457200" y="1600201"/>
                        <a:ext cx="8229600" cy="614353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vert="horz" lIns="91440" tIns="45720" rIns="91440" bIns="45720" rtlCol="0">
                          <a:normAutofit/>
                        </a:bodyPr>
                        <a:lstStyle>
                          <a:lvl1pPr marL="342900" indent="-3429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•"/>
                            <a:defRPr sz="32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742950" indent="-28575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–"/>
                            <a:defRPr sz="2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1143000" indent="-2286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•"/>
                            <a:defRPr sz="24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600200" indent="-2286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–"/>
                            <a:defRPr sz="2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2057400" indent="-2286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»"/>
                            <a:defRPr sz="2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514600" indent="-2286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•"/>
                            <a:defRPr sz="2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971800" indent="-2286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•"/>
                            <a:defRPr sz="2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429000" indent="-2286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•"/>
                            <a:defRPr sz="2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886200" indent="-2286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•"/>
                            <a:defRPr sz="2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buNone/>
                          </a:pPr>
                          <a:r>
                            <a:rPr lang="en-IN" dirty="0" smtClean="0"/>
                            <a:t> </a:t>
                          </a:r>
                          <a:endParaRPr lang="en-IN" dirty="0"/>
                        </a:p>
                      </a:txBody>
                      <a:useSpRect/>
                    </a:txSp>
                  </a:sp>
                  <a:sp>
                    <a:nvSpPr>
                      <a:cNvPr id="5" name="Rounded Rectangle 4"/>
                      <a:cNvSpPr/>
                    </a:nvSpPr>
                    <a:spPr>
                      <a:xfrm>
                        <a:off x="1071538" y="714356"/>
                        <a:ext cx="7000924" cy="642942"/>
                      </a:xfrm>
                      <a:prstGeom prst="roundRect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en-IN" sz="3600" dirty="0" smtClean="0"/>
                            <a:t>Quantum </a:t>
                          </a:r>
                          <a:r>
                            <a:rPr lang="en-IN" sz="3600" dirty="0" smtClean="0"/>
                            <a:t>of deduction</a:t>
                          </a:r>
                          <a:endParaRPr lang="en-IN" dirty="0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6" name="Rounded Rectangle 5"/>
                      <a:cNvSpPr/>
                    </a:nvSpPr>
                    <a:spPr>
                      <a:xfrm>
                        <a:off x="571472" y="2285992"/>
                        <a:ext cx="2286016" cy="2143140"/>
                      </a:xfrm>
                      <a:prstGeom prst="roundRect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en-IN" dirty="0" smtClean="0"/>
                            <a:t>Amount of HRA received</a:t>
                          </a:r>
                          <a:endParaRPr lang="en-IN" dirty="0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7" name="Rounded Rectangle 6"/>
                      <a:cNvSpPr/>
                    </a:nvSpPr>
                    <a:spPr>
                      <a:xfrm>
                        <a:off x="3500430" y="2285992"/>
                        <a:ext cx="2286016" cy="2143140"/>
                      </a:xfrm>
                      <a:prstGeom prst="roundRect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en-IN" dirty="0" smtClean="0"/>
                            <a:t>50% (Chennai, Mumbai, Kolkata and Delhi) / 40% (for other places) of salary for the relevant period*</a:t>
                          </a:r>
                          <a:endParaRPr lang="en-IN" dirty="0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8" name="Rounded Rectangle 7"/>
                      <a:cNvSpPr/>
                    </a:nvSpPr>
                    <a:spPr>
                      <a:xfrm>
                        <a:off x="6357950" y="2285992"/>
                        <a:ext cx="2286016" cy="2143140"/>
                      </a:xfrm>
                      <a:prstGeom prst="roundRect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en-IN" dirty="0" smtClean="0"/>
                            <a:t>Rent paid </a:t>
                          </a:r>
                          <a:r>
                            <a:rPr lang="en-IN" b="1" dirty="0" smtClean="0"/>
                            <a:t>LESS </a:t>
                          </a:r>
                          <a:r>
                            <a:rPr lang="en-IN" dirty="0" smtClean="0"/>
                            <a:t>10% of the salary*</a:t>
                          </a:r>
                          <a:endParaRPr lang="en-IN" dirty="0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9" name="Down Arrow 8"/>
                      <a:cNvSpPr/>
                    </a:nvSpPr>
                    <a:spPr>
                      <a:xfrm>
                        <a:off x="4429124" y="1357298"/>
                        <a:ext cx="142876" cy="642942"/>
                      </a:xfrm>
                      <a:prstGeom prst="downArrow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en-IN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cxnSp>
                    <a:nvCxnSpPr>
                      <a:cNvPr id="11" name="Straight Connector 10"/>
                      <a:cNvCxnSpPr/>
                    </a:nvCxnSpPr>
                    <a:spPr>
                      <a:xfrm>
                        <a:off x="1214414" y="2000240"/>
                        <a:ext cx="6429420" cy="1588"/>
                      </a:xfrm>
                      <a:prstGeom prst="line">
                        <a:avLst/>
                      </a:prstGeom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17" name="Down Arrow 16"/>
                      <a:cNvSpPr/>
                    </a:nvSpPr>
                    <a:spPr>
                      <a:xfrm>
                        <a:off x="1142976" y="2000240"/>
                        <a:ext cx="142876" cy="285752"/>
                      </a:xfrm>
                      <a:prstGeom prst="downArrow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en-IN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8" name="Down Arrow 17"/>
                      <a:cNvSpPr/>
                    </a:nvSpPr>
                    <a:spPr>
                      <a:xfrm>
                        <a:off x="4572000" y="2000240"/>
                        <a:ext cx="142876" cy="285752"/>
                      </a:xfrm>
                      <a:prstGeom prst="downArrow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en-IN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9" name="Down Arrow 18"/>
                      <a:cNvSpPr/>
                    </a:nvSpPr>
                    <a:spPr>
                      <a:xfrm>
                        <a:off x="7572396" y="2000240"/>
                        <a:ext cx="142876" cy="285752"/>
                      </a:xfrm>
                      <a:prstGeom prst="downArrow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en-IN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20" name="Rounded Rectangle 19"/>
                      <a:cNvSpPr/>
                    </a:nvSpPr>
                    <a:spPr>
                      <a:xfrm>
                        <a:off x="2285984" y="4857760"/>
                        <a:ext cx="5072098" cy="500066"/>
                      </a:xfrm>
                      <a:prstGeom prst="roundRect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en-IN" u="sng" dirty="0" smtClean="0"/>
                            <a:t>Least amount out of above is exempt</a:t>
                          </a:r>
                          <a:endParaRPr lang="en-IN" dirty="0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22" name="Down Arrow 21"/>
                      <a:cNvSpPr/>
                    </a:nvSpPr>
                    <a:spPr>
                      <a:xfrm rot="18726852">
                        <a:off x="1636857" y="4400157"/>
                        <a:ext cx="571504" cy="747434"/>
                      </a:xfrm>
                      <a:prstGeom prst="downArrow">
                        <a:avLst>
                          <a:gd name="adj1" fmla="val 50000"/>
                          <a:gd name="adj2" fmla="val 44754"/>
                        </a:avLst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en-IN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23" name="Down Arrow 22"/>
                      <a:cNvSpPr/>
                    </a:nvSpPr>
                    <a:spPr>
                      <a:xfrm>
                        <a:off x="4286248" y="4429132"/>
                        <a:ext cx="571504" cy="428628"/>
                      </a:xfrm>
                      <a:prstGeom prst="downArrow">
                        <a:avLst>
                          <a:gd name="adj1" fmla="val 50000"/>
                          <a:gd name="adj2" fmla="val 44754"/>
                        </a:avLst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en-IN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24" name="Down Arrow 23"/>
                      <a:cNvSpPr/>
                    </a:nvSpPr>
                    <a:spPr>
                      <a:xfrm rot="2561148">
                        <a:off x="7392877" y="4452423"/>
                        <a:ext cx="571504" cy="747434"/>
                      </a:xfrm>
                      <a:prstGeom prst="downArrow">
                        <a:avLst>
                          <a:gd name="adj1" fmla="val 50000"/>
                          <a:gd name="adj2" fmla="val 44754"/>
                        </a:avLst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en-IN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pic>
                    <a:nvPicPr>
                      <a:cNvPr id="21" name="table"/>
                      <a:cNvPicPr>
                        <a:picLocks noChangeAspect="1"/>
                      </a:cNvPicPr>
                    </a:nvPicPr>
                    <a:blipFill>
                      <a:blip r:embed="rId5"/>
                      <a:stretch>
                        <a:fillRect/>
                      </a:stretch>
                    </a:blipFill>
                    <a:spPr>
                      <a:xfrm>
                        <a:off x="642910" y="5572140"/>
                        <a:ext cx="8151058" cy="1060796"/>
                      </a:xfrm>
                      <a:prstGeom prst="rect">
                        <a:avLst/>
                      </a:prstGeom>
                    </a:spPr>
                  </a:pic>
                </lc:lockedCanvas>
              </a:graphicData>
            </a:graphic>
          </wp:inline>
        </w:drawing>
      </w:r>
    </w:p>
    <w:p w:rsidR="00C1741E" w:rsidRDefault="00976D0F" w:rsidP="001A2EF4">
      <w:pPr>
        <w:pStyle w:val="ListParagraph"/>
        <w:numPr>
          <w:ilvl w:val="0"/>
          <w:numId w:val="2"/>
        </w:numPr>
        <w:ind w:left="426"/>
        <w:jc w:val="both"/>
        <w:rPr>
          <w:rFonts w:ascii="Arial" w:hAnsi="Arial" w:cs="Arial"/>
          <w:b/>
        </w:rPr>
      </w:pPr>
      <w:r w:rsidRPr="00976D0F">
        <w:rPr>
          <w:rFonts w:ascii="Arial" w:hAnsi="Arial" w:cs="Arial"/>
          <w:b/>
        </w:rPr>
        <w:t xml:space="preserve">Further </w:t>
      </w:r>
      <w:r w:rsidR="00CD1FFA">
        <w:rPr>
          <w:rFonts w:ascii="Arial" w:hAnsi="Arial" w:cs="Arial"/>
          <w:b/>
        </w:rPr>
        <w:t>points</w:t>
      </w:r>
      <w:r w:rsidRPr="00976D0F">
        <w:rPr>
          <w:rFonts w:ascii="Arial" w:hAnsi="Arial" w:cs="Arial"/>
          <w:b/>
        </w:rPr>
        <w:t>:</w:t>
      </w:r>
    </w:p>
    <w:p w:rsidR="00C31665" w:rsidRPr="00C31665" w:rsidRDefault="00C31665" w:rsidP="00C31665">
      <w:pPr>
        <w:pStyle w:val="ListParagraph"/>
        <w:ind w:left="426"/>
        <w:jc w:val="both"/>
        <w:rPr>
          <w:rFonts w:ascii="Arial" w:hAnsi="Arial" w:cs="Arial"/>
          <w:b/>
          <w:sz w:val="12"/>
        </w:rPr>
      </w:pPr>
    </w:p>
    <w:p w:rsidR="00976D0F" w:rsidRDefault="00976D0F" w:rsidP="001A2EF4">
      <w:pPr>
        <w:pStyle w:val="ListParagraph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Rent paid to wife/</w:t>
      </w:r>
      <w:r w:rsidRPr="00976D0F">
        <w:rPr>
          <w:rFonts w:ascii="Arial" w:hAnsi="Arial" w:cs="Arial"/>
          <w:b/>
        </w:rPr>
        <w:t>father</w:t>
      </w:r>
      <w:r>
        <w:rPr>
          <w:rFonts w:ascii="Arial" w:hAnsi="Arial" w:cs="Arial"/>
          <w:b/>
        </w:rPr>
        <w:t>/mother</w:t>
      </w:r>
      <w:r>
        <w:rPr>
          <w:rFonts w:ascii="Arial" w:hAnsi="Arial" w:cs="Arial"/>
        </w:rPr>
        <w:t>- Yes, HRA can be claimed subject to actual payment and please note house property must be on third own name.</w:t>
      </w:r>
    </w:p>
    <w:p w:rsidR="00976D0F" w:rsidRPr="00C31665" w:rsidRDefault="00976D0F" w:rsidP="001A2EF4">
      <w:pPr>
        <w:pStyle w:val="ListParagraph"/>
        <w:ind w:left="426"/>
        <w:jc w:val="both"/>
        <w:rPr>
          <w:rFonts w:ascii="Arial" w:hAnsi="Arial" w:cs="Arial"/>
          <w:sz w:val="12"/>
        </w:rPr>
      </w:pPr>
    </w:p>
    <w:p w:rsidR="00976D0F" w:rsidRDefault="00976D0F" w:rsidP="001A2EF4">
      <w:pPr>
        <w:pStyle w:val="ListParagraph"/>
        <w:ind w:left="426"/>
        <w:jc w:val="both"/>
        <w:rPr>
          <w:rFonts w:ascii="Arial" w:hAnsi="Arial" w:cs="Arial"/>
        </w:rPr>
      </w:pPr>
      <w:r w:rsidRPr="00C07E62">
        <w:rPr>
          <w:rFonts w:ascii="Arial" w:hAnsi="Arial" w:cs="Arial"/>
          <w:b/>
        </w:rPr>
        <w:t>Rent paid outside India for stay outside India</w:t>
      </w:r>
      <w:r>
        <w:rPr>
          <w:rFonts w:ascii="Arial" w:hAnsi="Arial" w:cs="Arial"/>
        </w:rPr>
        <w:t xml:space="preserve"> –No deduction </w:t>
      </w:r>
      <w:r w:rsidR="00A63988">
        <w:rPr>
          <w:rFonts w:ascii="Arial" w:hAnsi="Arial" w:cs="Arial"/>
        </w:rPr>
        <w:t>allowed</w:t>
      </w:r>
      <w:r>
        <w:rPr>
          <w:rFonts w:ascii="Arial" w:hAnsi="Arial" w:cs="Arial"/>
        </w:rPr>
        <w:t xml:space="preserve"> HRA exemption </w:t>
      </w:r>
      <w:r w:rsidR="00C07E62">
        <w:rPr>
          <w:rFonts w:ascii="Arial" w:hAnsi="Arial" w:cs="Arial"/>
        </w:rPr>
        <w:t>available only for rent paid for living in India</w:t>
      </w:r>
    </w:p>
    <w:p w:rsidR="00C07E62" w:rsidRPr="00C31665" w:rsidRDefault="00C07E62" w:rsidP="001A2EF4">
      <w:pPr>
        <w:pStyle w:val="ListParagraph"/>
        <w:ind w:left="426"/>
        <w:jc w:val="both"/>
        <w:rPr>
          <w:rFonts w:ascii="Arial" w:hAnsi="Arial" w:cs="Arial"/>
          <w:sz w:val="12"/>
        </w:rPr>
      </w:pPr>
    </w:p>
    <w:p w:rsidR="00C07E62" w:rsidRDefault="00C07E62" w:rsidP="001A2EF4">
      <w:pPr>
        <w:pStyle w:val="ListParagraph"/>
        <w:ind w:left="426"/>
        <w:jc w:val="both"/>
        <w:rPr>
          <w:rFonts w:ascii="Arial" w:hAnsi="Arial" w:cs="Arial"/>
        </w:rPr>
      </w:pPr>
      <w:r w:rsidRPr="00C07E62">
        <w:rPr>
          <w:rFonts w:ascii="Arial" w:hAnsi="Arial" w:cs="Arial"/>
          <w:b/>
        </w:rPr>
        <w:t>Own house in one city and staying on rent house in other city</w:t>
      </w:r>
      <w:r>
        <w:rPr>
          <w:rFonts w:ascii="Arial" w:hAnsi="Arial" w:cs="Arial"/>
        </w:rPr>
        <w:t>- yes deduction allowed</w:t>
      </w:r>
    </w:p>
    <w:p w:rsidR="00C07E62" w:rsidRPr="00C31665" w:rsidRDefault="00C07E62" w:rsidP="001A2EF4">
      <w:pPr>
        <w:pStyle w:val="ListParagraph"/>
        <w:ind w:left="426"/>
        <w:jc w:val="both"/>
        <w:rPr>
          <w:rFonts w:ascii="Arial" w:hAnsi="Arial" w:cs="Arial"/>
          <w:sz w:val="14"/>
        </w:rPr>
      </w:pPr>
    </w:p>
    <w:p w:rsidR="00976D0F" w:rsidRPr="00C07E62" w:rsidRDefault="00C07E62" w:rsidP="001A2EF4">
      <w:pPr>
        <w:pStyle w:val="ListParagraph"/>
        <w:ind w:left="426"/>
        <w:jc w:val="both"/>
        <w:rPr>
          <w:rFonts w:ascii="Arial" w:hAnsi="Arial" w:cs="Arial"/>
        </w:rPr>
      </w:pPr>
      <w:r w:rsidRPr="00C07E62">
        <w:rPr>
          <w:rFonts w:ascii="Arial" w:hAnsi="Arial" w:cs="Arial"/>
          <w:b/>
        </w:rPr>
        <w:t>No HRA mentioned in the salary slip</w:t>
      </w:r>
      <w:r>
        <w:rPr>
          <w:rFonts w:ascii="Arial" w:hAnsi="Arial" w:cs="Arial"/>
        </w:rPr>
        <w:t>- It means no HRA allowance provided by the employer, without any allowance we cannot claim HRA. Discuss with the employer</w:t>
      </w:r>
    </w:p>
    <w:sectPr w:rsidR="00976D0F" w:rsidRPr="00C07E62" w:rsidSect="00A106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C39B6"/>
    <w:multiLevelType w:val="hybridMultilevel"/>
    <w:tmpl w:val="99E69C60"/>
    <w:lvl w:ilvl="0" w:tplc="40090015">
      <w:start w:val="1"/>
      <w:numFmt w:val="upp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E225EB"/>
    <w:multiLevelType w:val="hybridMultilevel"/>
    <w:tmpl w:val="2ABCD4BA"/>
    <w:lvl w:ilvl="0" w:tplc="E4F2DCE0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82A2D"/>
    <w:rsid w:val="001A2EF4"/>
    <w:rsid w:val="00282A2D"/>
    <w:rsid w:val="004756C3"/>
    <w:rsid w:val="004C525B"/>
    <w:rsid w:val="005D453C"/>
    <w:rsid w:val="006C2F5E"/>
    <w:rsid w:val="00976D0F"/>
    <w:rsid w:val="00A106F8"/>
    <w:rsid w:val="00A63988"/>
    <w:rsid w:val="00C07E62"/>
    <w:rsid w:val="00C1741E"/>
    <w:rsid w:val="00C31665"/>
    <w:rsid w:val="00CD1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6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741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7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74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Sharmas'</dc:creator>
  <cp:keywords/>
  <dc:description/>
  <cp:lastModifiedBy>Sharmas'</cp:lastModifiedBy>
  <cp:revision>11</cp:revision>
  <dcterms:created xsi:type="dcterms:W3CDTF">2016-03-09T08:54:00Z</dcterms:created>
  <dcterms:modified xsi:type="dcterms:W3CDTF">2016-03-09T09:37:00Z</dcterms:modified>
</cp:coreProperties>
</file>