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2F" w:rsidRPr="004B4C2F" w:rsidRDefault="004B4C2F" w:rsidP="004B4C2F">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b/>
          <w:bCs/>
          <w:color w:val="444444"/>
          <w:sz w:val="24"/>
          <w:szCs w:val="24"/>
          <w:lang w:bidi="hi-IN"/>
        </w:rPr>
        <w:t>Various Threshold Limits under the Income Tax Act</w:t>
      </w:r>
    </w:p>
    <w:p w:rsidR="004B4C2F" w:rsidRPr="004B4C2F" w:rsidRDefault="004B4C2F" w:rsidP="004B4C2F">
      <w:pPr>
        <w:shd w:val="clear" w:color="auto" w:fill="FFFFFF"/>
        <w:spacing w:after="80" w:line="240" w:lineRule="auto"/>
        <w:jc w:val="right"/>
        <w:rPr>
          <w:rFonts w:ascii="Times New Roman" w:eastAsia="Times New Roman" w:hAnsi="Times New Roman" w:cs="Times New Roman"/>
          <w:b/>
          <w:bCs/>
          <w:color w:val="444444"/>
          <w:sz w:val="24"/>
          <w:szCs w:val="24"/>
          <w:lang w:bidi="hi-IN"/>
        </w:rPr>
      </w:pPr>
      <w:r w:rsidRPr="004B4C2F">
        <w:rPr>
          <w:rFonts w:ascii="Times New Roman" w:eastAsia="Times New Roman" w:hAnsi="Times New Roman" w:cs="Times New Roman"/>
          <w:b/>
          <w:bCs/>
          <w:color w:val="444444"/>
          <w:sz w:val="24"/>
          <w:szCs w:val="24"/>
          <w:lang w:bidi="hi-IN"/>
        </w:rPr>
        <w:t>[AY 2016-17]</w:t>
      </w:r>
    </w:p>
    <w:p w:rsidR="004B4C2F" w:rsidRPr="004B4C2F" w:rsidRDefault="004B4C2F" w:rsidP="004B4C2F">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w:t>
      </w:r>
    </w:p>
    <w:p w:rsidR="004B4C2F" w:rsidRPr="004B4C2F" w:rsidRDefault="004B4C2F" w:rsidP="004B4C2F">
      <w:pPr>
        <w:shd w:val="clear" w:color="auto" w:fill="FFFFFF"/>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w:t>
      </w:r>
    </w:p>
    <w:p w:rsidR="004B4C2F" w:rsidRPr="004B4C2F" w:rsidRDefault="004B4C2F" w:rsidP="004B4C2F">
      <w:pPr>
        <w:shd w:val="clear" w:color="auto" w:fill="FFFFFF"/>
        <w:spacing w:after="80" w:line="240" w:lineRule="auto"/>
        <w:jc w:val="center"/>
        <w:rPr>
          <w:rFonts w:ascii="Times New Roman" w:eastAsia="Times New Roman" w:hAnsi="Times New Roman" w:cs="Times New Roman"/>
          <w:b/>
          <w:bCs/>
          <w:color w:val="808080"/>
          <w:sz w:val="24"/>
          <w:szCs w:val="24"/>
          <w:lang w:bidi="hi-IN"/>
        </w:rPr>
      </w:pPr>
      <w:r w:rsidRPr="004B4C2F">
        <w:rPr>
          <w:rFonts w:ascii="Times New Roman" w:eastAsia="Times New Roman" w:hAnsi="Times New Roman" w:cs="Times New Roman"/>
          <w:b/>
          <w:bCs/>
          <w:color w:val="808080"/>
          <w:sz w:val="24"/>
          <w:szCs w:val="24"/>
          <w:lang w:bidi="hi-IN"/>
        </w:rPr>
        <w:t>[As amended by Finance Act, 2015]</w:t>
      </w:r>
    </w:p>
    <w:tbl>
      <w:tblPr>
        <w:tblW w:w="0" w:type="auto"/>
        <w:shd w:val="clear" w:color="auto" w:fill="FFFFFF"/>
        <w:tblCellMar>
          <w:top w:w="60" w:type="dxa"/>
          <w:left w:w="60" w:type="dxa"/>
          <w:bottom w:w="60" w:type="dxa"/>
          <w:right w:w="60" w:type="dxa"/>
        </w:tblCellMar>
        <w:tblLook w:val="04A0"/>
      </w:tblPr>
      <w:tblGrid>
        <w:gridCol w:w="547"/>
        <w:gridCol w:w="3472"/>
        <w:gridCol w:w="1240"/>
        <w:gridCol w:w="4221"/>
      </w:tblGrid>
      <w:tr w:rsidR="004B4C2F" w:rsidRPr="004B4C2F" w:rsidTr="004B4C2F">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b/>
                <w:bCs/>
                <w:color w:val="444444"/>
                <w:sz w:val="24"/>
                <w:szCs w:val="24"/>
                <w:lang w:bidi="hi-IN"/>
              </w:rPr>
              <w:t>S.N.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b/>
                <w:bCs/>
                <w:color w:val="444444"/>
                <w:sz w:val="24"/>
                <w:szCs w:val="24"/>
                <w:lang w:bidi="hi-IN"/>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b/>
                <w:bCs/>
                <w:color w:val="444444"/>
                <w:sz w:val="24"/>
                <w:szCs w:val="24"/>
                <w:lang w:bidi="hi-IN"/>
              </w:rPr>
              <w:t>Threshold Limits</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J.</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b/>
                <w:bCs/>
                <w:color w:val="444444"/>
                <w:sz w:val="24"/>
                <w:szCs w:val="24"/>
                <w:lang w:bidi="hi-IN"/>
              </w:rPr>
              <w:t>Deduction of tax at source and Advance tax</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deduction of tax at source from salaries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5" w:history="1">
              <w:r w:rsidRPr="004B4C2F">
                <w:rPr>
                  <w:rFonts w:ascii="Times New Roman" w:eastAsia="Times New Roman" w:hAnsi="Times New Roman" w:cs="Times New Roman"/>
                  <w:color w:val="663399"/>
                  <w:sz w:val="24"/>
                  <w:szCs w:val="24"/>
                  <w:lang w:bidi="hi-IN"/>
                </w:rPr>
                <w:t>192</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net taxable income is less than maximum amount which is not chargeable to tax (Rs. 2,50,000 for an individual, Rs. 3,00,000 for Senior Citizens and Rs. 5,00,000 for Super Senior Citizens)</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provident fund account of an employee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192A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is less than Rs. 30,000.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No TDS from interest paid on debentures issued by a company in which public are substantially interested. Provided interest is paid by account payee </w:t>
            </w:r>
            <w:proofErr w:type="spellStart"/>
            <w:r w:rsidRPr="004B4C2F">
              <w:rPr>
                <w:rFonts w:ascii="Times New Roman" w:eastAsia="Times New Roman" w:hAnsi="Times New Roman" w:cs="Times New Roman"/>
                <w:color w:val="444444"/>
                <w:sz w:val="24"/>
                <w:szCs w:val="24"/>
                <w:lang w:bidi="hi-IN"/>
              </w:rPr>
              <w:t>cheque</w:t>
            </w:r>
            <w:proofErr w:type="spellEnd"/>
            <w:r w:rsidRPr="004B4C2F">
              <w:rPr>
                <w:rFonts w:ascii="Times New Roman" w:eastAsia="Times New Roman" w:hAnsi="Times New Roman" w:cs="Times New Roman"/>
                <w:color w:val="444444"/>
                <w:sz w:val="24"/>
                <w:szCs w:val="24"/>
                <w:lang w:bidi="hi-IN"/>
              </w:rPr>
              <w:t xml:space="preserve"> to resident individual or HUF</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6" w:history="1">
              <w:r w:rsidRPr="004B4C2F">
                <w:rPr>
                  <w:rFonts w:ascii="Times New Roman" w:eastAsia="Times New Roman" w:hAnsi="Times New Roman" w:cs="Times New Roman"/>
                  <w:color w:val="663399"/>
                  <w:sz w:val="24"/>
                  <w:szCs w:val="24"/>
                  <w:lang w:bidi="hi-IN"/>
                </w:rPr>
                <w:t>193</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5,000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interest on 8% Saving (Taxable) Bonds 2003 paid to a resident persons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7" w:history="1">
              <w:r w:rsidRPr="004B4C2F">
                <w:rPr>
                  <w:rFonts w:ascii="Times New Roman" w:eastAsia="Times New Roman" w:hAnsi="Times New Roman" w:cs="Times New Roman"/>
                  <w:color w:val="663399"/>
                  <w:sz w:val="24"/>
                  <w:szCs w:val="24"/>
                  <w:lang w:bidi="hi-IN"/>
                </w:rPr>
                <w:t>193</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3A.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interest on 6.5% Gold bonds, 1977 or 7% Gold bonds, 1980 paid to resident individual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hyperlink r:id="rId8" w:history="1">
              <w:r w:rsidRPr="004B4C2F">
                <w:rPr>
                  <w:rFonts w:ascii="Times New Roman" w:eastAsia="Times New Roman" w:hAnsi="Times New Roman" w:cs="Times New Roman"/>
                  <w:color w:val="663399"/>
                  <w:sz w:val="24"/>
                  <w:szCs w:val="24"/>
                  <w:lang w:bidi="hi-IN"/>
                </w:rPr>
                <w:t>193</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 declaration is made that the nominal value of such bonds did not exceed Rs. 10,000 at any time during the previous year</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No TDS from dividend paid by account payee </w:t>
            </w:r>
            <w:proofErr w:type="spellStart"/>
            <w:r w:rsidRPr="004B4C2F">
              <w:rPr>
                <w:rFonts w:ascii="Times New Roman" w:eastAsia="Times New Roman" w:hAnsi="Times New Roman" w:cs="Times New Roman"/>
                <w:color w:val="444444"/>
                <w:sz w:val="24"/>
                <w:szCs w:val="24"/>
                <w:lang w:bidi="hi-IN"/>
              </w:rPr>
              <w:t>cheque</w:t>
            </w:r>
            <w:proofErr w:type="spellEnd"/>
            <w:r w:rsidRPr="004B4C2F">
              <w:rPr>
                <w:rFonts w:ascii="Times New Roman" w:eastAsia="Times New Roman" w:hAnsi="Times New Roman" w:cs="Times New Roman"/>
                <w:color w:val="444444"/>
                <w:sz w:val="24"/>
                <w:szCs w:val="24"/>
                <w:lang w:bidi="hi-IN"/>
              </w:rPr>
              <w:t xml:space="preserve"> to resident persons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9" w:history="1">
              <w:r w:rsidRPr="004B4C2F">
                <w:rPr>
                  <w:rFonts w:ascii="Times New Roman" w:eastAsia="Times New Roman" w:hAnsi="Times New Roman" w:cs="Times New Roman"/>
                  <w:color w:val="663399"/>
                  <w:sz w:val="24"/>
                  <w:szCs w:val="24"/>
                  <w:lang w:bidi="hi-IN"/>
                </w:rPr>
                <w:t>194</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2,500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interest (other than on interest on securities) paid by a banking company, co-operative bank or specified public company on time deposits</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Note:</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lastRenderedPageBreak/>
              <w:t>With effect from 01.06.2015, tax shall be deducted from interest credited or paid by a co-operative bank to its member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0" w:history="1">
              <w:r w:rsidRPr="004B4C2F">
                <w:rPr>
                  <w:rFonts w:ascii="Times New Roman" w:eastAsia="Times New Roman" w:hAnsi="Times New Roman" w:cs="Times New Roman"/>
                  <w:color w:val="663399"/>
                  <w:sz w:val="24"/>
                  <w:szCs w:val="24"/>
                  <w:lang w:bidi="hi-IN"/>
                </w:rPr>
                <w:t>194A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10,000</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Note:</w:t>
            </w:r>
          </w:p>
          <w:p w:rsidR="004B4C2F" w:rsidRPr="004B4C2F" w:rsidRDefault="004B4C2F" w:rsidP="004B4C2F">
            <w:pPr>
              <w:spacing w:after="80" w:line="240" w:lineRule="auto"/>
              <w:ind w:left="567" w:hanging="397"/>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a) With effect from 01.06.2015, time deposit shall also include recurring deposit. Therefore, tax shall be </w:t>
            </w:r>
            <w:r w:rsidRPr="004B4C2F">
              <w:rPr>
                <w:rFonts w:ascii="Times New Roman" w:eastAsia="Times New Roman" w:hAnsi="Times New Roman" w:cs="Times New Roman"/>
                <w:color w:val="444444"/>
                <w:sz w:val="24"/>
                <w:szCs w:val="24"/>
                <w:lang w:bidi="hi-IN"/>
              </w:rPr>
              <w:lastRenderedPageBreak/>
              <w:t>deduction from payment of interest on recurring deposit if it exceeds the threshold limit of Rs. 10,000.</w:t>
            </w:r>
          </w:p>
          <w:p w:rsidR="004B4C2F" w:rsidRPr="004B4C2F" w:rsidRDefault="004B4C2F" w:rsidP="004B4C2F">
            <w:pPr>
              <w:spacing w:after="80" w:line="240" w:lineRule="auto"/>
              <w:ind w:left="567" w:hanging="397"/>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b) The threshold limit of Rs. 10,000 shall be computed with reference to the income credited or paid by a banking company or co-operative bank (and not by individual branch thereof) which has adopted core banking solutions ('CBS').</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lastRenderedPageBreak/>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interest on deposit with a post office under Senior Citizens Saving Scheme Rules, 2004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1" w:history="1">
              <w:r w:rsidRPr="004B4C2F">
                <w:rPr>
                  <w:rFonts w:ascii="Times New Roman" w:eastAsia="Times New Roman" w:hAnsi="Times New Roman" w:cs="Times New Roman"/>
                  <w:color w:val="663399"/>
                  <w:sz w:val="24"/>
                  <w:szCs w:val="24"/>
                  <w:lang w:bidi="hi-IN"/>
                </w:rPr>
                <w:t>194A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interest other than on securities (in any other case)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2" w:history="1">
              <w:r w:rsidRPr="004B4C2F">
                <w:rPr>
                  <w:rFonts w:ascii="Times New Roman" w:eastAsia="Times New Roman" w:hAnsi="Times New Roman" w:cs="Times New Roman"/>
                  <w:color w:val="663399"/>
                  <w:sz w:val="24"/>
                  <w:szCs w:val="24"/>
                  <w:lang w:bidi="hi-IN"/>
                </w:rPr>
                <w:t>194A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5,000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interest on compensation awarded by payment of Motor Accident Claims Tribunal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3" w:history="1">
              <w:r w:rsidRPr="004B4C2F">
                <w:rPr>
                  <w:rFonts w:ascii="Times New Roman" w:eastAsia="Times New Roman" w:hAnsi="Times New Roman" w:cs="Times New Roman"/>
                  <w:color w:val="663399"/>
                  <w:sz w:val="24"/>
                  <w:szCs w:val="24"/>
                  <w:lang w:bidi="hi-IN"/>
                </w:rPr>
                <w:t>194A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during the financial year does not exceed Rs. 50,000</w:t>
            </w:r>
          </w:p>
          <w:p w:rsidR="004B4C2F" w:rsidRPr="004B4C2F" w:rsidRDefault="004B4C2F" w:rsidP="004B4C2F">
            <w:pPr>
              <w:spacing w:after="80" w:line="240" w:lineRule="auto"/>
              <w:jc w:val="both"/>
              <w:rPr>
                <w:rFonts w:ascii="Times New Roman" w:eastAsia="Times New Roman" w:hAnsi="Times New Roman" w:cs="Times New Roman"/>
                <w:b/>
                <w:bCs/>
                <w:color w:val="444444"/>
                <w:sz w:val="24"/>
                <w:szCs w:val="24"/>
                <w:lang w:bidi="hi-IN"/>
              </w:rPr>
            </w:pPr>
            <w:r w:rsidRPr="004B4C2F">
              <w:rPr>
                <w:rFonts w:ascii="Times New Roman" w:eastAsia="Times New Roman" w:hAnsi="Times New Roman" w:cs="Times New Roman"/>
                <w:b/>
                <w:bCs/>
                <w:color w:val="444444"/>
                <w:sz w:val="24"/>
                <w:szCs w:val="24"/>
                <w:lang w:bidi="hi-IN"/>
              </w:rPr>
              <w:t>Note:</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With effect from 01.06.2015, no tax shall be deducted at the time of credit of interest on compensation awarded by the Motor Accidents Claims Tribunal.</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Lottery / Cross Word Puzzles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4" w:history="1">
              <w:r w:rsidRPr="004B4C2F">
                <w:rPr>
                  <w:rFonts w:ascii="Times New Roman" w:eastAsia="Times New Roman" w:hAnsi="Times New Roman" w:cs="Times New Roman"/>
                  <w:color w:val="663399"/>
                  <w:sz w:val="24"/>
                  <w:szCs w:val="24"/>
                  <w:lang w:bidi="hi-IN"/>
                </w:rPr>
                <w:t>194B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winnings from horse races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5" w:history="1">
              <w:r w:rsidRPr="004B4C2F">
                <w:rPr>
                  <w:rFonts w:ascii="Times New Roman" w:eastAsia="Times New Roman" w:hAnsi="Times New Roman" w:cs="Times New Roman"/>
                  <w:color w:val="663399"/>
                  <w:sz w:val="24"/>
                  <w:szCs w:val="24"/>
                  <w:lang w:bidi="hi-IN"/>
                </w:rPr>
                <w:t>194BB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5,000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sum paid or payable to contractor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6" w:history="1">
              <w:r w:rsidRPr="004B4C2F">
                <w:rPr>
                  <w:rFonts w:ascii="Times New Roman" w:eastAsia="Times New Roman" w:hAnsi="Times New Roman" w:cs="Times New Roman"/>
                  <w:color w:val="663399"/>
                  <w:sz w:val="24"/>
                  <w:szCs w:val="24"/>
                  <w:lang w:bidi="hi-IN"/>
                </w:rPr>
                <w:t>194C</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a) If sum paid or payable to a contractor in a single payment does not exceed Rs. 30,000</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b) If sum paid or payable to contractor in aggregate does not exceed Rs. 75,000 during the financial year</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insurance commission paid or payable during the financial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7" w:history="1">
              <w:r w:rsidRPr="004B4C2F">
                <w:rPr>
                  <w:rFonts w:ascii="Times New Roman" w:eastAsia="Times New Roman" w:hAnsi="Times New Roman" w:cs="Times New Roman"/>
                  <w:color w:val="663399"/>
                  <w:sz w:val="24"/>
                  <w:szCs w:val="24"/>
                  <w:lang w:bidi="hi-IN"/>
                </w:rPr>
                <w:t>194D</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20,000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12A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sum payable under a life insurance a police (including bonus) to a resident (</w:t>
            </w:r>
            <w:proofErr w:type="spellStart"/>
            <w:r w:rsidRPr="004B4C2F">
              <w:rPr>
                <w:rFonts w:ascii="Times New Roman" w:eastAsia="Times New Roman" w:hAnsi="Times New Roman" w:cs="Times New Roman"/>
                <w:color w:val="444444"/>
                <w:sz w:val="24"/>
                <w:szCs w:val="24"/>
                <w:lang w:bidi="hi-IN"/>
              </w:rPr>
              <w:t>w.e.f</w:t>
            </w:r>
            <w:proofErr w:type="spellEnd"/>
            <w:r w:rsidRPr="004B4C2F">
              <w:rPr>
                <w:rFonts w:ascii="Times New Roman" w:eastAsia="Times New Roman" w:hAnsi="Times New Roman" w:cs="Times New Roman"/>
                <w:color w:val="444444"/>
                <w:sz w:val="24"/>
                <w:szCs w:val="24"/>
                <w:lang w:bidi="hi-IN"/>
              </w:rPr>
              <w:t>. 01-10-</w:t>
            </w:r>
            <w:r w:rsidRPr="004B4C2F">
              <w:rPr>
                <w:rFonts w:ascii="Times New Roman" w:eastAsia="Times New Roman" w:hAnsi="Times New Roman" w:cs="Times New Roman"/>
                <w:color w:val="444444"/>
                <w:sz w:val="24"/>
                <w:szCs w:val="24"/>
                <w:lang w:bidi="hi-IN"/>
              </w:rPr>
              <w:lastRenderedPageBreak/>
              <w:t>2014) person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hyperlink r:id="rId18" w:history="1">
              <w:r w:rsidRPr="004B4C2F">
                <w:rPr>
                  <w:rFonts w:ascii="Times New Roman" w:eastAsia="Times New Roman" w:hAnsi="Times New Roman" w:cs="Times New Roman"/>
                  <w:color w:val="663399"/>
                  <w:sz w:val="24"/>
                  <w:szCs w:val="24"/>
                  <w:lang w:bidi="hi-IN"/>
                </w:rPr>
                <w:t>194DA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If amount paid or payable during the financial year does not exceed Rs. 1 </w:t>
            </w:r>
            <w:proofErr w:type="spellStart"/>
            <w:r w:rsidRPr="004B4C2F">
              <w:rPr>
                <w:rFonts w:ascii="Times New Roman" w:eastAsia="Times New Roman" w:hAnsi="Times New Roman" w:cs="Times New Roman"/>
                <w:color w:val="444444"/>
                <w:sz w:val="24"/>
                <w:szCs w:val="24"/>
                <w:lang w:bidi="hi-IN"/>
              </w:rPr>
              <w:t>lakh</w:t>
            </w:r>
            <w:proofErr w:type="spellEnd"/>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lastRenderedPageBreak/>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payments made out of deposits under NSS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19" w:history="1">
              <w:r w:rsidRPr="004B4C2F">
                <w:rPr>
                  <w:rFonts w:ascii="Times New Roman" w:eastAsia="Times New Roman" w:hAnsi="Times New Roman" w:cs="Times New Roman"/>
                  <w:color w:val="663399"/>
                  <w:sz w:val="24"/>
                  <w:szCs w:val="24"/>
                  <w:lang w:bidi="hi-IN"/>
                </w:rPr>
                <w:t>194EE</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2,500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commission paid on lottery tickets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0" w:history="1">
              <w:r w:rsidRPr="004B4C2F">
                <w:rPr>
                  <w:rFonts w:ascii="Times New Roman" w:eastAsia="Times New Roman" w:hAnsi="Times New Roman" w:cs="Times New Roman"/>
                  <w:color w:val="663399"/>
                  <w:sz w:val="24"/>
                  <w:szCs w:val="24"/>
                  <w:lang w:bidi="hi-IN"/>
                </w:rPr>
                <w:t>194G</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commission or brokerage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1" w:history="1">
              <w:r w:rsidRPr="004B4C2F">
                <w:rPr>
                  <w:rFonts w:ascii="Times New Roman" w:eastAsia="Times New Roman" w:hAnsi="Times New Roman" w:cs="Times New Roman"/>
                  <w:color w:val="663399"/>
                  <w:sz w:val="24"/>
                  <w:szCs w:val="24"/>
                  <w:lang w:bidi="hi-IN"/>
                </w:rPr>
                <w:t>194H</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5,000. Further no tax to be deducted from commission payable by BSNL/ MTNL to their PCO Franchisees.</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rent in respect of land &amp;building, furniture or fittings or plant and machinery</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2" w:history="1">
              <w:r w:rsidRPr="004B4C2F">
                <w:rPr>
                  <w:rFonts w:ascii="Times New Roman" w:eastAsia="Times New Roman" w:hAnsi="Times New Roman" w:cs="Times New Roman"/>
                  <w:color w:val="663399"/>
                  <w:sz w:val="24"/>
                  <w:szCs w:val="24"/>
                  <w:lang w:bidi="hi-IN"/>
                </w:rPr>
                <w:t>194-I</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1,80,000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consideration for purchase of an immovable property (other than agriculture 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3" w:history="1">
              <w:r w:rsidRPr="004B4C2F">
                <w:rPr>
                  <w:rFonts w:ascii="Times New Roman" w:eastAsia="Times New Roman" w:hAnsi="Times New Roman" w:cs="Times New Roman"/>
                  <w:color w:val="663399"/>
                  <w:sz w:val="24"/>
                  <w:szCs w:val="24"/>
                  <w:lang w:bidi="hi-IN"/>
                </w:rPr>
                <w:t>194-IA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If amount paid or payable during the financial year does not exceed Rs. 50 </w:t>
            </w:r>
            <w:proofErr w:type="spellStart"/>
            <w:r w:rsidRPr="004B4C2F">
              <w:rPr>
                <w:rFonts w:ascii="Times New Roman" w:eastAsia="Times New Roman" w:hAnsi="Times New Roman" w:cs="Times New Roman"/>
                <w:color w:val="444444"/>
                <w:sz w:val="24"/>
                <w:szCs w:val="24"/>
                <w:lang w:bidi="hi-IN"/>
              </w:rPr>
              <w:t>Lakhs</w:t>
            </w:r>
            <w:proofErr w:type="spellEnd"/>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professional fees, technical fees, royalty and directors’ remuneration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4" w:history="1">
              <w:r w:rsidRPr="004B4C2F">
                <w:rPr>
                  <w:rFonts w:ascii="Times New Roman" w:eastAsia="Times New Roman" w:hAnsi="Times New Roman" w:cs="Times New Roman"/>
                  <w:color w:val="663399"/>
                  <w:sz w:val="24"/>
                  <w:szCs w:val="24"/>
                  <w:lang w:bidi="hi-IN"/>
                </w:rPr>
                <w:t>194J</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 Rs. 30,000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No TDS from payment of compensation on compulsory acquisition of immovable property (other than Agricultural Land)</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5" w:history="1">
              <w:r w:rsidRPr="004B4C2F">
                <w:rPr>
                  <w:rFonts w:ascii="Times New Roman" w:eastAsia="Times New Roman" w:hAnsi="Times New Roman" w:cs="Times New Roman"/>
                  <w:color w:val="663399"/>
                  <w:sz w:val="24"/>
                  <w:szCs w:val="24"/>
                  <w:lang w:bidi="hi-IN"/>
                </w:rPr>
                <w:t>194LA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If amount paid or payable during the financial year does not exceed Rs. 2 </w:t>
            </w:r>
            <w:proofErr w:type="spellStart"/>
            <w:r w:rsidRPr="004B4C2F">
              <w:rPr>
                <w:rFonts w:ascii="Times New Roman" w:eastAsia="Times New Roman" w:hAnsi="Times New Roman" w:cs="Times New Roman"/>
                <w:color w:val="444444"/>
                <w:sz w:val="24"/>
                <w:szCs w:val="24"/>
                <w:lang w:bidi="hi-IN"/>
              </w:rPr>
              <w:t>Lakhs</w:t>
            </w:r>
            <w:proofErr w:type="spellEnd"/>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Furnishing of quarterly return in respect of payment of interest (other than interest on securities) to residents without deduction of tax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6" w:history="1">
              <w:r w:rsidRPr="004B4C2F">
                <w:rPr>
                  <w:rFonts w:ascii="Times New Roman" w:eastAsia="Times New Roman" w:hAnsi="Times New Roman" w:cs="Times New Roman"/>
                  <w:color w:val="663399"/>
                  <w:sz w:val="24"/>
                  <w:szCs w:val="24"/>
                  <w:lang w:bidi="hi-IN"/>
                </w:rPr>
                <w:t>206A</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amount paid or payable during the financial year does not exceed:</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a) Rs.10,000 where payer is banking company or co-operative society;</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b) Rs.5,000 in other case</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Every person, being a seller, who receives any amount in cash as consideration for sale of bullion or </w:t>
            </w:r>
            <w:proofErr w:type="spellStart"/>
            <w:r w:rsidRPr="004B4C2F">
              <w:rPr>
                <w:rFonts w:ascii="Times New Roman" w:eastAsia="Times New Roman" w:hAnsi="Times New Roman" w:cs="Times New Roman"/>
                <w:color w:val="444444"/>
                <w:sz w:val="24"/>
                <w:szCs w:val="24"/>
                <w:lang w:bidi="hi-IN"/>
              </w:rPr>
              <w:t>jewellery</w:t>
            </w:r>
            <w:proofErr w:type="spellEnd"/>
            <w:r w:rsidRPr="004B4C2F">
              <w:rPr>
                <w:rFonts w:ascii="Times New Roman" w:eastAsia="Times New Roman" w:hAnsi="Times New Roman" w:cs="Times New Roman"/>
                <w:color w:val="444444"/>
                <w:sz w:val="24"/>
                <w:szCs w:val="24"/>
                <w:lang w:bidi="hi-IN"/>
              </w:rPr>
              <w:t>, shall, at the time of receipt of such amount in cash, collect from the buyer income-tax.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7" w:history="1">
              <w:r w:rsidRPr="004B4C2F">
                <w:rPr>
                  <w:rFonts w:ascii="Times New Roman" w:eastAsia="Times New Roman" w:hAnsi="Times New Roman" w:cs="Times New Roman"/>
                  <w:color w:val="663399"/>
                  <w:sz w:val="24"/>
                  <w:szCs w:val="24"/>
                  <w:lang w:bidi="hi-IN"/>
                </w:rPr>
                <w:t>206C</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1% of sale consideration shall be collected as income-tax if such consideration:</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a) for bullion (excluding any coin or article weighing 10 grams or less), exceeds Rs. 2,00,000</w:t>
            </w:r>
          </w:p>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 xml:space="preserve">b) for </w:t>
            </w:r>
            <w:proofErr w:type="spellStart"/>
            <w:r w:rsidRPr="004B4C2F">
              <w:rPr>
                <w:rFonts w:ascii="Times New Roman" w:eastAsia="Times New Roman" w:hAnsi="Times New Roman" w:cs="Times New Roman"/>
                <w:color w:val="444444"/>
                <w:sz w:val="24"/>
                <w:szCs w:val="24"/>
                <w:lang w:bidi="hi-IN"/>
              </w:rPr>
              <w:t>jewellery</w:t>
            </w:r>
            <w:proofErr w:type="spellEnd"/>
            <w:r w:rsidRPr="004B4C2F">
              <w:rPr>
                <w:rFonts w:ascii="Times New Roman" w:eastAsia="Times New Roman" w:hAnsi="Times New Roman" w:cs="Times New Roman"/>
                <w:color w:val="444444"/>
                <w:sz w:val="24"/>
                <w:szCs w:val="24"/>
                <w:lang w:bidi="hi-IN"/>
              </w:rPr>
              <w:t>, exceeds Rs.5,00,000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lastRenderedPageBreak/>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A person (not being a banking company) carrying on any business or profession in India may file an application for certificate authorizing receipt of interest and other sums without deduction of tax under section 195 (Subject to certain conditions).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8" w:history="1">
              <w:r w:rsidRPr="004B4C2F">
                <w:rPr>
                  <w:rFonts w:ascii="Times New Roman" w:eastAsia="Times New Roman" w:hAnsi="Times New Roman" w:cs="Times New Roman"/>
                  <w:color w:val="663399"/>
                  <w:sz w:val="24"/>
                  <w:szCs w:val="24"/>
                  <w:lang w:bidi="hi-IN"/>
                </w:rPr>
                <w:t>Rule 29B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he has been carrying on business or profession in India continuously for a period of not less than 5 years immediately preceding the date of the application and the value of the fixed assets in India of such business or profession as shown in his relevant books for the earlier year exceeds Rs.50,00,000</w:t>
            </w:r>
          </w:p>
        </w:tc>
      </w:tr>
      <w:tr w:rsidR="004B4C2F" w:rsidRPr="004B4C2F" w:rsidTr="004B4C2F">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Any person responsible for paying to a non-resident, not being a company, or to a foreign company, any interest or salary or any other sum chargeable to tax under the provisions of the Act, shall furnish information in Part A of Form No.15CA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hyperlink r:id="rId29" w:history="1">
              <w:r w:rsidRPr="004B4C2F">
                <w:rPr>
                  <w:rFonts w:ascii="Times New Roman" w:eastAsia="Times New Roman" w:hAnsi="Times New Roman" w:cs="Times New Roman"/>
                  <w:color w:val="663399"/>
                  <w:sz w:val="24"/>
                  <w:szCs w:val="24"/>
                  <w:lang w:bidi="hi-IN"/>
                </w:rPr>
                <w:t>Rule 37BB</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4B4C2F" w:rsidRPr="004B4C2F" w:rsidRDefault="004B4C2F" w:rsidP="004B4C2F">
            <w:pPr>
              <w:spacing w:after="80" w:line="240" w:lineRule="auto"/>
              <w:jc w:val="both"/>
              <w:rPr>
                <w:rFonts w:ascii="Times New Roman" w:eastAsia="Times New Roman" w:hAnsi="Times New Roman" w:cs="Times New Roman"/>
                <w:color w:val="444444"/>
                <w:sz w:val="24"/>
                <w:szCs w:val="24"/>
                <w:lang w:bidi="hi-IN"/>
              </w:rPr>
            </w:pPr>
            <w:r w:rsidRPr="004B4C2F">
              <w:rPr>
                <w:rFonts w:ascii="Times New Roman" w:eastAsia="Times New Roman" w:hAnsi="Times New Roman" w:cs="Times New Roman"/>
                <w:color w:val="444444"/>
                <w:sz w:val="24"/>
                <w:szCs w:val="24"/>
                <w:lang w:bidi="hi-IN"/>
              </w:rPr>
              <w:t>If the amount of payment does not exceedRs.50,000 or Rs.2,50,000 in aggregate during the financial year</w:t>
            </w:r>
          </w:p>
        </w:tc>
      </w:tr>
    </w:tbl>
    <w:p w:rsidR="007F00F6" w:rsidRPr="004B4C2F" w:rsidRDefault="007F00F6" w:rsidP="004B4C2F"/>
    <w:sectPr w:rsidR="007F00F6" w:rsidRPr="004B4C2F" w:rsidSect="007F00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875A1"/>
    <w:multiLevelType w:val="multilevel"/>
    <w:tmpl w:val="8580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4B4C2F"/>
    <w:rsid w:val="004B4C2F"/>
    <w:rsid w:val="007F00F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0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B4C2F"/>
    <w:rPr>
      <w:b/>
      <w:bCs/>
    </w:rPr>
  </w:style>
  <w:style w:type="character" w:customStyle="1" w:styleId="columns1">
    <w:name w:val="columns_1"/>
    <w:basedOn w:val="DefaultParagraphFont"/>
    <w:rsid w:val="004B4C2F"/>
  </w:style>
  <w:style w:type="character" w:customStyle="1" w:styleId="columns2">
    <w:name w:val="columns_2"/>
    <w:basedOn w:val="DefaultParagraphFont"/>
    <w:rsid w:val="004B4C2F"/>
  </w:style>
  <w:style w:type="character" w:customStyle="1" w:styleId="columns3">
    <w:name w:val="columns_3"/>
    <w:basedOn w:val="DefaultParagraphFont"/>
    <w:rsid w:val="004B4C2F"/>
  </w:style>
  <w:style w:type="paragraph" w:customStyle="1" w:styleId="tx">
    <w:name w:val="tx"/>
    <w:basedOn w:val="Normal"/>
    <w:rsid w:val="004B4C2F"/>
    <w:pPr>
      <w:spacing w:before="100" w:beforeAutospacing="1" w:after="100" w:afterAutospacing="1" w:line="240" w:lineRule="auto"/>
    </w:pPr>
    <w:rPr>
      <w:rFonts w:ascii="Times New Roman" w:eastAsia="Times New Roman" w:hAnsi="Times New Roman" w:cs="Times New Roman"/>
      <w:sz w:val="24"/>
      <w:szCs w:val="24"/>
      <w:lang w:bidi="hi-IN"/>
    </w:rPr>
  </w:style>
  <w:style w:type="character" w:styleId="Hyperlink">
    <w:name w:val="Hyperlink"/>
    <w:basedOn w:val="DefaultParagraphFont"/>
    <w:uiPriority w:val="99"/>
    <w:semiHidden/>
    <w:unhideWhenUsed/>
    <w:rsid w:val="004B4C2F"/>
    <w:rPr>
      <w:color w:val="0000FF"/>
      <w:u w:val="single"/>
    </w:rPr>
  </w:style>
  <w:style w:type="paragraph" w:customStyle="1" w:styleId="indent1">
    <w:name w:val="indent1"/>
    <w:basedOn w:val="Normal"/>
    <w:rsid w:val="004B4C2F"/>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589235615">
      <w:bodyDiv w:val="1"/>
      <w:marLeft w:val="0"/>
      <w:marRight w:val="0"/>
      <w:marTop w:val="0"/>
      <w:marBottom w:val="0"/>
      <w:divBdr>
        <w:top w:val="none" w:sz="0" w:space="0" w:color="auto"/>
        <w:left w:val="none" w:sz="0" w:space="0" w:color="auto"/>
        <w:bottom w:val="none" w:sz="0" w:space="0" w:color="auto"/>
        <w:right w:val="none" w:sz="0" w:space="0" w:color="auto"/>
      </w:divBdr>
    </w:div>
    <w:div w:id="73886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ShowMainContent('Act',%20'CMSID',%20'102120000000041118',%20'');" TargetMode="External"/><Relationship Id="rId13" Type="http://schemas.openxmlformats.org/officeDocument/2006/relationships/hyperlink" Target="javascript:ShowMainContent('Act',%20'CMSID',%20'102120000000041120',%20'');" TargetMode="External"/><Relationship Id="rId18" Type="http://schemas.openxmlformats.org/officeDocument/2006/relationships/hyperlink" Target="javascript:ShowMainContent('Act',%20'CMSID',%20'102120000000041753',%20'');" TargetMode="External"/><Relationship Id="rId26" Type="http://schemas.openxmlformats.org/officeDocument/2006/relationships/hyperlink" Target="javascript:ShowMainContent('Act',%20'CMSID',%20'102120000000041143',%20'');" TargetMode="External"/><Relationship Id="rId3" Type="http://schemas.openxmlformats.org/officeDocument/2006/relationships/settings" Target="settings.xml"/><Relationship Id="rId21" Type="http://schemas.openxmlformats.org/officeDocument/2006/relationships/hyperlink" Target="javascript:ShowMainContent('Act',%20'CMSID',%20'102120000000041128',%20'');" TargetMode="External"/><Relationship Id="rId7" Type="http://schemas.openxmlformats.org/officeDocument/2006/relationships/hyperlink" Target="javascript:ShowMainContent('Act',%20'CMSID',%20'102120000000041118',%20'');" TargetMode="External"/><Relationship Id="rId12" Type="http://schemas.openxmlformats.org/officeDocument/2006/relationships/hyperlink" Target="javascript:ShowMainContent('Act',%20'CMSID',%20'102120000000041120',%20'');" TargetMode="External"/><Relationship Id="rId17" Type="http://schemas.openxmlformats.org/officeDocument/2006/relationships/hyperlink" Target="javascript:ShowMainContent('Act',%20'CMSID',%20'102120000000041124',%20'');" TargetMode="External"/><Relationship Id="rId25" Type="http://schemas.openxmlformats.org/officeDocument/2006/relationships/hyperlink" Target="javascript:ShowMainContent('Act',%20'CMSID',%20'102120000000041132',%20'');" TargetMode="External"/><Relationship Id="rId2" Type="http://schemas.openxmlformats.org/officeDocument/2006/relationships/styles" Target="styles.xml"/><Relationship Id="rId16" Type="http://schemas.openxmlformats.org/officeDocument/2006/relationships/hyperlink" Target="javascript:ShowMainContent('Act',%20'CMSID',%20'102120000000041123',%20'');" TargetMode="External"/><Relationship Id="rId20" Type="http://schemas.openxmlformats.org/officeDocument/2006/relationships/hyperlink" Target="javascript:ShowMainContent('Act',%20'CMSID',%20'102120000000041127',%20'');" TargetMode="External"/><Relationship Id="rId29" Type="http://schemas.openxmlformats.org/officeDocument/2006/relationships/hyperlink" Target="javascript:ShowMainContent('Act',%20'CMSID',%20'103120000000007406',%20'');" TargetMode="External"/><Relationship Id="rId1" Type="http://schemas.openxmlformats.org/officeDocument/2006/relationships/numbering" Target="numbering.xml"/><Relationship Id="rId6" Type="http://schemas.openxmlformats.org/officeDocument/2006/relationships/hyperlink" Target="javascript:ShowMainContent('Act',%20'CMSID',%20'102120000000041118',%20'');" TargetMode="External"/><Relationship Id="rId11" Type="http://schemas.openxmlformats.org/officeDocument/2006/relationships/hyperlink" Target="javascript:ShowMainContent('Act',%20'CMSID',%20'102120000000041120',%20'');" TargetMode="External"/><Relationship Id="rId24" Type="http://schemas.openxmlformats.org/officeDocument/2006/relationships/hyperlink" Target="javascript:ShowMainContent('Act',%20'CMSID',%20'102120000000041129',%20'');" TargetMode="External"/><Relationship Id="rId5" Type="http://schemas.openxmlformats.org/officeDocument/2006/relationships/hyperlink" Target="javascript:ShowMainContent('Act',%20'CMSID',%20'102120000000041117',%20'');" TargetMode="External"/><Relationship Id="rId15" Type="http://schemas.openxmlformats.org/officeDocument/2006/relationships/hyperlink" Target="javascript:ShowMainContent('Act',%20'CMSID',%20'102120000000041122',%20'');" TargetMode="External"/><Relationship Id="rId23" Type="http://schemas.openxmlformats.org/officeDocument/2006/relationships/hyperlink" Target="javascript:ShowMainContent('Act',%20'CMSID',%20'102120000000041564',%20'');" TargetMode="External"/><Relationship Id="rId28" Type="http://schemas.openxmlformats.org/officeDocument/2006/relationships/hyperlink" Target="javascript:ShowMainContent('Act',%20'CMSID',%20'103120000000007383',%20'');" TargetMode="External"/><Relationship Id="rId10" Type="http://schemas.openxmlformats.org/officeDocument/2006/relationships/hyperlink" Target="javascript:ShowMainContent('Act',%20'CMSID',%20'102120000000041120',%20'');" TargetMode="External"/><Relationship Id="rId19" Type="http://schemas.openxmlformats.org/officeDocument/2006/relationships/hyperlink" Target="javascript:ShowMainContent('Act',%20'CMSID',%20'102120000000041125',%2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javascript:ShowMainContent('Act',%20'CMSID',%20'102120000000041119',%20'');" TargetMode="External"/><Relationship Id="rId14" Type="http://schemas.openxmlformats.org/officeDocument/2006/relationships/hyperlink" Target="javascript:ShowMainContent('Act',%20'CMSID',%20'102120000000041121',%20'');" TargetMode="External"/><Relationship Id="rId22" Type="http://schemas.openxmlformats.org/officeDocument/2006/relationships/hyperlink" Target="javascript:ShowMainContent('Act',%20'CMSID',%20'102120000000041552',%20'');" TargetMode="External"/><Relationship Id="rId27" Type="http://schemas.openxmlformats.org/officeDocument/2006/relationships/hyperlink" Target="javascript:ShowMainContent('Act',%20'CMSID',%20'102120000000041145',%2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1341</Words>
  <Characters>7648</Characters>
  <Application>Microsoft Office Word</Application>
  <DocSecurity>0</DocSecurity>
  <Lines>63</Lines>
  <Paragraphs>17</Paragraphs>
  <ScaleCrop>false</ScaleCrop>
  <Company/>
  <LinksUpToDate>false</LinksUpToDate>
  <CharactersWithSpaces>8972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1</cp:revision>
  <dcterms:created xsi:type="dcterms:W3CDTF">2016-05-23T07:52:00Z</dcterms:created>
  <dcterms:modified xsi:type="dcterms:W3CDTF">2016-05-23T07:56:00Z</dcterms:modified>
</cp:coreProperties>
</file>