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B60" w:rsidRPr="00242B60" w:rsidRDefault="00242B60" w:rsidP="00242B60">
      <w:pPr>
        <w:shd w:val="clear" w:color="auto" w:fill="F7F7F7"/>
        <w:spacing w:after="0" w:line="240" w:lineRule="auto"/>
        <w:jc w:val="center"/>
        <w:rPr>
          <w:rFonts w:ascii="Segoe UI" w:eastAsia="Times New Roman" w:hAnsi="Segoe UI" w:cs="Segoe UI"/>
          <w:color w:val="7C7C7C"/>
          <w:sz w:val="18"/>
          <w:szCs w:val="18"/>
          <w:lang w:bidi="hi-IN"/>
        </w:rPr>
      </w:pPr>
      <w:r w:rsidRPr="00242B60">
        <w:rPr>
          <w:rFonts w:ascii="Segoe UI" w:eastAsia="Times New Roman" w:hAnsi="Segoe UI" w:cs="Segoe UI"/>
          <w:color w:val="7C7C7C"/>
          <w:sz w:val="18"/>
          <w:szCs w:val="18"/>
          <w:lang w:bidi="hi-IN"/>
        </w:rPr>
        <w:br/>
      </w:r>
    </w:p>
    <w:p w:rsidR="00242B60" w:rsidRPr="00242B60" w:rsidRDefault="00242B60" w:rsidP="00242B60">
      <w:pPr>
        <w:numPr>
          <w:ilvl w:val="0"/>
          <w:numId w:val="1"/>
        </w:numPr>
        <w:shd w:val="clear" w:color="auto" w:fill="F7F7F7"/>
        <w:spacing w:after="0" w:line="240" w:lineRule="auto"/>
        <w:ind w:left="0"/>
        <w:rPr>
          <w:rFonts w:ascii="Segoe UI" w:eastAsia="Times New Roman" w:hAnsi="Segoe UI" w:cs="Segoe UI"/>
          <w:color w:val="7C7C7C"/>
          <w:sz w:val="18"/>
          <w:szCs w:val="18"/>
          <w:lang w:bidi="hi-IN"/>
        </w:rPr>
      </w:pPr>
    </w:p>
    <w:p w:rsidR="00242B60" w:rsidRPr="00242B60" w:rsidRDefault="00242B60" w:rsidP="00242B60">
      <w:pPr>
        <w:numPr>
          <w:ilvl w:val="0"/>
          <w:numId w:val="1"/>
        </w:numPr>
        <w:shd w:val="clear" w:color="auto" w:fill="F7F7F7"/>
        <w:spacing w:after="0" w:line="240" w:lineRule="auto"/>
        <w:ind w:left="0"/>
        <w:rPr>
          <w:rFonts w:ascii="Segoe UI" w:eastAsia="Times New Roman" w:hAnsi="Segoe UI" w:cs="Segoe UI"/>
          <w:color w:val="7C7C7C"/>
          <w:sz w:val="18"/>
          <w:szCs w:val="18"/>
          <w:lang w:bidi="hi-IN"/>
        </w:rPr>
      </w:pPr>
    </w:p>
    <w:p w:rsidR="00242B60" w:rsidRPr="00242B60" w:rsidRDefault="00242B60" w:rsidP="00242B6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 </w:t>
      </w:r>
    </w:p>
    <w:p w:rsidR="00242B60" w:rsidRPr="00242B60" w:rsidRDefault="00242B60" w:rsidP="00242B60">
      <w:pPr>
        <w:shd w:val="clear" w:color="auto" w:fill="FFFFFF"/>
        <w:spacing w:before="100" w:beforeAutospacing="1" w:after="100" w:afterAutospacing="1" w:line="240" w:lineRule="auto"/>
        <w:rPr>
          <w:rFonts w:ascii="Segoe UI" w:eastAsia="Times New Roman" w:hAnsi="Segoe UI" w:cs="Segoe UI"/>
          <w:color w:val="444444"/>
          <w:sz w:val="18"/>
          <w:szCs w:val="18"/>
          <w:lang w:bidi="hi-IN"/>
        </w:rPr>
      </w:pPr>
      <w:r w:rsidRPr="00242B60">
        <w:rPr>
          <w:rFonts w:ascii="Segoe UI" w:eastAsia="Times New Roman" w:hAnsi="Segoe UI" w:cs="Segoe UI"/>
          <w:color w:val="444444"/>
          <w:sz w:val="18"/>
          <w:szCs w:val="18"/>
          <w:lang w:bidi="hi-IN"/>
        </w:rPr>
        <w:t>  </w:t>
      </w:r>
    </w:p>
    <w:tbl>
      <w:tblPr>
        <w:tblW w:w="17239" w:type="dxa"/>
        <w:tblCellMar>
          <w:top w:w="60" w:type="dxa"/>
          <w:left w:w="60" w:type="dxa"/>
          <w:bottom w:w="60" w:type="dxa"/>
          <w:right w:w="60" w:type="dxa"/>
        </w:tblCellMar>
        <w:tblLook w:val="04A0"/>
      </w:tblPr>
      <w:tblGrid>
        <w:gridCol w:w="16540"/>
        <w:gridCol w:w="699"/>
      </w:tblGrid>
      <w:tr w:rsidR="00242B60" w:rsidRPr="00242B60" w:rsidTr="00242B60">
        <w:tc>
          <w:tcPr>
            <w:tcW w:w="0" w:type="auto"/>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hyperlink r:id="rId5" w:anchor="rfn1a" w:history="1">
              <w:r w:rsidRPr="00242B60">
                <w:rPr>
                  <w:rFonts w:ascii="Times New Roman" w:eastAsia="Times New Roman" w:hAnsi="Times New Roman" w:cs="Times New Roman"/>
                  <w:b/>
                  <w:bCs/>
                  <w:color w:val="663399"/>
                  <w:sz w:val="24"/>
                  <w:szCs w:val="24"/>
                  <w:u w:val="single"/>
                  <w:lang w:bidi="hi-IN"/>
                </w:rPr>
                <w:t>Income from Other Sources</w:t>
              </w:r>
            </w:hyperlink>
          </w:p>
        </w:tc>
        <w:tc>
          <w:tcPr>
            <w:tcW w:w="0" w:type="auto"/>
            <w:vAlign w:val="bottom"/>
            <w:hideMark/>
          </w:tcPr>
          <w:p w:rsidR="00242B60" w:rsidRPr="00242B60" w:rsidRDefault="00242B60" w:rsidP="00242B60">
            <w:pPr>
              <w:spacing w:after="0" w:line="240" w:lineRule="auto"/>
              <w:jc w:val="right"/>
              <w:rPr>
                <w:rFonts w:ascii="Times New Roman" w:eastAsia="Times New Roman" w:hAnsi="Times New Roman" w:cs="Times New Roman"/>
                <w:sz w:val="24"/>
                <w:szCs w:val="24"/>
                <w:lang w:bidi="hi-IN"/>
              </w:rPr>
            </w:pPr>
          </w:p>
        </w:tc>
      </w:tr>
    </w:tbl>
    <w:p w:rsidR="00242B60" w:rsidRPr="00242B60" w:rsidRDefault="00242B60" w:rsidP="00242B6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Any income which is not chargeable to tax under any other heads of income and which is not to be excluded from the total income shall be chargeable to tax as residuary income under the head “Income from Other Sources”.</w:t>
      </w:r>
    </w:p>
    <w:p w:rsidR="00242B60" w:rsidRPr="00242B60" w:rsidRDefault="00242B60" w:rsidP="00242B60">
      <w:pPr>
        <w:shd w:val="clear" w:color="auto" w:fill="FFFFFF"/>
        <w:spacing w:before="100" w:beforeAutospacing="1" w:after="100" w:afterAutospacing="1" w:line="240" w:lineRule="auto"/>
        <w:rPr>
          <w:rFonts w:ascii="Segoe UI" w:eastAsia="Times New Roman" w:hAnsi="Segoe UI" w:cs="Segoe UI"/>
          <w:color w:val="444444"/>
          <w:sz w:val="18"/>
          <w:szCs w:val="18"/>
          <w:lang w:bidi="hi-IN"/>
        </w:rPr>
      </w:pPr>
      <w:r w:rsidRPr="00242B60">
        <w:rPr>
          <w:rFonts w:ascii="Segoe UI" w:eastAsia="Times New Roman" w:hAnsi="Segoe UI" w:cs="Segoe UI"/>
          <w:color w:val="444444"/>
          <w:sz w:val="18"/>
          <w:szCs w:val="18"/>
          <w:lang w:bidi="hi-IN"/>
        </w:rPr>
        <w:t>  </w:t>
      </w:r>
    </w:p>
    <w:tbl>
      <w:tblPr>
        <w:tblW w:w="17239" w:type="dxa"/>
        <w:tblCellMar>
          <w:top w:w="60" w:type="dxa"/>
          <w:left w:w="60" w:type="dxa"/>
          <w:bottom w:w="60" w:type="dxa"/>
          <w:right w:w="60" w:type="dxa"/>
        </w:tblCellMar>
        <w:tblLook w:val="04A0"/>
      </w:tblPr>
      <w:tblGrid>
        <w:gridCol w:w="16481"/>
        <w:gridCol w:w="758"/>
      </w:tblGrid>
      <w:tr w:rsidR="00242B60" w:rsidRPr="00242B60" w:rsidTr="00242B60">
        <w:tc>
          <w:tcPr>
            <w:tcW w:w="0" w:type="auto"/>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hyperlink r:id="rId6" w:anchor="rfn2" w:history="1">
              <w:r w:rsidRPr="00242B60">
                <w:rPr>
                  <w:rFonts w:ascii="Times New Roman" w:eastAsia="Times New Roman" w:hAnsi="Times New Roman" w:cs="Times New Roman"/>
                  <w:b/>
                  <w:bCs/>
                  <w:color w:val="663399"/>
                  <w:sz w:val="24"/>
                  <w:szCs w:val="24"/>
                  <w:u w:val="single"/>
                  <w:lang w:bidi="hi-IN"/>
                </w:rPr>
                <w:t>Basis of Charge</w:t>
              </w:r>
              <w:r w:rsidRPr="00242B60">
                <w:rPr>
                  <w:rFonts w:ascii="Times New Roman" w:eastAsia="Times New Roman" w:hAnsi="Times New Roman" w:cs="Times New Roman"/>
                  <w:b/>
                  <w:bCs/>
                  <w:color w:val="663399"/>
                  <w:sz w:val="24"/>
                  <w:szCs w:val="24"/>
                  <w:lang w:bidi="hi-IN"/>
                </w:rPr>
                <w:t> </w:t>
              </w:r>
            </w:hyperlink>
            <w:r w:rsidRPr="00242B60">
              <w:rPr>
                <w:rFonts w:ascii="Times New Roman" w:eastAsia="Times New Roman" w:hAnsi="Times New Roman" w:cs="Times New Roman"/>
                <w:b/>
                <w:bCs/>
                <w:sz w:val="24"/>
                <w:szCs w:val="24"/>
                <w:lang w:bidi="hi-IN"/>
              </w:rPr>
              <w:t>[</w:t>
            </w:r>
            <w:hyperlink r:id="rId7" w:history="1">
              <w:r w:rsidRPr="00242B60">
                <w:rPr>
                  <w:rFonts w:ascii="Times New Roman" w:eastAsia="Times New Roman" w:hAnsi="Times New Roman" w:cs="Times New Roman"/>
                  <w:b/>
                  <w:bCs/>
                  <w:color w:val="663399"/>
                  <w:sz w:val="24"/>
                  <w:szCs w:val="24"/>
                  <w:u w:val="single"/>
                  <w:lang w:bidi="hi-IN"/>
                </w:rPr>
                <w:t>Sec. 56</w:t>
              </w:r>
            </w:hyperlink>
            <w:r w:rsidRPr="00242B60">
              <w:rPr>
                <w:rFonts w:ascii="Times New Roman" w:eastAsia="Times New Roman" w:hAnsi="Times New Roman" w:cs="Times New Roman"/>
                <w:b/>
                <w:bCs/>
                <w:sz w:val="24"/>
                <w:szCs w:val="24"/>
                <w:lang w:bidi="hi-IN"/>
              </w:rPr>
              <w:t>]:</w:t>
            </w:r>
          </w:p>
        </w:tc>
        <w:tc>
          <w:tcPr>
            <w:tcW w:w="0" w:type="auto"/>
            <w:vAlign w:val="bottom"/>
            <w:hideMark/>
          </w:tcPr>
          <w:p w:rsidR="00242B60" w:rsidRPr="00242B60" w:rsidRDefault="00242B60" w:rsidP="00242B60">
            <w:pPr>
              <w:pBdr>
                <w:bottom w:val="single" w:sz="6" w:space="1" w:color="auto"/>
              </w:pBdr>
              <w:spacing w:after="0" w:line="240" w:lineRule="auto"/>
              <w:jc w:val="center"/>
              <w:rPr>
                <w:rFonts w:ascii="Arial" w:eastAsia="Times New Roman" w:hAnsi="Arial" w:cs="Mangal"/>
                <w:vanish/>
                <w:sz w:val="16"/>
                <w:szCs w:val="14"/>
                <w:lang w:bidi="hi-IN"/>
              </w:rPr>
            </w:pPr>
            <w:r w:rsidRPr="00242B60">
              <w:rPr>
                <w:rFonts w:ascii="Arial" w:eastAsia="Times New Roman" w:hAnsi="Arial" w:cs="Mangal"/>
                <w:vanish/>
                <w:sz w:val="16"/>
                <w:szCs w:val="14"/>
                <w:lang w:bidi="hi-IN"/>
              </w:rPr>
              <w:t>Top of Form</w:t>
            </w:r>
          </w:p>
          <w:p w:rsidR="00242B60" w:rsidRPr="00242B60" w:rsidRDefault="00242B60" w:rsidP="00242B60">
            <w:pPr>
              <w:pBdr>
                <w:top w:val="single" w:sz="6" w:space="1" w:color="auto"/>
              </w:pBdr>
              <w:spacing w:after="0" w:line="240" w:lineRule="auto"/>
              <w:jc w:val="center"/>
              <w:rPr>
                <w:rFonts w:ascii="Arial" w:eastAsia="Times New Roman" w:hAnsi="Arial" w:cs="Mangal"/>
                <w:vanish/>
                <w:sz w:val="16"/>
                <w:szCs w:val="14"/>
                <w:lang w:bidi="hi-IN"/>
              </w:rPr>
            </w:pPr>
            <w:r w:rsidRPr="00242B60">
              <w:rPr>
                <w:rFonts w:ascii="Arial" w:eastAsia="Times New Roman" w:hAnsi="Arial" w:cs="Mangal"/>
                <w:vanish/>
                <w:sz w:val="16"/>
                <w:szCs w:val="14"/>
                <w:lang w:bidi="hi-IN"/>
              </w:rPr>
              <w:t>Bottom of Form</w:t>
            </w:r>
          </w:p>
        </w:tc>
      </w:tr>
    </w:tbl>
    <w:p w:rsidR="00242B60" w:rsidRPr="00242B60" w:rsidRDefault="00242B60" w:rsidP="00242B6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Income chargeable to tax under the head “Income from other sources” shall include following:</w:t>
      </w:r>
    </w:p>
    <w:tbl>
      <w:tblPr>
        <w:tblW w:w="0" w:type="auto"/>
        <w:tblCellMar>
          <w:top w:w="60" w:type="dxa"/>
          <w:left w:w="60" w:type="dxa"/>
          <w:bottom w:w="60" w:type="dxa"/>
          <w:right w:w="60" w:type="dxa"/>
        </w:tblCellMar>
        <w:tblLook w:val="04A0"/>
      </w:tblPr>
      <w:tblGrid>
        <w:gridCol w:w="553"/>
        <w:gridCol w:w="8927"/>
      </w:tblGrid>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b/>
                <w:bCs/>
                <w:sz w:val="24"/>
                <w:szCs w:val="24"/>
                <w:lang w:bidi="hi-IN"/>
              </w:rPr>
              <w:t>S. No.</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b/>
                <w:bCs/>
                <w:sz w:val="24"/>
                <w:szCs w:val="24"/>
                <w:lang w:bidi="hi-IN"/>
              </w:rPr>
              <w:t>Nature of income taxable as residuary income</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1.</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Dividends which is not chargeable to dividend distribution tax under </w:t>
            </w:r>
            <w:hyperlink r:id="rId8" w:history="1">
              <w:r w:rsidRPr="00242B60">
                <w:rPr>
                  <w:rFonts w:ascii="Times New Roman" w:eastAsia="Times New Roman" w:hAnsi="Times New Roman" w:cs="Times New Roman"/>
                  <w:color w:val="663399"/>
                  <w:sz w:val="24"/>
                  <w:szCs w:val="24"/>
                  <w:u w:val="single"/>
                  <w:lang w:bidi="hi-IN"/>
                </w:rPr>
                <w:t>Section 115-O</w:t>
              </w:r>
            </w:hyperlink>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2.</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Income by way of winnings from lotteries, crossword puzzles, races including horse races, card games, gambling or betting of any form or nature whatsoever</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3.</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Any sum received by an employer from his employees as contribution towards PF/ESI/ Superannuation Fund etc., if same is not deposited in the relevant fund and it is not taxable under the head ‘Profits and Gains from Business or Profession’.</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4.</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Interest on securities, if not taxable under the head ‘Profits and Gains of Business or Profession’</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5.</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Income from machinery, plant or furniture belonging to taxpayer and let on hire, if income is not chargeable to tax under the head ‘Profits and Gains of Business or Profession’</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6.</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Composite rental income from letting of plant, machinery or furniture with buildings, where such letting is inseparable and such income is not taxable under the head ‘Profits and Gains of Business or Profession’</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7.</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 xml:space="preserve">Any sum received under </w:t>
            </w:r>
            <w:proofErr w:type="spellStart"/>
            <w:r w:rsidRPr="00242B60">
              <w:rPr>
                <w:rFonts w:ascii="Times New Roman" w:eastAsia="Times New Roman" w:hAnsi="Times New Roman" w:cs="Times New Roman"/>
                <w:sz w:val="24"/>
                <w:szCs w:val="24"/>
                <w:lang w:bidi="hi-IN"/>
              </w:rPr>
              <w:t>Keyman</w:t>
            </w:r>
            <w:proofErr w:type="spellEnd"/>
            <w:r w:rsidRPr="00242B60">
              <w:rPr>
                <w:rFonts w:ascii="Times New Roman" w:eastAsia="Times New Roman" w:hAnsi="Times New Roman" w:cs="Times New Roman"/>
                <w:sz w:val="24"/>
                <w:szCs w:val="24"/>
                <w:lang w:bidi="hi-IN"/>
              </w:rPr>
              <w:t xml:space="preserve"> Insurance Policy (including bonus), if not taxable under the head ‘Profits and Gains of Business or Profession’ or under the head ‘Salaries’</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8.</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In the following cases, any sum of money or property received by an individual or HUF from any person (except from relatives or member of HUF or in given circumstances, </w:t>
            </w:r>
            <w:r w:rsidRPr="00242B60">
              <w:rPr>
                <w:rFonts w:ascii="Times New Roman" w:eastAsia="Times New Roman" w:hAnsi="Times New Roman" w:cs="Times New Roman"/>
                <w:i/>
                <w:iCs/>
                <w:sz w:val="24"/>
                <w:szCs w:val="24"/>
                <w:lang w:bidi="hi-IN"/>
              </w:rPr>
              <w:t>see note 1</w:t>
            </w:r>
            <w:r w:rsidRPr="00242B60">
              <w:rPr>
                <w:rFonts w:ascii="Times New Roman" w:eastAsia="Times New Roman" w:hAnsi="Times New Roman" w:cs="Times New Roman"/>
                <w:sz w:val="24"/>
                <w:szCs w:val="24"/>
                <w:lang w:bidi="hi-IN"/>
              </w:rPr>
              <w:t>) shall be taxable under the head ‘Income from other sources’:</w:t>
            </w:r>
          </w:p>
          <w:p w:rsidR="00242B60" w:rsidRPr="00242B60" w:rsidRDefault="00242B60" w:rsidP="00242B60">
            <w:pPr>
              <w:spacing w:after="80" w:line="240" w:lineRule="auto"/>
              <w:ind w:left="567" w:hanging="397"/>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 xml:space="preserve">a) If any sum is received without consideration in excess of Rs. 50,000 during the </w:t>
            </w:r>
            <w:r w:rsidRPr="00242B60">
              <w:rPr>
                <w:rFonts w:ascii="Times New Roman" w:eastAsia="Times New Roman" w:hAnsi="Times New Roman" w:cs="Times New Roman"/>
                <w:sz w:val="24"/>
                <w:szCs w:val="24"/>
                <w:lang w:bidi="hi-IN"/>
              </w:rPr>
              <w:lastRenderedPageBreak/>
              <w:t>previous year, the whole amount shall be chargeable to tax;</w:t>
            </w:r>
          </w:p>
          <w:p w:rsidR="00242B60" w:rsidRPr="00242B60" w:rsidRDefault="00242B60" w:rsidP="00242B60">
            <w:pPr>
              <w:spacing w:after="80" w:line="240" w:lineRule="auto"/>
              <w:ind w:left="567" w:hanging="397"/>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b) If an immovable property is received without consideration and the stamp duty value exceeds Rs. 50,000, the stamp duty value of such property shall be chargeable to tax;</w:t>
            </w:r>
          </w:p>
          <w:p w:rsidR="00242B60" w:rsidRPr="00242B60" w:rsidRDefault="00242B60" w:rsidP="00242B60">
            <w:pPr>
              <w:spacing w:after="80" w:line="240" w:lineRule="auto"/>
              <w:ind w:left="567" w:hanging="397"/>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c) If immovable property is received for consideration which is less than the stamp duty value of property by an amount exceeding Rs. 50,000, the difference between the stamp duty value and the consideration is chargeable to tax;</w:t>
            </w:r>
          </w:p>
          <w:p w:rsidR="00242B60" w:rsidRPr="00242B60" w:rsidRDefault="00242B60" w:rsidP="00242B60">
            <w:pPr>
              <w:spacing w:after="80" w:line="240" w:lineRule="auto"/>
              <w:ind w:left="567" w:hanging="397"/>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d)  If movable properties* is received without consideration and the aggregate fair market value of such properties exceeds Rs. 50,000, the whole of aggregate fair market value of such properties shall be chargeable to tax</w:t>
            </w:r>
          </w:p>
          <w:p w:rsidR="00242B60" w:rsidRPr="00242B60" w:rsidRDefault="00242B60" w:rsidP="00242B60">
            <w:pPr>
              <w:spacing w:after="80" w:line="240" w:lineRule="auto"/>
              <w:ind w:left="567" w:hanging="397"/>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 xml:space="preserve">e)  If </w:t>
            </w:r>
            <w:proofErr w:type="gramStart"/>
            <w:r w:rsidRPr="00242B60">
              <w:rPr>
                <w:rFonts w:ascii="Times New Roman" w:eastAsia="Times New Roman" w:hAnsi="Times New Roman" w:cs="Times New Roman"/>
                <w:sz w:val="24"/>
                <w:szCs w:val="24"/>
                <w:lang w:bidi="hi-IN"/>
              </w:rPr>
              <w:t>movable properties is</w:t>
            </w:r>
            <w:proofErr w:type="gramEnd"/>
            <w:r w:rsidRPr="00242B60">
              <w:rPr>
                <w:rFonts w:ascii="Times New Roman" w:eastAsia="Times New Roman" w:hAnsi="Times New Roman" w:cs="Times New Roman"/>
                <w:sz w:val="24"/>
                <w:szCs w:val="24"/>
                <w:lang w:bidi="hi-IN"/>
              </w:rPr>
              <w:t xml:space="preserve"> received for consideration which is less than the aggregate fair market value of properties by an amount exceeding Rs. 50,000, the difference between the aggregate fair market value and the consideration is chargeable to tax.</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lastRenderedPageBreak/>
              <w:t>9.</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Interest received on compensation or enhanced compensation</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10.</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Any sum of money received as an advance or otherwise in the course of negotiations for transfer of a capital asset shall be charged to tax under this head, if:</w:t>
            </w:r>
          </w:p>
          <w:p w:rsidR="00242B60" w:rsidRPr="00242B60" w:rsidRDefault="00242B60" w:rsidP="00242B60">
            <w:pPr>
              <w:spacing w:after="80" w:line="240" w:lineRule="auto"/>
              <w:ind w:left="567" w:hanging="397"/>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a) Such sum is forfeited; and</w:t>
            </w:r>
          </w:p>
          <w:p w:rsidR="00242B60" w:rsidRPr="00242B60" w:rsidRDefault="00242B60" w:rsidP="00242B60">
            <w:pPr>
              <w:spacing w:after="80" w:line="240" w:lineRule="auto"/>
              <w:ind w:left="567" w:hanging="397"/>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b) The negotiations do not result in transfer of such capital asset.</w:t>
            </w:r>
          </w:p>
        </w:tc>
      </w:tr>
    </w:tbl>
    <w:p w:rsidR="00242B60" w:rsidRPr="00242B60" w:rsidRDefault="00242B60" w:rsidP="00242B6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 xml:space="preserve">* ‘Movable property’ shall include shares, securities, </w:t>
      </w:r>
      <w:proofErr w:type="spellStart"/>
      <w:r w:rsidRPr="00242B60">
        <w:rPr>
          <w:rFonts w:ascii="Times New Roman" w:eastAsia="Times New Roman" w:hAnsi="Times New Roman" w:cs="Times New Roman"/>
          <w:color w:val="444444"/>
          <w:sz w:val="24"/>
          <w:szCs w:val="24"/>
          <w:lang w:bidi="hi-IN"/>
        </w:rPr>
        <w:t>jewellery</w:t>
      </w:r>
      <w:proofErr w:type="spellEnd"/>
      <w:r w:rsidRPr="00242B60">
        <w:rPr>
          <w:rFonts w:ascii="Times New Roman" w:eastAsia="Times New Roman" w:hAnsi="Times New Roman" w:cs="Times New Roman"/>
          <w:color w:val="444444"/>
          <w:sz w:val="24"/>
          <w:szCs w:val="24"/>
          <w:lang w:bidi="hi-IN"/>
        </w:rPr>
        <w:t>, archaeological collection, drawings, paintings, sculptures, any work of art or bullion etc.</w:t>
      </w:r>
    </w:p>
    <w:p w:rsidR="00242B60" w:rsidRPr="00242B60" w:rsidRDefault="00242B60" w:rsidP="00242B60">
      <w:pPr>
        <w:shd w:val="clear" w:color="auto" w:fill="FFFFFF"/>
        <w:spacing w:before="100" w:beforeAutospacing="1" w:after="100" w:afterAutospacing="1" w:line="240" w:lineRule="auto"/>
        <w:rPr>
          <w:rFonts w:ascii="Segoe UI" w:eastAsia="Times New Roman" w:hAnsi="Segoe UI" w:cs="Segoe UI"/>
          <w:color w:val="444444"/>
          <w:sz w:val="18"/>
          <w:szCs w:val="18"/>
          <w:lang w:bidi="hi-IN"/>
        </w:rPr>
      </w:pPr>
      <w:r w:rsidRPr="00242B60">
        <w:rPr>
          <w:rFonts w:ascii="Segoe UI" w:eastAsia="Times New Roman" w:hAnsi="Segoe UI" w:cs="Segoe UI"/>
          <w:color w:val="444444"/>
          <w:sz w:val="18"/>
          <w:szCs w:val="18"/>
          <w:lang w:bidi="hi-IN"/>
        </w:rPr>
        <w:t>  </w:t>
      </w:r>
    </w:p>
    <w:tbl>
      <w:tblPr>
        <w:tblW w:w="17239" w:type="dxa"/>
        <w:tblCellMar>
          <w:top w:w="60" w:type="dxa"/>
          <w:left w:w="60" w:type="dxa"/>
          <w:bottom w:w="60" w:type="dxa"/>
          <w:right w:w="60" w:type="dxa"/>
        </w:tblCellMar>
        <w:tblLook w:val="04A0"/>
      </w:tblPr>
      <w:tblGrid>
        <w:gridCol w:w="16765"/>
        <w:gridCol w:w="474"/>
      </w:tblGrid>
      <w:tr w:rsidR="00242B60" w:rsidRPr="00242B60" w:rsidTr="00242B60">
        <w:tc>
          <w:tcPr>
            <w:tcW w:w="0" w:type="auto"/>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hyperlink r:id="rId9" w:anchor="rfn3" w:history="1">
              <w:r w:rsidRPr="00242B60">
                <w:rPr>
                  <w:rFonts w:ascii="Times New Roman" w:eastAsia="Times New Roman" w:hAnsi="Times New Roman" w:cs="Times New Roman"/>
                  <w:b/>
                  <w:bCs/>
                  <w:color w:val="663399"/>
                  <w:sz w:val="24"/>
                  <w:szCs w:val="24"/>
                  <w:u w:val="single"/>
                  <w:lang w:bidi="hi-IN"/>
                </w:rPr>
                <w:t>Gifts not chargeable to tax</w:t>
              </w:r>
              <w:r w:rsidRPr="00242B60">
                <w:rPr>
                  <w:rFonts w:ascii="Times New Roman" w:eastAsia="Times New Roman" w:hAnsi="Times New Roman" w:cs="Times New Roman"/>
                  <w:b/>
                  <w:bCs/>
                  <w:color w:val="663399"/>
                  <w:sz w:val="24"/>
                  <w:szCs w:val="24"/>
                  <w:lang w:bidi="hi-IN"/>
                </w:rPr>
                <w:t> </w:t>
              </w:r>
            </w:hyperlink>
            <w:r w:rsidRPr="00242B60">
              <w:rPr>
                <w:rFonts w:ascii="Times New Roman" w:eastAsia="Times New Roman" w:hAnsi="Times New Roman" w:cs="Times New Roman"/>
                <w:b/>
                <w:bCs/>
                <w:sz w:val="24"/>
                <w:szCs w:val="24"/>
                <w:lang w:bidi="hi-IN"/>
              </w:rPr>
              <w:t>[</w:t>
            </w:r>
            <w:hyperlink r:id="rId10" w:history="1">
              <w:r w:rsidRPr="00242B60">
                <w:rPr>
                  <w:rFonts w:ascii="Times New Roman" w:eastAsia="Times New Roman" w:hAnsi="Times New Roman" w:cs="Times New Roman"/>
                  <w:b/>
                  <w:bCs/>
                  <w:color w:val="663399"/>
                  <w:sz w:val="24"/>
                  <w:szCs w:val="24"/>
                  <w:u w:val="single"/>
                  <w:lang w:bidi="hi-IN"/>
                </w:rPr>
                <w:t>Sec. 56(2)(vii)</w:t>
              </w:r>
            </w:hyperlink>
            <w:r w:rsidRPr="00242B60">
              <w:rPr>
                <w:rFonts w:ascii="Times New Roman" w:eastAsia="Times New Roman" w:hAnsi="Times New Roman" w:cs="Times New Roman"/>
                <w:b/>
                <w:bCs/>
                <w:sz w:val="24"/>
                <w:szCs w:val="24"/>
                <w:lang w:bidi="hi-IN"/>
              </w:rPr>
              <w:t>]</w:t>
            </w:r>
          </w:p>
        </w:tc>
        <w:tc>
          <w:tcPr>
            <w:tcW w:w="0" w:type="auto"/>
            <w:vAlign w:val="bottom"/>
            <w:hideMark/>
          </w:tcPr>
          <w:p w:rsidR="00242B60" w:rsidRPr="00242B60" w:rsidRDefault="00242B60" w:rsidP="00242B60">
            <w:pPr>
              <w:pBdr>
                <w:bottom w:val="single" w:sz="6" w:space="1" w:color="auto"/>
              </w:pBdr>
              <w:spacing w:after="0" w:line="240" w:lineRule="auto"/>
              <w:jc w:val="center"/>
              <w:rPr>
                <w:rFonts w:ascii="Arial" w:eastAsia="Times New Roman" w:hAnsi="Arial" w:cs="Mangal"/>
                <w:vanish/>
                <w:sz w:val="16"/>
                <w:szCs w:val="14"/>
                <w:lang w:bidi="hi-IN"/>
              </w:rPr>
            </w:pPr>
            <w:r w:rsidRPr="00242B60">
              <w:rPr>
                <w:rFonts w:ascii="Arial" w:eastAsia="Times New Roman" w:hAnsi="Arial" w:cs="Mangal"/>
                <w:vanish/>
                <w:sz w:val="16"/>
                <w:szCs w:val="14"/>
                <w:lang w:bidi="hi-IN"/>
              </w:rPr>
              <w:t>Top of Form</w:t>
            </w:r>
          </w:p>
          <w:p w:rsidR="00242B60" w:rsidRPr="00242B60" w:rsidRDefault="00242B60" w:rsidP="00242B60">
            <w:pPr>
              <w:pBdr>
                <w:top w:val="single" w:sz="6" w:space="1" w:color="auto"/>
              </w:pBdr>
              <w:spacing w:after="0" w:line="240" w:lineRule="auto"/>
              <w:jc w:val="center"/>
              <w:rPr>
                <w:rFonts w:ascii="Arial" w:eastAsia="Times New Roman" w:hAnsi="Arial" w:cs="Mangal"/>
                <w:vanish/>
                <w:sz w:val="16"/>
                <w:szCs w:val="14"/>
                <w:lang w:bidi="hi-IN"/>
              </w:rPr>
            </w:pPr>
            <w:r w:rsidRPr="00242B60">
              <w:rPr>
                <w:rFonts w:ascii="Arial" w:eastAsia="Times New Roman" w:hAnsi="Arial" w:cs="Mangal"/>
                <w:vanish/>
                <w:sz w:val="16"/>
                <w:szCs w:val="14"/>
                <w:lang w:bidi="hi-IN"/>
              </w:rPr>
              <w:t>Bottom of Form</w:t>
            </w:r>
          </w:p>
        </w:tc>
      </w:tr>
    </w:tbl>
    <w:p w:rsidR="00242B60" w:rsidRPr="00242B60" w:rsidRDefault="00242B60" w:rsidP="00242B6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Any sum of money or property received by an individual or HUF in the following circumstances shall not be chargeable to tax:</w:t>
      </w:r>
    </w:p>
    <w:p w:rsidR="00242B60" w:rsidRPr="00242B60" w:rsidRDefault="00242B60" w:rsidP="00242B6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a) Gifts received by an individual from his relatives;</w:t>
      </w:r>
    </w:p>
    <w:p w:rsidR="00242B60" w:rsidRPr="00242B60" w:rsidRDefault="00242B60" w:rsidP="00242B6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b) Gifts received by an HUF from any of its Member;</w:t>
      </w:r>
    </w:p>
    <w:p w:rsidR="00242B60" w:rsidRPr="00242B60" w:rsidRDefault="00242B60" w:rsidP="00242B6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c) Gifts received by an individual on occasion of his/her marriage;</w:t>
      </w:r>
    </w:p>
    <w:p w:rsidR="00242B60" w:rsidRPr="00242B60" w:rsidRDefault="00242B60" w:rsidP="00242B6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d) Gifts received by an individual or HUF under a will or by way of Inheritance;</w:t>
      </w:r>
    </w:p>
    <w:p w:rsidR="00242B60" w:rsidRPr="00242B60" w:rsidRDefault="00242B60" w:rsidP="00242B6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e) Gifts received in contemplation of death of the payer;</w:t>
      </w:r>
    </w:p>
    <w:p w:rsidR="00242B60" w:rsidRPr="00242B60" w:rsidRDefault="00242B60" w:rsidP="00242B6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f) Gifts received from any local authority;</w:t>
      </w:r>
    </w:p>
    <w:p w:rsidR="00242B60" w:rsidRPr="00242B60" w:rsidRDefault="00242B60" w:rsidP="00242B6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g) Gifts received from any fund, foundation, university, educational institution, hospital, medical institution, any trust or institution referred to in </w:t>
      </w:r>
      <w:hyperlink r:id="rId11" w:history="1">
        <w:r w:rsidRPr="00242B60">
          <w:rPr>
            <w:rFonts w:ascii="Times New Roman" w:eastAsia="Times New Roman" w:hAnsi="Times New Roman" w:cs="Times New Roman"/>
            <w:color w:val="663399"/>
            <w:sz w:val="24"/>
            <w:szCs w:val="24"/>
            <w:u w:val="single"/>
            <w:lang w:bidi="hi-IN"/>
          </w:rPr>
          <w:t>Section 10(23C)</w:t>
        </w:r>
      </w:hyperlink>
      <w:r w:rsidRPr="00242B60">
        <w:rPr>
          <w:rFonts w:ascii="Times New Roman" w:eastAsia="Times New Roman" w:hAnsi="Times New Roman" w:cs="Times New Roman"/>
          <w:color w:val="444444"/>
          <w:sz w:val="24"/>
          <w:szCs w:val="24"/>
          <w:lang w:bidi="hi-IN"/>
        </w:rPr>
        <w:t>;</w:t>
      </w:r>
    </w:p>
    <w:p w:rsidR="00242B60" w:rsidRPr="00242B60" w:rsidRDefault="00242B60" w:rsidP="00242B6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h) Gifts received from any trust or institution registered under </w:t>
      </w:r>
      <w:hyperlink r:id="rId12" w:history="1">
        <w:r w:rsidRPr="00242B60">
          <w:rPr>
            <w:rFonts w:ascii="Times New Roman" w:eastAsia="Times New Roman" w:hAnsi="Times New Roman" w:cs="Times New Roman"/>
            <w:color w:val="663399"/>
            <w:sz w:val="24"/>
            <w:szCs w:val="24"/>
            <w:u w:val="single"/>
            <w:lang w:bidi="hi-IN"/>
          </w:rPr>
          <w:t>Section 12AA</w:t>
        </w:r>
      </w:hyperlink>
      <w:r w:rsidRPr="00242B60">
        <w:rPr>
          <w:rFonts w:ascii="Times New Roman" w:eastAsia="Times New Roman" w:hAnsi="Times New Roman" w:cs="Times New Roman"/>
          <w:color w:val="444444"/>
          <w:sz w:val="24"/>
          <w:szCs w:val="24"/>
          <w:lang w:bidi="hi-IN"/>
        </w:rPr>
        <w:t>.</w:t>
      </w:r>
    </w:p>
    <w:p w:rsidR="00242B60" w:rsidRPr="00242B60" w:rsidRDefault="00242B60" w:rsidP="00242B6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 ‘Relative’ shall mean:</w:t>
      </w:r>
    </w:p>
    <w:p w:rsidR="00242B60" w:rsidRPr="00242B60" w:rsidRDefault="00242B60" w:rsidP="00242B6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1. Spouse of the individual</w:t>
      </w:r>
    </w:p>
    <w:p w:rsidR="00242B60" w:rsidRPr="00242B60" w:rsidRDefault="00242B60" w:rsidP="00242B6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2. Brother or sister of the individual</w:t>
      </w:r>
    </w:p>
    <w:p w:rsidR="00242B60" w:rsidRPr="00242B60" w:rsidRDefault="00242B60" w:rsidP="00242B6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3. Brother or sister of the spouse of the individual</w:t>
      </w:r>
    </w:p>
    <w:p w:rsidR="00242B60" w:rsidRPr="00242B60" w:rsidRDefault="00242B60" w:rsidP="00242B6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lastRenderedPageBreak/>
        <w:t>4. Brother or sister of either of the parents of the individual</w:t>
      </w:r>
    </w:p>
    <w:p w:rsidR="00242B60" w:rsidRPr="00242B60" w:rsidRDefault="00242B60" w:rsidP="00242B6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5. Any lineal ascendant or descendant of the individual</w:t>
      </w:r>
    </w:p>
    <w:p w:rsidR="00242B60" w:rsidRPr="00242B60" w:rsidRDefault="00242B60" w:rsidP="00242B6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6. Any lineal ascendant or descendant of spouse of the individual</w:t>
      </w:r>
    </w:p>
    <w:p w:rsidR="00242B60" w:rsidRPr="00242B60" w:rsidRDefault="00242B60" w:rsidP="00242B6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7. Spouse of the person referred in point 2-6 above</w:t>
      </w:r>
    </w:p>
    <w:p w:rsidR="00242B60" w:rsidRPr="00242B60" w:rsidRDefault="00242B60" w:rsidP="00242B60">
      <w:pPr>
        <w:shd w:val="clear" w:color="auto" w:fill="FFFFFF"/>
        <w:spacing w:before="100" w:beforeAutospacing="1" w:after="100" w:afterAutospacing="1" w:line="240" w:lineRule="auto"/>
        <w:rPr>
          <w:rFonts w:ascii="Segoe UI" w:eastAsia="Times New Roman" w:hAnsi="Segoe UI" w:cs="Segoe UI"/>
          <w:color w:val="444444"/>
          <w:sz w:val="18"/>
          <w:szCs w:val="18"/>
          <w:lang w:bidi="hi-IN"/>
        </w:rPr>
      </w:pPr>
      <w:r w:rsidRPr="00242B60">
        <w:rPr>
          <w:rFonts w:ascii="Segoe UI" w:eastAsia="Times New Roman" w:hAnsi="Segoe UI" w:cs="Segoe UI"/>
          <w:color w:val="444444"/>
          <w:sz w:val="18"/>
          <w:szCs w:val="18"/>
          <w:lang w:bidi="hi-IN"/>
        </w:rPr>
        <w:t>  </w:t>
      </w:r>
    </w:p>
    <w:tbl>
      <w:tblPr>
        <w:tblW w:w="17239" w:type="dxa"/>
        <w:tblCellMar>
          <w:top w:w="60" w:type="dxa"/>
          <w:left w:w="60" w:type="dxa"/>
          <w:bottom w:w="60" w:type="dxa"/>
          <w:right w:w="60" w:type="dxa"/>
        </w:tblCellMar>
        <w:tblLook w:val="04A0"/>
      </w:tblPr>
      <w:tblGrid>
        <w:gridCol w:w="16334"/>
        <w:gridCol w:w="905"/>
      </w:tblGrid>
      <w:tr w:rsidR="00242B60" w:rsidRPr="00242B60" w:rsidTr="00242B60">
        <w:tc>
          <w:tcPr>
            <w:tcW w:w="0" w:type="auto"/>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hyperlink r:id="rId13" w:anchor="rfn4" w:history="1">
              <w:r w:rsidRPr="00242B60">
                <w:rPr>
                  <w:rFonts w:ascii="Times New Roman" w:eastAsia="Times New Roman" w:hAnsi="Times New Roman" w:cs="Times New Roman"/>
                  <w:b/>
                  <w:bCs/>
                  <w:color w:val="663399"/>
                  <w:sz w:val="24"/>
                  <w:szCs w:val="24"/>
                  <w:u w:val="single"/>
                  <w:lang w:bidi="hi-IN"/>
                </w:rPr>
                <w:t>Deductions</w:t>
              </w:r>
              <w:r w:rsidRPr="00242B60">
                <w:rPr>
                  <w:rFonts w:ascii="Times New Roman" w:eastAsia="Times New Roman" w:hAnsi="Times New Roman" w:cs="Times New Roman"/>
                  <w:b/>
                  <w:bCs/>
                  <w:color w:val="663399"/>
                  <w:sz w:val="24"/>
                  <w:szCs w:val="24"/>
                  <w:lang w:bidi="hi-IN"/>
                </w:rPr>
                <w:t> </w:t>
              </w:r>
            </w:hyperlink>
            <w:r w:rsidRPr="00242B60">
              <w:rPr>
                <w:rFonts w:ascii="Times New Roman" w:eastAsia="Times New Roman" w:hAnsi="Times New Roman" w:cs="Times New Roman"/>
                <w:b/>
                <w:bCs/>
                <w:sz w:val="24"/>
                <w:szCs w:val="24"/>
                <w:lang w:bidi="hi-IN"/>
              </w:rPr>
              <w:t>[</w:t>
            </w:r>
            <w:hyperlink r:id="rId14" w:history="1">
              <w:r w:rsidRPr="00242B60">
                <w:rPr>
                  <w:rFonts w:ascii="Times New Roman" w:eastAsia="Times New Roman" w:hAnsi="Times New Roman" w:cs="Times New Roman"/>
                  <w:b/>
                  <w:bCs/>
                  <w:color w:val="663399"/>
                  <w:sz w:val="24"/>
                  <w:szCs w:val="24"/>
                  <w:u w:val="single"/>
                  <w:lang w:bidi="hi-IN"/>
                </w:rPr>
                <w:t>Sec. 57</w:t>
              </w:r>
            </w:hyperlink>
            <w:r w:rsidRPr="00242B60">
              <w:rPr>
                <w:rFonts w:ascii="Times New Roman" w:eastAsia="Times New Roman" w:hAnsi="Times New Roman" w:cs="Times New Roman"/>
                <w:b/>
                <w:bCs/>
                <w:sz w:val="24"/>
                <w:szCs w:val="24"/>
                <w:lang w:bidi="hi-IN"/>
              </w:rPr>
              <w:t>]:</w:t>
            </w:r>
          </w:p>
        </w:tc>
        <w:tc>
          <w:tcPr>
            <w:tcW w:w="0" w:type="auto"/>
            <w:vAlign w:val="bottom"/>
            <w:hideMark/>
          </w:tcPr>
          <w:p w:rsidR="00242B60" w:rsidRPr="00242B60" w:rsidRDefault="00242B60" w:rsidP="00242B60">
            <w:pPr>
              <w:pBdr>
                <w:bottom w:val="single" w:sz="6" w:space="1" w:color="auto"/>
              </w:pBdr>
              <w:spacing w:after="0" w:line="240" w:lineRule="auto"/>
              <w:jc w:val="center"/>
              <w:rPr>
                <w:rFonts w:ascii="Arial" w:eastAsia="Times New Roman" w:hAnsi="Arial" w:cs="Mangal"/>
                <w:vanish/>
                <w:sz w:val="16"/>
                <w:szCs w:val="14"/>
                <w:lang w:bidi="hi-IN"/>
              </w:rPr>
            </w:pPr>
            <w:r w:rsidRPr="00242B60">
              <w:rPr>
                <w:rFonts w:ascii="Arial" w:eastAsia="Times New Roman" w:hAnsi="Arial" w:cs="Mangal"/>
                <w:vanish/>
                <w:sz w:val="16"/>
                <w:szCs w:val="14"/>
                <w:lang w:bidi="hi-IN"/>
              </w:rPr>
              <w:t>Top of Form</w:t>
            </w:r>
          </w:p>
          <w:p w:rsidR="00242B60" w:rsidRPr="00242B60" w:rsidRDefault="00242B60" w:rsidP="00242B60">
            <w:pPr>
              <w:pBdr>
                <w:top w:val="single" w:sz="6" w:space="1" w:color="auto"/>
              </w:pBdr>
              <w:spacing w:after="0" w:line="240" w:lineRule="auto"/>
              <w:jc w:val="center"/>
              <w:rPr>
                <w:rFonts w:ascii="Arial" w:eastAsia="Times New Roman" w:hAnsi="Arial" w:cs="Mangal"/>
                <w:vanish/>
                <w:sz w:val="16"/>
                <w:szCs w:val="14"/>
                <w:lang w:bidi="hi-IN"/>
              </w:rPr>
            </w:pPr>
            <w:r w:rsidRPr="00242B60">
              <w:rPr>
                <w:rFonts w:ascii="Arial" w:eastAsia="Times New Roman" w:hAnsi="Arial" w:cs="Mangal"/>
                <w:vanish/>
                <w:sz w:val="16"/>
                <w:szCs w:val="14"/>
                <w:lang w:bidi="hi-IN"/>
              </w:rPr>
              <w:t>Bottom of Form</w:t>
            </w:r>
          </w:p>
        </w:tc>
      </w:tr>
    </w:tbl>
    <w:p w:rsidR="00242B60" w:rsidRPr="00242B60" w:rsidRDefault="00242B60" w:rsidP="00242B6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The following expenditures are allowed as deductions from income chargeable to tax under the head ‘Income from Other Sources’:</w:t>
      </w:r>
    </w:p>
    <w:tbl>
      <w:tblPr>
        <w:tblW w:w="0" w:type="auto"/>
        <w:tblCellMar>
          <w:top w:w="60" w:type="dxa"/>
          <w:left w:w="60" w:type="dxa"/>
          <w:bottom w:w="60" w:type="dxa"/>
          <w:right w:w="60" w:type="dxa"/>
        </w:tblCellMar>
        <w:tblLook w:val="04A0"/>
      </w:tblPr>
      <w:tblGrid>
        <w:gridCol w:w="547"/>
        <w:gridCol w:w="1374"/>
        <w:gridCol w:w="3428"/>
        <w:gridCol w:w="4131"/>
      </w:tblGrid>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b/>
                <w:bCs/>
                <w:sz w:val="24"/>
                <w:szCs w:val="24"/>
                <w:lang w:bidi="hi-IN"/>
              </w:rPr>
              <w:t>S.N.</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b/>
                <w:bCs/>
                <w:sz w:val="24"/>
                <w:szCs w:val="24"/>
                <w:lang w:bidi="hi-IN"/>
              </w:rPr>
              <w:t>Section</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b/>
                <w:bCs/>
                <w:sz w:val="24"/>
                <w:szCs w:val="24"/>
                <w:lang w:bidi="hi-IN"/>
              </w:rPr>
              <w:t>Nature of Income</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b/>
                <w:bCs/>
                <w:sz w:val="24"/>
                <w:szCs w:val="24"/>
                <w:lang w:bidi="hi-IN"/>
              </w:rPr>
              <w:t>Deductions allowed</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1.</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hyperlink r:id="rId15" w:history="1">
              <w:r w:rsidRPr="00242B60">
                <w:rPr>
                  <w:rFonts w:ascii="Times New Roman" w:eastAsia="Times New Roman" w:hAnsi="Times New Roman" w:cs="Times New Roman"/>
                  <w:color w:val="663399"/>
                  <w:sz w:val="24"/>
                  <w:szCs w:val="24"/>
                  <w:u w:val="single"/>
                  <w:lang w:bidi="hi-IN"/>
                </w:rPr>
                <w:t>57(</w:t>
              </w:r>
              <w:proofErr w:type="spellStart"/>
              <w:r w:rsidRPr="00242B60">
                <w:rPr>
                  <w:rFonts w:ascii="Times New Roman" w:eastAsia="Times New Roman" w:hAnsi="Times New Roman" w:cs="Times New Roman"/>
                  <w:color w:val="663399"/>
                  <w:sz w:val="24"/>
                  <w:szCs w:val="24"/>
                  <w:u w:val="single"/>
                  <w:lang w:bidi="hi-IN"/>
                </w:rPr>
                <w:t>i</w:t>
              </w:r>
              <w:proofErr w:type="spellEnd"/>
              <w:r w:rsidRPr="00242B60">
                <w:rPr>
                  <w:rFonts w:ascii="Times New Roman" w:eastAsia="Times New Roman" w:hAnsi="Times New Roman" w:cs="Times New Roman"/>
                  <w:color w:val="663399"/>
                  <w:sz w:val="24"/>
                  <w:szCs w:val="24"/>
                  <w:u w:val="single"/>
                  <w:lang w:bidi="hi-IN"/>
                </w:rPr>
                <w:t>)</w:t>
              </w:r>
            </w:hyperlink>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Dividend or Interest on securities</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Any reasonable sum paid by way of commission or remuneration to banker or any other person for purpose of realizing dividend (other than dividends referred to in </w:t>
            </w:r>
            <w:hyperlink r:id="rId16" w:history="1">
              <w:r w:rsidRPr="00242B60">
                <w:rPr>
                  <w:rFonts w:ascii="Times New Roman" w:eastAsia="Times New Roman" w:hAnsi="Times New Roman" w:cs="Times New Roman"/>
                  <w:color w:val="663399"/>
                  <w:sz w:val="24"/>
                  <w:szCs w:val="24"/>
                  <w:u w:val="single"/>
                  <w:lang w:bidi="hi-IN"/>
                </w:rPr>
                <w:t>section 115-O</w:t>
              </w:r>
            </w:hyperlink>
            <w:r w:rsidRPr="00242B60">
              <w:rPr>
                <w:rFonts w:ascii="Times New Roman" w:eastAsia="Times New Roman" w:hAnsi="Times New Roman" w:cs="Times New Roman"/>
                <w:sz w:val="24"/>
                <w:szCs w:val="24"/>
                <w:lang w:bidi="hi-IN"/>
              </w:rPr>
              <w:t>) or interest on securities</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2.</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hyperlink r:id="rId17" w:history="1">
              <w:r w:rsidRPr="00242B60">
                <w:rPr>
                  <w:rFonts w:ascii="Times New Roman" w:eastAsia="Times New Roman" w:hAnsi="Times New Roman" w:cs="Times New Roman"/>
                  <w:color w:val="663399"/>
                  <w:sz w:val="24"/>
                  <w:szCs w:val="24"/>
                  <w:u w:val="single"/>
                  <w:lang w:bidi="hi-IN"/>
                </w:rPr>
                <w:t>57(</w:t>
              </w:r>
              <w:proofErr w:type="spellStart"/>
              <w:r w:rsidRPr="00242B60">
                <w:rPr>
                  <w:rFonts w:ascii="Times New Roman" w:eastAsia="Times New Roman" w:hAnsi="Times New Roman" w:cs="Times New Roman"/>
                  <w:color w:val="663399"/>
                  <w:sz w:val="24"/>
                  <w:szCs w:val="24"/>
                  <w:u w:val="single"/>
                  <w:lang w:bidi="hi-IN"/>
                </w:rPr>
                <w:t>ia</w:t>
              </w:r>
              <w:proofErr w:type="spellEnd"/>
              <w:r w:rsidRPr="00242B60">
                <w:rPr>
                  <w:rFonts w:ascii="Times New Roman" w:eastAsia="Times New Roman" w:hAnsi="Times New Roman" w:cs="Times New Roman"/>
                  <w:color w:val="663399"/>
                  <w:sz w:val="24"/>
                  <w:szCs w:val="24"/>
                  <w:u w:val="single"/>
                  <w:lang w:bidi="hi-IN"/>
                </w:rPr>
                <w:t>)</w:t>
              </w:r>
            </w:hyperlink>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Employee’s contribution towards Provident Fund, Superannuation Fund, ESI Fund or any other fund setup for the welfare of such employees</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If employees’ contribution is credited to their account in relevant fund on or before the due date</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3.</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hyperlink r:id="rId18" w:history="1">
              <w:r w:rsidRPr="00242B60">
                <w:rPr>
                  <w:rFonts w:ascii="Times New Roman" w:eastAsia="Times New Roman" w:hAnsi="Times New Roman" w:cs="Times New Roman"/>
                  <w:color w:val="663399"/>
                  <w:sz w:val="24"/>
                  <w:szCs w:val="24"/>
                  <w:u w:val="single"/>
                  <w:lang w:bidi="hi-IN"/>
                </w:rPr>
                <w:t>57(ii)</w:t>
              </w:r>
            </w:hyperlink>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Rental income letting of plant, machinery, furniture or building</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Rent, rates, taxes, repairs, insurance and depreciation etc.</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4.</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hyperlink r:id="rId19" w:history="1">
              <w:r w:rsidRPr="00242B60">
                <w:rPr>
                  <w:rFonts w:ascii="Times New Roman" w:eastAsia="Times New Roman" w:hAnsi="Times New Roman" w:cs="Times New Roman"/>
                  <w:color w:val="663399"/>
                  <w:sz w:val="24"/>
                  <w:szCs w:val="24"/>
                  <w:u w:val="single"/>
                  <w:lang w:bidi="hi-IN"/>
                </w:rPr>
                <w:t>57(</w:t>
              </w:r>
              <w:proofErr w:type="spellStart"/>
              <w:r w:rsidRPr="00242B60">
                <w:rPr>
                  <w:rFonts w:ascii="Times New Roman" w:eastAsia="Times New Roman" w:hAnsi="Times New Roman" w:cs="Times New Roman"/>
                  <w:color w:val="663399"/>
                  <w:sz w:val="24"/>
                  <w:szCs w:val="24"/>
                  <w:u w:val="single"/>
                  <w:lang w:bidi="hi-IN"/>
                </w:rPr>
                <w:t>iia</w:t>
              </w:r>
              <w:proofErr w:type="spellEnd"/>
              <w:r w:rsidRPr="00242B60">
                <w:rPr>
                  <w:rFonts w:ascii="Times New Roman" w:eastAsia="Times New Roman" w:hAnsi="Times New Roman" w:cs="Times New Roman"/>
                  <w:color w:val="663399"/>
                  <w:sz w:val="24"/>
                  <w:szCs w:val="24"/>
                  <w:u w:val="single"/>
                  <w:lang w:bidi="hi-IN"/>
                </w:rPr>
                <w:t>)</w:t>
              </w:r>
            </w:hyperlink>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Family Pension</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1/3</w:t>
            </w:r>
            <w:r w:rsidRPr="00242B60">
              <w:rPr>
                <w:rFonts w:ascii="Times New Roman" w:eastAsia="Times New Roman" w:hAnsi="Times New Roman" w:cs="Times New Roman"/>
                <w:sz w:val="24"/>
                <w:szCs w:val="24"/>
                <w:vertAlign w:val="superscript"/>
                <w:lang w:bidi="hi-IN"/>
              </w:rPr>
              <w:t>rd </w:t>
            </w:r>
            <w:r w:rsidRPr="00242B60">
              <w:rPr>
                <w:rFonts w:ascii="Times New Roman" w:eastAsia="Times New Roman" w:hAnsi="Times New Roman" w:cs="Times New Roman"/>
                <w:sz w:val="24"/>
                <w:szCs w:val="24"/>
                <w:lang w:bidi="hi-IN"/>
              </w:rPr>
              <w:t>of family pension subject to maximum of Rs. 15,000.</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5.</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hyperlink r:id="rId20" w:history="1">
              <w:r w:rsidRPr="00242B60">
                <w:rPr>
                  <w:rFonts w:ascii="Times New Roman" w:eastAsia="Times New Roman" w:hAnsi="Times New Roman" w:cs="Times New Roman"/>
                  <w:color w:val="663399"/>
                  <w:sz w:val="24"/>
                  <w:szCs w:val="24"/>
                  <w:u w:val="single"/>
                  <w:lang w:bidi="hi-IN"/>
                </w:rPr>
                <w:t>57(iii)</w:t>
              </w:r>
            </w:hyperlink>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Any other income</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Any other expenditure (not being capital expenditure) expended wholly and exclusively for earning such income</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6.</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hyperlink r:id="rId21" w:history="1">
              <w:r w:rsidRPr="00242B60">
                <w:rPr>
                  <w:rFonts w:ascii="Times New Roman" w:eastAsia="Times New Roman" w:hAnsi="Times New Roman" w:cs="Times New Roman"/>
                  <w:color w:val="663399"/>
                  <w:sz w:val="24"/>
                  <w:szCs w:val="24"/>
                  <w:u w:val="single"/>
                  <w:lang w:bidi="hi-IN"/>
                </w:rPr>
                <w:t>57 (iv)</w:t>
              </w:r>
            </w:hyperlink>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Interest on compensation or enhanced compensation</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50% of such interest (subject to certain conditions)</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7.</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hyperlink r:id="rId22" w:history="1">
              <w:r w:rsidRPr="00242B60">
                <w:rPr>
                  <w:rFonts w:ascii="Times New Roman" w:eastAsia="Times New Roman" w:hAnsi="Times New Roman" w:cs="Times New Roman"/>
                  <w:color w:val="663399"/>
                  <w:sz w:val="24"/>
                  <w:szCs w:val="24"/>
                  <w:u w:val="single"/>
                  <w:lang w:bidi="hi-IN"/>
                </w:rPr>
                <w:t>58(4)</w:t>
              </w:r>
            </w:hyperlink>
            <w:r w:rsidRPr="00242B60">
              <w:rPr>
                <w:rFonts w:ascii="Times New Roman" w:eastAsia="Times New Roman" w:hAnsi="Times New Roman" w:cs="Times New Roman"/>
                <w:sz w:val="24"/>
                <w:szCs w:val="24"/>
                <w:lang w:bidi="hi-IN"/>
              </w:rPr>
              <w:t>Proviso</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Income from activity of owning and maintaining race horses.</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All expenditure relating to such activity.</w:t>
            </w:r>
          </w:p>
        </w:tc>
      </w:tr>
    </w:tbl>
    <w:p w:rsidR="00242B60" w:rsidRPr="00242B60" w:rsidRDefault="00242B60" w:rsidP="00242B60">
      <w:pPr>
        <w:shd w:val="clear" w:color="auto" w:fill="FFFFFF"/>
        <w:spacing w:before="100" w:beforeAutospacing="1" w:after="100" w:afterAutospacing="1" w:line="240" w:lineRule="auto"/>
        <w:rPr>
          <w:rFonts w:ascii="Segoe UI" w:eastAsia="Times New Roman" w:hAnsi="Segoe UI" w:cs="Segoe UI"/>
          <w:color w:val="444444"/>
          <w:sz w:val="18"/>
          <w:szCs w:val="18"/>
          <w:lang w:bidi="hi-IN"/>
        </w:rPr>
      </w:pPr>
      <w:r w:rsidRPr="00242B60">
        <w:rPr>
          <w:rFonts w:ascii="Segoe UI" w:eastAsia="Times New Roman" w:hAnsi="Segoe UI" w:cs="Segoe UI"/>
          <w:color w:val="444444"/>
          <w:sz w:val="18"/>
          <w:szCs w:val="18"/>
          <w:lang w:bidi="hi-IN"/>
        </w:rPr>
        <w:t>  </w:t>
      </w:r>
    </w:p>
    <w:tbl>
      <w:tblPr>
        <w:tblW w:w="17239" w:type="dxa"/>
        <w:tblCellMar>
          <w:top w:w="60" w:type="dxa"/>
          <w:left w:w="60" w:type="dxa"/>
          <w:bottom w:w="60" w:type="dxa"/>
          <w:right w:w="60" w:type="dxa"/>
        </w:tblCellMar>
        <w:tblLook w:val="04A0"/>
      </w:tblPr>
      <w:tblGrid>
        <w:gridCol w:w="16704"/>
        <w:gridCol w:w="535"/>
      </w:tblGrid>
      <w:tr w:rsidR="00242B60" w:rsidRPr="00242B60" w:rsidTr="00242B60">
        <w:tc>
          <w:tcPr>
            <w:tcW w:w="0" w:type="auto"/>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hyperlink r:id="rId23" w:anchor="rfn5" w:history="1">
              <w:r w:rsidRPr="00242B60">
                <w:rPr>
                  <w:rFonts w:ascii="Times New Roman" w:eastAsia="Times New Roman" w:hAnsi="Times New Roman" w:cs="Times New Roman"/>
                  <w:b/>
                  <w:bCs/>
                  <w:color w:val="663399"/>
                  <w:sz w:val="24"/>
                  <w:szCs w:val="24"/>
                  <w:u w:val="single"/>
                  <w:lang w:bidi="hi-IN"/>
                </w:rPr>
                <w:t>Expenses not deductible</w:t>
              </w:r>
              <w:r w:rsidRPr="00242B60">
                <w:rPr>
                  <w:rFonts w:ascii="Times New Roman" w:eastAsia="Times New Roman" w:hAnsi="Times New Roman" w:cs="Times New Roman"/>
                  <w:b/>
                  <w:bCs/>
                  <w:color w:val="663399"/>
                  <w:sz w:val="24"/>
                  <w:szCs w:val="24"/>
                  <w:lang w:bidi="hi-IN"/>
                </w:rPr>
                <w:t> </w:t>
              </w:r>
            </w:hyperlink>
            <w:r w:rsidRPr="00242B60">
              <w:rPr>
                <w:rFonts w:ascii="Times New Roman" w:eastAsia="Times New Roman" w:hAnsi="Times New Roman" w:cs="Times New Roman"/>
                <w:b/>
                <w:bCs/>
                <w:sz w:val="24"/>
                <w:szCs w:val="24"/>
                <w:lang w:bidi="hi-IN"/>
              </w:rPr>
              <w:t>[</w:t>
            </w:r>
            <w:hyperlink r:id="rId24" w:history="1">
              <w:r w:rsidRPr="00242B60">
                <w:rPr>
                  <w:rFonts w:ascii="Times New Roman" w:eastAsia="Times New Roman" w:hAnsi="Times New Roman" w:cs="Times New Roman"/>
                  <w:b/>
                  <w:bCs/>
                  <w:color w:val="663399"/>
                  <w:sz w:val="24"/>
                  <w:szCs w:val="24"/>
                  <w:u w:val="single"/>
                  <w:lang w:bidi="hi-IN"/>
                </w:rPr>
                <w:t>Section 58</w:t>
              </w:r>
            </w:hyperlink>
            <w:r w:rsidRPr="00242B60">
              <w:rPr>
                <w:rFonts w:ascii="Times New Roman" w:eastAsia="Times New Roman" w:hAnsi="Times New Roman" w:cs="Times New Roman"/>
                <w:b/>
                <w:bCs/>
                <w:sz w:val="24"/>
                <w:szCs w:val="24"/>
                <w:lang w:bidi="hi-IN"/>
              </w:rPr>
              <w:t>]:</w:t>
            </w:r>
          </w:p>
        </w:tc>
        <w:tc>
          <w:tcPr>
            <w:tcW w:w="0" w:type="auto"/>
            <w:vAlign w:val="bottom"/>
            <w:hideMark/>
          </w:tcPr>
          <w:p w:rsidR="00242B60" w:rsidRPr="00242B60" w:rsidRDefault="00242B60" w:rsidP="00242B60">
            <w:pPr>
              <w:pBdr>
                <w:bottom w:val="single" w:sz="6" w:space="1" w:color="auto"/>
              </w:pBdr>
              <w:spacing w:after="0" w:line="240" w:lineRule="auto"/>
              <w:jc w:val="center"/>
              <w:rPr>
                <w:rFonts w:ascii="Arial" w:eastAsia="Times New Roman" w:hAnsi="Arial" w:cs="Mangal"/>
                <w:vanish/>
                <w:sz w:val="16"/>
                <w:szCs w:val="14"/>
                <w:lang w:bidi="hi-IN"/>
              </w:rPr>
            </w:pPr>
            <w:r w:rsidRPr="00242B60">
              <w:rPr>
                <w:rFonts w:ascii="Arial" w:eastAsia="Times New Roman" w:hAnsi="Arial" w:cs="Mangal"/>
                <w:vanish/>
                <w:sz w:val="16"/>
                <w:szCs w:val="14"/>
                <w:lang w:bidi="hi-IN"/>
              </w:rPr>
              <w:t>Top of Form</w:t>
            </w:r>
          </w:p>
          <w:p w:rsidR="00242B60" w:rsidRPr="00242B60" w:rsidRDefault="00242B60" w:rsidP="00242B60">
            <w:pPr>
              <w:pBdr>
                <w:top w:val="single" w:sz="6" w:space="1" w:color="auto"/>
              </w:pBdr>
              <w:spacing w:after="0" w:line="240" w:lineRule="auto"/>
              <w:jc w:val="center"/>
              <w:rPr>
                <w:rFonts w:ascii="Arial" w:eastAsia="Times New Roman" w:hAnsi="Arial" w:cs="Mangal"/>
                <w:vanish/>
                <w:sz w:val="16"/>
                <w:szCs w:val="14"/>
                <w:lang w:bidi="hi-IN"/>
              </w:rPr>
            </w:pPr>
            <w:r w:rsidRPr="00242B60">
              <w:rPr>
                <w:rFonts w:ascii="Arial" w:eastAsia="Times New Roman" w:hAnsi="Arial" w:cs="Mangal"/>
                <w:vanish/>
                <w:sz w:val="16"/>
                <w:szCs w:val="14"/>
                <w:lang w:bidi="hi-IN"/>
              </w:rPr>
              <w:t>Bottom of Form</w:t>
            </w:r>
          </w:p>
        </w:tc>
      </w:tr>
    </w:tbl>
    <w:p w:rsidR="00242B60" w:rsidRPr="00242B60" w:rsidRDefault="00242B60" w:rsidP="00242B60">
      <w:pPr>
        <w:shd w:val="clear" w:color="auto" w:fill="FFFFFF"/>
        <w:spacing w:after="0" w:line="240" w:lineRule="auto"/>
        <w:rPr>
          <w:rFonts w:ascii="Segoe UI" w:eastAsia="Times New Roman" w:hAnsi="Segoe UI" w:cs="Segoe UI"/>
          <w:color w:val="444444"/>
          <w:sz w:val="18"/>
          <w:szCs w:val="18"/>
          <w:lang w:bidi="hi-IN"/>
        </w:rPr>
      </w:pPr>
    </w:p>
    <w:tbl>
      <w:tblPr>
        <w:tblW w:w="0" w:type="auto"/>
        <w:tblCellMar>
          <w:top w:w="60" w:type="dxa"/>
          <w:left w:w="60" w:type="dxa"/>
          <w:bottom w:w="60" w:type="dxa"/>
          <w:right w:w="60" w:type="dxa"/>
        </w:tblCellMar>
        <w:tblLook w:val="04A0"/>
      </w:tblPr>
      <w:tblGrid>
        <w:gridCol w:w="547"/>
        <w:gridCol w:w="1267"/>
        <w:gridCol w:w="7666"/>
      </w:tblGrid>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b/>
                <w:bCs/>
                <w:sz w:val="24"/>
                <w:szCs w:val="24"/>
                <w:lang w:bidi="hi-IN"/>
              </w:rPr>
              <w:lastRenderedPageBreak/>
              <w:t>S.N.</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b/>
                <w:bCs/>
                <w:sz w:val="24"/>
                <w:szCs w:val="24"/>
                <w:lang w:bidi="hi-IN"/>
              </w:rPr>
              <w:t>Section</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b/>
                <w:bCs/>
                <w:sz w:val="24"/>
                <w:szCs w:val="24"/>
                <w:lang w:bidi="hi-IN"/>
              </w:rPr>
              <w:t>Nature of Income</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1.</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hyperlink r:id="rId25" w:history="1">
              <w:r w:rsidRPr="00242B60">
                <w:rPr>
                  <w:rFonts w:ascii="Times New Roman" w:eastAsia="Times New Roman" w:hAnsi="Times New Roman" w:cs="Times New Roman"/>
                  <w:color w:val="663399"/>
                  <w:sz w:val="24"/>
                  <w:szCs w:val="24"/>
                  <w:u w:val="single"/>
                  <w:lang w:bidi="hi-IN"/>
                </w:rPr>
                <w:t>58(1)(a)(</w:t>
              </w:r>
              <w:proofErr w:type="spellStart"/>
              <w:r w:rsidRPr="00242B60">
                <w:rPr>
                  <w:rFonts w:ascii="Times New Roman" w:eastAsia="Times New Roman" w:hAnsi="Times New Roman" w:cs="Times New Roman"/>
                  <w:color w:val="663399"/>
                  <w:sz w:val="24"/>
                  <w:szCs w:val="24"/>
                  <w:u w:val="single"/>
                  <w:lang w:bidi="hi-IN"/>
                </w:rPr>
                <w:t>i</w:t>
              </w:r>
              <w:proofErr w:type="spellEnd"/>
              <w:r w:rsidRPr="00242B60">
                <w:rPr>
                  <w:rFonts w:ascii="Times New Roman" w:eastAsia="Times New Roman" w:hAnsi="Times New Roman" w:cs="Times New Roman"/>
                  <w:color w:val="663399"/>
                  <w:sz w:val="24"/>
                  <w:szCs w:val="24"/>
                  <w:u w:val="single"/>
                  <w:lang w:bidi="hi-IN"/>
                </w:rPr>
                <w:t>)</w:t>
              </w:r>
            </w:hyperlink>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Personal expenses</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2.</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hyperlink r:id="rId26" w:history="1">
              <w:r w:rsidRPr="00242B60">
                <w:rPr>
                  <w:rFonts w:ascii="Times New Roman" w:eastAsia="Times New Roman" w:hAnsi="Times New Roman" w:cs="Times New Roman"/>
                  <w:color w:val="663399"/>
                  <w:sz w:val="24"/>
                  <w:szCs w:val="24"/>
                  <w:u w:val="single"/>
                  <w:lang w:bidi="hi-IN"/>
                </w:rPr>
                <w:t>58(1)(a)(ii)</w:t>
              </w:r>
            </w:hyperlink>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Interest chargeable to tax which is payable outside India on which tax has not been paid or deducted at source</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3.</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hyperlink r:id="rId27" w:history="1">
              <w:r w:rsidRPr="00242B60">
                <w:rPr>
                  <w:rFonts w:ascii="Times New Roman" w:eastAsia="Times New Roman" w:hAnsi="Times New Roman" w:cs="Times New Roman"/>
                  <w:color w:val="663399"/>
                  <w:sz w:val="24"/>
                  <w:szCs w:val="24"/>
                  <w:u w:val="single"/>
                  <w:lang w:bidi="hi-IN"/>
                </w:rPr>
                <w:t>58(1)(a)(iii)</w:t>
              </w:r>
            </w:hyperlink>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‘Salaries’ payable outside India on which no tax is paid or deducted at source</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4.</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hyperlink r:id="rId28" w:history="1">
              <w:r w:rsidRPr="00242B60">
                <w:rPr>
                  <w:rFonts w:ascii="Times New Roman" w:eastAsia="Times New Roman" w:hAnsi="Times New Roman" w:cs="Times New Roman"/>
                  <w:color w:val="663399"/>
                  <w:sz w:val="24"/>
                  <w:szCs w:val="24"/>
                  <w:u w:val="single"/>
                  <w:lang w:bidi="hi-IN"/>
                </w:rPr>
                <w:t>58(1A)</w:t>
              </w:r>
            </w:hyperlink>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Wealth-tax</w:t>
            </w:r>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5.</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hyperlink r:id="rId29" w:history="1">
              <w:r w:rsidRPr="00242B60">
                <w:rPr>
                  <w:rFonts w:ascii="Times New Roman" w:eastAsia="Times New Roman" w:hAnsi="Times New Roman" w:cs="Times New Roman"/>
                  <w:color w:val="663399"/>
                  <w:sz w:val="24"/>
                  <w:szCs w:val="24"/>
                  <w:u w:val="single"/>
                  <w:lang w:bidi="hi-IN"/>
                </w:rPr>
                <w:t>58(2)</w:t>
              </w:r>
            </w:hyperlink>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Expenditure of the nature specified in </w:t>
            </w:r>
            <w:hyperlink r:id="rId30" w:history="1">
              <w:r w:rsidRPr="00242B60">
                <w:rPr>
                  <w:rFonts w:ascii="Times New Roman" w:eastAsia="Times New Roman" w:hAnsi="Times New Roman" w:cs="Times New Roman"/>
                  <w:color w:val="663399"/>
                  <w:sz w:val="24"/>
                  <w:szCs w:val="24"/>
                  <w:u w:val="single"/>
                  <w:lang w:bidi="hi-IN"/>
                </w:rPr>
                <w:t>section 40A</w:t>
              </w:r>
            </w:hyperlink>
          </w:p>
        </w:tc>
      </w:tr>
      <w:tr w:rsidR="00242B60" w:rsidRPr="00242B60" w:rsidTr="00242B60">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6.</w:t>
            </w:r>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center"/>
              <w:rPr>
                <w:rFonts w:ascii="Times New Roman" w:eastAsia="Times New Roman" w:hAnsi="Times New Roman" w:cs="Times New Roman"/>
                <w:sz w:val="24"/>
                <w:szCs w:val="24"/>
                <w:lang w:bidi="hi-IN"/>
              </w:rPr>
            </w:pPr>
            <w:hyperlink r:id="rId31" w:history="1">
              <w:r w:rsidRPr="00242B60">
                <w:rPr>
                  <w:rFonts w:ascii="Times New Roman" w:eastAsia="Times New Roman" w:hAnsi="Times New Roman" w:cs="Times New Roman"/>
                  <w:color w:val="663399"/>
                  <w:sz w:val="24"/>
                  <w:szCs w:val="24"/>
                  <w:u w:val="single"/>
                  <w:lang w:bidi="hi-IN"/>
                </w:rPr>
                <w:t>58(4)</w:t>
              </w:r>
            </w:hyperlink>
          </w:p>
        </w:tc>
        <w:tc>
          <w:tcPr>
            <w:tcW w:w="0" w:type="auto"/>
            <w:tcBorders>
              <w:top w:val="single" w:sz="6" w:space="0" w:color="000000"/>
              <w:left w:val="single" w:sz="6" w:space="0" w:color="000000"/>
              <w:bottom w:val="single" w:sz="6" w:space="0" w:color="000000"/>
              <w:right w:val="single" w:sz="6" w:space="0" w:color="000000"/>
            </w:tcBorders>
            <w:hideMark/>
          </w:tcPr>
          <w:p w:rsidR="00242B60" w:rsidRPr="00242B60" w:rsidRDefault="00242B60" w:rsidP="00242B60">
            <w:pPr>
              <w:spacing w:after="80" w:line="240" w:lineRule="auto"/>
              <w:jc w:val="both"/>
              <w:rPr>
                <w:rFonts w:ascii="Times New Roman" w:eastAsia="Times New Roman" w:hAnsi="Times New Roman" w:cs="Times New Roman"/>
                <w:sz w:val="24"/>
                <w:szCs w:val="24"/>
                <w:lang w:bidi="hi-IN"/>
              </w:rPr>
            </w:pPr>
            <w:r w:rsidRPr="00242B60">
              <w:rPr>
                <w:rFonts w:ascii="Times New Roman" w:eastAsia="Times New Roman" w:hAnsi="Times New Roman" w:cs="Times New Roman"/>
                <w:sz w:val="24"/>
                <w:szCs w:val="24"/>
                <w:lang w:bidi="hi-IN"/>
              </w:rPr>
              <w:t>Expenditure in connection with winnings from lotteries, crossword puzzles, races, games, gambling or betting</w:t>
            </w:r>
          </w:p>
        </w:tc>
      </w:tr>
    </w:tbl>
    <w:p w:rsidR="00242B60" w:rsidRPr="00242B60" w:rsidRDefault="00242B60" w:rsidP="00242B6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 </w:t>
      </w:r>
    </w:p>
    <w:p w:rsidR="00242B60" w:rsidRPr="00242B60" w:rsidRDefault="00242B60" w:rsidP="00242B6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242B60">
        <w:rPr>
          <w:rFonts w:ascii="Times New Roman" w:eastAsia="Times New Roman" w:hAnsi="Times New Roman" w:cs="Times New Roman"/>
          <w:color w:val="444444"/>
          <w:sz w:val="24"/>
          <w:szCs w:val="24"/>
          <w:lang w:bidi="hi-IN"/>
        </w:rPr>
        <w:t> </w:t>
      </w:r>
    </w:p>
    <w:p w:rsidR="00CA730E" w:rsidRDefault="00CA730E"/>
    <w:sectPr w:rsidR="00CA730E" w:rsidSect="00CA73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47050"/>
    <w:multiLevelType w:val="multilevel"/>
    <w:tmpl w:val="F1DA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42B60"/>
    <w:rsid w:val="00242B60"/>
    <w:rsid w:val="00CA730E"/>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3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2B60"/>
    <w:rPr>
      <w:color w:val="0000FF"/>
      <w:u w:val="single"/>
    </w:rPr>
  </w:style>
  <w:style w:type="paragraph" w:customStyle="1" w:styleId="tx">
    <w:name w:val="tx"/>
    <w:basedOn w:val="Normal"/>
    <w:rsid w:val="00242B60"/>
    <w:pPr>
      <w:spacing w:before="100" w:beforeAutospacing="1" w:after="100" w:afterAutospacing="1" w:line="240" w:lineRule="auto"/>
    </w:pPr>
    <w:rPr>
      <w:rFonts w:ascii="Times New Roman" w:eastAsia="Times New Roman" w:hAnsi="Times New Roman" w:cs="Times New Roman"/>
      <w:sz w:val="24"/>
      <w:szCs w:val="24"/>
      <w:lang w:bidi="hi-IN"/>
    </w:rPr>
  </w:style>
  <w:style w:type="paragraph" w:customStyle="1" w:styleId="contentmainhead">
    <w:name w:val="content_main_head"/>
    <w:basedOn w:val="Normal"/>
    <w:rsid w:val="00242B60"/>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apple-converted-space">
    <w:name w:val="apple-converted-space"/>
    <w:basedOn w:val="DefaultParagraphFont"/>
    <w:rsid w:val="00242B60"/>
  </w:style>
  <w:style w:type="paragraph" w:styleId="z-TopofForm">
    <w:name w:val="HTML Top of Form"/>
    <w:basedOn w:val="Normal"/>
    <w:next w:val="Normal"/>
    <w:link w:val="z-TopofFormChar"/>
    <w:hidden/>
    <w:uiPriority w:val="99"/>
    <w:semiHidden/>
    <w:unhideWhenUsed/>
    <w:rsid w:val="00242B60"/>
    <w:pPr>
      <w:pBdr>
        <w:bottom w:val="single" w:sz="6" w:space="1" w:color="auto"/>
      </w:pBdr>
      <w:spacing w:after="0" w:line="240" w:lineRule="auto"/>
      <w:jc w:val="center"/>
    </w:pPr>
    <w:rPr>
      <w:rFonts w:ascii="Arial" w:eastAsia="Times New Roman" w:hAnsi="Arial" w:cs="Mangal"/>
      <w:vanish/>
      <w:sz w:val="16"/>
      <w:szCs w:val="14"/>
      <w:lang w:bidi="hi-IN"/>
    </w:rPr>
  </w:style>
  <w:style w:type="character" w:customStyle="1" w:styleId="z-TopofFormChar">
    <w:name w:val="z-Top of Form Char"/>
    <w:basedOn w:val="DefaultParagraphFont"/>
    <w:link w:val="z-TopofForm"/>
    <w:uiPriority w:val="99"/>
    <w:semiHidden/>
    <w:rsid w:val="00242B60"/>
    <w:rPr>
      <w:rFonts w:ascii="Arial" w:eastAsia="Times New Roman" w:hAnsi="Arial" w:cs="Mangal"/>
      <w:vanish/>
      <w:sz w:val="16"/>
      <w:szCs w:val="14"/>
      <w:lang w:bidi="hi-IN"/>
    </w:rPr>
  </w:style>
  <w:style w:type="paragraph" w:styleId="z-BottomofForm">
    <w:name w:val="HTML Bottom of Form"/>
    <w:basedOn w:val="Normal"/>
    <w:next w:val="Normal"/>
    <w:link w:val="z-BottomofFormChar"/>
    <w:hidden/>
    <w:uiPriority w:val="99"/>
    <w:unhideWhenUsed/>
    <w:rsid w:val="00242B60"/>
    <w:pPr>
      <w:pBdr>
        <w:top w:val="single" w:sz="6" w:space="1" w:color="auto"/>
      </w:pBdr>
      <w:spacing w:after="0" w:line="240" w:lineRule="auto"/>
      <w:jc w:val="center"/>
    </w:pPr>
    <w:rPr>
      <w:rFonts w:ascii="Arial" w:eastAsia="Times New Roman" w:hAnsi="Arial" w:cs="Mangal"/>
      <w:vanish/>
      <w:sz w:val="16"/>
      <w:szCs w:val="14"/>
      <w:lang w:bidi="hi-IN"/>
    </w:rPr>
  </w:style>
  <w:style w:type="character" w:customStyle="1" w:styleId="z-BottomofFormChar">
    <w:name w:val="z-Bottom of Form Char"/>
    <w:basedOn w:val="DefaultParagraphFont"/>
    <w:link w:val="z-BottomofForm"/>
    <w:uiPriority w:val="99"/>
    <w:rsid w:val="00242B60"/>
    <w:rPr>
      <w:rFonts w:ascii="Arial" w:eastAsia="Times New Roman" w:hAnsi="Arial" w:cs="Mangal"/>
      <w:vanish/>
      <w:sz w:val="16"/>
      <w:szCs w:val="14"/>
      <w:lang w:bidi="hi-IN"/>
    </w:rPr>
  </w:style>
  <w:style w:type="paragraph" w:customStyle="1" w:styleId="indent1">
    <w:name w:val="indent1"/>
    <w:basedOn w:val="Normal"/>
    <w:rsid w:val="00242B60"/>
    <w:pPr>
      <w:spacing w:before="100" w:beforeAutospacing="1" w:after="100" w:afterAutospacing="1" w:line="240" w:lineRule="auto"/>
    </w:pPr>
    <w:rPr>
      <w:rFonts w:ascii="Times New Roman" w:eastAsia="Times New Roman" w:hAnsi="Times New Roman" w:cs="Times New Roman"/>
      <w:sz w:val="24"/>
      <w:szCs w:val="24"/>
      <w:lang w:bidi="hi-IN"/>
    </w:rPr>
  </w:style>
</w:styles>
</file>

<file path=word/webSettings.xml><?xml version="1.0" encoding="utf-8"?>
<w:webSettings xmlns:r="http://schemas.openxmlformats.org/officeDocument/2006/relationships" xmlns:w="http://schemas.openxmlformats.org/wordprocessingml/2006/main">
  <w:divs>
    <w:div w:id="1637684379">
      <w:bodyDiv w:val="1"/>
      <w:marLeft w:val="0"/>
      <w:marRight w:val="0"/>
      <w:marTop w:val="0"/>
      <w:marBottom w:val="0"/>
      <w:divBdr>
        <w:top w:val="none" w:sz="0" w:space="0" w:color="auto"/>
        <w:left w:val="none" w:sz="0" w:space="0" w:color="auto"/>
        <w:bottom w:val="none" w:sz="0" w:space="0" w:color="auto"/>
        <w:right w:val="none" w:sz="0" w:space="0" w:color="auto"/>
      </w:divBdr>
      <w:divsChild>
        <w:div w:id="2123454978">
          <w:marLeft w:val="0"/>
          <w:marRight w:val="0"/>
          <w:marTop w:val="0"/>
          <w:marBottom w:val="0"/>
          <w:divBdr>
            <w:top w:val="none" w:sz="0" w:space="0" w:color="auto"/>
            <w:left w:val="none" w:sz="0" w:space="0" w:color="auto"/>
            <w:bottom w:val="none" w:sz="0" w:space="0" w:color="auto"/>
            <w:right w:val="none" w:sz="0" w:space="0" w:color="auto"/>
          </w:divBdr>
          <w:divsChild>
            <w:div w:id="622734976">
              <w:marLeft w:val="0"/>
              <w:marRight w:val="0"/>
              <w:marTop w:val="0"/>
              <w:marBottom w:val="0"/>
              <w:divBdr>
                <w:top w:val="none" w:sz="0" w:space="0" w:color="auto"/>
                <w:left w:val="none" w:sz="0" w:space="0" w:color="auto"/>
                <w:bottom w:val="none" w:sz="0" w:space="0" w:color="auto"/>
                <w:right w:val="none" w:sz="0" w:space="0" w:color="auto"/>
              </w:divBdr>
              <w:divsChild>
                <w:div w:id="1518155520">
                  <w:marLeft w:val="0"/>
                  <w:marRight w:val="0"/>
                  <w:marTop w:val="0"/>
                  <w:marBottom w:val="0"/>
                  <w:divBdr>
                    <w:top w:val="none" w:sz="0" w:space="0" w:color="auto"/>
                    <w:left w:val="none" w:sz="0" w:space="0" w:color="auto"/>
                    <w:bottom w:val="none" w:sz="0" w:space="0" w:color="auto"/>
                    <w:right w:val="none" w:sz="0" w:space="0" w:color="auto"/>
                  </w:divBdr>
                  <w:divsChild>
                    <w:div w:id="189030554">
                      <w:marLeft w:val="0"/>
                      <w:marRight w:val="0"/>
                      <w:marTop w:val="27"/>
                      <w:marBottom w:val="0"/>
                      <w:divBdr>
                        <w:top w:val="none" w:sz="0" w:space="0" w:color="auto"/>
                        <w:left w:val="none" w:sz="0" w:space="0" w:color="auto"/>
                        <w:bottom w:val="none" w:sz="0" w:space="0" w:color="auto"/>
                        <w:right w:val="none" w:sz="0" w:space="0" w:color="auto"/>
                      </w:divBdr>
                    </w:div>
                  </w:divsChild>
                </w:div>
              </w:divsChild>
            </w:div>
          </w:divsChild>
        </w:div>
        <w:div w:id="2015109899">
          <w:marLeft w:val="0"/>
          <w:marRight w:val="0"/>
          <w:marTop w:val="475"/>
          <w:marBottom w:val="0"/>
          <w:divBdr>
            <w:top w:val="none" w:sz="0" w:space="0" w:color="auto"/>
            <w:left w:val="none" w:sz="0" w:space="0" w:color="auto"/>
            <w:bottom w:val="none" w:sz="0" w:space="0" w:color="auto"/>
            <w:right w:val="none" w:sz="0" w:space="0" w:color="auto"/>
          </w:divBdr>
          <w:divsChild>
            <w:div w:id="839583854">
              <w:marLeft w:val="0"/>
              <w:marRight w:val="0"/>
              <w:marTop w:val="0"/>
              <w:marBottom w:val="0"/>
              <w:divBdr>
                <w:top w:val="none" w:sz="0" w:space="0" w:color="auto"/>
                <w:left w:val="none" w:sz="0" w:space="0" w:color="auto"/>
                <w:bottom w:val="none" w:sz="0" w:space="0" w:color="auto"/>
                <w:right w:val="none" w:sz="0" w:space="0" w:color="auto"/>
              </w:divBdr>
              <w:divsChild>
                <w:div w:id="498618722">
                  <w:marLeft w:val="0"/>
                  <w:marRight w:val="0"/>
                  <w:marTop w:val="0"/>
                  <w:marBottom w:val="0"/>
                  <w:divBdr>
                    <w:top w:val="none" w:sz="0" w:space="0" w:color="auto"/>
                    <w:left w:val="none" w:sz="0" w:space="0" w:color="auto"/>
                    <w:bottom w:val="none" w:sz="0" w:space="0" w:color="auto"/>
                    <w:right w:val="none" w:sz="0" w:space="0" w:color="auto"/>
                  </w:divBdr>
                  <w:divsChild>
                    <w:div w:id="84209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ShowMainContent('Act',%20'CMSID',%20'102120000000041599',%20'');" TargetMode="External"/><Relationship Id="rId13" Type="http://schemas.openxmlformats.org/officeDocument/2006/relationships/hyperlink" Target="http://www.incometaxindia.gov.in/_layouts/15/dit/Pages/viewer.aspx?path=/Documents/Left%20Menu/Ind-income-from-other-sources.htm&amp;IsDlg=1" TargetMode="External"/><Relationship Id="rId18" Type="http://schemas.openxmlformats.org/officeDocument/2006/relationships/hyperlink" Target="javascript:ShowMainContent('Act',%20'CMSID',%20'102120000000041419',%20'');" TargetMode="External"/><Relationship Id="rId26" Type="http://schemas.openxmlformats.org/officeDocument/2006/relationships/hyperlink" Target="javascript:ShowMainContent('Act',%20'CMSID',%20'102120000000041420',%20'');" TargetMode="External"/><Relationship Id="rId3" Type="http://schemas.openxmlformats.org/officeDocument/2006/relationships/settings" Target="settings.xml"/><Relationship Id="rId21" Type="http://schemas.openxmlformats.org/officeDocument/2006/relationships/hyperlink" Target="javascript:ShowMainContent('Act',%20'CMSID',%20'102120000000041419',%20'');" TargetMode="External"/><Relationship Id="rId7" Type="http://schemas.openxmlformats.org/officeDocument/2006/relationships/hyperlink" Target="javascript:ShowMainContent('Act',%20'CMSID',%20'102120000000041619',%20'');" TargetMode="External"/><Relationship Id="rId12" Type="http://schemas.openxmlformats.org/officeDocument/2006/relationships/hyperlink" Target="javascript:ShowMainContent('Act',%20'CMSID',%20'102120000000041020',%20'');" TargetMode="External"/><Relationship Id="rId17" Type="http://schemas.openxmlformats.org/officeDocument/2006/relationships/hyperlink" Target="javascript:ShowMainContent('Act',%20'CMSID',%20'102120000000041419',%20'');" TargetMode="External"/><Relationship Id="rId25" Type="http://schemas.openxmlformats.org/officeDocument/2006/relationships/hyperlink" Target="javascript:ShowMainContent('Act',%20'CMSID',%20'102120000000041420',%2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avascript:ShowMainContent('Act',%20'CMSID',%20'102120000000041599',%20'');" TargetMode="External"/><Relationship Id="rId20" Type="http://schemas.openxmlformats.org/officeDocument/2006/relationships/hyperlink" Target="javascript:ShowMainContent('Act',%20'CMSID',%20'102120000000041419',%20'');" TargetMode="External"/><Relationship Id="rId29" Type="http://schemas.openxmlformats.org/officeDocument/2006/relationships/hyperlink" Target="javascript:ShowMainContent('Act',%20'CMSID',%20'102120000000041420',%20'');" TargetMode="External"/><Relationship Id="rId1" Type="http://schemas.openxmlformats.org/officeDocument/2006/relationships/numbering" Target="numbering.xml"/><Relationship Id="rId6" Type="http://schemas.openxmlformats.org/officeDocument/2006/relationships/hyperlink" Target="http://www.incometaxindia.gov.in/_layouts/15/dit/Pages/viewer.aspx?path=/Documents/Left%20Menu/Ind-income-from-other-sources.htm&amp;IsDlg=1" TargetMode="External"/><Relationship Id="rId11" Type="http://schemas.openxmlformats.org/officeDocument/2006/relationships/hyperlink" Target="javascript:ShowMainContent('Act',%20'CMSID',%20'102120000000041633',%20'');" TargetMode="External"/><Relationship Id="rId24" Type="http://schemas.openxmlformats.org/officeDocument/2006/relationships/hyperlink" Target="javascript:ShowMainContent('Act',%20'CMSID',%20'102120000000041420',%20'');" TargetMode="External"/><Relationship Id="rId32" Type="http://schemas.openxmlformats.org/officeDocument/2006/relationships/fontTable" Target="fontTable.xml"/><Relationship Id="rId5" Type="http://schemas.openxmlformats.org/officeDocument/2006/relationships/hyperlink" Target="http://www.incometaxindia.gov.in/_layouts/15/dit/Pages/viewer.aspx?path=/Documents/Left%20Menu/Ind-income-from-other-sources.htm&amp;IsDlg=1" TargetMode="External"/><Relationship Id="rId15" Type="http://schemas.openxmlformats.org/officeDocument/2006/relationships/hyperlink" Target="javascript:ShowMainContent('Act',%20'CMSID',%20'102120000000041419',%20'');" TargetMode="External"/><Relationship Id="rId23" Type="http://schemas.openxmlformats.org/officeDocument/2006/relationships/hyperlink" Target="http://www.incometaxindia.gov.in/_layouts/15/dit/Pages/viewer.aspx?path=/Documents/Left%20Menu/Ind-income-from-other-sources.htm&amp;IsDlg=1" TargetMode="External"/><Relationship Id="rId28" Type="http://schemas.openxmlformats.org/officeDocument/2006/relationships/hyperlink" Target="javascript:ShowMainContent('Act',%20'CMSID',%20'102120000000041420',%20'');" TargetMode="External"/><Relationship Id="rId10" Type="http://schemas.openxmlformats.org/officeDocument/2006/relationships/hyperlink" Target="javascript:ShowMainContent('Act',%20'CMSID',%20'102120000000041619',%20'');" TargetMode="External"/><Relationship Id="rId19" Type="http://schemas.openxmlformats.org/officeDocument/2006/relationships/hyperlink" Target="javascript:ShowMainContent('Act',%20'CMSID',%20'102120000000041419',%20'');" TargetMode="External"/><Relationship Id="rId31" Type="http://schemas.openxmlformats.org/officeDocument/2006/relationships/hyperlink" Target="javascript:ShowMainContent('Act',%20'CMSID',%20'102120000000041420',%20'');" TargetMode="External"/><Relationship Id="rId4" Type="http://schemas.openxmlformats.org/officeDocument/2006/relationships/webSettings" Target="webSettings.xml"/><Relationship Id="rId9" Type="http://schemas.openxmlformats.org/officeDocument/2006/relationships/hyperlink" Target="http://www.incometaxindia.gov.in/_layouts/15/dit/Pages/viewer.aspx?path=/Documents/Left%20Menu/Ind-income-from-other-sources.htm&amp;IsDlg=1" TargetMode="External"/><Relationship Id="rId14" Type="http://schemas.openxmlformats.org/officeDocument/2006/relationships/hyperlink" Target="javascript:ShowMainContent('Act',%20'CMSID',%20'102120000000041419',%20'');" TargetMode="External"/><Relationship Id="rId22" Type="http://schemas.openxmlformats.org/officeDocument/2006/relationships/hyperlink" Target="javascript:ShowMainContent('Act',%20'CMSID',%20'102120000000041420',%20'');" TargetMode="External"/><Relationship Id="rId27" Type="http://schemas.openxmlformats.org/officeDocument/2006/relationships/hyperlink" Target="javascript:ShowMainContent('Act',%20'CMSID',%20'102120000000041420',%20'');" TargetMode="External"/><Relationship Id="rId30" Type="http://schemas.openxmlformats.org/officeDocument/2006/relationships/hyperlink" Target="javascript:ShowMainContent('Act',%20'CMSID',%20'10212000000004159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1388</Words>
  <Characters>7914</Characters>
  <Application>Microsoft Office Word</Application>
  <DocSecurity>0</DocSecurity>
  <Lines>65</Lines>
  <Paragraphs>18</Paragraphs>
  <ScaleCrop>false</ScaleCrop>
  <Company/>
  <LinksUpToDate>false</LinksUpToDate>
  <CharactersWithSpaces>9284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dc:creator>
  <cp:lastModifiedBy>Anand</cp:lastModifiedBy>
  <cp:revision>1</cp:revision>
  <dcterms:created xsi:type="dcterms:W3CDTF">2016-05-11T10:55:00Z</dcterms:created>
  <dcterms:modified xsi:type="dcterms:W3CDTF">2016-05-11T10:58:00Z</dcterms:modified>
</cp:coreProperties>
</file>