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EE1" w:rsidRDefault="00124EE1">
      <w:pPr>
        <w:rPr>
          <w:b/>
          <w:bCs/>
          <w:color w:val="444444"/>
          <w:sz w:val="27"/>
          <w:szCs w:val="27"/>
          <w:shd w:val="clear" w:color="auto" w:fill="FFFFFF"/>
        </w:rPr>
      </w:pPr>
      <w:r>
        <w:rPr>
          <w:b/>
          <w:bCs/>
          <w:color w:val="444444"/>
          <w:sz w:val="27"/>
          <w:szCs w:val="27"/>
          <w:shd w:val="clear" w:color="auto" w:fill="FFFFFF"/>
        </w:rPr>
        <w:t>Financial Year-2015-16</w:t>
      </w:r>
      <w:r>
        <w:rPr>
          <w:b/>
          <w:bCs/>
          <w:color w:val="444444"/>
          <w:sz w:val="27"/>
          <w:szCs w:val="27"/>
          <w:shd w:val="clear" w:color="auto" w:fill="FFFFFF"/>
        </w:rPr>
        <w:tab/>
      </w:r>
      <w:r>
        <w:rPr>
          <w:b/>
          <w:bCs/>
          <w:color w:val="444444"/>
          <w:sz w:val="27"/>
          <w:szCs w:val="27"/>
          <w:shd w:val="clear" w:color="auto" w:fill="FFFFFF"/>
        </w:rPr>
        <w:tab/>
      </w:r>
      <w:r>
        <w:rPr>
          <w:b/>
          <w:bCs/>
          <w:color w:val="444444"/>
          <w:sz w:val="27"/>
          <w:szCs w:val="27"/>
          <w:shd w:val="clear" w:color="auto" w:fill="FFFFFF"/>
        </w:rPr>
        <w:tab/>
      </w:r>
      <w:r>
        <w:rPr>
          <w:b/>
          <w:bCs/>
          <w:color w:val="444444"/>
          <w:sz w:val="27"/>
          <w:szCs w:val="27"/>
          <w:shd w:val="clear" w:color="auto" w:fill="FFFFFF"/>
        </w:rPr>
        <w:tab/>
      </w:r>
      <w:r>
        <w:rPr>
          <w:b/>
          <w:bCs/>
          <w:color w:val="444444"/>
          <w:sz w:val="27"/>
          <w:szCs w:val="27"/>
          <w:shd w:val="clear" w:color="auto" w:fill="FFFFFF"/>
        </w:rPr>
        <w:tab/>
        <w:t>Assessment Year-2016-17</w:t>
      </w:r>
    </w:p>
    <w:p w:rsidR="00D459DC" w:rsidRDefault="00F2619A">
      <w:r>
        <w:rPr>
          <w:b/>
          <w:bCs/>
          <w:color w:val="444444"/>
          <w:sz w:val="27"/>
          <w:szCs w:val="27"/>
          <w:shd w:val="clear" w:color="auto" w:fill="FFFFFF"/>
        </w:rPr>
        <w:t xml:space="preserve">                   </w:t>
      </w:r>
      <w:r w:rsidR="00CD577F" w:rsidRPr="00124EE1">
        <w:rPr>
          <w:b/>
          <w:bCs/>
          <w:color w:val="444444"/>
          <w:sz w:val="27"/>
          <w:szCs w:val="27"/>
          <w:shd w:val="clear" w:color="auto" w:fill="FFFFFF"/>
        </w:rPr>
        <w:t>Section 80D</w:t>
      </w:r>
      <w:r w:rsidR="00124EE1" w:rsidRPr="00124EE1">
        <w:rPr>
          <w:b/>
          <w:bCs/>
          <w:color w:val="444444"/>
          <w:sz w:val="27"/>
          <w:szCs w:val="27"/>
          <w:shd w:val="clear" w:color="auto" w:fill="FFFFFF"/>
        </w:rPr>
        <w:t xml:space="preserve"> –</w:t>
      </w:r>
      <w:r w:rsidR="00124EE1">
        <w:rPr>
          <w:b/>
          <w:bCs/>
          <w:color w:val="444444"/>
          <w:sz w:val="27"/>
          <w:szCs w:val="27"/>
          <w:shd w:val="clear" w:color="auto" w:fill="FFFFFF"/>
        </w:rPr>
        <w:t>Deduction in respect of health insurance premia.</w:t>
      </w:r>
    </w:p>
    <w:tbl>
      <w:tblPr>
        <w:tblStyle w:val="TableGrid"/>
        <w:tblW w:w="9479" w:type="dxa"/>
        <w:tblInd w:w="-1" w:type="dxa"/>
        <w:tblLook w:val="04A0"/>
      </w:tblPr>
      <w:tblGrid>
        <w:gridCol w:w="463"/>
        <w:gridCol w:w="4320"/>
        <w:gridCol w:w="1016"/>
        <w:gridCol w:w="1135"/>
        <w:gridCol w:w="2545"/>
      </w:tblGrid>
      <w:tr w:rsidR="00CD577F" w:rsidTr="00B72CCA">
        <w:tc>
          <w:tcPr>
            <w:tcW w:w="4783" w:type="dxa"/>
            <w:gridSpan w:val="2"/>
          </w:tcPr>
          <w:p w:rsidR="00CD577F" w:rsidRDefault="00CD577F" w:rsidP="00CD577F"/>
        </w:tc>
        <w:tc>
          <w:tcPr>
            <w:tcW w:w="2151" w:type="dxa"/>
            <w:gridSpan w:val="2"/>
          </w:tcPr>
          <w:p w:rsidR="00CD577F" w:rsidRDefault="00CD577F" w:rsidP="00CD577F">
            <w:r>
              <w:t xml:space="preserve">Deduction in the case of individual </w:t>
            </w:r>
          </w:p>
        </w:tc>
        <w:tc>
          <w:tcPr>
            <w:tcW w:w="2545" w:type="dxa"/>
          </w:tcPr>
          <w:p w:rsidR="00CD577F" w:rsidRDefault="00CD577F" w:rsidP="00CD577F">
            <w:r>
              <w:t>Deduction in case of HUF</w:t>
            </w:r>
          </w:p>
          <w:p w:rsidR="00CD577F" w:rsidRDefault="00CD577F" w:rsidP="00CD577F"/>
        </w:tc>
      </w:tr>
      <w:tr w:rsidR="00CD577F" w:rsidTr="00B72CCA">
        <w:tc>
          <w:tcPr>
            <w:tcW w:w="4783" w:type="dxa"/>
            <w:gridSpan w:val="2"/>
          </w:tcPr>
          <w:p w:rsidR="00CD577F" w:rsidRDefault="00CD577F" w:rsidP="00CD577F">
            <w:r>
              <w:t>Payment can be made for</w:t>
            </w:r>
          </w:p>
        </w:tc>
        <w:tc>
          <w:tcPr>
            <w:tcW w:w="1016" w:type="dxa"/>
            <w:tcBorders>
              <w:bottom w:val="single" w:sz="4" w:space="0" w:color="auto"/>
              <w:right w:val="single" w:sz="4" w:space="0" w:color="auto"/>
            </w:tcBorders>
          </w:tcPr>
          <w:p w:rsidR="00CD577F" w:rsidRDefault="00CD577F" w:rsidP="00CD577F">
            <w:r>
              <w:t>Assessee or family</w:t>
            </w:r>
            <w:r w:rsidR="00A44E2C">
              <w:t>*</w:t>
            </w:r>
          </w:p>
        </w:tc>
        <w:tc>
          <w:tcPr>
            <w:tcW w:w="1135" w:type="dxa"/>
            <w:tcBorders>
              <w:left w:val="single" w:sz="4" w:space="0" w:color="auto"/>
              <w:bottom w:val="single" w:sz="4" w:space="0" w:color="auto"/>
            </w:tcBorders>
          </w:tcPr>
          <w:p w:rsidR="00CD577F" w:rsidRDefault="00CD577F" w:rsidP="00CD577F">
            <w:pPr>
              <w:ind w:left="43"/>
            </w:pPr>
            <w:r>
              <w:t>Parents</w:t>
            </w:r>
          </w:p>
        </w:tc>
        <w:tc>
          <w:tcPr>
            <w:tcW w:w="2545" w:type="dxa"/>
            <w:tcBorders>
              <w:bottom w:val="single" w:sz="4" w:space="0" w:color="auto"/>
              <w:right w:val="single" w:sz="4" w:space="0" w:color="auto"/>
            </w:tcBorders>
          </w:tcPr>
          <w:p w:rsidR="00CD577F" w:rsidRDefault="00124EE1" w:rsidP="00CD577F">
            <w:r>
              <w:t>Any member of HUF</w:t>
            </w:r>
          </w:p>
        </w:tc>
      </w:tr>
      <w:tr w:rsidR="00B72CCA" w:rsidTr="00B72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4"/>
        </w:trPr>
        <w:tc>
          <w:tcPr>
            <w:tcW w:w="463" w:type="dxa"/>
            <w:vMerge w:val="restart"/>
            <w:shd w:val="clear" w:color="auto" w:fill="auto"/>
          </w:tcPr>
          <w:p w:rsidR="00B72CCA" w:rsidRDefault="00B72CCA" w:rsidP="00CD577F">
            <w:r>
              <w:t>A.</w:t>
            </w:r>
          </w:p>
        </w:tc>
        <w:tc>
          <w:tcPr>
            <w:tcW w:w="4320" w:type="dxa"/>
            <w:shd w:val="clear" w:color="auto" w:fill="auto"/>
          </w:tcPr>
          <w:p w:rsidR="00B72CCA" w:rsidRDefault="00B72CCA" w:rsidP="00CD577F">
            <w:r>
              <w:t>(a). Mediclaim Insurance Premium</w:t>
            </w:r>
            <w:r w:rsidR="00124EE1">
              <w:t xml:space="preserve"> other than cash.</w:t>
            </w:r>
          </w:p>
        </w:tc>
        <w:tc>
          <w:tcPr>
            <w:tcW w:w="1016" w:type="dxa"/>
          </w:tcPr>
          <w:p w:rsidR="00B72CCA" w:rsidRDefault="00B72CCA" w:rsidP="00CD577F">
            <w:r>
              <w:t>Eligible</w:t>
            </w:r>
          </w:p>
        </w:tc>
        <w:tc>
          <w:tcPr>
            <w:tcW w:w="1135" w:type="dxa"/>
          </w:tcPr>
          <w:p w:rsidR="00B72CCA" w:rsidRDefault="00B72CCA" w:rsidP="00CD577F">
            <w:r>
              <w:t>Eligible</w:t>
            </w:r>
          </w:p>
        </w:tc>
        <w:tc>
          <w:tcPr>
            <w:tcW w:w="2545" w:type="dxa"/>
            <w:shd w:val="clear" w:color="auto" w:fill="auto"/>
          </w:tcPr>
          <w:p w:rsidR="00B72CCA" w:rsidRDefault="00B72CCA">
            <w:r>
              <w:t>Eligible</w:t>
            </w:r>
          </w:p>
        </w:tc>
      </w:tr>
      <w:tr w:rsidR="00B72CCA" w:rsidTr="00B72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1"/>
        </w:trPr>
        <w:tc>
          <w:tcPr>
            <w:tcW w:w="463" w:type="dxa"/>
            <w:vMerge/>
            <w:shd w:val="clear" w:color="auto" w:fill="auto"/>
          </w:tcPr>
          <w:p w:rsidR="00B72CCA" w:rsidRDefault="00B72CCA" w:rsidP="00CD577F"/>
        </w:tc>
        <w:tc>
          <w:tcPr>
            <w:tcW w:w="4320" w:type="dxa"/>
            <w:shd w:val="clear" w:color="auto" w:fill="auto"/>
          </w:tcPr>
          <w:p w:rsidR="00B72CCA" w:rsidRDefault="00B72CCA" w:rsidP="00CD577F">
            <w:r>
              <w:t>(b). Contribution to CGHS/notified Scheme</w:t>
            </w:r>
            <w:r w:rsidR="00124EE1">
              <w:t xml:space="preserve"> other than cash.</w:t>
            </w:r>
          </w:p>
        </w:tc>
        <w:tc>
          <w:tcPr>
            <w:tcW w:w="1016" w:type="dxa"/>
          </w:tcPr>
          <w:p w:rsidR="00B72CCA" w:rsidRDefault="00B72CCA" w:rsidP="00CD577F">
            <w:r>
              <w:t>Eligible</w:t>
            </w:r>
          </w:p>
        </w:tc>
        <w:tc>
          <w:tcPr>
            <w:tcW w:w="1135" w:type="dxa"/>
          </w:tcPr>
          <w:p w:rsidR="00B72CCA" w:rsidRDefault="00B72CCA" w:rsidP="00CD577F">
            <w:r>
              <w:t>-</w:t>
            </w:r>
          </w:p>
        </w:tc>
        <w:tc>
          <w:tcPr>
            <w:tcW w:w="2545" w:type="dxa"/>
            <w:shd w:val="clear" w:color="auto" w:fill="auto"/>
          </w:tcPr>
          <w:p w:rsidR="00B72CCA" w:rsidRDefault="00B72CCA">
            <w:r>
              <w:t>-</w:t>
            </w:r>
          </w:p>
        </w:tc>
      </w:tr>
      <w:tr w:rsidR="00B72CCA" w:rsidTr="00B72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8"/>
        </w:trPr>
        <w:tc>
          <w:tcPr>
            <w:tcW w:w="463" w:type="dxa"/>
            <w:vMerge/>
            <w:shd w:val="clear" w:color="auto" w:fill="auto"/>
          </w:tcPr>
          <w:p w:rsidR="00B72CCA" w:rsidRDefault="00B72CCA" w:rsidP="00CD577F"/>
        </w:tc>
        <w:tc>
          <w:tcPr>
            <w:tcW w:w="4320" w:type="dxa"/>
            <w:shd w:val="clear" w:color="auto" w:fill="auto"/>
          </w:tcPr>
          <w:p w:rsidR="00B72CCA" w:rsidRDefault="00B72CCA" w:rsidP="00CD577F">
            <w:r>
              <w:t>(c). Preventive Health Check up Payment</w:t>
            </w:r>
            <w:r w:rsidR="00124EE1">
              <w:t xml:space="preserve"> by any mode</w:t>
            </w:r>
          </w:p>
        </w:tc>
        <w:tc>
          <w:tcPr>
            <w:tcW w:w="1016" w:type="dxa"/>
          </w:tcPr>
          <w:p w:rsidR="00B72CCA" w:rsidRDefault="00B72CCA" w:rsidP="00CD577F">
            <w:r>
              <w:t>Eligible</w:t>
            </w:r>
          </w:p>
        </w:tc>
        <w:tc>
          <w:tcPr>
            <w:tcW w:w="1135" w:type="dxa"/>
          </w:tcPr>
          <w:p w:rsidR="00B72CCA" w:rsidRDefault="00B72CCA" w:rsidP="00CD577F">
            <w:r>
              <w:t>Eligible</w:t>
            </w:r>
          </w:p>
        </w:tc>
        <w:tc>
          <w:tcPr>
            <w:tcW w:w="2545" w:type="dxa"/>
            <w:shd w:val="clear" w:color="auto" w:fill="auto"/>
          </w:tcPr>
          <w:p w:rsidR="00B72CCA" w:rsidRDefault="00B72CCA">
            <w:r>
              <w:t>-</w:t>
            </w:r>
          </w:p>
        </w:tc>
      </w:tr>
      <w:tr w:rsidR="00B72CCA" w:rsidTr="00A44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05"/>
        </w:trPr>
        <w:tc>
          <w:tcPr>
            <w:tcW w:w="463" w:type="dxa"/>
            <w:vMerge/>
            <w:shd w:val="clear" w:color="auto" w:fill="auto"/>
          </w:tcPr>
          <w:p w:rsidR="00B72CCA" w:rsidRDefault="00B72CCA" w:rsidP="00CD577F"/>
        </w:tc>
        <w:tc>
          <w:tcPr>
            <w:tcW w:w="4320" w:type="dxa"/>
            <w:shd w:val="clear" w:color="auto" w:fill="auto"/>
          </w:tcPr>
          <w:p w:rsidR="00F2619A" w:rsidRDefault="00B72CCA" w:rsidP="00CD577F">
            <w:r>
              <w:t>Maximum Deduction:</w:t>
            </w:r>
          </w:p>
          <w:p w:rsidR="00B72CCA" w:rsidRDefault="00F2619A" w:rsidP="00CD577F">
            <w:r>
              <w:t xml:space="preserve">- Deduction applicable to </w:t>
            </w:r>
            <w:r w:rsidR="00A37072">
              <w:t>(</w:t>
            </w:r>
            <w:r w:rsidR="00B72CCA">
              <w:t>a</w:t>
            </w:r>
            <w:r w:rsidR="00A37072">
              <w:t>)</w:t>
            </w:r>
            <w:r w:rsidR="00B72CCA">
              <w:t>,</w:t>
            </w:r>
            <w:r w:rsidR="00A37072">
              <w:t>(b) &amp;(</w:t>
            </w:r>
            <w:r w:rsidR="00B72CCA">
              <w:t>c</w:t>
            </w:r>
            <w:r w:rsidR="00A37072">
              <w:t>)</w:t>
            </w:r>
          </w:p>
          <w:p w:rsidR="00B72CCA" w:rsidRDefault="00B72CCA" w:rsidP="00CD577F">
            <w:r>
              <w:t>-Additional Deduction only in case of (a) when policy is taken on life of a senior citizen</w:t>
            </w:r>
          </w:p>
        </w:tc>
        <w:tc>
          <w:tcPr>
            <w:tcW w:w="1016" w:type="dxa"/>
          </w:tcPr>
          <w:p w:rsidR="00B72CCA" w:rsidRDefault="00B72CCA" w:rsidP="00CD577F"/>
          <w:p w:rsidR="00B72CCA" w:rsidRDefault="00B72CCA" w:rsidP="00CD577F">
            <w:r>
              <w:t>25000</w:t>
            </w:r>
          </w:p>
          <w:p w:rsidR="00B72CCA" w:rsidRDefault="00B72CCA" w:rsidP="00CD577F">
            <w:r>
              <w:t>5000</w:t>
            </w:r>
          </w:p>
        </w:tc>
        <w:tc>
          <w:tcPr>
            <w:tcW w:w="1135" w:type="dxa"/>
          </w:tcPr>
          <w:p w:rsidR="00B72CCA" w:rsidRDefault="00B72CCA" w:rsidP="00CD577F"/>
          <w:p w:rsidR="00B72CCA" w:rsidRDefault="00B72CCA" w:rsidP="00CD577F">
            <w:r>
              <w:t>25000</w:t>
            </w:r>
          </w:p>
          <w:p w:rsidR="00B72CCA" w:rsidRDefault="00B72CCA" w:rsidP="00CD577F">
            <w:r>
              <w:t>5000</w:t>
            </w:r>
          </w:p>
        </w:tc>
        <w:tc>
          <w:tcPr>
            <w:tcW w:w="2545" w:type="dxa"/>
            <w:shd w:val="clear" w:color="auto" w:fill="auto"/>
          </w:tcPr>
          <w:p w:rsidR="00A44E2C" w:rsidRDefault="00A44E2C"/>
          <w:p w:rsidR="00A44E2C" w:rsidRDefault="00A44E2C" w:rsidP="00A44E2C">
            <w:r>
              <w:t>25000</w:t>
            </w:r>
          </w:p>
          <w:p w:rsidR="00B72CCA" w:rsidRPr="00A44E2C" w:rsidRDefault="00A44E2C" w:rsidP="00A44E2C">
            <w:r>
              <w:t>5000</w:t>
            </w:r>
          </w:p>
        </w:tc>
      </w:tr>
      <w:tr w:rsidR="00A44E2C" w:rsidTr="00A44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89"/>
        </w:trPr>
        <w:tc>
          <w:tcPr>
            <w:tcW w:w="463" w:type="dxa"/>
            <w:shd w:val="clear" w:color="auto" w:fill="auto"/>
          </w:tcPr>
          <w:p w:rsidR="00A44E2C" w:rsidRDefault="00A44E2C" w:rsidP="00CD577F">
            <w:r>
              <w:t>B.</w:t>
            </w:r>
          </w:p>
        </w:tc>
        <w:tc>
          <w:tcPr>
            <w:tcW w:w="4320" w:type="dxa"/>
            <w:shd w:val="clear" w:color="auto" w:fill="auto"/>
          </w:tcPr>
          <w:p w:rsidR="00A44E2C" w:rsidRDefault="00A44E2C" w:rsidP="00CD577F">
            <w:r>
              <w:t>Medical Expenditure on the health of a person who is a super senior citizen if mediclaim insurance is not paid on the health of such person</w:t>
            </w:r>
          </w:p>
        </w:tc>
        <w:tc>
          <w:tcPr>
            <w:tcW w:w="1016" w:type="dxa"/>
          </w:tcPr>
          <w:p w:rsidR="00A44E2C" w:rsidRDefault="00A44E2C" w:rsidP="00CD577F">
            <w:r>
              <w:t>30000</w:t>
            </w:r>
          </w:p>
        </w:tc>
        <w:tc>
          <w:tcPr>
            <w:tcW w:w="1135" w:type="dxa"/>
          </w:tcPr>
          <w:p w:rsidR="00A44E2C" w:rsidRDefault="00A44E2C" w:rsidP="00CD577F">
            <w:r>
              <w:t>30000</w:t>
            </w:r>
          </w:p>
        </w:tc>
        <w:tc>
          <w:tcPr>
            <w:tcW w:w="2545" w:type="dxa"/>
            <w:shd w:val="clear" w:color="auto" w:fill="auto"/>
          </w:tcPr>
          <w:p w:rsidR="00A44E2C" w:rsidRDefault="00A44E2C">
            <w:r>
              <w:t>30000</w:t>
            </w:r>
          </w:p>
        </w:tc>
      </w:tr>
      <w:tr w:rsidR="00A44E2C" w:rsidTr="00A44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463" w:type="dxa"/>
            <w:shd w:val="clear" w:color="auto" w:fill="auto"/>
          </w:tcPr>
          <w:p w:rsidR="00A44E2C" w:rsidRDefault="00A44E2C" w:rsidP="00CD577F">
            <w:r>
              <w:t>C</w:t>
            </w:r>
          </w:p>
        </w:tc>
        <w:tc>
          <w:tcPr>
            <w:tcW w:w="4320" w:type="dxa"/>
            <w:shd w:val="clear" w:color="auto" w:fill="auto"/>
          </w:tcPr>
          <w:p w:rsidR="00A44E2C" w:rsidRDefault="00A44E2C" w:rsidP="00CD577F">
            <w:r>
              <w:t>Maximum Deduction in case of (A) and (B)</w:t>
            </w:r>
          </w:p>
        </w:tc>
        <w:tc>
          <w:tcPr>
            <w:tcW w:w="1016" w:type="dxa"/>
          </w:tcPr>
          <w:p w:rsidR="00A44E2C" w:rsidRDefault="00A44E2C" w:rsidP="00CD577F">
            <w:r>
              <w:t>30000</w:t>
            </w:r>
          </w:p>
        </w:tc>
        <w:tc>
          <w:tcPr>
            <w:tcW w:w="1135" w:type="dxa"/>
          </w:tcPr>
          <w:p w:rsidR="00A44E2C" w:rsidRDefault="00A44E2C" w:rsidP="00CD577F">
            <w:r>
              <w:t>30000</w:t>
            </w:r>
          </w:p>
        </w:tc>
        <w:tc>
          <w:tcPr>
            <w:tcW w:w="2545" w:type="dxa"/>
            <w:shd w:val="clear" w:color="auto" w:fill="auto"/>
          </w:tcPr>
          <w:p w:rsidR="00A44E2C" w:rsidRDefault="00A44E2C">
            <w:r>
              <w:t>30000</w:t>
            </w:r>
          </w:p>
        </w:tc>
      </w:tr>
    </w:tbl>
    <w:p w:rsidR="00A37072" w:rsidRDefault="00A44E2C">
      <w:r>
        <w:t>*family-</w:t>
      </w:r>
      <w:r w:rsidR="00F2619A">
        <w:t xml:space="preserve"> </w:t>
      </w:r>
      <w:r>
        <w:t>Spouse of the individual, dependent children</w:t>
      </w:r>
      <w:r w:rsidR="00124EE1">
        <w:t>.</w:t>
      </w:r>
    </w:p>
    <w:p w:rsidR="00F2619A" w:rsidRDefault="00F2619A"/>
    <w:p w:rsidR="00F2619A" w:rsidRDefault="00F2619A">
      <w:r>
        <w:t>Now u may go through Sec 80D of the Income Tax,1961 as given below</w:t>
      </w:r>
    </w:p>
    <w:p w:rsidR="00124EE1" w:rsidRPr="00A37072" w:rsidRDefault="00A37072" w:rsidP="00A37072">
      <w:r>
        <w:tab/>
      </w:r>
      <w:r>
        <w:tab/>
      </w:r>
      <w:r>
        <w:tab/>
      </w:r>
      <w:r>
        <w:tab/>
      </w:r>
      <w:r>
        <w:tab/>
      </w:r>
      <w:r>
        <w:tab/>
      </w:r>
      <w:r>
        <w:tab/>
      </w:r>
      <w:r>
        <w:tab/>
      </w:r>
      <w:r w:rsidR="00124EE1">
        <w:rPr>
          <w:rFonts w:ascii="Lato" w:eastAsia="Times New Roman" w:hAnsi="Lato" w:cs="Times New Roman"/>
          <w:color w:val="4D4D4D"/>
          <w:sz w:val="50"/>
          <w:szCs w:val="50"/>
          <w:u w:val="single"/>
          <w:bdr w:val="none" w:sz="0" w:space="0" w:color="auto" w:frame="1"/>
        </w:rPr>
        <w:br w:type="page"/>
      </w:r>
      <w:r>
        <w:rPr>
          <w:rFonts w:ascii="Lato" w:eastAsia="Times New Roman" w:hAnsi="Lato" w:cs="Times New Roman"/>
          <w:color w:val="4D4D4D"/>
          <w:sz w:val="50"/>
          <w:szCs w:val="50"/>
          <w:u w:val="single"/>
          <w:bdr w:val="none" w:sz="0" w:space="0" w:color="auto" w:frame="1"/>
        </w:rPr>
        <w:lastRenderedPageBreak/>
        <w:t xml:space="preserve"> </w:t>
      </w:r>
    </w:p>
    <w:p w:rsidR="00124EE1" w:rsidRPr="00124EE1" w:rsidRDefault="00124EE1" w:rsidP="00124EE1">
      <w:pPr>
        <w:spacing w:after="0" w:line="336" w:lineRule="atLeast"/>
        <w:jc w:val="center"/>
        <w:outlineLvl w:val="1"/>
        <w:rPr>
          <w:rFonts w:ascii="Lato" w:eastAsia="Times New Roman" w:hAnsi="Lato" w:cs="Times New Roman"/>
          <w:color w:val="4D4D4D"/>
          <w:sz w:val="50"/>
          <w:szCs w:val="50"/>
        </w:rPr>
      </w:pPr>
      <w:r w:rsidRPr="00124EE1">
        <w:rPr>
          <w:rFonts w:ascii="Lato" w:eastAsia="Times New Roman" w:hAnsi="Lato" w:cs="Times New Roman"/>
          <w:color w:val="4D4D4D"/>
          <w:sz w:val="50"/>
          <w:szCs w:val="50"/>
          <w:u w:val="single"/>
          <w:bdr w:val="none" w:sz="0" w:space="0" w:color="auto" w:frame="1"/>
        </w:rPr>
        <w:t>Deduction in respect of health insurance premia.</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80D. (1) In computing the total income of an assessee, being an individual or a Hindu undivided family, there shall be deducted such sum, as specified in sub-section (2) or sub-section (3), payment of which is made by any mode as specified in sub-section (2B), in the previous year out of his income chargeable to tax.</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(2) Where the assessee is an individual, the sum referred to in sub-section (1) shall be the aggregate of the following, namely:—</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(a)  the whole of the amount paid to effect or to keep in force an insurance on the health of the assessee or his family or any contribution made to the Central Government Health Scheme [or such other scheme as may be notified by the Central Government in this behalf] or any payment made on account of preventive health check-up of the assessee or his family as does not exceed in the aggregate [Twenty Five] thousand rupees; and</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(b)  the whole of the amount paid to effect or to keep in force an insurance on the health of the parent or parents of the assessee or any payment made on account of preventive health check-up of the parent or parents of the assessee as does not exceed in the aggregate [Twenty five] thousand rupees.</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Following clauses (c) and (d) shall be inserted after clause (b) of sub-section (2) of section 80D by the Finance Act, 2015, w.e.f. 1-4-2016 :</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lastRenderedPageBreak/>
        <w:t>(c)  the whole of the amount paid on account of medical expenditure incurred on the health of the assessee or any member of his family as does not exceed in the aggregate thirty thousand rupees; and</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(d)  the whole of the amount paid on account of medical expenditure incurred on the health of any parent of the assessee, as does not exceed in the aggregate thirty thousand rupees:</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Provided that the amount referred to in clause (c) or clause (d) is paid in respect of a very senior citizen and no amount has been paid to effect or to keep in force an insurance on the health of such person:</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Provided further that the aggregate of the sum specified under clause (a) and clause (c) or the aggregate of the sum specified under clause (b) and clause (d) shall not exceed thirty thousand rupees.</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 xml:space="preserve">Explanation.—For the purposes of clause (a), “family” means the spouse and </w:t>
      </w:r>
      <w:r w:rsidR="00F2619A" w:rsidRPr="00124EE1">
        <w:rPr>
          <w:rFonts w:ascii="Lato" w:eastAsia="Times New Roman" w:hAnsi="Lato" w:cs="Times New Roman"/>
          <w:color w:val="4D4D4D"/>
          <w:sz w:val="32"/>
          <w:szCs w:val="32"/>
        </w:rPr>
        <w:t>dependent</w:t>
      </w:r>
      <w:r w:rsidRPr="00124EE1">
        <w:rPr>
          <w:rFonts w:ascii="Lato" w:eastAsia="Times New Roman" w:hAnsi="Lato" w:cs="Times New Roman"/>
          <w:color w:val="4D4D4D"/>
          <w:sz w:val="32"/>
          <w:szCs w:val="32"/>
        </w:rPr>
        <w:t xml:space="preserve"> children of the assessee.</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(2A) Where the amounts referred to in clauses (a) and (b) of sub-section (2) are paid on account of preventive health check-up, the deduction for such amounts shall be allowed to the extent it does not exceed in the aggregate five thousand rupees.</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(2B) For the purposes of deduction under sub-section (1), the payment shall be made by—</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w:t>
      </w:r>
      <w:r w:rsidRPr="00124EE1">
        <w:rPr>
          <w:rFonts w:ascii="Lato" w:eastAsia="Times New Roman" w:hAnsi="Lato" w:cs="Times New Roman"/>
          <w:i/>
          <w:iCs/>
          <w:color w:val="4D4D4D"/>
          <w:sz w:val="32"/>
        </w:rPr>
        <w:t>i</w:t>
      </w:r>
      <w:r w:rsidRPr="00124EE1">
        <w:rPr>
          <w:rFonts w:ascii="Lato" w:eastAsia="Times New Roman" w:hAnsi="Lato" w:cs="Times New Roman"/>
          <w:color w:val="4D4D4D"/>
          <w:sz w:val="32"/>
          <w:szCs w:val="32"/>
        </w:rPr>
        <w:t>)  any mode, including cash, in respect of any sum paid on account of preventive health check-up;</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lastRenderedPageBreak/>
        <w:t>(</w:t>
      </w:r>
      <w:r w:rsidRPr="00124EE1">
        <w:rPr>
          <w:rFonts w:ascii="Lato" w:eastAsia="Times New Roman" w:hAnsi="Lato" w:cs="Times New Roman"/>
          <w:i/>
          <w:iCs/>
          <w:color w:val="4D4D4D"/>
          <w:sz w:val="32"/>
        </w:rPr>
        <w:t>ii</w:t>
      </w:r>
      <w:r w:rsidRPr="00124EE1">
        <w:rPr>
          <w:rFonts w:ascii="Lato" w:eastAsia="Times New Roman" w:hAnsi="Lato" w:cs="Times New Roman"/>
          <w:color w:val="4D4D4D"/>
          <w:sz w:val="32"/>
          <w:szCs w:val="32"/>
        </w:rPr>
        <w:t>)  any mode other than cash in all other cases not falling under clause (</w:t>
      </w:r>
      <w:r w:rsidRPr="00124EE1">
        <w:rPr>
          <w:rFonts w:ascii="Lato" w:eastAsia="Times New Roman" w:hAnsi="Lato" w:cs="Times New Roman"/>
          <w:i/>
          <w:iCs/>
          <w:color w:val="4D4D4D"/>
          <w:sz w:val="32"/>
        </w:rPr>
        <w:t>i</w:t>
      </w:r>
      <w:r w:rsidRPr="00124EE1">
        <w:rPr>
          <w:rFonts w:ascii="Lato" w:eastAsia="Times New Roman" w:hAnsi="Lato" w:cs="Times New Roman"/>
          <w:color w:val="4D4D4D"/>
          <w:sz w:val="32"/>
          <w:szCs w:val="32"/>
        </w:rPr>
        <w:t>).</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b/>
          <w:bCs/>
          <w:color w:val="4D4D4D"/>
          <w:sz w:val="32"/>
        </w:rPr>
        <w:t>Following sub-section (3) shall be substituted for the existing sub-section (3) of section 80D by the Finance Act, 2015, w.e.f. 1-4-2016 :</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i/>
          <w:iCs/>
          <w:color w:val="4D4D4D"/>
          <w:sz w:val="32"/>
        </w:rPr>
        <w:t>(3) Where the assessee is a Hindu undivided family, the sum referred to in sub-section (1), shall be the aggregate of the following, namely:—</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i/>
          <w:iCs/>
          <w:color w:val="4D4D4D"/>
          <w:sz w:val="32"/>
        </w:rPr>
        <w:t>(</w:t>
      </w:r>
      <w:r w:rsidRPr="00124EE1">
        <w:rPr>
          <w:rFonts w:ascii="Lato" w:eastAsia="Times New Roman" w:hAnsi="Lato" w:cs="Times New Roman"/>
          <w:color w:val="4D4D4D"/>
          <w:sz w:val="32"/>
          <w:szCs w:val="32"/>
        </w:rPr>
        <w:t>a</w:t>
      </w:r>
      <w:r w:rsidRPr="00124EE1">
        <w:rPr>
          <w:rFonts w:ascii="Lato" w:eastAsia="Times New Roman" w:hAnsi="Lato" w:cs="Times New Roman"/>
          <w:i/>
          <w:iCs/>
          <w:color w:val="4D4D4D"/>
          <w:sz w:val="32"/>
        </w:rPr>
        <w:t>)  whole of the amount paid to effect or to keep in force an insurance on the health of any member of that Hindu undivided family as does not exceed in the aggregate twenty-five thousand rupees; and</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i/>
          <w:iCs/>
          <w:color w:val="4D4D4D"/>
          <w:sz w:val="32"/>
        </w:rPr>
        <w:t>(</w:t>
      </w:r>
      <w:r w:rsidRPr="00124EE1">
        <w:rPr>
          <w:rFonts w:ascii="Lato" w:eastAsia="Times New Roman" w:hAnsi="Lato" w:cs="Times New Roman"/>
          <w:color w:val="4D4D4D"/>
          <w:sz w:val="32"/>
          <w:szCs w:val="32"/>
        </w:rPr>
        <w:t>b</w:t>
      </w:r>
      <w:r w:rsidRPr="00124EE1">
        <w:rPr>
          <w:rFonts w:ascii="Lato" w:eastAsia="Times New Roman" w:hAnsi="Lato" w:cs="Times New Roman"/>
          <w:i/>
          <w:iCs/>
          <w:color w:val="4D4D4D"/>
          <w:sz w:val="32"/>
        </w:rPr>
        <w:t>)  the whole of the amount paid on account of medical expenditure incurred on the health of any member of the Hindu undivided family as does not exceed in the aggregate thirty thousand rupees:</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b/>
          <w:bCs/>
          <w:color w:val="4D4D4D"/>
          <w:sz w:val="32"/>
        </w:rPr>
        <w:t>Provided </w:t>
      </w:r>
      <w:r w:rsidRPr="00124EE1">
        <w:rPr>
          <w:rFonts w:ascii="Lato" w:eastAsia="Times New Roman" w:hAnsi="Lato" w:cs="Times New Roman"/>
          <w:i/>
          <w:iCs/>
          <w:color w:val="4D4D4D"/>
          <w:sz w:val="32"/>
        </w:rPr>
        <w:t>that the amount referred to in clause (</w:t>
      </w:r>
      <w:r w:rsidRPr="00124EE1">
        <w:rPr>
          <w:rFonts w:ascii="Lato" w:eastAsia="Times New Roman" w:hAnsi="Lato" w:cs="Times New Roman"/>
          <w:color w:val="4D4D4D"/>
          <w:sz w:val="32"/>
          <w:szCs w:val="32"/>
        </w:rPr>
        <w:t>b</w:t>
      </w:r>
      <w:r w:rsidRPr="00124EE1">
        <w:rPr>
          <w:rFonts w:ascii="Lato" w:eastAsia="Times New Roman" w:hAnsi="Lato" w:cs="Times New Roman"/>
          <w:i/>
          <w:iCs/>
          <w:color w:val="4D4D4D"/>
          <w:sz w:val="32"/>
        </w:rPr>
        <w:t>)</w:t>
      </w:r>
      <w:r w:rsidRPr="00124EE1">
        <w:rPr>
          <w:rFonts w:ascii="Lato" w:eastAsia="Times New Roman" w:hAnsi="Lato" w:cs="Times New Roman"/>
          <w:color w:val="4D4D4D"/>
          <w:sz w:val="32"/>
          <w:szCs w:val="32"/>
        </w:rPr>
        <w:t> </w:t>
      </w:r>
      <w:r w:rsidRPr="00124EE1">
        <w:rPr>
          <w:rFonts w:ascii="Lato" w:eastAsia="Times New Roman" w:hAnsi="Lato" w:cs="Times New Roman"/>
          <w:i/>
          <w:iCs/>
          <w:color w:val="4D4D4D"/>
          <w:sz w:val="32"/>
        </w:rPr>
        <w:t>is paid in respect of a very senior citizen and no amount has been paid to effect or to keep in force an insurance on the health of such person:</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b/>
          <w:bCs/>
          <w:color w:val="4D4D4D"/>
          <w:sz w:val="32"/>
        </w:rPr>
        <w:t>Provided further </w:t>
      </w:r>
      <w:r w:rsidRPr="00124EE1">
        <w:rPr>
          <w:rFonts w:ascii="Lato" w:eastAsia="Times New Roman" w:hAnsi="Lato" w:cs="Times New Roman"/>
          <w:i/>
          <w:iCs/>
          <w:color w:val="4D4D4D"/>
          <w:sz w:val="32"/>
        </w:rPr>
        <w:t>that the aggregate of the sum specified under clause (</w:t>
      </w:r>
      <w:r w:rsidRPr="00124EE1">
        <w:rPr>
          <w:rFonts w:ascii="Lato" w:eastAsia="Times New Roman" w:hAnsi="Lato" w:cs="Times New Roman"/>
          <w:color w:val="4D4D4D"/>
          <w:sz w:val="32"/>
          <w:szCs w:val="32"/>
        </w:rPr>
        <w:t>a</w:t>
      </w:r>
      <w:r w:rsidRPr="00124EE1">
        <w:rPr>
          <w:rFonts w:ascii="Lato" w:eastAsia="Times New Roman" w:hAnsi="Lato" w:cs="Times New Roman"/>
          <w:i/>
          <w:iCs/>
          <w:color w:val="4D4D4D"/>
          <w:sz w:val="32"/>
        </w:rPr>
        <w:t>) and clause (</w:t>
      </w:r>
      <w:r w:rsidRPr="00124EE1">
        <w:rPr>
          <w:rFonts w:ascii="Lato" w:eastAsia="Times New Roman" w:hAnsi="Lato" w:cs="Times New Roman"/>
          <w:color w:val="4D4D4D"/>
          <w:sz w:val="32"/>
          <w:szCs w:val="32"/>
        </w:rPr>
        <w:t>b</w:t>
      </w:r>
      <w:r w:rsidRPr="00124EE1">
        <w:rPr>
          <w:rFonts w:ascii="Lato" w:eastAsia="Times New Roman" w:hAnsi="Lato" w:cs="Times New Roman"/>
          <w:i/>
          <w:iCs/>
          <w:color w:val="4D4D4D"/>
          <w:sz w:val="32"/>
        </w:rPr>
        <w:t>)</w:t>
      </w:r>
      <w:r w:rsidRPr="00124EE1">
        <w:rPr>
          <w:rFonts w:ascii="Lato" w:eastAsia="Times New Roman" w:hAnsi="Lato" w:cs="Times New Roman"/>
          <w:color w:val="4D4D4D"/>
          <w:sz w:val="32"/>
          <w:szCs w:val="32"/>
        </w:rPr>
        <w:t> </w:t>
      </w:r>
      <w:r w:rsidRPr="00124EE1">
        <w:rPr>
          <w:rFonts w:ascii="Lato" w:eastAsia="Times New Roman" w:hAnsi="Lato" w:cs="Times New Roman"/>
          <w:i/>
          <w:iCs/>
          <w:color w:val="4D4D4D"/>
          <w:sz w:val="32"/>
        </w:rPr>
        <w:t>shall not exceed thirty thousand rupees.</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(4) Where the sum specified in clause (</w:t>
      </w:r>
      <w:r w:rsidRPr="00124EE1">
        <w:rPr>
          <w:rFonts w:ascii="Lato" w:eastAsia="Times New Roman" w:hAnsi="Lato" w:cs="Times New Roman"/>
          <w:i/>
          <w:iCs/>
          <w:color w:val="4D4D4D"/>
          <w:sz w:val="32"/>
        </w:rPr>
        <w:t>a</w:t>
      </w:r>
      <w:r w:rsidRPr="00124EE1">
        <w:rPr>
          <w:rFonts w:ascii="Lato" w:eastAsia="Times New Roman" w:hAnsi="Lato" w:cs="Times New Roman"/>
          <w:color w:val="4D4D4D"/>
          <w:sz w:val="32"/>
          <w:szCs w:val="32"/>
        </w:rPr>
        <w:t>) or clause (</w:t>
      </w:r>
      <w:r w:rsidRPr="00124EE1">
        <w:rPr>
          <w:rFonts w:ascii="Lato" w:eastAsia="Times New Roman" w:hAnsi="Lato" w:cs="Times New Roman"/>
          <w:i/>
          <w:iCs/>
          <w:color w:val="4D4D4D"/>
          <w:sz w:val="32"/>
        </w:rPr>
        <w:t>b</w:t>
      </w:r>
      <w:r w:rsidRPr="00124EE1">
        <w:rPr>
          <w:rFonts w:ascii="Lato" w:eastAsia="Times New Roman" w:hAnsi="Lato" w:cs="Times New Roman"/>
          <w:color w:val="4D4D4D"/>
          <w:sz w:val="32"/>
          <w:szCs w:val="32"/>
        </w:rPr>
        <w:t>) of sub-section (2) </w:t>
      </w:r>
      <w:r w:rsidRPr="00124EE1">
        <w:rPr>
          <w:rFonts w:ascii="Lato" w:eastAsia="Times New Roman" w:hAnsi="Lato" w:cs="Times New Roman"/>
          <w:b/>
          <w:bCs/>
          <w:color w:val="4D4D4D"/>
          <w:sz w:val="32"/>
        </w:rPr>
        <w:t>[</w:t>
      </w:r>
      <w:r w:rsidRPr="00124EE1">
        <w:rPr>
          <w:rFonts w:ascii="Lato" w:eastAsia="Times New Roman" w:hAnsi="Lato" w:cs="Times New Roman"/>
          <w:i/>
          <w:iCs/>
          <w:color w:val="4D4D4D"/>
          <w:sz w:val="32"/>
        </w:rPr>
        <w:t>or in sub-section (3)</w:t>
      </w:r>
      <w:r w:rsidRPr="00124EE1">
        <w:rPr>
          <w:rFonts w:ascii="Lato" w:eastAsia="Times New Roman" w:hAnsi="Lato" w:cs="Times New Roman"/>
          <w:b/>
          <w:bCs/>
          <w:color w:val="4D4D4D"/>
          <w:sz w:val="32"/>
        </w:rPr>
        <w:t>]</w:t>
      </w:r>
      <w:r w:rsidRPr="00124EE1">
        <w:rPr>
          <w:rFonts w:ascii="Lato" w:eastAsia="Times New Roman" w:hAnsi="Lato" w:cs="Times New Roman"/>
          <w:color w:val="4D4D4D"/>
          <w:sz w:val="32"/>
          <w:szCs w:val="32"/>
        </w:rPr>
        <w:t> is paid to effect or keep in force an insurance on the health of any person specified therein, and who is a senior citizen, </w:t>
      </w:r>
      <w:r w:rsidRPr="00124EE1">
        <w:rPr>
          <w:rFonts w:ascii="Lato" w:eastAsia="Times New Roman" w:hAnsi="Lato" w:cs="Times New Roman"/>
          <w:b/>
          <w:bCs/>
          <w:color w:val="4D4D4D"/>
          <w:sz w:val="32"/>
        </w:rPr>
        <w:t>[</w:t>
      </w:r>
      <w:r w:rsidRPr="00124EE1">
        <w:rPr>
          <w:rFonts w:ascii="Lato" w:eastAsia="Times New Roman" w:hAnsi="Lato" w:cs="Times New Roman"/>
          <w:i/>
          <w:iCs/>
          <w:color w:val="4D4D4D"/>
          <w:sz w:val="32"/>
        </w:rPr>
        <w:t>or a very senior citizen</w:t>
      </w:r>
      <w:r w:rsidRPr="00124EE1">
        <w:rPr>
          <w:rFonts w:ascii="Lato" w:eastAsia="Times New Roman" w:hAnsi="Lato" w:cs="Times New Roman"/>
          <w:b/>
          <w:bCs/>
          <w:color w:val="4D4D4D"/>
          <w:sz w:val="32"/>
        </w:rPr>
        <w:t>]</w:t>
      </w:r>
      <w:r w:rsidRPr="00124EE1">
        <w:rPr>
          <w:rFonts w:ascii="Lato" w:eastAsia="Times New Roman" w:hAnsi="Lato" w:cs="Times New Roman"/>
          <w:color w:val="4D4D4D"/>
          <w:sz w:val="32"/>
          <w:szCs w:val="32"/>
        </w:rPr>
        <w:t>, the provisions of this section shall have effect as if for the words”</w:t>
      </w:r>
      <w:r w:rsidRPr="00124EE1">
        <w:rPr>
          <w:rFonts w:ascii="Lato" w:eastAsia="Times New Roman" w:hAnsi="Lato" w:cs="Times New Roman"/>
          <w:b/>
          <w:bCs/>
          <w:color w:val="4D4D4D"/>
          <w:sz w:val="32"/>
        </w:rPr>
        <w:t> [</w:t>
      </w:r>
      <w:r w:rsidRPr="00124EE1">
        <w:rPr>
          <w:rFonts w:ascii="Lato" w:eastAsia="Times New Roman" w:hAnsi="Lato" w:cs="Times New Roman"/>
          <w:i/>
          <w:iCs/>
          <w:color w:val="4D4D4D"/>
          <w:sz w:val="32"/>
        </w:rPr>
        <w:t>Twenty Five</w:t>
      </w:r>
      <w:r w:rsidRPr="00124EE1">
        <w:rPr>
          <w:rFonts w:ascii="Lato" w:eastAsia="Times New Roman" w:hAnsi="Lato" w:cs="Times New Roman"/>
          <w:b/>
          <w:bCs/>
          <w:color w:val="4D4D4D"/>
          <w:sz w:val="32"/>
        </w:rPr>
        <w:t>]</w:t>
      </w:r>
      <w:r w:rsidRPr="00124EE1">
        <w:rPr>
          <w:rFonts w:ascii="Lato" w:eastAsia="Times New Roman" w:hAnsi="Lato" w:cs="Times New Roman"/>
          <w:color w:val="4D4D4D"/>
          <w:sz w:val="32"/>
          <w:szCs w:val="32"/>
        </w:rPr>
        <w:t> thousand rupees”, the words ”</w:t>
      </w:r>
      <w:r w:rsidRPr="00124EE1">
        <w:rPr>
          <w:rFonts w:ascii="Lato" w:eastAsia="Times New Roman" w:hAnsi="Lato" w:cs="Times New Roman"/>
          <w:color w:val="4D4D4D"/>
          <w:sz w:val="32"/>
        </w:rPr>
        <w:t> </w:t>
      </w:r>
      <w:r w:rsidRPr="00124EE1">
        <w:rPr>
          <w:rFonts w:ascii="Lato" w:eastAsia="Times New Roman" w:hAnsi="Lato" w:cs="Times New Roman"/>
          <w:b/>
          <w:bCs/>
          <w:color w:val="4D4D4D"/>
          <w:sz w:val="32"/>
        </w:rPr>
        <w:t>[</w:t>
      </w:r>
      <w:r w:rsidRPr="00124EE1">
        <w:rPr>
          <w:rFonts w:ascii="Lato" w:eastAsia="Times New Roman" w:hAnsi="Lato" w:cs="Times New Roman"/>
          <w:i/>
          <w:iCs/>
          <w:color w:val="4D4D4D"/>
          <w:sz w:val="32"/>
        </w:rPr>
        <w:t>Thirty</w:t>
      </w:r>
      <w:r w:rsidRPr="00124EE1">
        <w:rPr>
          <w:rFonts w:ascii="Lato" w:eastAsia="Times New Roman" w:hAnsi="Lato" w:cs="Times New Roman"/>
          <w:b/>
          <w:bCs/>
          <w:color w:val="4D4D4D"/>
          <w:sz w:val="32"/>
        </w:rPr>
        <w:t>]</w:t>
      </w:r>
      <w:r w:rsidRPr="00124EE1">
        <w:rPr>
          <w:rFonts w:ascii="Lato" w:eastAsia="Times New Roman" w:hAnsi="Lato" w:cs="Times New Roman"/>
          <w:color w:val="4D4D4D"/>
          <w:sz w:val="32"/>
          <w:szCs w:val="32"/>
        </w:rPr>
        <w:t> thousand rupees” had been substituted.</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b/>
          <w:bCs/>
          <w:color w:val="4D4D4D"/>
          <w:sz w:val="32"/>
        </w:rPr>
        <w:lastRenderedPageBreak/>
        <w:t>[</w:t>
      </w:r>
      <w:r w:rsidRPr="00124EE1">
        <w:rPr>
          <w:rFonts w:ascii="Lato" w:eastAsia="Times New Roman" w:hAnsi="Lato" w:cs="Times New Roman"/>
          <w:color w:val="4D4D4D"/>
          <w:sz w:val="32"/>
          <w:szCs w:val="32"/>
        </w:rPr>
        <w:t>Explanation.—</w:t>
      </w:r>
      <w:r w:rsidRPr="00124EE1">
        <w:rPr>
          <w:rFonts w:ascii="Lato" w:eastAsia="Times New Roman" w:hAnsi="Lato" w:cs="Times New Roman"/>
          <w:i/>
          <w:iCs/>
          <w:color w:val="4D4D4D"/>
          <w:sz w:val="32"/>
        </w:rPr>
        <w:t>For the purposes of this sub-section, “senior citizen” means an individual resident in India who is of the age of sixty years</w:t>
      </w:r>
      <w:r w:rsidRPr="00124EE1">
        <w:rPr>
          <w:rFonts w:ascii="Lato" w:eastAsia="Times New Roman" w:hAnsi="Lato" w:cs="Times New Roman"/>
          <w:color w:val="4D4D4D"/>
          <w:sz w:val="32"/>
          <w:szCs w:val="32"/>
        </w:rPr>
        <w:t> </w:t>
      </w:r>
      <w:r w:rsidRPr="00124EE1">
        <w:rPr>
          <w:rFonts w:ascii="Lato" w:eastAsia="Times New Roman" w:hAnsi="Lato" w:cs="Times New Roman"/>
          <w:i/>
          <w:iCs/>
          <w:color w:val="4D4D4D"/>
          <w:sz w:val="32"/>
        </w:rPr>
        <w:t>or more at any time during the relevant previous year.</w:t>
      </w:r>
      <w:r w:rsidRPr="00124EE1">
        <w:rPr>
          <w:rFonts w:ascii="Lato" w:eastAsia="Times New Roman" w:hAnsi="Lato" w:cs="Times New Roman"/>
          <w:b/>
          <w:bCs/>
          <w:color w:val="4D4D4D"/>
          <w:sz w:val="32"/>
        </w:rPr>
        <w:t>]</w:t>
      </w:r>
    </w:p>
    <w:p w:rsidR="00124EE1" w:rsidRPr="00124EE1" w:rsidRDefault="00124EE1" w:rsidP="00124EE1">
      <w:pPr>
        <w:spacing w:after="335"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(5) The insurance referred to in this section shall be in accordance with a scheme made in this behalf by—</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w:t>
      </w:r>
      <w:r w:rsidRPr="00124EE1">
        <w:rPr>
          <w:rFonts w:ascii="Lato" w:eastAsia="Times New Roman" w:hAnsi="Lato" w:cs="Times New Roman"/>
          <w:i/>
          <w:iCs/>
          <w:color w:val="4D4D4D"/>
          <w:sz w:val="32"/>
        </w:rPr>
        <w:t>a</w:t>
      </w:r>
      <w:r w:rsidRPr="00124EE1">
        <w:rPr>
          <w:rFonts w:ascii="Lato" w:eastAsia="Times New Roman" w:hAnsi="Lato" w:cs="Times New Roman"/>
          <w:color w:val="4D4D4D"/>
          <w:sz w:val="32"/>
          <w:szCs w:val="32"/>
        </w:rPr>
        <w:t>)  the General Insurance Corporation of India formed under section 9 of the General Insurance Business (Nationalisation) Act, 1972 (57 of 1972) and approved by the Central Government in this behalf; or</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w:t>
      </w:r>
      <w:r w:rsidRPr="00124EE1">
        <w:rPr>
          <w:rFonts w:ascii="Lato" w:eastAsia="Times New Roman" w:hAnsi="Lato" w:cs="Times New Roman"/>
          <w:i/>
          <w:iCs/>
          <w:color w:val="4D4D4D"/>
          <w:sz w:val="32"/>
        </w:rPr>
        <w:t>b</w:t>
      </w:r>
      <w:r w:rsidRPr="00124EE1">
        <w:rPr>
          <w:rFonts w:ascii="Lato" w:eastAsia="Times New Roman" w:hAnsi="Lato" w:cs="Times New Roman"/>
          <w:color w:val="4D4D4D"/>
          <w:sz w:val="32"/>
          <w:szCs w:val="32"/>
        </w:rPr>
        <w:t>)  any other insurer and approved by the Insurance Regulatory and Development Authority established under sub-section (1) of section 3 of the Insurance Regulatory and Development Authority Act, 1999 (41 of 1999).</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b/>
          <w:bCs/>
          <w:color w:val="4D4D4D"/>
          <w:sz w:val="32"/>
        </w:rPr>
        <w:t>Following </w:t>
      </w:r>
      <w:r w:rsidRPr="00124EE1">
        <w:rPr>
          <w:rFonts w:ascii="Lato" w:eastAsia="Times New Roman" w:hAnsi="Lato" w:cs="Times New Roman"/>
          <w:b/>
          <w:bCs/>
          <w:i/>
          <w:iCs/>
          <w:color w:val="4D4D4D"/>
          <w:sz w:val="32"/>
        </w:rPr>
        <w:t>Explanation </w:t>
      </w:r>
      <w:r w:rsidRPr="00124EE1">
        <w:rPr>
          <w:rFonts w:ascii="Lato" w:eastAsia="Times New Roman" w:hAnsi="Lato" w:cs="Times New Roman"/>
          <w:b/>
          <w:bCs/>
          <w:color w:val="4D4D4D"/>
          <w:sz w:val="32"/>
        </w:rPr>
        <w:t>shall be inserted to section 80D by the Finance Act, 2015, w.e.f. 1-4-2016 :</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color w:val="4D4D4D"/>
          <w:sz w:val="32"/>
          <w:szCs w:val="32"/>
        </w:rPr>
        <w:t>Explanation.</w:t>
      </w:r>
      <w:r w:rsidRPr="00124EE1">
        <w:rPr>
          <w:rFonts w:ascii="Lato" w:eastAsia="Times New Roman" w:hAnsi="Lato" w:cs="Times New Roman"/>
          <w:i/>
          <w:iCs/>
          <w:color w:val="4D4D4D"/>
          <w:sz w:val="32"/>
        </w:rPr>
        <w:t>—For the purposes of this section,—</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i/>
          <w:iCs/>
          <w:color w:val="4D4D4D"/>
          <w:sz w:val="32"/>
        </w:rPr>
        <w:t>(</w:t>
      </w:r>
      <w:r w:rsidRPr="00124EE1">
        <w:rPr>
          <w:rFonts w:ascii="Lato" w:eastAsia="Times New Roman" w:hAnsi="Lato" w:cs="Times New Roman"/>
          <w:color w:val="4D4D4D"/>
          <w:sz w:val="32"/>
          <w:szCs w:val="32"/>
        </w:rPr>
        <w:t>i</w:t>
      </w:r>
      <w:r w:rsidRPr="00124EE1">
        <w:rPr>
          <w:rFonts w:ascii="Lato" w:eastAsia="Times New Roman" w:hAnsi="Lato" w:cs="Times New Roman"/>
          <w:i/>
          <w:iCs/>
          <w:color w:val="4D4D4D"/>
          <w:sz w:val="32"/>
        </w:rPr>
        <w:t>)  “senior citizen” means an individual resident in India who is of the age of sixty years or more at any time during the relevant previous year;</w:t>
      </w:r>
    </w:p>
    <w:p w:rsidR="00124EE1" w:rsidRPr="00124EE1" w:rsidRDefault="00124EE1" w:rsidP="00124EE1">
      <w:pPr>
        <w:spacing w:after="0" w:line="502" w:lineRule="atLeast"/>
        <w:jc w:val="both"/>
        <w:rPr>
          <w:rFonts w:ascii="Lato" w:eastAsia="Times New Roman" w:hAnsi="Lato" w:cs="Times New Roman"/>
          <w:color w:val="4D4D4D"/>
          <w:sz w:val="32"/>
          <w:szCs w:val="32"/>
        </w:rPr>
      </w:pPr>
      <w:r w:rsidRPr="00124EE1">
        <w:rPr>
          <w:rFonts w:ascii="Lato" w:eastAsia="Times New Roman" w:hAnsi="Lato" w:cs="Times New Roman"/>
          <w:i/>
          <w:iCs/>
          <w:color w:val="4D4D4D"/>
          <w:sz w:val="32"/>
        </w:rPr>
        <w:t>(</w:t>
      </w:r>
      <w:r w:rsidRPr="00124EE1">
        <w:rPr>
          <w:rFonts w:ascii="Lato" w:eastAsia="Times New Roman" w:hAnsi="Lato" w:cs="Times New Roman"/>
          <w:color w:val="4D4D4D"/>
          <w:sz w:val="32"/>
          <w:szCs w:val="32"/>
        </w:rPr>
        <w:t>ii</w:t>
      </w:r>
      <w:r w:rsidRPr="00124EE1">
        <w:rPr>
          <w:rFonts w:ascii="Lato" w:eastAsia="Times New Roman" w:hAnsi="Lato" w:cs="Times New Roman"/>
          <w:i/>
          <w:iCs/>
          <w:color w:val="4D4D4D"/>
          <w:sz w:val="32"/>
        </w:rPr>
        <w:t>)  “very senior citizen” means an individual resident in India who is of the age of eighty years or more at any time during the relevant previous year.</w:t>
      </w:r>
    </w:p>
    <w:p w:rsidR="00124EE1" w:rsidRDefault="00124EE1"/>
    <w:p w:rsidR="00124EE1" w:rsidRDefault="00124EE1"/>
    <w:sectPr w:rsidR="00124EE1" w:rsidSect="00D459D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429" w:rsidRDefault="004A5429" w:rsidP="00F2619A">
      <w:pPr>
        <w:spacing w:after="0" w:line="240" w:lineRule="auto"/>
      </w:pPr>
      <w:r>
        <w:separator/>
      </w:r>
    </w:p>
  </w:endnote>
  <w:endnote w:type="continuationSeparator" w:id="1">
    <w:p w:rsidR="004A5429" w:rsidRDefault="004A5429" w:rsidP="00F261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19A" w:rsidRDefault="00F2619A" w:rsidP="00F2619A">
    <w:pPr>
      <w:pStyle w:val="Footer"/>
      <w:jc w:val="right"/>
    </w:pPr>
    <w:r>
      <w:t>-Hiren Makwana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429" w:rsidRDefault="004A5429" w:rsidP="00F2619A">
      <w:pPr>
        <w:spacing w:after="0" w:line="240" w:lineRule="auto"/>
      </w:pPr>
      <w:r>
        <w:separator/>
      </w:r>
    </w:p>
  </w:footnote>
  <w:footnote w:type="continuationSeparator" w:id="1">
    <w:p w:rsidR="004A5429" w:rsidRDefault="004A5429" w:rsidP="00F261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19A" w:rsidRDefault="00F2619A">
    <w:pPr>
      <w:pStyle w:val="Header"/>
    </w:pPr>
  </w:p>
  <w:p w:rsidR="00F2619A" w:rsidRDefault="00F2619A">
    <w:r>
      <w:tab/>
    </w:r>
    <w:r>
      <w:tab/>
    </w:r>
    <w:r>
      <w:tab/>
    </w:r>
    <w:r>
      <w:tab/>
    </w:r>
    <w:r>
      <w:tab/>
    </w:r>
    <w:r>
      <w:tab/>
    </w:r>
    <w:r>
      <w:tab/>
    </w:r>
    <w:r>
      <w:tab/>
    </w:r>
    <w:r>
      <w:tab/>
    </w:r>
    <w:r>
      <w:tab/>
    </w:r>
    <w:r>
      <w:tab/>
    </w:r>
    <w:r>
      <w:tab/>
    </w:r>
    <w:r>
      <w:tab/>
    </w:r>
    <w:r>
      <w:tab/>
    </w:r>
    <w:r>
      <w:tab/>
    </w:r>
    <w:r>
      <w:tab/>
    </w:r>
    <w:r>
      <w:tab/>
    </w:r>
    <w:r>
      <w:tab/>
    </w:r>
    <w:r>
      <w:tab/>
    </w:r>
    <w:r>
      <w:tab/>
    </w: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CD577F"/>
    <w:rsid w:val="00124EE1"/>
    <w:rsid w:val="004A5429"/>
    <w:rsid w:val="00905C05"/>
    <w:rsid w:val="00A37072"/>
    <w:rsid w:val="00A44E2C"/>
    <w:rsid w:val="00B72CCA"/>
    <w:rsid w:val="00CD577F"/>
    <w:rsid w:val="00D459DC"/>
    <w:rsid w:val="00F2619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9DC"/>
  </w:style>
  <w:style w:type="paragraph" w:styleId="Heading2">
    <w:name w:val="heading 2"/>
    <w:basedOn w:val="Normal"/>
    <w:link w:val="Heading2Char"/>
    <w:uiPriority w:val="9"/>
    <w:qFormat/>
    <w:rsid w:val="00124E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57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24EE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24EE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24EE1"/>
    <w:rPr>
      <w:i/>
      <w:iCs/>
    </w:rPr>
  </w:style>
  <w:style w:type="character" w:styleId="Strong">
    <w:name w:val="Strong"/>
    <w:basedOn w:val="DefaultParagraphFont"/>
    <w:uiPriority w:val="22"/>
    <w:qFormat/>
    <w:rsid w:val="00124EE1"/>
    <w:rPr>
      <w:b/>
      <w:bCs/>
    </w:rPr>
  </w:style>
  <w:style w:type="character" w:customStyle="1" w:styleId="apple-converted-space">
    <w:name w:val="apple-converted-space"/>
    <w:basedOn w:val="DefaultParagraphFont"/>
    <w:rsid w:val="00124EE1"/>
  </w:style>
  <w:style w:type="paragraph" w:styleId="Header">
    <w:name w:val="header"/>
    <w:basedOn w:val="Normal"/>
    <w:link w:val="HeaderChar"/>
    <w:uiPriority w:val="99"/>
    <w:semiHidden/>
    <w:unhideWhenUsed/>
    <w:rsid w:val="00F2619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2619A"/>
  </w:style>
  <w:style w:type="paragraph" w:styleId="Footer">
    <w:name w:val="footer"/>
    <w:basedOn w:val="Normal"/>
    <w:link w:val="FooterChar"/>
    <w:uiPriority w:val="99"/>
    <w:semiHidden/>
    <w:unhideWhenUsed/>
    <w:rsid w:val="00F2619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2619A"/>
  </w:style>
</w:styles>
</file>

<file path=word/webSettings.xml><?xml version="1.0" encoding="utf-8"?>
<w:webSettings xmlns:r="http://schemas.openxmlformats.org/officeDocument/2006/relationships" xmlns:w="http://schemas.openxmlformats.org/wordprocessingml/2006/main">
  <w:divs>
    <w:div w:id="185657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87B21-3E69-4B6D-A213-E531A2DE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dc:description/>
  <cp:lastModifiedBy>sai</cp:lastModifiedBy>
  <cp:revision>4</cp:revision>
  <cp:lastPrinted>2015-11-12T07:23:00Z</cp:lastPrinted>
  <dcterms:created xsi:type="dcterms:W3CDTF">2015-11-11T11:50:00Z</dcterms:created>
  <dcterms:modified xsi:type="dcterms:W3CDTF">2015-11-12T07:24:00Z</dcterms:modified>
</cp:coreProperties>
</file>