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AA8" w:rsidRDefault="007673B6">
      <w:r>
        <w:t>Summary of Caselaws under Section 2(13)</w:t>
      </w:r>
      <w:r w:rsidR="00334377">
        <w:t>:</w:t>
      </w:r>
    </w:p>
    <w:p w:rsidR="00334377" w:rsidRDefault="00334377">
      <w:r>
        <w:t xml:space="preserve">This is a sample of some of the caselaws under Section 2(13) of Income Tax Act, 1961. Anyone interested in advertising in the book containing a larger list of case laws may contact me by sending a mail to </w:t>
      </w:r>
      <w:hyperlink r:id="rId6" w:history="1">
        <w:r w:rsidRPr="00141CE4">
          <w:rPr>
            <w:rStyle w:val="Hyperlink"/>
          </w:rPr>
          <w:t>carajusn@gmail.com</w:t>
        </w:r>
      </w:hyperlink>
      <w:r>
        <w:t xml:space="preserve">. </w:t>
      </w:r>
    </w:p>
    <w:tbl>
      <w:tblPr>
        <w:tblStyle w:val="TableGrid"/>
        <w:tblW w:w="0" w:type="auto"/>
        <w:tblLook w:val="04A0"/>
      </w:tblPr>
      <w:tblGrid>
        <w:gridCol w:w="2680"/>
        <w:gridCol w:w="2394"/>
        <w:gridCol w:w="2073"/>
        <w:gridCol w:w="2429"/>
      </w:tblGrid>
      <w:tr w:rsidR="00A022A0" w:rsidTr="00447B43">
        <w:tc>
          <w:tcPr>
            <w:tcW w:w="2680" w:type="dxa"/>
          </w:tcPr>
          <w:p w:rsidR="00A022A0" w:rsidRDefault="00A022A0">
            <w:r>
              <w:t>Case</w:t>
            </w:r>
          </w:p>
        </w:tc>
        <w:tc>
          <w:tcPr>
            <w:tcW w:w="2394" w:type="dxa"/>
          </w:tcPr>
          <w:p w:rsidR="00A022A0" w:rsidRDefault="00A022A0">
            <w:r>
              <w:t>Citation</w:t>
            </w:r>
          </w:p>
        </w:tc>
        <w:tc>
          <w:tcPr>
            <w:tcW w:w="2073" w:type="dxa"/>
          </w:tcPr>
          <w:p w:rsidR="00A022A0" w:rsidRDefault="00A022A0">
            <w:r>
              <w:t>Court</w:t>
            </w:r>
          </w:p>
        </w:tc>
        <w:tc>
          <w:tcPr>
            <w:tcW w:w="2429" w:type="dxa"/>
          </w:tcPr>
          <w:p w:rsidR="00A022A0" w:rsidRDefault="00A022A0">
            <w:r>
              <w:t>Decision in the case</w:t>
            </w:r>
          </w:p>
        </w:tc>
      </w:tr>
      <w:tr w:rsidR="00A022A0" w:rsidTr="00447B43">
        <w:tc>
          <w:tcPr>
            <w:tcW w:w="2680" w:type="dxa"/>
          </w:tcPr>
          <w:p w:rsidR="00A022A0" w:rsidRDefault="00A022A0" w:rsidP="00A022A0">
            <w:pPr>
              <w:spacing w:after="120"/>
            </w:pPr>
            <w:r>
              <w:rPr>
                <w:rFonts w:ascii="Arial" w:eastAsia="Times New Roman" w:hAnsi="Arial" w:cs="Arial"/>
                <w:b/>
                <w:bCs/>
                <w:sz w:val="24"/>
                <w:szCs w:val="24"/>
              </w:rPr>
              <w:t>Commissioner of Income tax-VI v. Yum Restaurants (I) (P.) Ltd.</w:t>
            </w:r>
            <w:hyperlink r:id="rId7" w:history="1">
              <w:r>
                <w:rPr>
                  <w:rFonts w:ascii="Arial" w:eastAsia="Times New Roman" w:hAnsi="Arial" w:cs="Arial"/>
                  <w:b/>
                  <w:bCs/>
                  <w:color w:val="0000FF"/>
                  <w:sz w:val="24"/>
                  <w:szCs w:val="24"/>
                  <w:u w:val="single"/>
                </w:rPr>
                <w:t>*</w:t>
              </w:r>
            </w:hyperlink>
          </w:p>
        </w:tc>
        <w:tc>
          <w:tcPr>
            <w:tcW w:w="2394" w:type="dxa"/>
          </w:tcPr>
          <w:p w:rsidR="00A022A0" w:rsidRDefault="00A022A0">
            <w:r>
              <w:rPr>
                <w:rFonts w:ascii="Arial" w:eastAsia="Times New Roman" w:hAnsi="Arial" w:cs="Arial"/>
                <w:caps/>
                <w:sz w:val="24"/>
                <w:szCs w:val="24"/>
              </w:rPr>
              <w:t>IT Appeal Nos. 151, 152 and 158 of 2012 and 614, 619, 661 &amp; 710 of 2014</w:t>
            </w:r>
          </w:p>
        </w:tc>
        <w:tc>
          <w:tcPr>
            <w:tcW w:w="2073" w:type="dxa"/>
          </w:tcPr>
          <w:p w:rsidR="00A022A0" w:rsidRDefault="00A022A0" w:rsidP="00A022A0">
            <w:pPr>
              <w:spacing w:after="120"/>
              <w:rPr>
                <w:rFonts w:ascii="Arial" w:eastAsia="Times New Roman" w:hAnsi="Arial" w:cs="Arial"/>
                <w:b/>
                <w:bCs/>
                <w:sz w:val="24"/>
                <w:szCs w:val="24"/>
              </w:rPr>
            </w:pPr>
            <w:r>
              <w:rPr>
                <w:rFonts w:ascii="Arial" w:eastAsia="Times New Roman" w:hAnsi="Arial" w:cs="Arial"/>
                <w:b/>
                <w:bCs/>
                <w:sz w:val="24"/>
                <w:szCs w:val="24"/>
              </w:rPr>
              <w:t>HIGH COURT OF DELHI</w:t>
            </w:r>
          </w:p>
          <w:p w:rsidR="00A022A0" w:rsidRDefault="00A022A0"/>
        </w:tc>
        <w:tc>
          <w:tcPr>
            <w:tcW w:w="2429" w:type="dxa"/>
          </w:tcPr>
          <w:p w:rsidR="00A022A0" w:rsidRDefault="00A022A0">
            <w:r>
              <w:rPr>
                <w:rFonts w:ascii="Arial" w:eastAsia="Times New Roman" w:hAnsi="Arial" w:cs="Arial"/>
                <w:b/>
                <w:bCs/>
                <w:sz w:val="24"/>
                <w:szCs w:val="24"/>
              </w:rPr>
              <w:t>Where assessee provided support services to KFC franchisees in India and to US brand holders of KFC as well, in a systematic and organized way continuously over a period, service income earned was to be treated as business income</w:t>
            </w:r>
          </w:p>
        </w:tc>
      </w:tr>
      <w:tr w:rsidR="00A022A0" w:rsidTr="00447B43">
        <w:tc>
          <w:tcPr>
            <w:tcW w:w="2680" w:type="dxa"/>
          </w:tcPr>
          <w:p w:rsidR="00A022A0" w:rsidRDefault="00A022A0" w:rsidP="00A022A0">
            <w:pPr>
              <w:spacing w:after="120"/>
              <w:jc w:val="center"/>
              <w:rPr>
                <w:rFonts w:ascii="Arial" w:eastAsia="Times New Roman" w:hAnsi="Arial" w:cs="Arial"/>
                <w:b/>
                <w:bCs/>
                <w:sz w:val="24"/>
                <w:szCs w:val="24"/>
              </w:rPr>
            </w:pPr>
            <w:r>
              <w:rPr>
                <w:rFonts w:ascii="Arial" w:eastAsia="Times New Roman" w:hAnsi="Arial" w:cs="Arial"/>
                <w:b/>
                <w:bCs/>
                <w:sz w:val="24"/>
                <w:szCs w:val="24"/>
              </w:rPr>
              <w:t>N.A. Baby</w:t>
            </w:r>
          </w:p>
          <w:p w:rsidR="00A022A0" w:rsidRDefault="00A022A0" w:rsidP="00A022A0">
            <w:pPr>
              <w:spacing w:after="120"/>
              <w:jc w:val="center"/>
              <w:rPr>
                <w:rFonts w:ascii="Arial" w:eastAsia="Times New Roman" w:hAnsi="Arial" w:cs="Arial"/>
                <w:b/>
                <w:bCs/>
                <w:i/>
                <w:iCs/>
                <w:sz w:val="24"/>
                <w:szCs w:val="24"/>
              </w:rPr>
            </w:pPr>
            <w:r>
              <w:rPr>
                <w:rFonts w:ascii="Arial" w:eastAsia="Times New Roman" w:hAnsi="Arial" w:cs="Arial"/>
                <w:b/>
                <w:bCs/>
                <w:i/>
                <w:iCs/>
                <w:sz w:val="24"/>
                <w:szCs w:val="24"/>
              </w:rPr>
              <w:t>v.</w:t>
            </w:r>
          </w:p>
          <w:p w:rsidR="00A022A0" w:rsidRDefault="00A022A0" w:rsidP="00A022A0">
            <w:r>
              <w:rPr>
                <w:rFonts w:ascii="Arial" w:eastAsia="Times New Roman" w:hAnsi="Arial" w:cs="Arial"/>
                <w:b/>
                <w:bCs/>
                <w:sz w:val="24"/>
                <w:szCs w:val="24"/>
              </w:rPr>
              <w:t>Deputy Commissioner of Income-tax, Central Circle, Thrissur</w:t>
            </w:r>
          </w:p>
        </w:tc>
        <w:tc>
          <w:tcPr>
            <w:tcW w:w="2394" w:type="dxa"/>
          </w:tcPr>
          <w:p w:rsidR="00A022A0" w:rsidRDefault="00A022A0">
            <w:r>
              <w:rPr>
                <w:rFonts w:ascii="Arial" w:eastAsia="Times New Roman" w:hAnsi="Arial" w:cs="Arial"/>
                <w:caps/>
                <w:sz w:val="24"/>
                <w:szCs w:val="24"/>
              </w:rPr>
              <w:t>IT Appeal Nos. 125 &amp; 127 of 2014</w:t>
            </w:r>
          </w:p>
        </w:tc>
        <w:tc>
          <w:tcPr>
            <w:tcW w:w="2073" w:type="dxa"/>
          </w:tcPr>
          <w:p w:rsidR="00A022A0" w:rsidRDefault="00A022A0" w:rsidP="00A022A0">
            <w:pPr>
              <w:spacing w:after="120"/>
              <w:jc w:val="center"/>
              <w:rPr>
                <w:rFonts w:ascii="Arial" w:eastAsia="Times New Roman" w:hAnsi="Arial" w:cs="Arial"/>
                <w:b/>
                <w:bCs/>
                <w:sz w:val="24"/>
                <w:szCs w:val="24"/>
              </w:rPr>
            </w:pPr>
            <w:r>
              <w:rPr>
                <w:rFonts w:ascii="Arial" w:eastAsia="Times New Roman" w:hAnsi="Arial" w:cs="Arial"/>
                <w:b/>
                <w:bCs/>
                <w:sz w:val="24"/>
                <w:szCs w:val="24"/>
              </w:rPr>
              <w:t>HIGH COURT OF KERALA</w:t>
            </w:r>
          </w:p>
          <w:p w:rsidR="00A022A0" w:rsidRDefault="00A022A0"/>
        </w:tc>
        <w:tc>
          <w:tcPr>
            <w:tcW w:w="2429" w:type="dxa"/>
          </w:tcPr>
          <w:p w:rsidR="00A022A0" w:rsidRDefault="00A022A0">
            <w:r>
              <w:rPr>
                <w:rFonts w:ascii="Arial" w:eastAsia="Times New Roman" w:hAnsi="Arial" w:cs="Arial"/>
                <w:b/>
                <w:bCs/>
                <w:sz w:val="24"/>
                <w:szCs w:val="24"/>
              </w:rPr>
              <w:t>Where assessee having purchased agricultural land, converted same into barren land and thereupon sold it within short period of purchase, said activity was to be regarded as adventure in nature of trade and, consequently, profit earned on sale of land was to be taxed as business income</w:t>
            </w:r>
          </w:p>
        </w:tc>
      </w:tr>
      <w:tr w:rsidR="00A022A0" w:rsidTr="00447B43">
        <w:tc>
          <w:tcPr>
            <w:tcW w:w="2680" w:type="dxa"/>
          </w:tcPr>
          <w:p w:rsidR="00A022A0" w:rsidRDefault="00A022A0" w:rsidP="00A022A0">
            <w:pPr>
              <w:spacing w:after="120"/>
              <w:jc w:val="center"/>
              <w:rPr>
                <w:rFonts w:ascii="Arial" w:eastAsia="Times New Roman" w:hAnsi="Arial" w:cs="Arial"/>
                <w:b/>
                <w:bCs/>
                <w:sz w:val="24"/>
                <w:szCs w:val="24"/>
              </w:rPr>
            </w:pPr>
            <w:r>
              <w:rPr>
                <w:rFonts w:ascii="Arial" w:eastAsia="Times New Roman" w:hAnsi="Arial" w:cs="Arial"/>
                <w:b/>
                <w:bCs/>
                <w:sz w:val="24"/>
                <w:szCs w:val="24"/>
              </w:rPr>
              <w:t>Commissioner of Income-tax, Central Circle, Bangalore</w:t>
            </w:r>
          </w:p>
          <w:p w:rsidR="00A022A0" w:rsidRDefault="00A022A0" w:rsidP="00A022A0">
            <w:pPr>
              <w:spacing w:after="120"/>
              <w:jc w:val="center"/>
              <w:rPr>
                <w:rFonts w:ascii="Arial" w:eastAsia="Times New Roman" w:hAnsi="Arial" w:cs="Arial"/>
                <w:b/>
                <w:bCs/>
                <w:i/>
                <w:iCs/>
                <w:sz w:val="24"/>
                <w:szCs w:val="24"/>
              </w:rPr>
            </w:pPr>
            <w:r>
              <w:rPr>
                <w:rFonts w:ascii="Arial" w:eastAsia="Times New Roman" w:hAnsi="Arial" w:cs="Arial"/>
                <w:b/>
                <w:bCs/>
                <w:i/>
                <w:iCs/>
                <w:sz w:val="24"/>
                <w:szCs w:val="24"/>
              </w:rPr>
              <w:t>v.</w:t>
            </w:r>
          </w:p>
          <w:p w:rsidR="00A022A0" w:rsidRDefault="00A022A0" w:rsidP="00A022A0">
            <w:r>
              <w:rPr>
                <w:rFonts w:ascii="Arial" w:eastAsia="Times New Roman" w:hAnsi="Arial" w:cs="Arial"/>
                <w:b/>
                <w:bCs/>
                <w:sz w:val="24"/>
                <w:szCs w:val="24"/>
              </w:rPr>
              <w:t xml:space="preserve">Irfan Razack Director of Prestige Estate </w:t>
            </w:r>
            <w:r>
              <w:rPr>
                <w:rFonts w:ascii="Arial" w:eastAsia="Times New Roman" w:hAnsi="Arial" w:cs="Arial"/>
                <w:b/>
                <w:bCs/>
                <w:sz w:val="24"/>
                <w:szCs w:val="24"/>
              </w:rPr>
              <w:lastRenderedPageBreak/>
              <w:t>Projects (P.) Ltd</w:t>
            </w:r>
          </w:p>
        </w:tc>
        <w:tc>
          <w:tcPr>
            <w:tcW w:w="2394" w:type="dxa"/>
          </w:tcPr>
          <w:p w:rsidR="00A022A0" w:rsidRDefault="00A022A0">
            <w:r>
              <w:rPr>
                <w:rFonts w:ascii="Arial" w:eastAsia="Times New Roman" w:hAnsi="Arial" w:cs="Arial"/>
                <w:caps/>
                <w:sz w:val="24"/>
                <w:szCs w:val="24"/>
              </w:rPr>
              <w:lastRenderedPageBreak/>
              <w:t>IT Appeal Nos. 809 &amp; 810 of 2008</w:t>
            </w:r>
          </w:p>
        </w:tc>
        <w:tc>
          <w:tcPr>
            <w:tcW w:w="2073" w:type="dxa"/>
          </w:tcPr>
          <w:p w:rsidR="00A022A0" w:rsidRDefault="00A022A0" w:rsidP="00A022A0">
            <w:pPr>
              <w:spacing w:after="120"/>
              <w:jc w:val="center"/>
              <w:rPr>
                <w:rFonts w:ascii="Arial" w:eastAsia="Times New Roman" w:hAnsi="Arial" w:cs="Arial"/>
                <w:b/>
                <w:bCs/>
                <w:sz w:val="24"/>
                <w:szCs w:val="24"/>
              </w:rPr>
            </w:pPr>
            <w:r>
              <w:rPr>
                <w:rFonts w:ascii="Arial" w:eastAsia="Times New Roman" w:hAnsi="Arial" w:cs="Arial"/>
                <w:b/>
                <w:bCs/>
                <w:sz w:val="24"/>
                <w:szCs w:val="24"/>
              </w:rPr>
              <w:t>HIGH COURT OF KARNATAKA</w:t>
            </w:r>
          </w:p>
          <w:p w:rsidR="00A022A0" w:rsidRDefault="00A022A0"/>
        </w:tc>
        <w:tc>
          <w:tcPr>
            <w:tcW w:w="2429" w:type="dxa"/>
          </w:tcPr>
          <w:p w:rsidR="00A022A0" w:rsidRDefault="006B3406">
            <w:r>
              <w:rPr>
                <w:rFonts w:ascii="Arial" w:eastAsia="Times New Roman" w:hAnsi="Arial" w:cs="Arial"/>
                <w:b/>
                <w:bCs/>
                <w:sz w:val="24"/>
                <w:szCs w:val="24"/>
              </w:rPr>
              <w:t>Solitary transaction of sale and purchase of land couldn't be termed as 'adventure in nature of trade'</w:t>
            </w:r>
          </w:p>
        </w:tc>
      </w:tr>
      <w:tr w:rsidR="00A022A0" w:rsidTr="00447B43">
        <w:tc>
          <w:tcPr>
            <w:tcW w:w="2680" w:type="dxa"/>
          </w:tcPr>
          <w:p w:rsidR="006B3406" w:rsidRDefault="006B3406" w:rsidP="006B3406">
            <w:pPr>
              <w:spacing w:after="120"/>
              <w:jc w:val="center"/>
              <w:rPr>
                <w:rFonts w:ascii="Arial" w:eastAsia="Times New Roman" w:hAnsi="Arial" w:cs="Arial"/>
                <w:b/>
                <w:bCs/>
                <w:sz w:val="24"/>
                <w:szCs w:val="24"/>
              </w:rPr>
            </w:pPr>
            <w:r>
              <w:rPr>
                <w:rFonts w:ascii="Arial" w:eastAsia="Times New Roman" w:hAnsi="Arial" w:cs="Arial"/>
                <w:b/>
                <w:bCs/>
                <w:sz w:val="24"/>
                <w:szCs w:val="24"/>
              </w:rPr>
              <w:lastRenderedPageBreak/>
              <w:t>Commissioner of Income-tax</w:t>
            </w:r>
          </w:p>
          <w:p w:rsidR="006B3406" w:rsidRDefault="006B3406" w:rsidP="006B3406">
            <w:pPr>
              <w:spacing w:after="120"/>
              <w:jc w:val="center"/>
              <w:rPr>
                <w:rFonts w:ascii="Arial" w:eastAsia="Times New Roman" w:hAnsi="Arial" w:cs="Arial"/>
                <w:b/>
                <w:bCs/>
                <w:i/>
                <w:iCs/>
                <w:sz w:val="24"/>
                <w:szCs w:val="24"/>
              </w:rPr>
            </w:pPr>
            <w:r>
              <w:rPr>
                <w:rFonts w:ascii="Arial" w:eastAsia="Times New Roman" w:hAnsi="Arial" w:cs="Arial"/>
                <w:b/>
                <w:bCs/>
                <w:i/>
                <w:iCs/>
                <w:sz w:val="24"/>
                <w:szCs w:val="24"/>
              </w:rPr>
              <w:t>v.</w:t>
            </w:r>
          </w:p>
          <w:p w:rsidR="00A022A0" w:rsidRDefault="006B3406" w:rsidP="006B3406">
            <w:r>
              <w:rPr>
                <w:rFonts w:ascii="Arial" w:eastAsia="Times New Roman" w:hAnsi="Arial" w:cs="Arial"/>
                <w:b/>
                <w:bCs/>
                <w:sz w:val="24"/>
                <w:szCs w:val="24"/>
              </w:rPr>
              <w:t>Smt. Sonia Uppal</w:t>
            </w:r>
          </w:p>
        </w:tc>
        <w:tc>
          <w:tcPr>
            <w:tcW w:w="2394" w:type="dxa"/>
          </w:tcPr>
          <w:p w:rsidR="00A022A0" w:rsidRDefault="006B3406">
            <w:r>
              <w:rPr>
                <w:rFonts w:ascii="Arial" w:eastAsia="Times New Roman" w:hAnsi="Arial" w:cs="Arial"/>
                <w:caps/>
                <w:sz w:val="24"/>
                <w:szCs w:val="24"/>
              </w:rPr>
              <w:t>IT Appeal No. 339 of 2013 (O &amp; M)</w:t>
            </w:r>
          </w:p>
        </w:tc>
        <w:tc>
          <w:tcPr>
            <w:tcW w:w="2073" w:type="dxa"/>
          </w:tcPr>
          <w:p w:rsidR="006B3406" w:rsidRDefault="006B3406" w:rsidP="006B3406">
            <w:pPr>
              <w:spacing w:after="120"/>
              <w:jc w:val="center"/>
              <w:rPr>
                <w:rFonts w:ascii="Arial" w:eastAsia="Times New Roman" w:hAnsi="Arial" w:cs="Arial"/>
                <w:b/>
                <w:bCs/>
                <w:sz w:val="24"/>
                <w:szCs w:val="24"/>
              </w:rPr>
            </w:pPr>
            <w:r>
              <w:rPr>
                <w:rFonts w:ascii="Arial" w:eastAsia="Times New Roman" w:hAnsi="Arial" w:cs="Arial"/>
                <w:b/>
                <w:bCs/>
                <w:sz w:val="24"/>
                <w:szCs w:val="24"/>
              </w:rPr>
              <w:t>HIGH COURT OF PUNJAB &amp; HARYANA</w:t>
            </w:r>
          </w:p>
          <w:p w:rsidR="00A022A0" w:rsidRDefault="00A022A0"/>
        </w:tc>
        <w:tc>
          <w:tcPr>
            <w:tcW w:w="2429" w:type="dxa"/>
          </w:tcPr>
          <w:p w:rsidR="00A022A0" w:rsidRDefault="006B3406">
            <w:r>
              <w:rPr>
                <w:rFonts w:ascii="Arial" w:eastAsia="Times New Roman" w:hAnsi="Arial" w:cs="Arial"/>
                <w:b/>
                <w:bCs/>
                <w:sz w:val="24"/>
                <w:szCs w:val="24"/>
              </w:rPr>
              <w:t>Where a person invests money in an asset with intention to hold it, enjoys its usufruct for some time and then sells it at enhanced price, it would be a case of capital accretion, and not an adventure in nature of trade</w:t>
            </w:r>
          </w:p>
        </w:tc>
      </w:tr>
      <w:tr w:rsidR="00A022A0" w:rsidTr="00447B43">
        <w:tc>
          <w:tcPr>
            <w:tcW w:w="2680" w:type="dxa"/>
          </w:tcPr>
          <w:p w:rsidR="00447B43" w:rsidRDefault="00447B43" w:rsidP="00447B43">
            <w:pPr>
              <w:spacing w:after="120"/>
              <w:jc w:val="center"/>
              <w:rPr>
                <w:rFonts w:ascii="Arial" w:eastAsia="Times New Roman" w:hAnsi="Arial" w:cs="Arial"/>
                <w:b/>
                <w:bCs/>
                <w:sz w:val="24"/>
                <w:szCs w:val="24"/>
              </w:rPr>
            </w:pPr>
            <w:r>
              <w:rPr>
                <w:rFonts w:ascii="Arial" w:eastAsia="Times New Roman" w:hAnsi="Arial" w:cs="Arial"/>
                <w:b/>
                <w:bCs/>
                <w:sz w:val="24"/>
                <w:szCs w:val="24"/>
              </w:rPr>
              <w:t>Vikram Vishwanath</w:t>
            </w:r>
          </w:p>
          <w:p w:rsidR="00447B43" w:rsidRDefault="00447B43" w:rsidP="00447B43">
            <w:pPr>
              <w:spacing w:after="120"/>
              <w:jc w:val="center"/>
              <w:rPr>
                <w:rFonts w:ascii="Arial" w:eastAsia="Times New Roman" w:hAnsi="Arial" w:cs="Arial"/>
                <w:b/>
                <w:bCs/>
                <w:i/>
                <w:iCs/>
                <w:sz w:val="24"/>
                <w:szCs w:val="24"/>
              </w:rPr>
            </w:pPr>
            <w:r>
              <w:rPr>
                <w:rFonts w:ascii="Arial" w:eastAsia="Times New Roman" w:hAnsi="Arial" w:cs="Arial"/>
                <w:b/>
                <w:bCs/>
                <w:i/>
                <w:iCs/>
                <w:sz w:val="24"/>
                <w:szCs w:val="24"/>
              </w:rPr>
              <w:t>v.</w:t>
            </w:r>
          </w:p>
          <w:p w:rsidR="00A022A0" w:rsidRDefault="00447B43" w:rsidP="00447B43">
            <w:r>
              <w:rPr>
                <w:rFonts w:ascii="Arial" w:eastAsia="Times New Roman" w:hAnsi="Arial" w:cs="Arial"/>
                <w:b/>
                <w:bCs/>
                <w:sz w:val="24"/>
                <w:szCs w:val="24"/>
              </w:rPr>
              <w:t>Joint Commissioner of Income-tax (OSD), Circle 12(5) Bangalore</w:t>
            </w:r>
          </w:p>
        </w:tc>
        <w:tc>
          <w:tcPr>
            <w:tcW w:w="2394" w:type="dxa"/>
          </w:tcPr>
          <w:p w:rsidR="00A022A0" w:rsidRDefault="00447B43">
            <w:r>
              <w:rPr>
                <w:rFonts w:ascii="Arial" w:eastAsia="Times New Roman" w:hAnsi="Arial" w:cs="Arial"/>
                <w:caps/>
                <w:sz w:val="24"/>
                <w:szCs w:val="24"/>
              </w:rPr>
              <w:t>IT Appeal No. 154 (Bang.) of 2013</w:t>
            </w:r>
          </w:p>
        </w:tc>
        <w:tc>
          <w:tcPr>
            <w:tcW w:w="2073" w:type="dxa"/>
          </w:tcPr>
          <w:p w:rsidR="00A022A0" w:rsidRDefault="00447B43">
            <w:r>
              <w:rPr>
                <w:rFonts w:ascii="Arial" w:eastAsia="Times New Roman" w:hAnsi="Arial" w:cs="Arial"/>
                <w:b/>
                <w:bCs/>
                <w:sz w:val="24"/>
                <w:szCs w:val="24"/>
              </w:rPr>
              <w:t>ITAT BANGALORE BENCH 'B'</w:t>
            </w:r>
          </w:p>
        </w:tc>
        <w:tc>
          <w:tcPr>
            <w:tcW w:w="2429" w:type="dxa"/>
          </w:tcPr>
          <w:p w:rsidR="00A022A0" w:rsidRDefault="00447B43">
            <w:r>
              <w:rPr>
                <w:rFonts w:ascii="Arial" w:eastAsia="Times New Roman" w:hAnsi="Arial" w:cs="Arial"/>
                <w:b/>
                <w:bCs/>
                <w:sz w:val="24"/>
                <w:szCs w:val="24"/>
              </w:rPr>
              <w:t>Transfer of asset on succession of business of a sole proprietary concern by a company cannot be regarded as transfer giving rise to tax on capital gain</w:t>
            </w:r>
          </w:p>
        </w:tc>
      </w:tr>
      <w:tr w:rsidR="00A022A0" w:rsidTr="00447B43">
        <w:tc>
          <w:tcPr>
            <w:tcW w:w="2680" w:type="dxa"/>
          </w:tcPr>
          <w:p w:rsidR="00447B43" w:rsidRDefault="00447B43" w:rsidP="00447B43">
            <w:pPr>
              <w:spacing w:after="120"/>
              <w:jc w:val="center"/>
              <w:rPr>
                <w:rFonts w:ascii="Arial" w:eastAsia="Times New Roman" w:hAnsi="Arial" w:cs="Arial"/>
                <w:b/>
                <w:bCs/>
                <w:sz w:val="24"/>
                <w:szCs w:val="24"/>
              </w:rPr>
            </w:pPr>
            <w:r>
              <w:rPr>
                <w:rFonts w:ascii="Arial" w:eastAsia="Times New Roman" w:hAnsi="Arial" w:cs="Arial"/>
                <w:b/>
                <w:bCs/>
                <w:sz w:val="24"/>
                <w:szCs w:val="24"/>
              </w:rPr>
              <w:t>Tulla Veerender</w:t>
            </w:r>
          </w:p>
          <w:p w:rsidR="00447B43" w:rsidRDefault="00447B43" w:rsidP="00447B43">
            <w:pPr>
              <w:spacing w:after="120"/>
              <w:jc w:val="center"/>
              <w:rPr>
                <w:rFonts w:ascii="Arial" w:eastAsia="Times New Roman" w:hAnsi="Arial" w:cs="Arial"/>
                <w:b/>
                <w:bCs/>
                <w:i/>
                <w:iCs/>
                <w:sz w:val="24"/>
                <w:szCs w:val="24"/>
              </w:rPr>
            </w:pPr>
            <w:r>
              <w:rPr>
                <w:rFonts w:ascii="Arial" w:eastAsia="Times New Roman" w:hAnsi="Arial" w:cs="Arial"/>
                <w:b/>
                <w:bCs/>
                <w:i/>
                <w:iCs/>
                <w:sz w:val="24"/>
                <w:szCs w:val="24"/>
              </w:rPr>
              <w:t>v.</w:t>
            </w:r>
          </w:p>
          <w:p w:rsidR="00A022A0" w:rsidRDefault="00447B43" w:rsidP="00447B43">
            <w:r>
              <w:rPr>
                <w:rFonts w:ascii="Arial" w:eastAsia="Times New Roman" w:hAnsi="Arial" w:cs="Arial"/>
                <w:b/>
                <w:bCs/>
                <w:sz w:val="24"/>
                <w:szCs w:val="24"/>
              </w:rPr>
              <w:t>Additional Commissioner of Income-tax, Range-6</w:t>
            </w:r>
          </w:p>
        </w:tc>
        <w:tc>
          <w:tcPr>
            <w:tcW w:w="2394" w:type="dxa"/>
          </w:tcPr>
          <w:p w:rsidR="00A022A0" w:rsidRDefault="00447B43">
            <w:r>
              <w:rPr>
                <w:rFonts w:ascii="Arial" w:eastAsia="Times New Roman" w:hAnsi="Arial" w:cs="Arial"/>
                <w:caps/>
                <w:sz w:val="24"/>
                <w:szCs w:val="24"/>
              </w:rPr>
              <w:t>IT Appeal Nos. 550 &amp; 551 (Hyd.) of 2012</w:t>
            </w:r>
          </w:p>
        </w:tc>
        <w:tc>
          <w:tcPr>
            <w:tcW w:w="2073" w:type="dxa"/>
          </w:tcPr>
          <w:p w:rsidR="00A022A0" w:rsidRDefault="00447B43">
            <w:r>
              <w:rPr>
                <w:rFonts w:ascii="Arial" w:eastAsia="Times New Roman" w:hAnsi="Arial" w:cs="Arial"/>
                <w:b/>
                <w:bCs/>
                <w:sz w:val="24"/>
                <w:szCs w:val="24"/>
              </w:rPr>
              <w:t>ITAT HYDERABAD BENCH 'B'</w:t>
            </w:r>
          </w:p>
        </w:tc>
        <w:tc>
          <w:tcPr>
            <w:tcW w:w="2429" w:type="dxa"/>
          </w:tcPr>
          <w:p w:rsidR="00A022A0" w:rsidRDefault="00447B43" w:rsidP="00447B43">
            <w:pPr>
              <w:spacing w:after="160"/>
              <w:ind w:left="453" w:right="453"/>
              <w:jc w:val="both"/>
            </w:pPr>
            <w:r>
              <w:rPr>
                <w:rFonts w:ascii="Arial" w:eastAsia="Times New Roman" w:hAnsi="Arial" w:cs="Arial"/>
                <w:b/>
                <w:bCs/>
                <w:sz w:val="24"/>
                <w:szCs w:val="24"/>
              </w:rPr>
              <w:t xml:space="preserve">Where intention of assessee from inception was to carry on agricultural operation on land in question, gain from its sale could not be taxed as profit arising from adventure in nature of trade, merely because of </w:t>
            </w:r>
            <w:r>
              <w:rPr>
                <w:rFonts w:ascii="Arial" w:eastAsia="Times New Roman" w:hAnsi="Arial" w:cs="Arial"/>
                <w:b/>
                <w:bCs/>
                <w:sz w:val="24"/>
                <w:szCs w:val="24"/>
              </w:rPr>
              <w:lastRenderedPageBreak/>
              <w:t xml:space="preserve">short period of holding </w:t>
            </w:r>
          </w:p>
        </w:tc>
      </w:tr>
    </w:tbl>
    <w:p w:rsidR="007673B6" w:rsidRDefault="007673B6" w:rsidP="00447B43"/>
    <w:sectPr w:rsidR="007673B6" w:rsidSect="00447B43">
      <w:footerReference w:type="default" r:id="rId8"/>
      <w:pgSz w:w="12240" w:h="15840"/>
      <w:pgMar w:top="1440" w:right="144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E05" w:rsidRDefault="005B1E05" w:rsidP="00447B43">
      <w:pPr>
        <w:spacing w:after="0" w:line="240" w:lineRule="auto"/>
      </w:pPr>
      <w:r>
        <w:separator/>
      </w:r>
    </w:p>
  </w:endnote>
  <w:endnote w:type="continuationSeparator" w:id="1">
    <w:p w:rsidR="005B1E05" w:rsidRDefault="005B1E05" w:rsidP="00447B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11968"/>
      <w:docPartObj>
        <w:docPartGallery w:val="Page Numbers (Bottom of Page)"/>
        <w:docPartUnique/>
      </w:docPartObj>
    </w:sdtPr>
    <w:sdtContent>
      <w:p w:rsidR="00447B43" w:rsidRDefault="00832949">
        <w:pPr>
          <w:pStyle w:val="Footer"/>
          <w:jc w:val="right"/>
        </w:pPr>
        <w:fldSimple w:instr=" PAGE   \* MERGEFORMAT ">
          <w:r w:rsidR="00334377">
            <w:rPr>
              <w:noProof/>
            </w:rPr>
            <w:t>1</w:t>
          </w:r>
        </w:fldSimple>
      </w:p>
    </w:sdtContent>
  </w:sdt>
  <w:p w:rsidR="00447B43" w:rsidRDefault="00447B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E05" w:rsidRDefault="005B1E05" w:rsidP="00447B43">
      <w:pPr>
        <w:spacing w:after="0" w:line="240" w:lineRule="auto"/>
      </w:pPr>
      <w:r>
        <w:separator/>
      </w:r>
    </w:p>
  </w:footnote>
  <w:footnote w:type="continuationSeparator" w:id="1">
    <w:p w:rsidR="005B1E05" w:rsidRDefault="005B1E05" w:rsidP="00447B4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673B6"/>
    <w:rsid w:val="00334377"/>
    <w:rsid w:val="00393946"/>
    <w:rsid w:val="00447B43"/>
    <w:rsid w:val="005B1E05"/>
    <w:rsid w:val="006B3406"/>
    <w:rsid w:val="007673B6"/>
    <w:rsid w:val="00832949"/>
    <w:rsid w:val="00A022A0"/>
    <w:rsid w:val="00AD7917"/>
    <w:rsid w:val="00CE2A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A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22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47B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47B43"/>
  </w:style>
  <w:style w:type="paragraph" w:styleId="Footer">
    <w:name w:val="footer"/>
    <w:basedOn w:val="Normal"/>
    <w:link w:val="FooterChar"/>
    <w:uiPriority w:val="99"/>
    <w:unhideWhenUsed/>
    <w:rsid w:val="00447B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B43"/>
  </w:style>
  <w:style w:type="character" w:styleId="Hyperlink">
    <w:name w:val="Hyperlink"/>
    <w:basedOn w:val="DefaultParagraphFont"/>
    <w:uiPriority w:val="99"/>
    <w:unhideWhenUsed/>
    <w:rsid w:val="0033437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rajusn@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Rohit</dc:creator>
  <cp:lastModifiedBy>Rohit</cp:lastModifiedBy>
  <cp:revision>5</cp:revision>
  <dcterms:created xsi:type="dcterms:W3CDTF">2015-10-17T12:23:00Z</dcterms:created>
  <dcterms:modified xsi:type="dcterms:W3CDTF">2015-10-17T12:46:00Z</dcterms:modified>
</cp:coreProperties>
</file>