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01A" w:rsidRPr="003D40E7" w:rsidRDefault="0064077B" w:rsidP="0064077B">
      <w:pPr>
        <w:jc w:val="center"/>
        <w:rPr>
          <w:b/>
          <w:i/>
          <w:sz w:val="28"/>
          <w:u w:val="single"/>
        </w:rPr>
      </w:pPr>
      <w:r w:rsidRPr="003D40E7">
        <w:rPr>
          <w:b/>
          <w:i/>
          <w:sz w:val="28"/>
          <w:u w:val="single"/>
        </w:rPr>
        <w:t>PARTITION OF HINDU UNDIVIDED FAMILY AND ITS TAXATION</w:t>
      </w:r>
    </w:p>
    <w:p w:rsidR="00EC6241" w:rsidRDefault="00EC6241" w:rsidP="00EC6241">
      <w:pPr>
        <w:rPr>
          <w:i/>
          <w:sz w:val="24"/>
          <w:szCs w:val="24"/>
        </w:rPr>
      </w:pPr>
      <w:r w:rsidRPr="003D40E7">
        <w:rPr>
          <w:i/>
          <w:sz w:val="24"/>
          <w:szCs w:val="24"/>
        </w:rPr>
        <w:t xml:space="preserve">As we know HUF </w:t>
      </w:r>
      <w:r w:rsidR="00FC4C00" w:rsidRPr="003D40E7">
        <w:rPr>
          <w:i/>
          <w:sz w:val="24"/>
          <w:szCs w:val="24"/>
        </w:rPr>
        <w:t>(Hindu</w:t>
      </w:r>
      <w:r w:rsidRPr="003D40E7">
        <w:rPr>
          <w:i/>
          <w:sz w:val="24"/>
          <w:szCs w:val="24"/>
        </w:rPr>
        <w:t xml:space="preserve"> Undivided Family) is assessed as a separate person under provisions of Income Tax Act, 1961. It has its own identity and right to own property</w:t>
      </w:r>
      <w:r w:rsidR="000D09D8">
        <w:rPr>
          <w:i/>
          <w:sz w:val="24"/>
          <w:szCs w:val="24"/>
        </w:rPr>
        <w:t xml:space="preserve"> but not a juristic person</w:t>
      </w:r>
      <w:r w:rsidRPr="003D40E7">
        <w:rPr>
          <w:i/>
          <w:sz w:val="24"/>
          <w:szCs w:val="24"/>
        </w:rPr>
        <w:t xml:space="preserve">. It can sue and be sued as a person. It is governed by Karta of the family and </w:t>
      </w:r>
      <w:r w:rsidR="00FC4C00" w:rsidRPr="003D40E7">
        <w:rPr>
          <w:i/>
          <w:sz w:val="24"/>
          <w:szCs w:val="24"/>
        </w:rPr>
        <w:t>consists</w:t>
      </w:r>
      <w:r w:rsidRPr="003D40E7">
        <w:rPr>
          <w:i/>
          <w:sz w:val="24"/>
          <w:szCs w:val="24"/>
        </w:rPr>
        <w:t xml:space="preserve"> of coparceners of a single family. </w:t>
      </w:r>
    </w:p>
    <w:p w:rsidR="005910D9" w:rsidRPr="003D40E7" w:rsidRDefault="00FC4C00" w:rsidP="00EC6241">
      <w:pPr>
        <w:rPr>
          <w:i/>
          <w:sz w:val="24"/>
          <w:szCs w:val="24"/>
        </w:rPr>
      </w:pPr>
      <w:r>
        <w:rPr>
          <w:i/>
          <w:sz w:val="24"/>
          <w:szCs w:val="24"/>
        </w:rPr>
        <w:t xml:space="preserve">HUF is charged at the same rate of taxes as applicable to individuals according to the provisions of Income Tax Act, 1961. </w:t>
      </w:r>
      <w:r w:rsidR="005910D9">
        <w:rPr>
          <w:i/>
          <w:sz w:val="24"/>
          <w:szCs w:val="24"/>
        </w:rPr>
        <w:t xml:space="preserve"> </w:t>
      </w:r>
    </w:p>
    <w:p w:rsidR="00EC6241" w:rsidRPr="003D40E7" w:rsidRDefault="00EC6241" w:rsidP="00EC6241">
      <w:pPr>
        <w:rPr>
          <w:i/>
          <w:sz w:val="24"/>
          <w:szCs w:val="24"/>
        </w:rPr>
      </w:pPr>
      <w:r w:rsidRPr="003D40E7">
        <w:rPr>
          <w:i/>
          <w:sz w:val="24"/>
          <w:szCs w:val="24"/>
        </w:rPr>
        <w:t xml:space="preserve">Partition means division of property. There must be property which can be physically divided among the members of the family. The division will be such as that the share of each member will be determined physically. </w:t>
      </w:r>
    </w:p>
    <w:p w:rsidR="00EC6241" w:rsidRPr="003D40E7" w:rsidRDefault="00EC6241" w:rsidP="00EC6241">
      <w:pPr>
        <w:rPr>
          <w:b/>
          <w:i/>
          <w:sz w:val="24"/>
          <w:szCs w:val="24"/>
        </w:rPr>
      </w:pPr>
      <w:r w:rsidRPr="003D40E7">
        <w:rPr>
          <w:b/>
          <w:i/>
          <w:sz w:val="24"/>
          <w:szCs w:val="24"/>
        </w:rPr>
        <w:t xml:space="preserve">Note: a division of income from any </w:t>
      </w:r>
      <w:r w:rsidR="00FC4C00" w:rsidRPr="003D40E7">
        <w:rPr>
          <w:b/>
          <w:i/>
          <w:sz w:val="24"/>
          <w:szCs w:val="24"/>
        </w:rPr>
        <w:t>property,</w:t>
      </w:r>
      <w:r w:rsidRPr="003D40E7">
        <w:rPr>
          <w:b/>
          <w:i/>
          <w:sz w:val="24"/>
          <w:szCs w:val="24"/>
        </w:rPr>
        <w:t xml:space="preserve"> without physical division of such property does not amount to </w:t>
      </w:r>
      <w:r w:rsidR="00FC4C00" w:rsidRPr="003D40E7">
        <w:rPr>
          <w:b/>
          <w:i/>
          <w:sz w:val="24"/>
          <w:szCs w:val="24"/>
        </w:rPr>
        <w:t>partition</w:t>
      </w:r>
      <w:r w:rsidRPr="003D40E7">
        <w:rPr>
          <w:b/>
          <w:i/>
          <w:sz w:val="24"/>
          <w:szCs w:val="24"/>
        </w:rPr>
        <w:t>.</w:t>
      </w:r>
    </w:p>
    <w:p w:rsidR="00EC6241" w:rsidRPr="003D40E7" w:rsidRDefault="003D40E7" w:rsidP="00EC6241">
      <w:pPr>
        <w:rPr>
          <w:b/>
          <w:i/>
          <w:sz w:val="24"/>
          <w:szCs w:val="24"/>
          <w:u w:val="single"/>
        </w:rPr>
      </w:pPr>
      <w:r w:rsidRPr="003D40E7">
        <w:rPr>
          <w:b/>
          <w:i/>
          <w:sz w:val="24"/>
          <w:szCs w:val="24"/>
          <w:u w:val="single"/>
        </w:rPr>
        <w:t>These persons are entitled to demand for partition of property;</w:t>
      </w:r>
    </w:p>
    <w:p w:rsidR="003D40E7" w:rsidRDefault="003D40E7" w:rsidP="003D40E7">
      <w:pPr>
        <w:pStyle w:val="ListParagraph"/>
        <w:numPr>
          <w:ilvl w:val="0"/>
          <w:numId w:val="1"/>
        </w:numPr>
        <w:rPr>
          <w:i/>
          <w:sz w:val="24"/>
          <w:szCs w:val="24"/>
        </w:rPr>
      </w:pPr>
      <w:r>
        <w:rPr>
          <w:i/>
          <w:sz w:val="24"/>
          <w:szCs w:val="24"/>
        </w:rPr>
        <w:t>All Coparceners;</w:t>
      </w:r>
    </w:p>
    <w:p w:rsidR="003D40E7" w:rsidRDefault="003D40E7" w:rsidP="003D40E7">
      <w:pPr>
        <w:pStyle w:val="ListParagraph"/>
        <w:numPr>
          <w:ilvl w:val="0"/>
          <w:numId w:val="1"/>
        </w:numPr>
        <w:rPr>
          <w:i/>
          <w:sz w:val="24"/>
          <w:szCs w:val="24"/>
        </w:rPr>
      </w:pPr>
      <w:r>
        <w:rPr>
          <w:i/>
          <w:sz w:val="24"/>
          <w:szCs w:val="24"/>
        </w:rPr>
        <w:t>A so</w:t>
      </w:r>
      <w:r w:rsidR="00FC4C00">
        <w:rPr>
          <w:i/>
          <w:sz w:val="24"/>
          <w:szCs w:val="24"/>
        </w:rPr>
        <w:t xml:space="preserve">n in the womb of his mother at </w:t>
      </w:r>
      <w:r>
        <w:rPr>
          <w:i/>
          <w:sz w:val="24"/>
          <w:szCs w:val="24"/>
        </w:rPr>
        <w:t xml:space="preserve">the </w:t>
      </w:r>
      <w:r w:rsidR="00FC4C00">
        <w:rPr>
          <w:i/>
          <w:sz w:val="24"/>
          <w:szCs w:val="24"/>
        </w:rPr>
        <w:t>time</w:t>
      </w:r>
      <w:r>
        <w:rPr>
          <w:i/>
          <w:sz w:val="24"/>
          <w:szCs w:val="24"/>
        </w:rPr>
        <w:t xml:space="preserve"> of partition of the property;</w:t>
      </w:r>
    </w:p>
    <w:p w:rsidR="003D40E7" w:rsidRDefault="003D40E7" w:rsidP="003D40E7">
      <w:pPr>
        <w:pStyle w:val="ListParagraph"/>
        <w:numPr>
          <w:ilvl w:val="0"/>
          <w:numId w:val="1"/>
        </w:numPr>
        <w:rPr>
          <w:i/>
          <w:sz w:val="24"/>
          <w:szCs w:val="24"/>
        </w:rPr>
      </w:pPr>
      <w:r>
        <w:rPr>
          <w:i/>
          <w:sz w:val="24"/>
          <w:szCs w:val="24"/>
        </w:rPr>
        <w:t>Mother gets equal share if there is partition among sons after death of father and;</w:t>
      </w:r>
    </w:p>
    <w:p w:rsidR="003D40E7" w:rsidRPr="003D40E7" w:rsidRDefault="003D40E7" w:rsidP="003D40E7">
      <w:pPr>
        <w:pStyle w:val="ListParagraph"/>
        <w:numPr>
          <w:ilvl w:val="0"/>
          <w:numId w:val="1"/>
        </w:numPr>
        <w:rPr>
          <w:i/>
          <w:sz w:val="24"/>
          <w:szCs w:val="24"/>
        </w:rPr>
      </w:pPr>
      <w:r>
        <w:rPr>
          <w:i/>
          <w:sz w:val="24"/>
          <w:szCs w:val="24"/>
        </w:rPr>
        <w:t>Wife gets a share equal to that of a son at the time of partition between father and sons</w:t>
      </w:r>
    </w:p>
    <w:p w:rsidR="003D40E7" w:rsidRPr="00A46812" w:rsidRDefault="00FC4C00" w:rsidP="003D40E7">
      <w:pPr>
        <w:ind w:left="210"/>
        <w:rPr>
          <w:rFonts w:asciiTheme="majorHAnsi" w:hAnsiTheme="majorHAnsi"/>
          <w:b/>
          <w:i/>
          <w:sz w:val="24"/>
          <w:szCs w:val="24"/>
          <w:u w:val="single"/>
        </w:rPr>
      </w:pPr>
      <w:r w:rsidRPr="00A46812">
        <w:rPr>
          <w:rFonts w:asciiTheme="majorHAnsi" w:hAnsiTheme="majorHAnsi"/>
          <w:b/>
          <w:i/>
          <w:sz w:val="24"/>
          <w:szCs w:val="24"/>
          <w:u w:val="single"/>
        </w:rPr>
        <w:t>Coparceners</w:t>
      </w:r>
      <w:r w:rsidR="003D40E7" w:rsidRPr="00A46812">
        <w:rPr>
          <w:rFonts w:asciiTheme="majorHAnsi" w:hAnsiTheme="majorHAnsi"/>
          <w:b/>
          <w:i/>
          <w:sz w:val="24"/>
          <w:szCs w:val="24"/>
          <w:u w:val="single"/>
        </w:rPr>
        <w:t>; As defines as two or more persons sharing an inheritance or joint heirs of a property.</w:t>
      </w:r>
    </w:p>
    <w:p w:rsidR="003D40E7" w:rsidRPr="00A46812" w:rsidRDefault="003D40E7" w:rsidP="003D40E7">
      <w:pPr>
        <w:ind w:left="210"/>
        <w:rPr>
          <w:rFonts w:asciiTheme="majorHAnsi" w:hAnsiTheme="majorHAnsi"/>
          <w:b/>
          <w:i/>
          <w:sz w:val="24"/>
          <w:szCs w:val="24"/>
          <w:u w:val="single"/>
        </w:rPr>
      </w:pPr>
      <w:r w:rsidRPr="00A46812">
        <w:rPr>
          <w:rFonts w:asciiTheme="majorHAnsi" w:hAnsiTheme="majorHAnsi"/>
          <w:b/>
          <w:i/>
          <w:sz w:val="24"/>
          <w:szCs w:val="24"/>
          <w:u w:val="single"/>
        </w:rPr>
        <w:t>A person who shares equally with others in the inheritance of an undivided estate or in the rights to it.</w:t>
      </w:r>
    </w:p>
    <w:p w:rsidR="00A46812" w:rsidRPr="00A46812" w:rsidRDefault="000C466A" w:rsidP="00560FA7">
      <w:pPr>
        <w:spacing w:after="0" w:line="360" w:lineRule="atLeast"/>
        <w:ind w:left="210"/>
        <w:jc w:val="both"/>
        <w:textAlignment w:val="baseline"/>
        <w:rPr>
          <w:rFonts w:asciiTheme="majorHAnsi" w:eastAsia="Times New Roman" w:hAnsiTheme="majorHAnsi" w:cs="Times New Roman"/>
          <w:b/>
          <w:i/>
          <w:sz w:val="24"/>
          <w:szCs w:val="24"/>
          <w:u w:val="single"/>
          <w:lang w:eastAsia="en-IN"/>
        </w:rPr>
      </w:pPr>
      <w:r w:rsidRPr="00A46812">
        <w:rPr>
          <w:rFonts w:asciiTheme="majorHAnsi" w:eastAsia="Times New Roman" w:hAnsiTheme="majorHAnsi" w:cs="Times New Roman"/>
          <w:b/>
          <w:i/>
          <w:sz w:val="24"/>
          <w:szCs w:val="24"/>
          <w:u w:val="single"/>
          <w:lang w:eastAsia="en-IN"/>
        </w:rPr>
        <w:t>Coparcener</w:t>
      </w:r>
      <w:r w:rsidR="00A46812" w:rsidRPr="00A46812">
        <w:rPr>
          <w:rFonts w:asciiTheme="majorHAnsi" w:eastAsia="Times New Roman" w:hAnsiTheme="majorHAnsi" w:cs="Times New Roman"/>
          <w:b/>
          <w:i/>
          <w:sz w:val="24"/>
          <w:szCs w:val="24"/>
          <w:u w:val="single"/>
          <w:lang w:eastAsia="en-IN"/>
        </w:rPr>
        <w:t xml:space="preserve"> defined in Law </w:t>
      </w:r>
      <w:r w:rsidRPr="00A46812">
        <w:rPr>
          <w:rFonts w:asciiTheme="majorHAnsi" w:eastAsia="Times New Roman" w:hAnsiTheme="majorHAnsi" w:cs="Times New Roman"/>
          <w:b/>
          <w:i/>
          <w:sz w:val="24"/>
          <w:szCs w:val="24"/>
          <w:u w:val="single"/>
          <w:lang w:eastAsia="en-IN"/>
        </w:rPr>
        <w:t>Dictionary</w:t>
      </w:r>
      <w:r w:rsidR="00A46812" w:rsidRPr="00A46812">
        <w:rPr>
          <w:rFonts w:asciiTheme="majorHAnsi" w:eastAsia="Times New Roman" w:hAnsiTheme="majorHAnsi" w:cs="Times New Roman"/>
          <w:b/>
          <w:i/>
          <w:sz w:val="24"/>
          <w:szCs w:val="24"/>
          <w:u w:val="single"/>
          <w:lang w:eastAsia="en-IN"/>
        </w:rPr>
        <w:t xml:space="preserve"> as;</w:t>
      </w:r>
    </w:p>
    <w:p w:rsidR="00560FA7" w:rsidRDefault="00560FA7" w:rsidP="00560FA7">
      <w:pPr>
        <w:spacing w:after="0" w:line="360" w:lineRule="atLeast"/>
        <w:ind w:left="210"/>
        <w:jc w:val="both"/>
        <w:textAlignment w:val="baseline"/>
        <w:rPr>
          <w:rFonts w:asciiTheme="majorHAnsi" w:eastAsia="Times New Roman" w:hAnsiTheme="majorHAnsi" w:cs="Times New Roman"/>
          <w:b/>
          <w:i/>
          <w:sz w:val="24"/>
          <w:szCs w:val="24"/>
          <w:u w:val="single"/>
          <w:lang w:eastAsia="en-IN"/>
        </w:rPr>
      </w:pPr>
      <w:r w:rsidRPr="00560FA7">
        <w:rPr>
          <w:rFonts w:asciiTheme="majorHAnsi" w:eastAsia="Times New Roman" w:hAnsiTheme="majorHAnsi" w:cs="Times New Roman"/>
          <w:b/>
          <w:i/>
          <w:sz w:val="24"/>
          <w:szCs w:val="24"/>
          <w:u w:val="single"/>
          <w:lang w:eastAsia="en-IN"/>
        </w:rPr>
        <w:t>A species of</w:t>
      </w:r>
      <w:r w:rsidRPr="00A46812">
        <w:rPr>
          <w:rFonts w:asciiTheme="majorHAnsi" w:eastAsia="Times New Roman" w:hAnsiTheme="majorHAnsi" w:cs="Times New Roman"/>
          <w:b/>
          <w:i/>
          <w:sz w:val="24"/>
          <w:szCs w:val="24"/>
          <w:u w:val="single"/>
          <w:lang w:eastAsia="en-IN"/>
        </w:rPr>
        <w:t> estate</w:t>
      </w:r>
      <w:r w:rsidRPr="00560FA7">
        <w:rPr>
          <w:rFonts w:asciiTheme="majorHAnsi" w:eastAsia="Times New Roman" w:hAnsiTheme="majorHAnsi" w:cs="Times New Roman"/>
          <w:b/>
          <w:i/>
          <w:sz w:val="24"/>
          <w:szCs w:val="24"/>
          <w:u w:val="single"/>
          <w:lang w:eastAsia="en-IN"/>
        </w:rPr>
        <w:t>, or tenancy, which exists where lands of</w:t>
      </w:r>
      <w:r w:rsidRPr="00A46812">
        <w:rPr>
          <w:rFonts w:asciiTheme="majorHAnsi" w:eastAsia="Times New Roman" w:hAnsiTheme="majorHAnsi" w:cs="Times New Roman"/>
          <w:b/>
          <w:i/>
          <w:sz w:val="24"/>
          <w:szCs w:val="24"/>
          <w:u w:val="single"/>
          <w:lang w:eastAsia="en-IN"/>
        </w:rPr>
        <w:t> </w:t>
      </w:r>
      <w:hyperlink r:id="rId5" w:tooltip="An estate in things real, descending to the heir. 2 Bl. Comm. 201; In re Donahue's Estate, 30 Cal. 332; Dodge's Appeal, 100 Pa. 220, [...]" w:history="1">
        <w:r w:rsidRPr="00A46812">
          <w:rPr>
            <w:rFonts w:asciiTheme="majorHAnsi" w:eastAsia="Times New Roman" w:hAnsiTheme="majorHAnsi" w:cs="Times New Roman"/>
            <w:b/>
            <w:i/>
            <w:sz w:val="24"/>
            <w:szCs w:val="24"/>
            <w:u w:val="single"/>
            <w:lang w:eastAsia="en-IN"/>
          </w:rPr>
          <w:t>inheritance</w:t>
        </w:r>
      </w:hyperlink>
      <w:r w:rsidRPr="00A46812">
        <w:rPr>
          <w:rFonts w:asciiTheme="majorHAnsi" w:eastAsia="Times New Roman" w:hAnsiTheme="majorHAnsi" w:cs="Times New Roman"/>
          <w:b/>
          <w:i/>
          <w:sz w:val="24"/>
          <w:szCs w:val="24"/>
          <w:u w:val="single"/>
          <w:lang w:eastAsia="en-IN"/>
        </w:rPr>
        <w:t> </w:t>
      </w:r>
      <w:r w:rsidRPr="00560FA7">
        <w:rPr>
          <w:rFonts w:asciiTheme="majorHAnsi" w:eastAsia="Times New Roman" w:hAnsiTheme="majorHAnsi" w:cs="Times New Roman"/>
          <w:b/>
          <w:i/>
          <w:sz w:val="24"/>
          <w:szCs w:val="24"/>
          <w:u w:val="single"/>
          <w:lang w:eastAsia="en-IN"/>
        </w:rPr>
        <w:t>descend from the ancestor to two or</w:t>
      </w:r>
      <w:r w:rsidRPr="00A46812">
        <w:rPr>
          <w:rFonts w:asciiTheme="majorHAnsi" w:eastAsia="Times New Roman" w:hAnsiTheme="majorHAnsi" w:cs="Times New Roman"/>
          <w:b/>
          <w:i/>
          <w:sz w:val="24"/>
          <w:szCs w:val="24"/>
          <w:u w:val="single"/>
          <w:lang w:eastAsia="en-IN"/>
        </w:rPr>
        <w:t> more </w:t>
      </w:r>
      <w:r w:rsidRPr="00560FA7">
        <w:rPr>
          <w:rFonts w:asciiTheme="majorHAnsi" w:eastAsia="Times New Roman" w:hAnsiTheme="majorHAnsi" w:cs="Times New Roman"/>
          <w:b/>
          <w:i/>
          <w:sz w:val="24"/>
          <w:szCs w:val="24"/>
          <w:u w:val="single"/>
          <w:lang w:eastAsia="en-IN"/>
        </w:rPr>
        <w:t>persons. It arises in England either by common law or</w:t>
      </w:r>
      <w:r w:rsidRPr="00A46812">
        <w:rPr>
          <w:rFonts w:asciiTheme="majorHAnsi" w:eastAsia="Times New Roman" w:hAnsiTheme="majorHAnsi" w:cs="Times New Roman"/>
          <w:b/>
          <w:i/>
          <w:sz w:val="24"/>
          <w:szCs w:val="24"/>
          <w:u w:val="single"/>
          <w:lang w:eastAsia="en-IN"/>
        </w:rPr>
        <w:t> </w:t>
      </w:r>
      <w:hyperlink r:id="rId6" w:tooltip="This term, as used In law, is almost always opposed to " w:history="1">
        <w:r w:rsidRPr="00A46812">
          <w:rPr>
            <w:rFonts w:asciiTheme="majorHAnsi" w:eastAsia="Times New Roman" w:hAnsiTheme="majorHAnsi" w:cs="Times New Roman"/>
            <w:b/>
            <w:i/>
            <w:sz w:val="24"/>
            <w:szCs w:val="24"/>
            <w:u w:val="single"/>
            <w:lang w:eastAsia="en-IN"/>
          </w:rPr>
          <w:t>particular</w:t>
        </w:r>
      </w:hyperlink>
      <w:r w:rsidRPr="00A46812">
        <w:rPr>
          <w:rFonts w:asciiTheme="majorHAnsi" w:eastAsia="Times New Roman" w:hAnsiTheme="majorHAnsi" w:cs="Times New Roman"/>
          <w:b/>
          <w:i/>
          <w:sz w:val="24"/>
          <w:szCs w:val="24"/>
          <w:u w:val="single"/>
          <w:lang w:eastAsia="en-IN"/>
        </w:rPr>
        <w:t> </w:t>
      </w:r>
      <w:r w:rsidRPr="00560FA7">
        <w:rPr>
          <w:rFonts w:asciiTheme="majorHAnsi" w:eastAsia="Times New Roman" w:hAnsiTheme="majorHAnsi" w:cs="Times New Roman"/>
          <w:b/>
          <w:i/>
          <w:sz w:val="24"/>
          <w:szCs w:val="24"/>
          <w:u w:val="single"/>
          <w:lang w:eastAsia="en-IN"/>
        </w:rPr>
        <w:t>custom. By common law, as where a person, seised iu feesimple or fee-tail, dies, and his next heirs are two or</w:t>
      </w:r>
      <w:r w:rsidRPr="00A46812">
        <w:rPr>
          <w:rFonts w:asciiTheme="majorHAnsi" w:eastAsia="Times New Roman" w:hAnsiTheme="majorHAnsi" w:cs="Times New Roman"/>
          <w:b/>
          <w:i/>
          <w:sz w:val="24"/>
          <w:szCs w:val="24"/>
          <w:u w:val="single"/>
          <w:lang w:eastAsia="en-IN"/>
        </w:rPr>
        <w:t> more </w:t>
      </w:r>
      <w:r w:rsidRPr="00560FA7">
        <w:rPr>
          <w:rFonts w:asciiTheme="majorHAnsi" w:eastAsia="Times New Roman" w:hAnsiTheme="majorHAnsi" w:cs="Times New Roman"/>
          <w:b/>
          <w:i/>
          <w:sz w:val="24"/>
          <w:szCs w:val="24"/>
          <w:u w:val="single"/>
          <w:lang w:eastAsia="en-IN"/>
        </w:rPr>
        <w:t>females, his daughters, sisters, aunts, cousins, or their representatives; in this case they all inherit, and these coheirs are then called "</w:t>
      </w:r>
      <w:hyperlink r:id="rId7" w:tooltip="Persons to whom an estate of inheritance descends jointly, and by whom it is held as an entire estate. 2 Bl. Comm. 187.&#10;" w:history="1">
        <w:r w:rsidRPr="00A46812">
          <w:rPr>
            <w:rFonts w:asciiTheme="majorHAnsi" w:eastAsia="Times New Roman" w:hAnsiTheme="majorHAnsi" w:cs="Times New Roman"/>
            <w:b/>
            <w:i/>
            <w:sz w:val="24"/>
            <w:szCs w:val="24"/>
            <w:u w:val="single"/>
            <w:lang w:eastAsia="en-IN"/>
          </w:rPr>
          <w:t>coparceners</w:t>
        </w:r>
      </w:hyperlink>
      <w:r w:rsidRPr="00560FA7">
        <w:rPr>
          <w:rFonts w:asciiTheme="majorHAnsi" w:eastAsia="Times New Roman" w:hAnsiTheme="majorHAnsi" w:cs="Times New Roman"/>
          <w:b/>
          <w:i/>
          <w:sz w:val="24"/>
          <w:szCs w:val="24"/>
          <w:u w:val="single"/>
          <w:lang w:eastAsia="en-IN"/>
        </w:rPr>
        <w:t xml:space="preserve">," or, for </w:t>
      </w:r>
      <w:r w:rsidR="00A46812" w:rsidRPr="00A46812">
        <w:rPr>
          <w:rFonts w:asciiTheme="majorHAnsi" w:eastAsia="Times New Roman" w:hAnsiTheme="majorHAnsi" w:cs="Times New Roman"/>
          <w:b/>
          <w:i/>
          <w:sz w:val="24"/>
          <w:szCs w:val="24"/>
          <w:u w:val="single"/>
          <w:lang w:eastAsia="en-IN"/>
        </w:rPr>
        <w:t xml:space="preserve">brevity, "parceners" only. </w:t>
      </w:r>
    </w:p>
    <w:p w:rsidR="00A46812" w:rsidRDefault="00A46812"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p>
    <w:p w:rsidR="00A46812" w:rsidRDefault="00A46812"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r w:rsidRPr="00A46812">
        <w:rPr>
          <w:rFonts w:asciiTheme="majorHAnsi" w:eastAsia="Times New Roman" w:hAnsiTheme="majorHAnsi" w:cs="Times New Roman"/>
          <w:b/>
          <w:i/>
          <w:sz w:val="24"/>
          <w:szCs w:val="24"/>
          <w:u w:val="single"/>
          <w:lang w:eastAsia="en-IN"/>
        </w:rPr>
        <w:t>Partition: partition may be Total or Partial</w:t>
      </w:r>
      <w:r>
        <w:rPr>
          <w:rFonts w:asciiTheme="majorHAnsi" w:eastAsia="Times New Roman" w:hAnsiTheme="majorHAnsi" w:cs="Times New Roman"/>
          <w:b/>
          <w:i/>
          <w:sz w:val="24"/>
          <w:szCs w:val="24"/>
          <w:u w:val="single"/>
          <w:lang w:eastAsia="en-IN"/>
        </w:rPr>
        <w:t>;</w:t>
      </w:r>
    </w:p>
    <w:p w:rsidR="00A46812" w:rsidRDefault="00A46812" w:rsidP="00A46812">
      <w:pPr>
        <w:spacing w:after="0" w:line="360" w:lineRule="atLeast"/>
        <w:jc w:val="both"/>
        <w:textAlignment w:val="baseline"/>
        <w:rPr>
          <w:rFonts w:asciiTheme="majorHAnsi" w:eastAsia="Times New Roman" w:hAnsiTheme="majorHAnsi" w:cs="Times New Roman"/>
          <w:b/>
          <w:i/>
          <w:sz w:val="24"/>
          <w:szCs w:val="24"/>
          <w:lang w:eastAsia="en-IN"/>
        </w:rPr>
      </w:pPr>
    </w:p>
    <w:p w:rsidR="00A46812" w:rsidRPr="00A46812" w:rsidRDefault="00A46812" w:rsidP="00A46812">
      <w:pPr>
        <w:spacing w:after="0" w:line="360" w:lineRule="atLeast"/>
        <w:jc w:val="both"/>
        <w:textAlignment w:val="baseline"/>
        <w:rPr>
          <w:rFonts w:asciiTheme="majorHAnsi" w:eastAsia="Times New Roman" w:hAnsiTheme="majorHAnsi" w:cs="Times New Roman"/>
          <w:i/>
          <w:sz w:val="24"/>
          <w:szCs w:val="24"/>
          <w:lang w:eastAsia="en-IN"/>
        </w:rPr>
      </w:pPr>
      <w:r w:rsidRPr="00A46812">
        <w:rPr>
          <w:rFonts w:asciiTheme="majorHAnsi" w:eastAsia="Times New Roman" w:hAnsiTheme="majorHAnsi" w:cs="Times New Roman"/>
          <w:b/>
          <w:i/>
          <w:sz w:val="24"/>
          <w:szCs w:val="24"/>
          <w:u w:val="single"/>
          <w:lang w:eastAsia="en-IN"/>
        </w:rPr>
        <w:t>Total Partition</w:t>
      </w:r>
      <w:r w:rsidRPr="00A46812">
        <w:rPr>
          <w:rFonts w:asciiTheme="majorHAnsi" w:eastAsia="Times New Roman" w:hAnsiTheme="majorHAnsi" w:cs="Times New Roman"/>
          <w:b/>
          <w:i/>
          <w:sz w:val="24"/>
          <w:szCs w:val="24"/>
          <w:lang w:eastAsia="en-IN"/>
        </w:rPr>
        <w:t>;</w:t>
      </w:r>
      <w:r w:rsidRPr="00A46812">
        <w:rPr>
          <w:rFonts w:asciiTheme="majorHAnsi" w:eastAsia="Times New Roman" w:hAnsiTheme="majorHAnsi" w:cs="Times New Roman"/>
          <w:i/>
          <w:sz w:val="24"/>
          <w:szCs w:val="24"/>
          <w:lang w:eastAsia="en-IN"/>
        </w:rPr>
        <w:t xml:space="preserve"> in this case whole property of a Hindu Undivided Family undergoes total division and same will be divided to all coparceners and family cease to exist as an undivided family.</w:t>
      </w:r>
    </w:p>
    <w:p w:rsidR="00A46812" w:rsidRPr="00A46812" w:rsidRDefault="00A46812" w:rsidP="00A46812">
      <w:pPr>
        <w:spacing w:after="0" w:line="360" w:lineRule="atLeast"/>
        <w:jc w:val="both"/>
        <w:textAlignment w:val="baseline"/>
        <w:rPr>
          <w:rFonts w:asciiTheme="majorHAnsi" w:eastAsia="Times New Roman" w:hAnsiTheme="majorHAnsi" w:cs="Times New Roman"/>
          <w:i/>
          <w:sz w:val="24"/>
          <w:szCs w:val="24"/>
          <w:lang w:eastAsia="en-IN"/>
        </w:rPr>
      </w:pPr>
      <w:r w:rsidRPr="00A46812">
        <w:rPr>
          <w:rFonts w:asciiTheme="majorHAnsi" w:eastAsia="Times New Roman" w:hAnsiTheme="majorHAnsi" w:cs="Times New Roman"/>
          <w:b/>
          <w:i/>
          <w:sz w:val="24"/>
          <w:szCs w:val="24"/>
          <w:u w:val="single"/>
          <w:lang w:eastAsia="en-IN"/>
        </w:rPr>
        <w:lastRenderedPageBreak/>
        <w:t>Partial Division;</w:t>
      </w:r>
      <w:r>
        <w:rPr>
          <w:rFonts w:asciiTheme="majorHAnsi" w:eastAsia="Times New Roman" w:hAnsiTheme="majorHAnsi" w:cs="Times New Roman"/>
          <w:b/>
          <w:i/>
          <w:sz w:val="24"/>
          <w:szCs w:val="24"/>
          <w:u w:val="single"/>
          <w:lang w:eastAsia="en-IN"/>
        </w:rPr>
        <w:t xml:space="preserve">  </w:t>
      </w:r>
      <w:r>
        <w:rPr>
          <w:rFonts w:asciiTheme="majorHAnsi" w:eastAsia="Times New Roman" w:hAnsiTheme="majorHAnsi" w:cs="Times New Roman"/>
          <w:i/>
          <w:sz w:val="24"/>
          <w:szCs w:val="24"/>
          <w:lang w:eastAsia="en-IN"/>
        </w:rPr>
        <w:t xml:space="preserve">it may be partial related to coparceners or property. The undivided family may exist after division. </w:t>
      </w:r>
      <w:r w:rsidR="000C466A">
        <w:rPr>
          <w:rFonts w:asciiTheme="majorHAnsi" w:eastAsia="Times New Roman" w:hAnsiTheme="majorHAnsi" w:cs="Times New Roman"/>
          <w:i/>
          <w:sz w:val="24"/>
          <w:szCs w:val="24"/>
          <w:lang w:eastAsia="en-IN"/>
        </w:rPr>
        <w:t>Some</w:t>
      </w:r>
      <w:r>
        <w:rPr>
          <w:rFonts w:asciiTheme="majorHAnsi" w:eastAsia="Times New Roman" w:hAnsiTheme="majorHAnsi" w:cs="Times New Roman"/>
          <w:i/>
          <w:sz w:val="24"/>
          <w:szCs w:val="24"/>
          <w:lang w:eastAsia="en-IN"/>
        </w:rPr>
        <w:t xml:space="preserve"> coparceners may separate from the family and remaining may continue the family or some property may be transferred to outgoing coparcener. In this case the remaining property will belong to the undivided family.</w:t>
      </w:r>
    </w:p>
    <w:p w:rsidR="00E34E02" w:rsidRDefault="00E34E02" w:rsidP="00A46812">
      <w:pPr>
        <w:spacing w:after="0" w:line="360" w:lineRule="atLeast"/>
        <w:jc w:val="both"/>
        <w:textAlignment w:val="baseline"/>
        <w:rPr>
          <w:rFonts w:asciiTheme="majorHAnsi" w:eastAsia="Times New Roman" w:hAnsiTheme="majorHAnsi" w:cs="Times New Roman"/>
          <w:b/>
          <w:i/>
          <w:sz w:val="24"/>
          <w:szCs w:val="24"/>
          <w:lang w:eastAsia="en-IN"/>
        </w:rPr>
      </w:pPr>
    </w:p>
    <w:p w:rsidR="00A46812" w:rsidRDefault="000C466A"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r w:rsidRPr="00E34E02">
        <w:rPr>
          <w:rFonts w:asciiTheme="majorHAnsi" w:eastAsia="Times New Roman" w:hAnsiTheme="majorHAnsi" w:cs="Times New Roman"/>
          <w:b/>
          <w:i/>
          <w:sz w:val="24"/>
          <w:szCs w:val="24"/>
          <w:u w:val="single"/>
          <w:lang w:eastAsia="en-IN"/>
        </w:rPr>
        <w:t>Assessment</w:t>
      </w:r>
      <w:r w:rsidR="00E34E02" w:rsidRPr="00E34E02">
        <w:rPr>
          <w:rFonts w:asciiTheme="majorHAnsi" w:eastAsia="Times New Roman" w:hAnsiTheme="majorHAnsi" w:cs="Times New Roman"/>
          <w:b/>
          <w:i/>
          <w:sz w:val="24"/>
          <w:szCs w:val="24"/>
          <w:u w:val="single"/>
          <w:lang w:eastAsia="en-IN"/>
        </w:rPr>
        <w:t xml:space="preserve"> of partition of Hindu Undivided Family;</w:t>
      </w:r>
    </w:p>
    <w:p w:rsidR="00E34E02" w:rsidRPr="00E34E02" w:rsidRDefault="00E34E02"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p>
    <w:p w:rsidR="00A46812" w:rsidRPr="00A46812" w:rsidRDefault="00E34E02" w:rsidP="00A46812">
      <w:pPr>
        <w:spacing w:after="0" w:line="360" w:lineRule="atLeast"/>
        <w:jc w:val="both"/>
        <w:textAlignment w:val="baseline"/>
        <w:rPr>
          <w:rFonts w:asciiTheme="majorHAnsi" w:eastAsia="Times New Roman" w:hAnsiTheme="majorHAnsi" w:cs="Times New Roman"/>
          <w:b/>
          <w:i/>
          <w:sz w:val="24"/>
          <w:szCs w:val="24"/>
          <w:lang w:eastAsia="en-IN"/>
        </w:rPr>
      </w:pPr>
      <w:r>
        <w:rPr>
          <w:rFonts w:asciiTheme="majorHAnsi" w:eastAsia="Times New Roman" w:hAnsiTheme="majorHAnsi" w:cs="Times New Roman"/>
          <w:b/>
          <w:i/>
          <w:sz w:val="24"/>
          <w:szCs w:val="24"/>
          <w:lang w:eastAsia="en-IN"/>
        </w:rPr>
        <w:t xml:space="preserve">Section 171 of the Income Tax Act, 1961 provides that once income of a joint family  is assessed in the hand of HUF , it will continued to be assessed as such until one or more coparceners claims partition in the family. </w:t>
      </w:r>
    </w:p>
    <w:p w:rsidR="00A46812" w:rsidRDefault="00A46812"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p>
    <w:p w:rsidR="001E7925" w:rsidRDefault="000C466A" w:rsidP="001E7925">
      <w:pPr>
        <w:spacing w:after="0" w:line="360" w:lineRule="atLeast"/>
        <w:jc w:val="both"/>
        <w:textAlignment w:val="baseline"/>
        <w:rPr>
          <w:rFonts w:asciiTheme="majorHAnsi" w:eastAsia="Times New Roman" w:hAnsiTheme="majorHAnsi" w:cs="Times New Roman"/>
          <w:b/>
          <w:i/>
          <w:sz w:val="24"/>
          <w:szCs w:val="24"/>
          <w:u w:val="single"/>
          <w:lang w:eastAsia="en-IN"/>
        </w:rPr>
      </w:pPr>
      <w:r>
        <w:rPr>
          <w:rFonts w:asciiTheme="majorHAnsi" w:eastAsia="Times New Roman" w:hAnsiTheme="majorHAnsi" w:cs="Times New Roman"/>
          <w:b/>
          <w:i/>
          <w:sz w:val="24"/>
          <w:szCs w:val="24"/>
          <w:u w:val="single"/>
          <w:lang w:eastAsia="en-IN"/>
        </w:rPr>
        <w:t>Assessment</w:t>
      </w:r>
      <w:r w:rsidR="001E7925">
        <w:rPr>
          <w:rFonts w:asciiTheme="majorHAnsi" w:eastAsia="Times New Roman" w:hAnsiTheme="majorHAnsi" w:cs="Times New Roman"/>
          <w:b/>
          <w:i/>
          <w:sz w:val="24"/>
          <w:szCs w:val="24"/>
          <w:u w:val="single"/>
          <w:lang w:eastAsia="en-IN"/>
        </w:rPr>
        <w:t xml:space="preserve"> in case of </w:t>
      </w:r>
      <w:r>
        <w:rPr>
          <w:rFonts w:asciiTheme="majorHAnsi" w:eastAsia="Times New Roman" w:hAnsiTheme="majorHAnsi" w:cs="Times New Roman"/>
          <w:b/>
          <w:i/>
          <w:sz w:val="24"/>
          <w:szCs w:val="24"/>
          <w:u w:val="single"/>
          <w:lang w:eastAsia="en-IN"/>
        </w:rPr>
        <w:t xml:space="preserve">Total </w:t>
      </w:r>
      <w:r w:rsidRPr="00E34E02">
        <w:rPr>
          <w:rFonts w:asciiTheme="majorHAnsi" w:eastAsia="Times New Roman" w:hAnsiTheme="majorHAnsi" w:cs="Times New Roman"/>
          <w:b/>
          <w:i/>
          <w:sz w:val="24"/>
          <w:szCs w:val="24"/>
          <w:u w:val="single"/>
          <w:lang w:eastAsia="en-IN"/>
        </w:rPr>
        <w:t>Partition</w:t>
      </w:r>
      <w:r w:rsidR="001E7925">
        <w:rPr>
          <w:rFonts w:asciiTheme="majorHAnsi" w:eastAsia="Times New Roman" w:hAnsiTheme="majorHAnsi" w:cs="Times New Roman"/>
          <w:b/>
          <w:i/>
          <w:sz w:val="24"/>
          <w:szCs w:val="24"/>
          <w:u w:val="single"/>
          <w:lang w:eastAsia="en-IN"/>
        </w:rPr>
        <w:t>;</w:t>
      </w:r>
    </w:p>
    <w:p w:rsidR="001E7925" w:rsidRDefault="001E7925"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p>
    <w:p w:rsidR="00E34E02" w:rsidRDefault="00E34E02" w:rsidP="00A46812">
      <w:p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t xml:space="preserve">The Income under consideration till date of partition will be assessed as income of HUF and </w:t>
      </w:r>
      <w:r w:rsidR="000C466A">
        <w:rPr>
          <w:rFonts w:asciiTheme="majorHAnsi" w:eastAsia="Times New Roman" w:hAnsiTheme="majorHAnsi" w:cs="Times New Roman"/>
          <w:i/>
          <w:sz w:val="24"/>
          <w:szCs w:val="24"/>
          <w:lang w:eastAsia="en-IN"/>
        </w:rPr>
        <w:t>thereafter</w:t>
      </w:r>
      <w:r>
        <w:rPr>
          <w:rFonts w:asciiTheme="majorHAnsi" w:eastAsia="Times New Roman" w:hAnsiTheme="majorHAnsi" w:cs="Times New Roman"/>
          <w:i/>
          <w:sz w:val="24"/>
          <w:szCs w:val="24"/>
          <w:lang w:eastAsia="en-IN"/>
        </w:rPr>
        <w:t xml:space="preserve"> in the hands of </w:t>
      </w:r>
      <w:r w:rsidR="000C466A">
        <w:rPr>
          <w:rFonts w:asciiTheme="majorHAnsi" w:eastAsia="Times New Roman" w:hAnsiTheme="majorHAnsi" w:cs="Times New Roman"/>
          <w:i/>
          <w:sz w:val="24"/>
          <w:szCs w:val="24"/>
          <w:lang w:eastAsia="en-IN"/>
        </w:rPr>
        <w:t>individual’s</w:t>
      </w:r>
      <w:r>
        <w:rPr>
          <w:rFonts w:asciiTheme="majorHAnsi" w:eastAsia="Times New Roman" w:hAnsiTheme="majorHAnsi" w:cs="Times New Roman"/>
          <w:i/>
          <w:sz w:val="24"/>
          <w:szCs w:val="24"/>
          <w:lang w:eastAsia="en-IN"/>
        </w:rPr>
        <w:t xml:space="preserve"> coparceners after </w:t>
      </w:r>
      <w:r w:rsidR="000C466A">
        <w:rPr>
          <w:rFonts w:asciiTheme="majorHAnsi" w:eastAsia="Times New Roman" w:hAnsiTheme="majorHAnsi" w:cs="Times New Roman"/>
          <w:i/>
          <w:sz w:val="24"/>
          <w:szCs w:val="24"/>
          <w:lang w:eastAsia="en-IN"/>
        </w:rPr>
        <w:t>partition</w:t>
      </w:r>
      <w:r>
        <w:rPr>
          <w:rFonts w:asciiTheme="majorHAnsi" w:eastAsia="Times New Roman" w:hAnsiTheme="majorHAnsi" w:cs="Times New Roman"/>
          <w:i/>
          <w:sz w:val="24"/>
          <w:szCs w:val="24"/>
          <w:lang w:eastAsia="en-IN"/>
        </w:rPr>
        <w:t xml:space="preserve">. If any </w:t>
      </w:r>
      <w:r w:rsidR="000C466A">
        <w:rPr>
          <w:rFonts w:asciiTheme="majorHAnsi" w:eastAsia="Times New Roman" w:hAnsiTheme="majorHAnsi" w:cs="Times New Roman"/>
          <w:i/>
          <w:sz w:val="24"/>
          <w:szCs w:val="24"/>
          <w:lang w:eastAsia="en-IN"/>
        </w:rPr>
        <w:t>recipient</w:t>
      </w:r>
      <w:r>
        <w:rPr>
          <w:rFonts w:asciiTheme="majorHAnsi" w:eastAsia="Times New Roman" w:hAnsiTheme="majorHAnsi" w:cs="Times New Roman"/>
          <w:i/>
          <w:sz w:val="24"/>
          <w:szCs w:val="24"/>
          <w:lang w:eastAsia="en-IN"/>
        </w:rPr>
        <w:t xml:space="preserve"> of income after partition forms another HUF with his wife and son/s then the income will be asseeed in the hand of new HUF. </w:t>
      </w:r>
    </w:p>
    <w:p w:rsidR="00E34E02" w:rsidRDefault="00E34E02" w:rsidP="00A46812">
      <w:pPr>
        <w:spacing w:after="0" w:line="360" w:lineRule="atLeast"/>
        <w:jc w:val="both"/>
        <w:textAlignment w:val="baseline"/>
        <w:rPr>
          <w:rFonts w:asciiTheme="majorHAnsi" w:eastAsia="Times New Roman" w:hAnsiTheme="majorHAnsi" w:cs="Times New Roman"/>
          <w:i/>
          <w:sz w:val="24"/>
          <w:szCs w:val="24"/>
          <w:lang w:eastAsia="en-IN"/>
        </w:rPr>
      </w:pPr>
    </w:p>
    <w:p w:rsidR="001E7925" w:rsidRDefault="000C466A" w:rsidP="001E7925">
      <w:pPr>
        <w:spacing w:after="0" w:line="360" w:lineRule="atLeast"/>
        <w:jc w:val="both"/>
        <w:textAlignment w:val="baseline"/>
        <w:rPr>
          <w:rFonts w:asciiTheme="majorHAnsi" w:eastAsia="Times New Roman" w:hAnsiTheme="majorHAnsi" w:cs="Times New Roman"/>
          <w:b/>
          <w:i/>
          <w:sz w:val="24"/>
          <w:szCs w:val="24"/>
          <w:u w:val="single"/>
          <w:lang w:eastAsia="en-IN"/>
        </w:rPr>
      </w:pPr>
      <w:r>
        <w:rPr>
          <w:rFonts w:asciiTheme="majorHAnsi" w:eastAsia="Times New Roman" w:hAnsiTheme="majorHAnsi" w:cs="Times New Roman"/>
          <w:b/>
          <w:i/>
          <w:sz w:val="24"/>
          <w:szCs w:val="24"/>
          <w:u w:val="single"/>
          <w:lang w:eastAsia="en-IN"/>
        </w:rPr>
        <w:t>Assessment</w:t>
      </w:r>
      <w:r w:rsidR="001E7925">
        <w:rPr>
          <w:rFonts w:asciiTheme="majorHAnsi" w:eastAsia="Times New Roman" w:hAnsiTheme="majorHAnsi" w:cs="Times New Roman"/>
          <w:b/>
          <w:i/>
          <w:sz w:val="24"/>
          <w:szCs w:val="24"/>
          <w:u w:val="single"/>
          <w:lang w:eastAsia="en-IN"/>
        </w:rPr>
        <w:t xml:space="preserve"> in case of </w:t>
      </w:r>
      <w:r>
        <w:rPr>
          <w:rFonts w:asciiTheme="majorHAnsi" w:eastAsia="Times New Roman" w:hAnsiTheme="majorHAnsi" w:cs="Times New Roman"/>
          <w:b/>
          <w:i/>
          <w:sz w:val="24"/>
          <w:szCs w:val="24"/>
          <w:u w:val="single"/>
          <w:lang w:eastAsia="en-IN"/>
        </w:rPr>
        <w:t xml:space="preserve">Partial </w:t>
      </w:r>
      <w:r w:rsidRPr="00E34E02">
        <w:rPr>
          <w:rFonts w:asciiTheme="majorHAnsi" w:eastAsia="Times New Roman" w:hAnsiTheme="majorHAnsi" w:cs="Times New Roman"/>
          <w:b/>
          <w:i/>
          <w:sz w:val="24"/>
          <w:szCs w:val="24"/>
          <w:u w:val="single"/>
          <w:lang w:eastAsia="en-IN"/>
        </w:rPr>
        <w:t>Partition</w:t>
      </w:r>
      <w:r w:rsidR="001E7925">
        <w:rPr>
          <w:rFonts w:asciiTheme="majorHAnsi" w:eastAsia="Times New Roman" w:hAnsiTheme="majorHAnsi" w:cs="Times New Roman"/>
          <w:b/>
          <w:i/>
          <w:sz w:val="24"/>
          <w:szCs w:val="24"/>
          <w:u w:val="single"/>
          <w:lang w:eastAsia="en-IN"/>
        </w:rPr>
        <w:t>;</w:t>
      </w:r>
    </w:p>
    <w:p w:rsidR="001E7925" w:rsidRPr="001E7925" w:rsidRDefault="001E7925" w:rsidP="001E7925">
      <w:pPr>
        <w:spacing w:after="0" w:line="360" w:lineRule="atLeast"/>
        <w:jc w:val="both"/>
        <w:textAlignment w:val="baseline"/>
        <w:rPr>
          <w:rFonts w:asciiTheme="majorHAnsi" w:eastAsia="Times New Roman" w:hAnsiTheme="majorHAnsi" w:cs="Times New Roman"/>
          <w:i/>
          <w:sz w:val="24"/>
          <w:szCs w:val="24"/>
          <w:lang w:eastAsia="en-IN"/>
        </w:rPr>
      </w:pPr>
      <w:r w:rsidRPr="001E7925">
        <w:rPr>
          <w:rFonts w:asciiTheme="majorHAnsi" w:eastAsia="Times New Roman" w:hAnsiTheme="majorHAnsi" w:cs="Times New Roman"/>
          <w:i/>
          <w:sz w:val="24"/>
          <w:szCs w:val="24"/>
          <w:lang w:eastAsia="en-IN"/>
        </w:rPr>
        <w:t>Provisions of Section 171(9) provides that two prerequisites are essential the case of partial partition such as</w:t>
      </w:r>
    </w:p>
    <w:p w:rsidR="001E7925" w:rsidRPr="001E7925" w:rsidRDefault="001E7925" w:rsidP="001E7925">
      <w:pPr>
        <w:pStyle w:val="ListParagraph"/>
        <w:numPr>
          <w:ilvl w:val="0"/>
          <w:numId w:val="2"/>
        </w:numPr>
        <w:spacing w:after="0" w:line="360" w:lineRule="atLeast"/>
        <w:jc w:val="both"/>
        <w:textAlignment w:val="baseline"/>
        <w:rPr>
          <w:rFonts w:asciiTheme="majorHAnsi" w:eastAsia="Times New Roman" w:hAnsiTheme="majorHAnsi" w:cs="Times New Roman"/>
          <w:i/>
          <w:sz w:val="24"/>
          <w:szCs w:val="24"/>
          <w:lang w:eastAsia="en-IN"/>
        </w:rPr>
      </w:pPr>
      <w:r w:rsidRPr="001E7925">
        <w:rPr>
          <w:rFonts w:asciiTheme="majorHAnsi" w:eastAsia="Times New Roman" w:hAnsiTheme="majorHAnsi" w:cs="Times New Roman"/>
          <w:i/>
          <w:sz w:val="24"/>
          <w:szCs w:val="24"/>
          <w:lang w:eastAsia="en-IN"/>
        </w:rPr>
        <w:t>The partial partition should have taken place after December 31, 1978 and;</w:t>
      </w:r>
    </w:p>
    <w:p w:rsidR="001E7925" w:rsidRPr="001E7925" w:rsidRDefault="001E7925" w:rsidP="001E7925">
      <w:pPr>
        <w:pStyle w:val="ListParagraph"/>
        <w:numPr>
          <w:ilvl w:val="0"/>
          <w:numId w:val="2"/>
        </w:numPr>
        <w:spacing w:after="0" w:line="360" w:lineRule="atLeast"/>
        <w:jc w:val="both"/>
        <w:textAlignment w:val="baseline"/>
        <w:rPr>
          <w:rFonts w:asciiTheme="majorHAnsi" w:eastAsia="Times New Roman" w:hAnsiTheme="majorHAnsi" w:cs="Times New Roman"/>
          <w:i/>
          <w:sz w:val="24"/>
          <w:szCs w:val="24"/>
          <w:lang w:eastAsia="en-IN"/>
        </w:rPr>
      </w:pPr>
      <w:r w:rsidRPr="001E7925">
        <w:rPr>
          <w:rFonts w:asciiTheme="majorHAnsi" w:eastAsia="Times New Roman" w:hAnsiTheme="majorHAnsi" w:cs="Times New Roman"/>
          <w:i/>
          <w:sz w:val="24"/>
          <w:szCs w:val="24"/>
          <w:lang w:eastAsia="en-IN"/>
        </w:rPr>
        <w:t xml:space="preserve">Such partition should have taken place in a </w:t>
      </w:r>
      <w:r w:rsidR="000C466A" w:rsidRPr="001E7925">
        <w:rPr>
          <w:rFonts w:asciiTheme="majorHAnsi" w:eastAsia="Times New Roman" w:hAnsiTheme="majorHAnsi" w:cs="Times New Roman"/>
          <w:i/>
          <w:sz w:val="24"/>
          <w:szCs w:val="24"/>
          <w:lang w:eastAsia="en-IN"/>
        </w:rPr>
        <w:t>HUF,</w:t>
      </w:r>
      <w:r w:rsidRPr="001E7925">
        <w:rPr>
          <w:rFonts w:asciiTheme="majorHAnsi" w:eastAsia="Times New Roman" w:hAnsiTheme="majorHAnsi" w:cs="Times New Roman"/>
          <w:i/>
          <w:sz w:val="24"/>
          <w:szCs w:val="24"/>
          <w:lang w:eastAsia="en-IN"/>
        </w:rPr>
        <w:t xml:space="preserve"> which hereto previously assessed as HUF. </w:t>
      </w:r>
    </w:p>
    <w:p w:rsidR="001E7925" w:rsidRPr="001E7925" w:rsidRDefault="001E7925" w:rsidP="001E7925">
      <w:pPr>
        <w:spacing w:after="0" w:line="360" w:lineRule="atLeast"/>
        <w:ind w:left="360"/>
        <w:jc w:val="both"/>
        <w:textAlignment w:val="baseline"/>
        <w:rPr>
          <w:rFonts w:asciiTheme="majorHAnsi" w:eastAsia="Times New Roman" w:hAnsiTheme="majorHAnsi" w:cs="Times New Roman"/>
          <w:i/>
          <w:sz w:val="24"/>
          <w:szCs w:val="24"/>
          <w:lang w:eastAsia="en-IN"/>
        </w:rPr>
      </w:pPr>
    </w:p>
    <w:p w:rsidR="001E7925" w:rsidRPr="001E7925" w:rsidRDefault="001E7925" w:rsidP="001E7925">
      <w:pPr>
        <w:spacing w:after="0" w:line="360" w:lineRule="atLeast"/>
        <w:jc w:val="both"/>
        <w:textAlignment w:val="baseline"/>
        <w:rPr>
          <w:rFonts w:asciiTheme="majorHAnsi" w:eastAsia="Times New Roman" w:hAnsiTheme="majorHAnsi" w:cs="Times New Roman"/>
          <w:i/>
          <w:sz w:val="24"/>
          <w:szCs w:val="24"/>
          <w:lang w:eastAsia="en-IN"/>
        </w:rPr>
      </w:pPr>
      <w:r w:rsidRPr="001E7925">
        <w:rPr>
          <w:rFonts w:asciiTheme="majorHAnsi" w:eastAsia="Times New Roman" w:hAnsiTheme="majorHAnsi" w:cs="Times New Roman"/>
          <w:i/>
          <w:sz w:val="24"/>
          <w:szCs w:val="24"/>
          <w:lang w:eastAsia="en-IN"/>
        </w:rPr>
        <w:t>Note: The provisions of Section 171(9) is not applicable in a case where partial parti</w:t>
      </w:r>
      <w:r w:rsidR="000C466A">
        <w:rPr>
          <w:rFonts w:asciiTheme="majorHAnsi" w:eastAsia="Times New Roman" w:hAnsiTheme="majorHAnsi" w:cs="Times New Roman"/>
          <w:i/>
          <w:sz w:val="24"/>
          <w:szCs w:val="24"/>
          <w:lang w:eastAsia="en-IN"/>
        </w:rPr>
        <w:t>ti</w:t>
      </w:r>
      <w:r w:rsidRPr="001E7925">
        <w:rPr>
          <w:rFonts w:asciiTheme="majorHAnsi" w:eastAsia="Times New Roman" w:hAnsiTheme="majorHAnsi" w:cs="Times New Roman"/>
          <w:i/>
          <w:sz w:val="24"/>
          <w:szCs w:val="24"/>
          <w:lang w:eastAsia="en-IN"/>
        </w:rPr>
        <w:t>on has taken place in a joint family , which has never assessed as HUF or joint family .</w:t>
      </w:r>
    </w:p>
    <w:p w:rsidR="001E7925" w:rsidRPr="001E7925" w:rsidRDefault="001E7925" w:rsidP="001E7925">
      <w:pPr>
        <w:spacing w:after="0" w:line="360" w:lineRule="atLeast"/>
        <w:jc w:val="both"/>
        <w:textAlignment w:val="baseline"/>
        <w:rPr>
          <w:rFonts w:asciiTheme="majorHAnsi" w:eastAsia="Times New Roman" w:hAnsiTheme="majorHAnsi" w:cs="Times New Roman"/>
          <w:i/>
          <w:sz w:val="24"/>
          <w:szCs w:val="24"/>
          <w:lang w:eastAsia="en-IN"/>
        </w:rPr>
      </w:pPr>
    </w:p>
    <w:p w:rsidR="001E7925" w:rsidRPr="001E7925" w:rsidRDefault="001E7925" w:rsidP="001E7925">
      <w:pPr>
        <w:spacing w:after="0" w:line="360" w:lineRule="atLeast"/>
        <w:jc w:val="both"/>
        <w:textAlignment w:val="baseline"/>
        <w:rPr>
          <w:rFonts w:asciiTheme="majorHAnsi" w:eastAsia="Times New Roman" w:hAnsiTheme="majorHAnsi" w:cs="Times New Roman"/>
          <w:i/>
          <w:sz w:val="24"/>
          <w:szCs w:val="24"/>
          <w:lang w:eastAsia="en-IN"/>
        </w:rPr>
      </w:pPr>
      <w:r w:rsidRPr="001E7925">
        <w:rPr>
          <w:rFonts w:asciiTheme="majorHAnsi" w:eastAsia="Times New Roman" w:hAnsiTheme="majorHAnsi" w:cs="Times New Roman"/>
          <w:i/>
          <w:sz w:val="24"/>
          <w:szCs w:val="24"/>
          <w:lang w:eastAsia="en-IN"/>
        </w:rPr>
        <w:t>In this case if above mentioned cases are satisfied then such family will continued to be assessed as if no such partial parti</w:t>
      </w:r>
      <w:r w:rsidR="000C466A">
        <w:rPr>
          <w:rFonts w:asciiTheme="majorHAnsi" w:eastAsia="Times New Roman" w:hAnsiTheme="majorHAnsi" w:cs="Times New Roman"/>
          <w:i/>
          <w:sz w:val="24"/>
          <w:szCs w:val="24"/>
          <w:lang w:eastAsia="en-IN"/>
        </w:rPr>
        <w:t>ti</w:t>
      </w:r>
      <w:r w:rsidRPr="001E7925">
        <w:rPr>
          <w:rFonts w:asciiTheme="majorHAnsi" w:eastAsia="Times New Roman" w:hAnsiTheme="majorHAnsi" w:cs="Times New Roman"/>
          <w:i/>
          <w:sz w:val="24"/>
          <w:szCs w:val="24"/>
          <w:lang w:eastAsia="en-IN"/>
        </w:rPr>
        <w:t xml:space="preserve">on has taken place i.e. property or source of income will be deemed </w:t>
      </w:r>
      <w:r w:rsidR="000C466A" w:rsidRPr="001E7925">
        <w:rPr>
          <w:rFonts w:asciiTheme="majorHAnsi" w:eastAsia="Times New Roman" w:hAnsiTheme="majorHAnsi" w:cs="Times New Roman"/>
          <w:i/>
          <w:sz w:val="24"/>
          <w:szCs w:val="24"/>
          <w:lang w:eastAsia="en-IN"/>
        </w:rPr>
        <w:t>to continue</w:t>
      </w:r>
      <w:r w:rsidRPr="001E7925">
        <w:rPr>
          <w:rFonts w:asciiTheme="majorHAnsi" w:eastAsia="Times New Roman" w:hAnsiTheme="majorHAnsi" w:cs="Times New Roman"/>
          <w:i/>
          <w:sz w:val="24"/>
          <w:szCs w:val="24"/>
          <w:lang w:eastAsia="en-IN"/>
        </w:rPr>
        <w:t xml:space="preserve"> to belong to HUF and no member is deemed to be separated from HUF.</w:t>
      </w:r>
    </w:p>
    <w:p w:rsidR="00E34E02" w:rsidRPr="0084419F" w:rsidRDefault="00E34E02"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p>
    <w:p w:rsidR="00E34E02" w:rsidRPr="0084419F" w:rsidRDefault="0084419F"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r w:rsidRPr="0084419F">
        <w:rPr>
          <w:rFonts w:asciiTheme="majorHAnsi" w:eastAsia="Times New Roman" w:hAnsiTheme="majorHAnsi" w:cs="Times New Roman"/>
          <w:b/>
          <w:i/>
          <w:sz w:val="24"/>
          <w:szCs w:val="24"/>
          <w:u w:val="single"/>
          <w:lang w:eastAsia="en-IN"/>
        </w:rPr>
        <w:t>Examples:</w:t>
      </w:r>
    </w:p>
    <w:p w:rsidR="0084419F" w:rsidRDefault="0084419F" w:rsidP="00A46812">
      <w:pPr>
        <w:spacing w:after="0" w:line="360" w:lineRule="atLeast"/>
        <w:jc w:val="both"/>
        <w:textAlignment w:val="baseline"/>
        <w:rPr>
          <w:rFonts w:asciiTheme="majorHAnsi" w:eastAsia="Times New Roman" w:hAnsiTheme="majorHAnsi" w:cs="Times New Roman"/>
          <w:i/>
          <w:sz w:val="24"/>
          <w:szCs w:val="24"/>
          <w:lang w:eastAsia="en-IN"/>
        </w:rPr>
      </w:pPr>
      <w:r w:rsidRPr="0084419F">
        <w:rPr>
          <w:rFonts w:asciiTheme="majorHAnsi" w:eastAsia="Times New Roman" w:hAnsiTheme="majorHAnsi" w:cs="Times New Roman"/>
          <w:b/>
          <w:i/>
          <w:sz w:val="24"/>
          <w:szCs w:val="24"/>
          <w:u w:val="single"/>
          <w:lang w:eastAsia="en-IN"/>
        </w:rPr>
        <w:t>Total Partition</w:t>
      </w:r>
      <w:r>
        <w:rPr>
          <w:rFonts w:asciiTheme="majorHAnsi" w:eastAsia="Times New Roman" w:hAnsiTheme="majorHAnsi" w:cs="Times New Roman"/>
          <w:i/>
          <w:sz w:val="24"/>
          <w:szCs w:val="24"/>
          <w:lang w:eastAsia="en-IN"/>
        </w:rPr>
        <w:t xml:space="preserve"> ; Let us consider in FY 2013-14  an HUF earned rental income from a property of Rs. 1800000/- upto 30.09.2014 and thereafter it is totally divided among three coparceners with effect from 01.10.2014. </w:t>
      </w:r>
    </w:p>
    <w:p w:rsidR="0084419F" w:rsidRDefault="0084419F" w:rsidP="00A46812">
      <w:pPr>
        <w:spacing w:after="0" w:line="360" w:lineRule="atLeast"/>
        <w:jc w:val="both"/>
        <w:textAlignment w:val="baseline"/>
        <w:rPr>
          <w:rFonts w:asciiTheme="majorHAnsi" w:eastAsia="Times New Roman" w:hAnsiTheme="majorHAnsi" w:cs="Times New Roman"/>
          <w:i/>
          <w:sz w:val="24"/>
          <w:szCs w:val="24"/>
          <w:lang w:eastAsia="en-IN"/>
        </w:rPr>
      </w:pPr>
    </w:p>
    <w:p w:rsidR="0084419F" w:rsidRDefault="0084419F" w:rsidP="00A46812">
      <w:p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lastRenderedPageBreak/>
        <w:t>In this case the rental income from 01.04.2014 to 30.09.2014 of Rs. 180000/- will be taxable in the hand of HUF and from 01.10.2014 upto 31.03.2015 rental income of 180000/- will be divided among three individuals and will be assessed in their respective hands after total divisions of HUF. Since HUF does not exist after 01.10.2014.</w:t>
      </w:r>
    </w:p>
    <w:p w:rsidR="0084419F" w:rsidRDefault="0084419F" w:rsidP="00A46812">
      <w:pPr>
        <w:spacing w:after="0" w:line="360" w:lineRule="atLeast"/>
        <w:jc w:val="both"/>
        <w:textAlignment w:val="baseline"/>
        <w:rPr>
          <w:rFonts w:asciiTheme="majorHAnsi" w:eastAsia="Times New Roman" w:hAnsiTheme="majorHAnsi" w:cs="Times New Roman"/>
          <w:i/>
          <w:sz w:val="24"/>
          <w:szCs w:val="24"/>
          <w:lang w:eastAsia="en-IN"/>
        </w:rPr>
      </w:pPr>
    </w:p>
    <w:p w:rsidR="0084419F" w:rsidRPr="0084419F" w:rsidRDefault="0084419F"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r w:rsidRPr="0084419F">
        <w:rPr>
          <w:rFonts w:asciiTheme="majorHAnsi" w:eastAsia="Times New Roman" w:hAnsiTheme="majorHAnsi" w:cs="Times New Roman"/>
          <w:b/>
          <w:i/>
          <w:sz w:val="24"/>
          <w:szCs w:val="24"/>
          <w:u w:val="single"/>
          <w:lang w:eastAsia="en-IN"/>
        </w:rPr>
        <w:t>Partial Division;</w:t>
      </w:r>
    </w:p>
    <w:p w:rsidR="0084419F" w:rsidRDefault="0084419F" w:rsidP="00A46812">
      <w:pPr>
        <w:spacing w:after="0" w:line="360" w:lineRule="atLeast"/>
        <w:jc w:val="both"/>
        <w:textAlignment w:val="baseline"/>
        <w:rPr>
          <w:rFonts w:asciiTheme="majorHAnsi" w:eastAsia="Times New Roman" w:hAnsiTheme="majorHAnsi" w:cs="Times New Roman"/>
          <w:i/>
          <w:sz w:val="24"/>
          <w:szCs w:val="24"/>
          <w:lang w:eastAsia="en-IN"/>
        </w:rPr>
      </w:pPr>
    </w:p>
    <w:p w:rsidR="0084419F" w:rsidRDefault="0084419F" w:rsidP="00A46812">
      <w:p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t xml:space="preserve">In this case provisions of Section 171(9) will be applicable and two essential conditions are </w:t>
      </w:r>
    </w:p>
    <w:p w:rsidR="0084419F" w:rsidRDefault="0084419F" w:rsidP="0084419F">
      <w:pPr>
        <w:pStyle w:val="ListParagraph"/>
        <w:numPr>
          <w:ilvl w:val="0"/>
          <w:numId w:val="3"/>
        </w:num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t>Partition will be held after 31.12.1978 and</w:t>
      </w:r>
    </w:p>
    <w:p w:rsidR="0084419F" w:rsidRDefault="0084419F" w:rsidP="0084419F">
      <w:pPr>
        <w:pStyle w:val="ListParagraph"/>
        <w:numPr>
          <w:ilvl w:val="0"/>
          <w:numId w:val="3"/>
        </w:num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t xml:space="preserve">The partition should be taken place in a </w:t>
      </w:r>
      <w:r w:rsidR="000C466A">
        <w:rPr>
          <w:rFonts w:asciiTheme="majorHAnsi" w:eastAsia="Times New Roman" w:hAnsiTheme="majorHAnsi" w:cs="Times New Roman"/>
          <w:i/>
          <w:sz w:val="24"/>
          <w:szCs w:val="24"/>
          <w:lang w:eastAsia="en-IN"/>
        </w:rPr>
        <w:t>HUF,</w:t>
      </w:r>
      <w:r>
        <w:rPr>
          <w:rFonts w:asciiTheme="majorHAnsi" w:eastAsia="Times New Roman" w:hAnsiTheme="majorHAnsi" w:cs="Times New Roman"/>
          <w:i/>
          <w:sz w:val="24"/>
          <w:szCs w:val="24"/>
          <w:lang w:eastAsia="en-IN"/>
        </w:rPr>
        <w:t xml:space="preserve"> which hereto previously assessed as HUF. </w:t>
      </w:r>
    </w:p>
    <w:p w:rsidR="0084419F" w:rsidRDefault="0084419F" w:rsidP="0084419F">
      <w:pPr>
        <w:spacing w:after="0" w:line="360" w:lineRule="atLeast"/>
        <w:jc w:val="both"/>
        <w:textAlignment w:val="baseline"/>
        <w:rPr>
          <w:rFonts w:asciiTheme="majorHAnsi" w:eastAsia="Times New Roman" w:hAnsiTheme="majorHAnsi" w:cs="Times New Roman"/>
          <w:i/>
          <w:sz w:val="24"/>
          <w:szCs w:val="24"/>
          <w:lang w:eastAsia="en-IN"/>
        </w:rPr>
      </w:pPr>
    </w:p>
    <w:p w:rsidR="00117400" w:rsidRDefault="0084419F" w:rsidP="00A46812">
      <w:p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t xml:space="preserve">Suppose one of the </w:t>
      </w:r>
      <w:r w:rsidR="000C466A">
        <w:rPr>
          <w:rFonts w:asciiTheme="majorHAnsi" w:eastAsia="Times New Roman" w:hAnsiTheme="majorHAnsi" w:cs="Times New Roman"/>
          <w:i/>
          <w:sz w:val="24"/>
          <w:szCs w:val="24"/>
          <w:lang w:eastAsia="en-IN"/>
        </w:rPr>
        <w:t>coparceners</w:t>
      </w:r>
      <w:r>
        <w:rPr>
          <w:rFonts w:asciiTheme="majorHAnsi" w:eastAsia="Times New Roman" w:hAnsiTheme="majorHAnsi" w:cs="Times New Roman"/>
          <w:i/>
          <w:sz w:val="24"/>
          <w:szCs w:val="24"/>
          <w:lang w:eastAsia="en-IN"/>
        </w:rPr>
        <w:t xml:space="preserve"> has decided to go out of HUF and remaining two are still continuing. Then in this case both conditions are </w:t>
      </w:r>
      <w:r w:rsidR="000C466A">
        <w:rPr>
          <w:rFonts w:asciiTheme="majorHAnsi" w:eastAsia="Times New Roman" w:hAnsiTheme="majorHAnsi" w:cs="Times New Roman"/>
          <w:i/>
          <w:sz w:val="24"/>
          <w:szCs w:val="24"/>
          <w:lang w:eastAsia="en-IN"/>
        </w:rPr>
        <w:t>satisfied as</w:t>
      </w:r>
      <w:r w:rsidR="00117400">
        <w:rPr>
          <w:rFonts w:asciiTheme="majorHAnsi" w:eastAsia="Times New Roman" w:hAnsiTheme="majorHAnsi" w:cs="Times New Roman"/>
          <w:i/>
          <w:sz w:val="24"/>
          <w:szCs w:val="24"/>
          <w:lang w:eastAsia="en-IN"/>
        </w:rPr>
        <w:t xml:space="preserve"> given </w:t>
      </w:r>
      <w:r w:rsidR="000C466A">
        <w:rPr>
          <w:rFonts w:asciiTheme="majorHAnsi" w:eastAsia="Times New Roman" w:hAnsiTheme="majorHAnsi" w:cs="Times New Roman"/>
          <w:i/>
          <w:sz w:val="24"/>
          <w:szCs w:val="24"/>
          <w:lang w:eastAsia="en-IN"/>
        </w:rPr>
        <w:t>above,</w:t>
      </w:r>
      <w:r w:rsidR="00117400">
        <w:rPr>
          <w:rFonts w:asciiTheme="majorHAnsi" w:eastAsia="Times New Roman" w:hAnsiTheme="majorHAnsi" w:cs="Times New Roman"/>
          <w:i/>
          <w:sz w:val="24"/>
          <w:szCs w:val="24"/>
          <w:lang w:eastAsia="en-IN"/>
        </w:rPr>
        <w:t xml:space="preserve"> the income will be assessed in the hand of HUF and no member will deemed to have separated from the family.</w:t>
      </w:r>
    </w:p>
    <w:p w:rsidR="00117400" w:rsidRDefault="00117400" w:rsidP="00A46812">
      <w:pPr>
        <w:spacing w:after="0" w:line="360" w:lineRule="atLeast"/>
        <w:jc w:val="both"/>
        <w:textAlignment w:val="baseline"/>
        <w:rPr>
          <w:rFonts w:asciiTheme="majorHAnsi" w:eastAsia="Times New Roman" w:hAnsiTheme="majorHAnsi" w:cs="Times New Roman"/>
          <w:i/>
          <w:sz w:val="24"/>
          <w:szCs w:val="24"/>
          <w:lang w:eastAsia="en-IN"/>
        </w:rPr>
      </w:pPr>
    </w:p>
    <w:p w:rsidR="0084419F" w:rsidRDefault="00117400" w:rsidP="00A46812">
      <w:p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t xml:space="preserve">Note: as decided in case of </w:t>
      </w:r>
      <w:r w:rsidRPr="00117400">
        <w:rPr>
          <w:rFonts w:asciiTheme="majorHAnsi" w:eastAsia="Times New Roman" w:hAnsiTheme="majorHAnsi" w:cs="Times New Roman"/>
          <w:b/>
          <w:i/>
          <w:sz w:val="24"/>
          <w:szCs w:val="24"/>
          <w:u w:val="single"/>
          <w:lang w:eastAsia="en-IN"/>
        </w:rPr>
        <w:t xml:space="preserve">Mohanlal K. Shah, HUF v. </w:t>
      </w:r>
      <w:r w:rsidR="000C466A" w:rsidRPr="00117400">
        <w:rPr>
          <w:rFonts w:asciiTheme="majorHAnsi" w:eastAsia="Times New Roman" w:hAnsiTheme="majorHAnsi" w:cs="Times New Roman"/>
          <w:b/>
          <w:i/>
          <w:sz w:val="24"/>
          <w:szCs w:val="24"/>
          <w:u w:val="single"/>
          <w:lang w:eastAsia="en-IN"/>
        </w:rPr>
        <w:t>ITO (</w:t>
      </w:r>
      <w:r w:rsidRPr="00117400">
        <w:rPr>
          <w:rFonts w:asciiTheme="majorHAnsi" w:eastAsia="Times New Roman" w:hAnsiTheme="majorHAnsi" w:cs="Times New Roman"/>
          <w:b/>
          <w:i/>
          <w:sz w:val="24"/>
          <w:szCs w:val="24"/>
          <w:u w:val="single"/>
          <w:lang w:eastAsia="en-IN"/>
        </w:rPr>
        <w:t xml:space="preserve">2005) SOT 316(Mumbai) </w:t>
      </w:r>
      <w:r>
        <w:rPr>
          <w:rFonts w:asciiTheme="majorHAnsi" w:eastAsia="Times New Roman" w:hAnsiTheme="majorHAnsi" w:cs="Times New Roman"/>
          <w:i/>
          <w:sz w:val="24"/>
          <w:szCs w:val="24"/>
          <w:lang w:eastAsia="en-IN"/>
        </w:rPr>
        <w:t xml:space="preserve">in order to be acceptable or recognizable partition under section </w:t>
      </w:r>
      <w:r w:rsidR="000C466A">
        <w:rPr>
          <w:rFonts w:asciiTheme="majorHAnsi" w:eastAsia="Times New Roman" w:hAnsiTheme="majorHAnsi" w:cs="Times New Roman"/>
          <w:i/>
          <w:sz w:val="24"/>
          <w:szCs w:val="24"/>
          <w:lang w:eastAsia="en-IN"/>
        </w:rPr>
        <w:t>171,</w:t>
      </w:r>
      <w:r>
        <w:rPr>
          <w:rFonts w:asciiTheme="majorHAnsi" w:eastAsia="Times New Roman" w:hAnsiTheme="majorHAnsi" w:cs="Times New Roman"/>
          <w:i/>
          <w:sz w:val="24"/>
          <w:szCs w:val="24"/>
          <w:lang w:eastAsia="en-IN"/>
        </w:rPr>
        <w:t xml:space="preserve"> a partition should be complete partition with respect to all members of HUF and in respect to all properties of HUF and also there should be actual division of property as per defined/specified shares allotted to each </w:t>
      </w:r>
      <w:r w:rsidR="000C466A">
        <w:rPr>
          <w:rFonts w:asciiTheme="majorHAnsi" w:eastAsia="Times New Roman" w:hAnsiTheme="majorHAnsi" w:cs="Times New Roman"/>
          <w:i/>
          <w:sz w:val="24"/>
          <w:szCs w:val="24"/>
          <w:lang w:eastAsia="en-IN"/>
        </w:rPr>
        <w:t>individual</w:t>
      </w:r>
      <w:r>
        <w:rPr>
          <w:rFonts w:asciiTheme="majorHAnsi" w:eastAsia="Times New Roman" w:hAnsiTheme="majorHAnsi" w:cs="Times New Roman"/>
          <w:i/>
          <w:sz w:val="24"/>
          <w:szCs w:val="24"/>
          <w:lang w:eastAsia="en-IN"/>
        </w:rPr>
        <w:t xml:space="preserve"> member of HUF property. </w:t>
      </w:r>
      <w:r w:rsidR="0084419F">
        <w:rPr>
          <w:rFonts w:asciiTheme="majorHAnsi" w:eastAsia="Times New Roman" w:hAnsiTheme="majorHAnsi" w:cs="Times New Roman"/>
          <w:i/>
          <w:sz w:val="24"/>
          <w:szCs w:val="24"/>
          <w:lang w:eastAsia="en-IN"/>
        </w:rPr>
        <w:t xml:space="preserve"> </w:t>
      </w:r>
    </w:p>
    <w:p w:rsidR="00117400" w:rsidRDefault="00117400" w:rsidP="00A46812">
      <w:pPr>
        <w:spacing w:after="0" w:line="360" w:lineRule="atLeast"/>
        <w:jc w:val="both"/>
        <w:textAlignment w:val="baseline"/>
        <w:rPr>
          <w:rFonts w:asciiTheme="majorHAnsi" w:eastAsia="Times New Roman" w:hAnsiTheme="majorHAnsi" w:cs="Times New Roman"/>
          <w:i/>
          <w:sz w:val="24"/>
          <w:szCs w:val="24"/>
          <w:lang w:eastAsia="en-IN"/>
        </w:rPr>
      </w:pPr>
    </w:p>
    <w:p w:rsidR="00894549" w:rsidRDefault="00117400" w:rsidP="00A46812">
      <w:pPr>
        <w:spacing w:after="0" w:line="360" w:lineRule="atLeast"/>
        <w:jc w:val="both"/>
        <w:textAlignment w:val="baseline"/>
        <w:rPr>
          <w:rFonts w:asciiTheme="majorHAnsi" w:eastAsia="Times New Roman" w:hAnsiTheme="majorHAnsi" w:cs="Times New Roman"/>
          <w:i/>
          <w:sz w:val="24"/>
          <w:szCs w:val="24"/>
          <w:lang w:eastAsia="en-IN"/>
        </w:rPr>
      </w:pPr>
      <w:r w:rsidRPr="003E422A">
        <w:rPr>
          <w:rFonts w:asciiTheme="majorHAnsi" w:eastAsia="Times New Roman" w:hAnsiTheme="majorHAnsi" w:cs="Times New Roman"/>
          <w:b/>
          <w:i/>
          <w:sz w:val="24"/>
          <w:szCs w:val="24"/>
          <w:u w:val="single"/>
          <w:lang w:eastAsia="en-IN"/>
        </w:rPr>
        <w:t>ITO v. P. Shankaraiah Yadav 92004) 91ITD 288(HYD)</w:t>
      </w:r>
      <w:r>
        <w:rPr>
          <w:rFonts w:asciiTheme="majorHAnsi" w:eastAsia="Times New Roman" w:hAnsiTheme="majorHAnsi" w:cs="Times New Roman"/>
          <w:i/>
          <w:sz w:val="24"/>
          <w:szCs w:val="24"/>
          <w:lang w:eastAsia="en-IN"/>
        </w:rPr>
        <w:t xml:space="preserve"> the court has decided that setting apart certain assets of an HUF in favour of certain coparceners on the conditions that they will not made any claim in the property of the HUF is a partial division of properties of HUF and </w:t>
      </w:r>
      <w:r w:rsidR="003E422A">
        <w:rPr>
          <w:rFonts w:asciiTheme="majorHAnsi" w:eastAsia="Times New Roman" w:hAnsiTheme="majorHAnsi" w:cs="Times New Roman"/>
          <w:i/>
          <w:sz w:val="24"/>
          <w:szCs w:val="24"/>
          <w:lang w:eastAsia="en-IN"/>
        </w:rPr>
        <w:t>assessing officer may ignore the partition according to the provisions of Section 171(9) of the Income Tax Act, 1961.</w:t>
      </w:r>
    </w:p>
    <w:p w:rsidR="00894549" w:rsidRDefault="00894549" w:rsidP="00A46812">
      <w:pPr>
        <w:spacing w:after="0" w:line="360" w:lineRule="atLeast"/>
        <w:jc w:val="both"/>
        <w:textAlignment w:val="baseline"/>
        <w:rPr>
          <w:rFonts w:asciiTheme="majorHAnsi" w:eastAsia="Times New Roman" w:hAnsiTheme="majorHAnsi" w:cs="Times New Roman"/>
          <w:i/>
          <w:sz w:val="24"/>
          <w:szCs w:val="24"/>
          <w:lang w:eastAsia="en-IN"/>
        </w:rPr>
      </w:pPr>
    </w:p>
    <w:p w:rsidR="00894549" w:rsidRPr="00894549" w:rsidRDefault="00894549" w:rsidP="00A46812">
      <w:pPr>
        <w:spacing w:after="0" w:line="360" w:lineRule="atLeast"/>
        <w:jc w:val="both"/>
        <w:textAlignment w:val="baseline"/>
        <w:rPr>
          <w:rFonts w:asciiTheme="majorHAnsi" w:eastAsia="Times New Roman" w:hAnsiTheme="majorHAnsi" w:cs="Times New Roman"/>
          <w:b/>
          <w:i/>
          <w:sz w:val="24"/>
          <w:szCs w:val="24"/>
          <w:u w:val="single"/>
          <w:lang w:eastAsia="en-IN"/>
        </w:rPr>
      </w:pPr>
      <w:r w:rsidRPr="00894549">
        <w:rPr>
          <w:rFonts w:asciiTheme="majorHAnsi" w:eastAsia="Times New Roman" w:hAnsiTheme="majorHAnsi" w:cs="Times New Roman"/>
          <w:b/>
          <w:i/>
          <w:sz w:val="24"/>
          <w:szCs w:val="24"/>
          <w:u w:val="single"/>
          <w:lang w:eastAsia="en-IN"/>
        </w:rPr>
        <w:t>Status in State of Kerala;</w:t>
      </w:r>
    </w:p>
    <w:p w:rsidR="00894549" w:rsidRDefault="00894549" w:rsidP="00A46812">
      <w:pPr>
        <w:spacing w:after="0" w:line="360" w:lineRule="atLeast"/>
        <w:jc w:val="both"/>
        <w:textAlignment w:val="baseline"/>
        <w:rPr>
          <w:rFonts w:asciiTheme="majorHAnsi" w:eastAsia="Times New Roman" w:hAnsiTheme="majorHAnsi" w:cs="Times New Roman"/>
          <w:i/>
          <w:sz w:val="24"/>
          <w:szCs w:val="24"/>
          <w:lang w:eastAsia="en-IN"/>
        </w:rPr>
      </w:pPr>
    </w:p>
    <w:p w:rsidR="000D09D8" w:rsidRPr="00560FA7" w:rsidRDefault="000D09D8" w:rsidP="00A46812">
      <w:pPr>
        <w:spacing w:after="0" w:line="360" w:lineRule="atLeast"/>
        <w:jc w:val="both"/>
        <w:textAlignment w:val="baseline"/>
        <w:rPr>
          <w:rFonts w:asciiTheme="majorHAnsi" w:eastAsia="Times New Roman" w:hAnsiTheme="majorHAnsi" w:cs="Times New Roman"/>
          <w:i/>
          <w:sz w:val="24"/>
          <w:szCs w:val="24"/>
          <w:lang w:eastAsia="en-IN"/>
        </w:rPr>
      </w:pPr>
      <w:r>
        <w:rPr>
          <w:rFonts w:asciiTheme="majorHAnsi" w:eastAsia="Times New Roman" w:hAnsiTheme="majorHAnsi" w:cs="Times New Roman"/>
          <w:i/>
          <w:sz w:val="24"/>
          <w:szCs w:val="24"/>
          <w:lang w:eastAsia="en-IN"/>
        </w:rPr>
        <w:t xml:space="preserve">The Hindu Joint Family Abolition Act, 1975 was enacted to abolish the joint family system among hinus in the state. Since the </w:t>
      </w:r>
      <w:r w:rsidR="000C466A">
        <w:rPr>
          <w:rFonts w:asciiTheme="majorHAnsi" w:eastAsia="Times New Roman" w:hAnsiTheme="majorHAnsi" w:cs="Times New Roman"/>
          <w:i/>
          <w:sz w:val="24"/>
          <w:szCs w:val="24"/>
          <w:lang w:eastAsia="en-IN"/>
        </w:rPr>
        <w:t>Hindus</w:t>
      </w:r>
      <w:r>
        <w:rPr>
          <w:rFonts w:asciiTheme="majorHAnsi" w:eastAsia="Times New Roman" w:hAnsiTheme="majorHAnsi" w:cs="Times New Roman"/>
          <w:i/>
          <w:sz w:val="24"/>
          <w:szCs w:val="24"/>
          <w:lang w:eastAsia="en-IN"/>
        </w:rPr>
        <w:t xml:space="preserve"> in the state of Kerala </w:t>
      </w:r>
      <w:r w:rsidR="000C466A">
        <w:rPr>
          <w:rFonts w:asciiTheme="majorHAnsi" w:eastAsia="Times New Roman" w:hAnsiTheme="majorHAnsi" w:cs="Times New Roman"/>
          <w:i/>
          <w:sz w:val="24"/>
          <w:szCs w:val="24"/>
          <w:lang w:eastAsia="en-IN"/>
        </w:rPr>
        <w:t>are governed</w:t>
      </w:r>
      <w:r>
        <w:rPr>
          <w:rFonts w:asciiTheme="majorHAnsi" w:eastAsia="Times New Roman" w:hAnsiTheme="majorHAnsi" w:cs="Times New Roman"/>
          <w:i/>
          <w:sz w:val="24"/>
          <w:szCs w:val="24"/>
          <w:lang w:eastAsia="en-IN"/>
        </w:rPr>
        <w:t xml:space="preserve"> by Mitakshara School of </w:t>
      </w:r>
      <w:r w:rsidR="000C466A">
        <w:rPr>
          <w:rFonts w:asciiTheme="majorHAnsi" w:eastAsia="Times New Roman" w:hAnsiTheme="majorHAnsi" w:cs="Times New Roman"/>
          <w:i/>
          <w:sz w:val="24"/>
          <w:szCs w:val="24"/>
          <w:lang w:eastAsia="en-IN"/>
        </w:rPr>
        <w:t>Hindu</w:t>
      </w:r>
      <w:r>
        <w:rPr>
          <w:rFonts w:asciiTheme="majorHAnsi" w:eastAsia="Times New Roman" w:hAnsiTheme="majorHAnsi" w:cs="Times New Roman"/>
          <w:i/>
          <w:sz w:val="24"/>
          <w:szCs w:val="24"/>
          <w:lang w:eastAsia="en-IN"/>
        </w:rPr>
        <w:t xml:space="preserve"> law. After December 1, 1976 all joint families have been totally abolished and the properties belonging to these families and divided in the hand of their coparceners. Since joint families were abolished due to enactment of law not act of the parties in this case provisions of Section 171 are not applicable.</w:t>
      </w:r>
    </w:p>
    <w:sectPr w:rsidR="000D09D8" w:rsidRPr="00560FA7" w:rsidSect="00B850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61246A"/>
    <w:multiLevelType w:val="hybridMultilevel"/>
    <w:tmpl w:val="1F8230AC"/>
    <w:lvl w:ilvl="0" w:tplc="EC70213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97E1E71"/>
    <w:multiLevelType w:val="hybridMultilevel"/>
    <w:tmpl w:val="5F9AFC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79D7C5C"/>
    <w:multiLevelType w:val="hybridMultilevel"/>
    <w:tmpl w:val="7C368C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077B"/>
    <w:rsid w:val="000C466A"/>
    <w:rsid w:val="000D09D8"/>
    <w:rsid w:val="00117400"/>
    <w:rsid w:val="001E7925"/>
    <w:rsid w:val="003D40E7"/>
    <w:rsid w:val="003E422A"/>
    <w:rsid w:val="00560FA7"/>
    <w:rsid w:val="005910D9"/>
    <w:rsid w:val="0064077B"/>
    <w:rsid w:val="0084419F"/>
    <w:rsid w:val="00894549"/>
    <w:rsid w:val="00A46812"/>
    <w:rsid w:val="00B8501A"/>
    <w:rsid w:val="00E34E02"/>
    <w:rsid w:val="00EC6241"/>
    <w:rsid w:val="00FC4C0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0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0E7"/>
    <w:pPr>
      <w:ind w:left="720"/>
      <w:contextualSpacing/>
    </w:pPr>
  </w:style>
  <w:style w:type="paragraph" w:styleId="NormalWeb">
    <w:name w:val="Normal (Web)"/>
    <w:basedOn w:val="Normal"/>
    <w:uiPriority w:val="99"/>
    <w:semiHidden/>
    <w:unhideWhenUsed/>
    <w:rsid w:val="00560FA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560FA7"/>
  </w:style>
  <w:style w:type="character" w:customStyle="1" w:styleId="intexthighlight">
    <w:name w:val="intexthighlight"/>
    <w:basedOn w:val="DefaultParagraphFont"/>
    <w:rsid w:val="00560FA7"/>
  </w:style>
  <w:style w:type="character" w:styleId="Hyperlink">
    <w:name w:val="Hyperlink"/>
    <w:basedOn w:val="DefaultParagraphFont"/>
    <w:uiPriority w:val="99"/>
    <w:semiHidden/>
    <w:unhideWhenUsed/>
    <w:rsid w:val="00560FA7"/>
    <w:rPr>
      <w:color w:val="0000FF"/>
      <w:u w:val="single"/>
    </w:rPr>
  </w:style>
</w:styles>
</file>

<file path=word/webSettings.xml><?xml version="1.0" encoding="utf-8"?>
<w:webSettings xmlns:r="http://schemas.openxmlformats.org/officeDocument/2006/relationships" xmlns:w="http://schemas.openxmlformats.org/wordprocessingml/2006/main">
  <w:divs>
    <w:div w:id="188967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helawdictionary.org/coparce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elawdictionary.org/particular/" TargetMode="External"/><Relationship Id="rId5" Type="http://schemas.openxmlformats.org/officeDocument/2006/relationships/hyperlink" Target="http://thelawdictionary.org/inherita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10</cp:revision>
  <dcterms:created xsi:type="dcterms:W3CDTF">2015-09-07T11:51:00Z</dcterms:created>
  <dcterms:modified xsi:type="dcterms:W3CDTF">2015-09-07T13:31:00Z</dcterms:modified>
</cp:coreProperties>
</file>